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3066" w14:textId="4D825D78" w:rsidR="0068158C" w:rsidRDefault="0068158C">
      <w:pPr>
        <w:rPr>
          <w:rFonts w:asciiTheme="majorHAnsi" w:eastAsiaTheme="majorEastAsia" w:hAnsiTheme="majorHAnsi" w:cstheme="majorBidi"/>
          <w:b/>
          <w:spacing w:val="-10"/>
          <w:kern w:val="28"/>
          <w:sz w:val="56"/>
          <w:szCs w:val="56"/>
        </w:rPr>
      </w:pPr>
    </w:p>
    <w:p w14:paraId="21A89E3F" w14:textId="7B7D694A" w:rsidR="00F77628" w:rsidRDefault="00F14754" w:rsidP="00066430">
      <w:pPr>
        <w:pStyle w:val="Title"/>
        <w:spacing w:line="480" w:lineRule="auto"/>
        <w:rPr>
          <w:b/>
        </w:rPr>
      </w:pPr>
      <w:r w:rsidRPr="00D13662">
        <w:rPr>
          <w:b/>
        </w:rPr>
        <w:t>Optimiz</w:t>
      </w:r>
      <w:r w:rsidR="00B12B23">
        <w:rPr>
          <w:b/>
        </w:rPr>
        <w:t>ed</w:t>
      </w:r>
      <w:r w:rsidRPr="00D13662">
        <w:rPr>
          <w:b/>
        </w:rPr>
        <w:t xml:space="preserve"> </w:t>
      </w:r>
      <w:r w:rsidR="00945792" w:rsidRPr="00D13662">
        <w:rPr>
          <w:b/>
        </w:rPr>
        <w:t>Mo</w:t>
      </w:r>
      <w:r w:rsidR="002244E6" w:rsidRPr="00D13662">
        <w:rPr>
          <w:b/>
        </w:rPr>
        <w:t>l</w:t>
      </w:r>
      <w:r w:rsidR="00945792" w:rsidRPr="00D13662">
        <w:rPr>
          <w:b/>
        </w:rPr>
        <w:t>e</w:t>
      </w:r>
      <w:r w:rsidR="002244E6" w:rsidRPr="00D13662">
        <w:rPr>
          <w:b/>
        </w:rPr>
        <w:t xml:space="preserve">cular </w:t>
      </w:r>
      <w:r w:rsidR="00E443C8">
        <w:rPr>
          <w:b/>
        </w:rPr>
        <w:t xml:space="preserve">Interaction </w:t>
      </w:r>
      <w:r w:rsidR="002244E6" w:rsidRPr="00D13662">
        <w:rPr>
          <w:b/>
        </w:rPr>
        <w:t>Networks</w:t>
      </w:r>
      <w:r w:rsidR="009B3DA8">
        <w:rPr>
          <w:b/>
        </w:rPr>
        <w:t xml:space="preserve"> for </w:t>
      </w:r>
      <w:r w:rsidR="00E553EE">
        <w:rPr>
          <w:b/>
        </w:rPr>
        <w:t>the Study of S</w:t>
      </w:r>
      <w:r>
        <w:rPr>
          <w:b/>
        </w:rPr>
        <w:t xml:space="preserve">keletal </w:t>
      </w:r>
      <w:r w:rsidR="00E553EE">
        <w:rPr>
          <w:b/>
        </w:rPr>
        <w:t>M</w:t>
      </w:r>
      <w:r>
        <w:rPr>
          <w:b/>
        </w:rPr>
        <w:t xml:space="preserve">uscle </w:t>
      </w:r>
      <w:r w:rsidR="00E553EE" w:rsidDel="00E553EE">
        <w:rPr>
          <w:b/>
        </w:rPr>
        <w:t xml:space="preserve"> </w:t>
      </w:r>
    </w:p>
    <w:p w14:paraId="09C6C998" w14:textId="32C22364" w:rsidR="00D13662" w:rsidRPr="00D13662" w:rsidRDefault="00D13662" w:rsidP="00066430">
      <w:pPr>
        <w:spacing w:after="0"/>
        <w:jc w:val="both"/>
        <w:rPr>
          <w:b/>
          <w:vertAlign w:val="superscript"/>
        </w:rPr>
      </w:pPr>
      <w:r w:rsidRPr="00D13662">
        <w:rPr>
          <w:b/>
        </w:rPr>
        <w:t>Stephen Morgan</w:t>
      </w:r>
      <w:r w:rsidRPr="00D13662">
        <w:rPr>
          <w:b/>
          <w:vertAlign w:val="superscript"/>
        </w:rPr>
        <w:t>1</w:t>
      </w:r>
      <w:r w:rsidRPr="00D13662">
        <w:rPr>
          <w:b/>
        </w:rPr>
        <w:t xml:space="preserve">, </w:t>
      </w:r>
      <w:r w:rsidR="0045595D">
        <w:rPr>
          <w:b/>
        </w:rPr>
        <w:t>Apostolos Malatras</w:t>
      </w:r>
      <w:r w:rsidR="0045595D" w:rsidRPr="00DF239C">
        <w:rPr>
          <w:b/>
          <w:vertAlign w:val="superscript"/>
        </w:rPr>
        <w:t>2</w:t>
      </w:r>
      <w:r w:rsidR="0045595D">
        <w:rPr>
          <w:b/>
        </w:rPr>
        <w:t xml:space="preserve">, </w:t>
      </w:r>
      <w:r w:rsidRPr="00D13662">
        <w:rPr>
          <w:b/>
        </w:rPr>
        <w:t>Stephanie Duguez</w:t>
      </w:r>
      <w:r w:rsidRPr="00D13662">
        <w:rPr>
          <w:b/>
          <w:vertAlign w:val="superscript"/>
        </w:rPr>
        <w:t>1</w:t>
      </w:r>
      <w:r w:rsidRPr="00D13662">
        <w:rPr>
          <w:b/>
        </w:rPr>
        <w:t>, William Duddy</w:t>
      </w:r>
      <w:r w:rsidRPr="00D13662">
        <w:rPr>
          <w:b/>
          <w:vertAlign w:val="superscript"/>
        </w:rPr>
        <w:t>1</w:t>
      </w:r>
      <w:r>
        <w:rPr>
          <w:b/>
          <w:vertAlign w:val="superscript"/>
        </w:rPr>
        <w:t>*</w:t>
      </w:r>
    </w:p>
    <w:p w14:paraId="2A309307" w14:textId="59F337E8" w:rsidR="00D13662" w:rsidRDefault="00D13662" w:rsidP="00066430">
      <w:pPr>
        <w:spacing w:after="0"/>
        <w:jc w:val="both"/>
      </w:pPr>
      <w:r>
        <w:rPr>
          <w:vertAlign w:val="superscript"/>
        </w:rPr>
        <w:t xml:space="preserve">1 </w:t>
      </w:r>
      <w:r>
        <w:t>Northern Ireland Centre for Stratified Medicine, Altnagelvin Hospital Campus, Ulster University, Londonderry, Northern Ireland, UK</w:t>
      </w:r>
    </w:p>
    <w:p w14:paraId="62B4B54B" w14:textId="7FD89E99" w:rsidR="0045595D" w:rsidRDefault="0045595D" w:rsidP="00DF239C">
      <w:pPr>
        <w:spacing w:after="0"/>
        <w:jc w:val="both"/>
      </w:pPr>
      <w:r w:rsidRPr="00DF239C">
        <w:rPr>
          <w:vertAlign w:val="superscript"/>
        </w:rPr>
        <w:t>2</w:t>
      </w:r>
      <w:r>
        <w:t xml:space="preserve"> </w:t>
      </w:r>
      <w:r w:rsidR="00DF239C">
        <w:t>Department of Biological Sciences, Molecular Medicine Research Center, University of Cyprus, 1 University Avenue, 2109 Nicosia, Cyprus</w:t>
      </w:r>
    </w:p>
    <w:p w14:paraId="24853FF9" w14:textId="0FD0B535" w:rsidR="00D13662" w:rsidRDefault="00D13662" w:rsidP="00066430">
      <w:pPr>
        <w:spacing w:after="0"/>
        <w:jc w:val="both"/>
      </w:pPr>
      <w:r w:rsidRPr="00D13662">
        <w:rPr>
          <w:vertAlign w:val="superscript"/>
        </w:rPr>
        <w:t>*</w:t>
      </w:r>
      <w:r>
        <w:t xml:space="preserve"> Correspondence: </w:t>
      </w:r>
      <w:hyperlink r:id="rId8" w:history="1">
        <w:r w:rsidRPr="009140C2">
          <w:rPr>
            <w:rStyle w:val="Hyperlink"/>
          </w:rPr>
          <w:t>w.duddy@ulster.ac.uk</w:t>
        </w:r>
      </w:hyperlink>
      <w:r>
        <w:t>; Tel: +44-28-71-675-686</w:t>
      </w:r>
    </w:p>
    <w:p w14:paraId="54C45971" w14:textId="7F13CC55" w:rsidR="001B148D" w:rsidRDefault="001B148D" w:rsidP="00066430">
      <w:pPr>
        <w:spacing w:after="0"/>
        <w:jc w:val="both"/>
      </w:pPr>
      <w:r w:rsidRPr="001B148D">
        <w:rPr>
          <w:b/>
          <w:bCs/>
        </w:rPr>
        <w:t>Running title:</w:t>
      </w:r>
      <w:r>
        <w:t xml:space="preserve"> Interaction Networks for Skeletal Muscle</w:t>
      </w:r>
    </w:p>
    <w:p w14:paraId="3592D5A3" w14:textId="5EA8594B" w:rsidR="001B148D" w:rsidRPr="001B148D" w:rsidRDefault="001B148D" w:rsidP="00066430">
      <w:pPr>
        <w:spacing w:after="0"/>
        <w:jc w:val="both"/>
        <w:rPr>
          <w:b/>
          <w:bCs/>
        </w:rPr>
      </w:pPr>
      <w:r w:rsidRPr="001B148D">
        <w:rPr>
          <w:b/>
          <w:bCs/>
        </w:rPr>
        <w:t>Complete c</w:t>
      </w:r>
      <w:r w:rsidR="00EE0A2E">
        <w:rPr>
          <w:b/>
          <w:bCs/>
        </w:rPr>
        <w:t>o</w:t>
      </w:r>
      <w:r w:rsidRPr="001B148D">
        <w:rPr>
          <w:b/>
          <w:bCs/>
        </w:rPr>
        <w:t>rrespondence address:</w:t>
      </w:r>
    </w:p>
    <w:p w14:paraId="4C29D309" w14:textId="77777777" w:rsidR="001B148D" w:rsidRDefault="001B148D" w:rsidP="001B148D">
      <w:pPr>
        <w:spacing w:after="0"/>
        <w:jc w:val="both"/>
      </w:pPr>
      <w:r>
        <w:t>William J Duddy PhD FHEA</w:t>
      </w:r>
    </w:p>
    <w:p w14:paraId="3AF2351D" w14:textId="06BFB652" w:rsidR="001B148D" w:rsidRDefault="001B148D" w:rsidP="001B148D">
      <w:pPr>
        <w:spacing w:after="0"/>
        <w:jc w:val="both"/>
      </w:pPr>
      <w:r>
        <w:t>Northern Ireland Center for Stratified Medicine, Biomedical Sciences Research Institute</w:t>
      </w:r>
    </w:p>
    <w:p w14:paraId="23DEE6DB" w14:textId="4788DDCA" w:rsidR="001B148D" w:rsidRDefault="001B148D" w:rsidP="001B148D">
      <w:pPr>
        <w:spacing w:after="0"/>
        <w:jc w:val="both"/>
      </w:pPr>
      <w:r>
        <w:t>C-TRIC, Altnagelvin Hospital Campus, Glenshane Road, Derry/Londonderry, BT47 6SB</w:t>
      </w:r>
    </w:p>
    <w:p w14:paraId="18CC6287" w14:textId="394B31E8" w:rsidR="001B148D" w:rsidRPr="00187886" w:rsidRDefault="001B148D" w:rsidP="001B148D">
      <w:pPr>
        <w:spacing w:after="0"/>
        <w:jc w:val="both"/>
        <w:rPr>
          <w:lang w:val="fr-FR"/>
        </w:rPr>
      </w:pPr>
      <w:r w:rsidRPr="00187886">
        <w:rPr>
          <w:lang w:val="fr-FR"/>
        </w:rPr>
        <w:t>T +44-28-71-675-686 / E w.duddy@ulster.ac.uk</w:t>
      </w:r>
    </w:p>
    <w:p w14:paraId="26F3F16D" w14:textId="77777777" w:rsidR="00F77628" w:rsidRPr="00187886" w:rsidRDefault="00F77628" w:rsidP="00066430">
      <w:pPr>
        <w:jc w:val="both"/>
        <w:rPr>
          <w:b/>
          <w:lang w:val="fr-FR"/>
        </w:rPr>
      </w:pPr>
    </w:p>
    <w:p w14:paraId="77819E63" w14:textId="64A4F09C" w:rsidR="006159C7" w:rsidRDefault="00646EF6" w:rsidP="00066430">
      <w:pPr>
        <w:spacing w:after="0"/>
        <w:jc w:val="both"/>
      </w:pPr>
      <w:r w:rsidRPr="00FE59EE">
        <w:rPr>
          <w:b/>
        </w:rPr>
        <w:t>BACKGROUND:</w:t>
      </w:r>
      <w:r w:rsidR="00321FC8">
        <w:t xml:space="preserve"> </w:t>
      </w:r>
      <w:r>
        <w:t>Molecular interaction networks (MINs) aim to capture the complex relationships between interacting molecules within a biological system.</w:t>
      </w:r>
      <w:r w:rsidR="00C066CB">
        <w:t xml:space="preserve"> MINs can be constructed </w:t>
      </w:r>
      <w:r w:rsidR="00214ACC">
        <w:t xml:space="preserve">from </w:t>
      </w:r>
      <w:r w:rsidR="00B12B23">
        <w:t>existing knowledge of molecular functional associations, such as protein-</w:t>
      </w:r>
      <w:r w:rsidR="001F374F">
        <w:t xml:space="preserve">protein </w:t>
      </w:r>
      <w:r w:rsidR="00B12B23">
        <w:t xml:space="preserve">binding interactions </w:t>
      </w:r>
      <w:r w:rsidR="00214ACC">
        <w:t xml:space="preserve">(PPI) </w:t>
      </w:r>
      <w:r w:rsidR="00B12B23">
        <w:t>or gene co-expression,</w:t>
      </w:r>
      <w:r w:rsidR="00C066CB">
        <w:t xml:space="preserve"> and </w:t>
      </w:r>
      <w:r w:rsidR="00923961">
        <w:t>these different sources may be combined in</w:t>
      </w:r>
      <w:r w:rsidR="00DB7742">
        <w:t>to</w:t>
      </w:r>
      <w:r w:rsidR="00923961">
        <w:t xml:space="preserve"> a single MIN</w:t>
      </w:r>
      <w:r w:rsidR="00C066CB">
        <w:t xml:space="preserve">. </w:t>
      </w:r>
      <w:r w:rsidR="00B12B23">
        <w:t xml:space="preserve">A </w:t>
      </w:r>
      <w:r w:rsidR="00923961">
        <w:t>given</w:t>
      </w:r>
      <w:r w:rsidR="00B12B23">
        <w:t xml:space="preserve"> MIN may </w:t>
      </w:r>
      <w:r w:rsidR="00B12B23">
        <w:lastRenderedPageBreak/>
        <w:t xml:space="preserve">be more or less optimal in its representation of the important functional relationships of molecules in </w:t>
      </w:r>
      <w:r w:rsidR="007E424A">
        <w:t xml:space="preserve">a </w:t>
      </w:r>
      <w:r w:rsidR="00B12B23">
        <w:t>tissue</w:t>
      </w:r>
      <w:r w:rsidR="001C704D">
        <w:t>.</w:t>
      </w:r>
    </w:p>
    <w:p w14:paraId="21360AAB" w14:textId="1BB7D8C0" w:rsidR="00C066CB" w:rsidRDefault="00C066CB" w:rsidP="00066430">
      <w:pPr>
        <w:spacing w:after="0"/>
        <w:jc w:val="both"/>
      </w:pPr>
      <w:r w:rsidRPr="00FE59EE">
        <w:rPr>
          <w:b/>
        </w:rPr>
        <w:t>OBJECTIVE:</w:t>
      </w:r>
      <w:r w:rsidR="00321FC8">
        <w:t xml:space="preserve"> </w:t>
      </w:r>
      <w:r>
        <w:t xml:space="preserve">The aim of this study </w:t>
      </w:r>
      <w:r w:rsidR="00B12B23">
        <w:t>wa</w:t>
      </w:r>
      <w:r>
        <w:t xml:space="preserve">s to </w:t>
      </w:r>
      <w:r w:rsidR="00923961">
        <w:t xml:space="preserve">establish whether </w:t>
      </w:r>
      <w:r w:rsidR="00A542F3">
        <w:t>a</w:t>
      </w:r>
      <w:r w:rsidR="00923961">
        <w:t xml:space="preserve"> combin</w:t>
      </w:r>
      <w:r w:rsidR="00A542F3">
        <w:t>ed</w:t>
      </w:r>
      <w:r w:rsidR="00923961">
        <w:t xml:space="preserve"> MIN derived from different types of functional association could </w:t>
      </w:r>
      <w:r w:rsidR="00A542F3">
        <w:t>better capture muscle-relevant biology compared to its constituent single-source MINs</w:t>
      </w:r>
      <w:r>
        <w:t>.</w:t>
      </w:r>
    </w:p>
    <w:p w14:paraId="3B6273B2" w14:textId="4AFAC10E" w:rsidR="00FE59EE" w:rsidRDefault="00C066CB" w:rsidP="00066430">
      <w:pPr>
        <w:spacing w:after="0"/>
        <w:jc w:val="both"/>
      </w:pPr>
      <w:r w:rsidRPr="00FE59EE">
        <w:rPr>
          <w:b/>
        </w:rPr>
        <w:t>METHODS:</w:t>
      </w:r>
      <w:r w:rsidR="00321FC8">
        <w:t xml:space="preserve"> </w:t>
      </w:r>
      <w:r>
        <w:t xml:space="preserve">MINs </w:t>
      </w:r>
      <w:r w:rsidR="00B12B23">
        <w:t xml:space="preserve">were constructed from </w:t>
      </w:r>
      <w:r w:rsidR="00C20CFB">
        <w:t>functional association</w:t>
      </w:r>
      <w:r>
        <w:t xml:space="preserve"> databases for both </w:t>
      </w:r>
      <w:r w:rsidR="00C20CFB">
        <w:t>protein-binding and gene co-expression</w:t>
      </w:r>
      <w:r>
        <w:t xml:space="preserve">. </w:t>
      </w:r>
      <w:r w:rsidR="00C20CFB">
        <w:t xml:space="preserve">The networks were then compared </w:t>
      </w:r>
      <w:r w:rsidR="00214ACC">
        <w:t xml:space="preserve">based on </w:t>
      </w:r>
      <w:r w:rsidR="00DB7742">
        <w:t xml:space="preserve">the capture of </w:t>
      </w:r>
      <w:r w:rsidR="00214ACC">
        <w:t xml:space="preserve">muscle-relevant genes and gene ontology (GO) terms, tested in two different ways using </w:t>
      </w:r>
      <w:r w:rsidR="00FE59EE">
        <w:t xml:space="preserve">established biological network clustering algorithms. </w:t>
      </w:r>
      <w:r w:rsidR="00214ACC">
        <w:t>T</w:t>
      </w:r>
      <w:r w:rsidR="00FE59EE">
        <w:t xml:space="preserve">he top performing MINs </w:t>
      </w:r>
      <w:r w:rsidR="00214ACC">
        <w:t xml:space="preserve">were combined </w:t>
      </w:r>
      <w:r w:rsidR="00FE59EE">
        <w:t xml:space="preserve">to test whether an optimal MIN for </w:t>
      </w:r>
      <w:r w:rsidR="00214ACC">
        <w:t xml:space="preserve">skeletal muscle </w:t>
      </w:r>
      <w:r w:rsidR="00FE59EE">
        <w:t>c</w:t>
      </w:r>
      <w:r w:rsidR="00214ACC">
        <w:t>ould</w:t>
      </w:r>
      <w:r w:rsidR="00FE59EE">
        <w:t xml:space="preserve"> be constructed.</w:t>
      </w:r>
    </w:p>
    <w:p w14:paraId="7EEA0833" w14:textId="51218609" w:rsidR="00FE59EE" w:rsidRDefault="00FE59EE" w:rsidP="00066430">
      <w:pPr>
        <w:spacing w:after="0"/>
        <w:jc w:val="both"/>
      </w:pPr>
      <w:r w:rsidRPr="00FE59EE">
        <w:rPr>
          <w:b/>
        </w:rPr>
        <w:t>RESULTS:</w:t>
      </w:r>
      <w:r w:rsidR="00321FC8">
        <w:rPr>
          <w:b/>
        </w:rPr>
        <w:t xml:space="preserve"> </w:t>
      </w:r>
      <w:r w:rsidR="00A542F3" w:rsidRPr="008530E2">
        <w:rPr>
          <w:bCs/>
        </w:rPr>
        <w:t>The STRING PPI network was the best performing single-source MIN</w:t>
      </w:r>
      <w:r w:rsidR="00DB7742">
        <w:rPr>
          <w:bCs/>
        </w:rPr>
        <w:t xml:space="preserve"> among those tested</w:t>
      </w:r>
      <w:r w:rsidR="00A542F3" w:rsidRPr="008530E2">
        <w:rPr>
          <w:bCs/>
        </w:rPr>
        <w:t>.</w:t>
      </w:r>
      <w:r w:rsidR="00A542F3">
        <w:rPr>
          <w:b/>
        </w:rPr>
        <w:t xml:space="preserve"> </w:t>
      </w:r>
      <w:r w:rsidR="00A542F3">
        <w:t>C</w:t>
      </w:r>
      <w:r>
        <w:t xml:space="preserve">ombining </w:t>
      </w:r>
      <w:r w:rsidR="00A542F3">
        <w:t xml:space="preserve">STRING </w:t>
      </w:r>
      <w:r>
        <w:t xml:space="preserve">with </w:t>
      </w:r>
      <w:r w:rsidR="00A542F3">
        <w:t xml:space="preserve">interactions from either the MyoMiner or CoXPRESSdb </w:t>
      </w:r>
      <w:r>
        <w:t xml:space="preserve">gene </w:t>
      </w:r>
      <w:r w:rsidR="00A542F3">
        <w:t>co-</w:t>
      </w:r>
      <w:r>
        <w:t xml:space="preserve">expression </w:t>
      </w:r>
      <w:r w:rsidR="00A542F3">
        <w:t xml:space="preserve">sources resulted in a combined network with </w:t>
      </w:r>
      <w:r>
        <w:t>improve</w:t>
      </w:r>
      <w:r w:rsidR="00505596">
        <w:t>d</w:t>
      </w:r>
      <w:r>
        <w:t xml:space="preserve"> performance relative to </w:t>
      </w:r>
      <w:r w:rsidR="00A542F3">
        <w:t>its</w:t>
      </w:r>
      <w:r>
        <w:t xml:space="preserve"> constituent networks.</w:t>
      </w:r>
    </w:p>
    <w:p w14:paraId="0BD0629D" w14:textId="0DE6679C" w:rsidR="00C066CB" w:rsidRDefault="00FE59EE" w:rsidP="00066430">
      <w:pPr>
        <w:spacing w:after="0"/>
        <w:jc w:val="both"/>
      </w:pPr>
      <w:r w:rsidRPr="00FE59EE">
        <w:rPr>
          <w:b/>
        </w:rPr>
        <w:t>CONCLUSION:</w:t>
      </w:r>
      <w:r w:rsidR="00321FC8">
        <w:rPr>
          <w:b/>
        </w:rPr>
        <w:t xml:space="preserve"> </w:t>
      </w:r>
      <w:r w:rsidR="00621DF8">
        <w:t xml:space="preserve">MINs </w:t>
      </w:r>
      <w:r w:rsidR="0014218F">
        <w:t>constructed from multiple types of functional association can better represent the functional relationships of molecules in a given tissue. Such networks may be used to improve the analysis and interpretation of functional genomics data in the study of skeletal muscle</w:t>
      </w:r>
      <w:r w:rsidR="00620042">
        <w:t xml:space="preserve"> and neuromuscular diseases</w:t>
      </w:r>
      <w:r w:rsidR="0014218F">
        <w:t>.</w:t>
      </w:r>
      <w:r w:rsidR="00457B14">
        <w:t xml:space="preserve"> </w:t>
      </w:r>
      <w:r w:rsidR="007A5AE1">
        <w:t xml:space="preserve">Networks and clusters described by this study, including the combinations of STRING with MyoMiner or with CoXPRESSdb, are available for download from </w:t>
      </w:r>
      <w:r w:rsidR="00205ABA" w:rsidRPr="00187886">
        <w:t>https://www.sys-myo.com/myominer/</w:t>
      </w:r>
      <w:r w:rsidR="00EB4052">
        <w:t>download.php</w:t>
      </w:r>
      <w:r w:rsidR="007A5AE1">
        <w:t>.</w:t>
      </w:r>
    </w:p>
    <w:p w14:paraId="460CFF05" w14:textId="7BA03B61" w:rsidR="00081454" w:rsidRDefault="00081454" w:rsidP="00066430">
      <w:pPr>
        <w:spacing w:after="0"/>
        <w:jc w:val="both"/>
      </w:pPr>
    </w:p>
    <w:p w14:paraId="4D1303E7" w14:textId="11E5863E" w:rsidR="00081454" w:rsidRDefault="00081454" w:rsidP="00066430">
      <w:pPr>
        <w:spacing w:after="0"/>
        <w:jc w:val="both"/>
      </w:pPr>
      <w:r w:rsidRPr="008530E2">
        <w:rPr>
          <w:b/>
          <w:bCs/>
        </w:rPr>
        <w:t xml:space="preserve">Key words: </w:t>
      </w:r>
      <w:r w:rsidRPr="008530E2">
        <w:t xml:space="preserve">skeletal muscle; </w:t>
      </w:r>
      <w:r>
        <w:t xml:space="preserve">neuromuscular disease; molecular interaction networks; network medicine; </w:t>
      </w:r>
      <w:r w:rsidRPr="008530E2">
        <w:t>functional genomics; protein-protein interactions; gene co-expression</w:t>
      </w:r>
    </w:p>
    <w:p w14:paraId="2D5BB870" w14:textId="77777777" w:rsidR="008530E2" w:rsidRPr="00081454" w:rsidRDefault="008530E2" w:rsidP="00066430">
      <w:pPr>
        <w:spacing w:after="0"/>
        <w:jc w:val="both"/>
      </w:pPr>
    </w:p>
    <w:p w14:paraId="5894EFDB" w14:textId="77777777" w:rsidR="00E553EE" w:rsidRPr="00FE59EE" w:rsidRDefault="00E553EE" w:rsidP="00066430">
      <w:pPr>
        <w:spacing w:after="0"/>
        <w:jc w:val="both"/>
      </w:pPr>
    </w:p>
    <w:p w14:paraId="43C22C1A" w14:textId="6EDA2D9B" w:rsidR="008530E2" w:rsidRDefault="008530E2" w:rsidP="008530E2">
      <w:pPr>
        <w:pStyle w:val="Heading1"/>
        <w:jc w:val="both"/>
      </w:pPr>
      <w:r>
        <w:lastRenderedPageBreak/>
        <w:t>Introduction</w:t>
      </w:r>
    </w:p>
    <w:p w14:paraId="6CB6A859" w14:textId="6AB01675" w:rsidR="00B520DF" w:rsidRDefault="00B62B70" w:rsidP="00066430">
      <w:pPr>
        <w:pStyle w:val="p"/>
        <w:spacing w:after="0" w:afterAutospacing="0" w:line="480" w:lineRule="auto"/>
        <w:jc w:val="both"/>
        <w:rPr>
          <w:rFonts w:asciiTheme="minorHAnsi" w:hAnsiTheme="minorHAnsi" w:cstheme="minorHAnsi"/>
          <w:sz w:val="22"/>
        </w:rPr>
      </w:pPr>
      <w:r w:rsidRPr="006A3A46">
        <w:rPr>
          <w:rFonts w:asciiTheme="minorHAnsi" w:hAnsiTheme="minorHAnsi" w:cstheme="minorHAnsi"/>
          <w:sz w:val="22"/>
        </w:rPr>
        <w:t xml:space="preserve">The </w:t>
      </w:r>
      <w:r w:rsidR="00ED246C">
        <w:rPr>
          <w:rFonts w:asciiTheme="minorHAnsi" w:hAnsiTheme="minorHAnsi" w:cstheme="minorHAnsi"/>
          <w:sz w:val="22"/>
        </w:rPr>
        <w:t>implementation of functional genomics approaches that use molecular interaction networks</w:t>
      </w:r>
      <w:r w:rsidR="00843A85">
        <w:rPr>
          <w:rFonts w:asciiTheme="minorHAnsi" w:hAnsiTheme="minorHAnsi" w:cstheme="minorHAnsi"/>
          <w:sz w:val="22"/>
        </w:rPr>
        <w:t xml:space="preserve"> (MINs)</w:t>
      </w:r>
      <w:r w:rsidR="00ED246C">
        <w:rPr>
          <w:rFonts w:asciiTheme="minorHAnsi" w:hAnsiTheme="minorHAnsi" w:cstheme="minorHAnsi"/>
          <w:sz w:val="22"/>
        </w:rPr>
        <w:t xml:space="preserve">, sometimes called ‘network medicine’, </w:t>
      </w:r>
      <w:r w:rsidRPr="006A3A46">
        <w:rPr>
          <w:rFonts w:asciiTheme="minorHAnsi" w:hAnsiTheme="minorHAnsi" w:cstheme="minorHAnsi"/>
          <w:sz w:val="22"/>
        </w:rPr>
        <w:t xml:space="preserve">can </w:t>
      </w:r>
      <w:r w:rsidR="00ED246C">
        <w:rPr>
          <w:rFonts w:asciiTheme="minorHAnsi" w:hAnsiTheme="minorHAnsi" w:cstheme="minorHAnsi"/>
          <w:sz w:val="22"/>
        </w:rPr>
        <w:t xml:space="preserve">help to </w:t>
      </w:r>
      <w:r w:rsidRPr="006A3A46">
        <w:rPr>
          <w:rFonts w:asciiTheme="minorHAnsi" w:hAnsiTheme="minorHAnsi" w:cstheme="minorHAnsi"/>
          <w:sz w:val="22"/>
        </w:rPr>
        <w:t>define disease</w:t>
      </w:r>
      <w:r w:rsidR="00ED246C">
        <w:rPr>
          <w:rFonts w:asciiTheme="minorHAnsi" w:hAnsiTheme="minorHAnsi" w:cstheme="minorHAnsi"/>
          <w:sz w:val="22"/>
        </w:rPr>
        <w:t>-</w:t>
      </w:r>
      <w:r w:rsidR="007C4419" w:rsidRPr="006A3A46">
        <w:rPr>
          <w:rFonts w:asciiTheme="minorHAnsi" w:hAnsiTheme="minorHAnsi" w:cstheme="minorHAnsi"/>
          <w:sz w:val="22"/>
        </w:rPr>
        <w:t xml:space="preserve">associated </w:t>
      </w:r>
      <w:r w:rsidRPr="006A3A46">
        <w:rPr>
          <w:rFonts w:asciiTheme="minorHAnsi" w:hAnsiTheme="minorHAnsi" w:cstheme="minorHAnsi"/>
          <w:sz w:val="22"/>
        </w:rPr>
        <w:t xml:space="preserve">genes </w:t>
      </w:r>
      <w:r w:rsidR="007C4419" w:rsidRPr="006A3A46">
        <w:rPr>
          <w:rFonts w:asciiTheme="minorHAnsi" w:hAnsiTheme="minorHAnsi" w:cstheme="minorHAnsi"/>
          <w:sz w:val="22"/>
        </w:rPr>
        <w:t>and</w:t>
      </w:r>
      <w:r w:rsidRPr="006A3A46">
        <w:rPr>
          <w:rFonts w:asciiTheme="minorHAnsi" w:hAnsiTheme="minorHAnsi" w:cstheme="minorHAnsi"/>
          <w:sz w:val="22"/>
        </w:rPr>
        <w:t xml:space="preserve"> </w:t>
      </w:r>
      <w:r w:rsidRPr="002219D7">
        <w:rPr>
          <w:rFonts w:asciiTheme="minorHAnsi" w:hAnsiTheme="minorHAnsi" w:cstheme="minorHAnsi"/>
          <w:sz w:val="22"/>
          <w:szCs w:val="22"/>
        </w:rPr>
        <w:t>pathways</w:t>
      </w:r>
      <w:r w:rsidR="00ED246C" w:rsidRPr="002219D7">
        <w:rPr>
          <w:rFonts w:asciiTheme="minorHAnsi" w:hAnsiTheme="minorHAnsi" w:cstheme="minorHAnsi"/>
          <w:sz w:val="22"/>
          <w:szCs w:val="22"/>
        </w:rPr>
        <w:t>, and</w:t>
      </w:r>
      <w:r w:rsidRPr="002219D7">
        <w:rPr>
          <w:rFonts w:asciiTheme="minorHAnsi" w:hAnsiTheme="minorHAnsi" w:cstheme="minorHAnsi"/>
          <w:sz w:val="22"/>
          <w:szCs w:val="22"/>
        </w:rPr>
        <w:t xml:space="preserve"> </w:t>
      </w:r>
      <w:r w:rsidR="00ED246C" w:rsidRPr="002219D7">
        <w:rPr>
          <w:rFonts w:asciiTheme="minorHAnsi" w:hAnsiTheme="minorHAnsi" w:cstheme="minorHAnsi"/>
          <w:sz w:val="22"/>
          <w:szCs w:val="22"/>
        </w:rPr>
        <w:t>could contribute to</w:t>
      </w:r>
      <w:r w:rsidRPr="002219D7">
        <w:rPr>
          <w:rFonts w:asciiTheme="minorHAnsi" w:hAnsiTheme="minorHAnsi" w:cstheme="minorHAnsi"/>
          <w:sz w:val="22"/>
          <w:szCs w:val="22"/>
        </w:rPr>
        <w:t xml:space="preserve"> the discovery of </w:t>
      </w:r>
      <w:r w:rsidR="00ED246C" w:rsidRPr="002219D7">
        <w:rPr>
          <w:rFonts w:asciiTheme="minorHAnsi" w:hAnsiTheme="minorHAnsi" w:cstheme="minorHAnsi"/>
          <w:sz w:val="22"/>
          <w:szCs w:val="22"/>
        </w:rPr>
        <w:t xml:space="preserve">novel or improved </w:t>
      </w:r>
      <w:r w:rsidR="00DA31D2" w:rsidRPr="002219D7">
        <w:rPr>
          <w:rFonts w:asciiTheme="minorHAnsi" w:hAnsiTheme="minorHAnsi" w:cstheme="minorHAnsi"/>
          <w:sz w:val="22"/>
          <w:szCs w:val="22"/>
        </w:rPr>
        <w:t xml:space="preserve">biomarkers </w:t>
      </w:r>
      <w:r w:rsidR="00ED246C" w:rsidRPr="002219D7">
        <w:rPr>
          <w:rFonts w:asciiTheme="minorHAnsi" w:hAnsiTheme="minorHAnsi" w:cstheme="minorHAnsi"/>
          <w:sz w:val="22"/>
          <w:szCs w:val="22"/>
        </w:rPr>
        <w:t>and</w:t>
      </w:r>
      <w:r w:rsidR="00DA31D2" w:rsidRPr="002219D7">
        <w:rPr>
          <w:rFonts w:asciiTheme="minorHAnsi" w:hAnsiTheme="minorHAnsi" w:cstheme="minorHAnsi"/>
          <w:sz w:val="22"/>
          <w:szCs w:val="22"/>
        </w:rPr>
        <w:t xml:space="preserve"> drug targets</w:t>
      </w:r>
      <w:r w:rsidRPr="002219D7">
        <w:rPr>
          <w:rFonts w:asciiTheme="minorHAnsi" w:hAnsiTheme="minorHAnsi" w:cstheme="minorHAnsi"/>
          <w:sz w:val="22"/>
          <w:szCs w:val="22"/>
        </w:rPr>
        <w:t xml:space="preserve"> </w:t>
      </w:r>
      <w:r w:rsidR="002219D7">
        <w:rPr>
          <w:rFonts w:asciiTheme="minorHAnsi" w:hAnsiTheme="minorHAnsi" w:cstheme="minorHAnsi"/>
          <w:sz w:val="22"/>
          <w:szCs w:val="22"/>
        </w:rPr>
        <w:fldChar w:fldCharType="begin" w:fldLock="1"/>
      </w:r>
      <w:r w:rsidR="00276AB2">
        <w:rPr>
          <w:rFonts w:asciiTheme="minorHAnsi" w:hAnsiTheme="minorHAnsi" w:cstheme="minorHAnsi"/>
          <w:sz w:val="22"/>
          <w:szCs w:val="22"/>
        </w:rPr>
        <w:instrText>ADDIN CSL_CITATION {"citationItems":[{"id":"ITEM-1","itemData":{"DOI":"10.1038/nrg2918","ISSN":"1471-0064","PMID":"21164525","abstract":"Given the functional interdependencies between the molecular components in a human cell, a disease is rarely a consequence of an abnormality in a single gene, but reflects the perturbations of the complex intracellular and intercellular network that links tissue and organ systems. The emerging tools of network medicine offer a platform to explore systematically not only the molecular complexity of a particular disease, leading to the identification of disease modules and pathways, but also the molecular relationships among apparently distinct (patho)phenotypes. Advances in this direction are essential for identifying new disease genes, for uncovering the biological significance of disease-associated mutations identified by genome-wide association studies and full-genome sequencing, and for identifying drug targets and biomarkers for complex diseases.","author":[{"dropping-particle":"","family":"Barabási","given":"Albert-László","non-dropping-particle":"","parse-names":false,"suffix":""},{"dropping-particle":"","family":"Gulbahce","given":"Natali","non-dropping-particle":"","parse-names":false,"suffix":""},{"dropping-particle":"","family":"Loscalzo","given":"Joseph","non-dropping-particle":"","parse-names":false,"suffix":""}],"container-title":"Nature reviews. Genetics","id":"ITEM-1","issue":"1","issued":{"date-parts":[["2011","1"]]},"page":"56-68","title":"Network medicine: a network-based approach to human disease.","type":"article-journal","volume":"12"},"uris":["http://www.mendeley.com/documents/?uuid=73ea8100-8f1a-4ec5-bfe1-341ec8b47bca"]},{"id":"ITEM-2","itemData":{"DOI":"10.3390/genes9090437","ISSN":"2073-4425","PMID":"30200360","abstract":"Network medicine relies on different types of networks: from the molecular level of protein⁻protein interactions to gene regulatory network and correlation studies of gene expression. Among network approaches based on the analysis of the topological properties of protein⁻protein interaction (PPI) networks, we discuss the widespread DIAMOnD (disease module detection) algorithm. Starting from the assumption that PPI networks can be viewed as maps where diseases can be identified with localized perturbation within a specific neighborhood (i.e., disease modules), DIAMOnD performs a systematic analysis of the human PPI network to uncover new disease-associated genes by exploiting the connectivity significance instead of connection density. The past few years have witnessed the increasing interest in understanding the molecular mechanism of post-transcriptional regulation with a special emphasis on non-coding RNAs since they are emerging as key regulators of many cellular processes in both physiological and pathological states. Recent findings show that coding genes are not the only targets that microRNAs interact with. In fact, there is a pool of different RNAs-including long non-coding RNAs (lncRNAs) -competing with each other to attract microRNAs for interactions, thus acting as competing endogenous RNAs (ceRNAs). The framework of regulatory networks provides a powerful tool to gather new insights into ceRNA regulatory mechanisms. Here, we describe a data-driven model recently developed to explore the lncRNA-associated ceRNA activity in breast invasive carcinoma. On the other hand, a very promising example of the co-expression network is the one implemented by the software SWIM (switch miner), which combines topological properties of correlation networks with gene expression data in order to identify a small pool of genes-called switch genes-critically associated with drastic changes in cell phenotype. Here, we describe SWIM tool along with its applications to cancer research and compare its predictions with DIAMOnD disease genes.","author":[{"dropping-particle":"","family":"Fiscon","given":"Giulia","non-dropping-particle":"","parse-names":false,"suffix":""},{"dropping-particle":"","family":"Conte","given":"Federica","non-dropping-particle":"","parse-names":false,"suffix":""},{"dropping-particle":"","family":"Farina","given":"Lorenzo","non-dropping-particle":"","parse-names":false,"suffix":""},{"dropping-particle":"","family":"Paci","given":"Paola","non-dropping-particle":"","parse-names":false,"suffix":""}],"container-title":"Genes","id":"ITEM-2","issue":"9","issued":{"date-parts":[["2018","8"]]},"title":"Network-Based Approaches to Explore Complex Biological Systems towards Network Medicine.","type":"article-journal","volume":"9"},"uris":["http://www.mendeley.com/documents/?uuid=14f5639c-f892-4a82-b529-f340301aef7a","http://www.mendeley.com/documents/?uuid=8dfa5171-cfef-4ce7-bbda-9350f97e74d5"]},{"id":"ITEM-3","itemData":{"DOI":"10.1016/j.copbio.2010.07.010","ISSN":"1879-0429","PMID":"20709523","abstract":"The tremendous amount of the data obtained from the study of complex biological systems changes our view on the pathogenesis of human diseases. Instead of looking at individual components of biological processes, we focus our attention more on the interaction and dynamics of biological systems. A network representation and analysis of the physiology and pathophysiology of biological systems is an effective way to study their complex behavior. Specific perturbations can trigger cascades of failures, which lead to the malfunctioning of cellular networks and as a result to the development of specific diseases. In this review we discuss recent developments in the field of disease network analysis and highlight some of the topics and views that we think are important for understanding network-based disease mechanisms.","author":[{"dropping-particle":"","family":"Sol","given":"Antonio","non-dropping-particle":"del","parse-names":false,"suffix":""},{"dropping-particle":"","family":"Balling","given":"Rudi","non-dropping-particle":"","parse-names":false,"suffix":""},{"dropping-particle":"","family":"Hood","given":"Lee","non-dropping-particle":"","parse-names":false,"suffix":""},{"dropping-particle":"","family":"Galas","given":"David","non-dropping-particle":"","parse-names":false,"suffix":""}],"container-title":"Current opinion in biotechnology","id":"ITEM-3","issue":"4","issued":{"date-parts":[["2010","8"]]},"page":"566-71","title":"Diseases as network perturbations.","type":"article-journal","volume":"21"},"uris":["http://www.mendeley.com/documents/?uuid=88ea95d2-4097-458f-b9ab-da98b6c2bc46","http://www.mendeley.com/documents/?uuid=97758e96-90dd-43d6-8d7b-1d8eb524ee0b"]},{"id":"ITEM-4","itemData":{"DOI":"10.1093/bioinformatics/btp465","ISSN":"1367-4811","PMID":"19648136","abstract":"Systems pharmacology is an emerging area of pharmacology which utilizes network analysis of drug action as one of its approaches. By considering drug actions and side effects in the context of the regulatory networks within which the drug targets and disease gene products function, network analysis promises to greatly increase our knowledge of the mechanisms underlying the multiple actions of drugs. Systems pharmacology can provide new approaches for drug discovery for complex diseases. The integrated approach used in systems pharmacology can allow for drug action to be considered in the context of the whole genome. Network-based studies are becoming an increasingly important tool in understanding the relationships between drug action and disease susceptibility genes. This review discusses how analysis of biological networks has contributed to the genesis of systems pharmacology and how these studies have improved global understanding of drug targets, suggested new targets and approaches for therapeutics, and provided a deeper understanding of the effects of drugs. Taken together, these types of analyses can lead to new therapeutic options while improving the safety and efficacy of existing medications.","author":[{"dropping-particle":"","family":"Berger","given":"Seth I","non-dropping-particle":"","parse-names":false,"suffix":""},{"dropping-particle":"","family":"Iyengar","given":"Ravi","non-dropping-particle":"","parse-names":false,"suffix":""}],"container-title":"Bioinformatics (Oxford, England)","id":"ITEM-4","issue":"19","issued":{"date-parts":[["2009","10"]]},"page":"2466-72","title":"Network analyses in systems pharmacology.","type":"article-journal","volume":"25"},"uris":["http://www.mendeley.com/documents/?uuid=70fea494-408e-4d07-9cc2-5d0c78ac8cdd","http://www.mendeley.com/documents/?uuid=bcf70e8a-6f22-4e99-8e90-462762d04213"]},{"id":"ITEM-5","itemData":{"DOI":"10.3390/jpm8040044","ISSN":"2075-4426","abstract":"Multiple genes and mechanisms of pathophysiology have been implicated in amyotrophic lateral sclerosis (ALS), suggesting it is a complex systemic disease. With this in mind, applying personalized medicine (PM) approaches to tailor treatment pipelines for ALS patients may be necessary. The modelling and analysis of molecular interaction networks could represent valuable resources in defining ALS-associated pathways and discovering novel therapeutic targets. Here we review existing omics datasets and analytical approaches, in order to consider how molecular interaction networks could improve our understanding of the molecular pathophysiology of this fatal neuromuscular disorder.","author":[{"dropping-particle":"","family":"Morgan","given":"Stephen","non-dropping-particle":"","parse-names":false,"suffix":""},{"dropping-particle":"","family":"Duguez","given":"Stephanie","non-dropping-particle":"","parse-names":false,"suffix":""},{"dropping-particle":"","family":"Duddy","given":"William","non-dropping-particle":"","parse-names":false,"suffix":""}],"container-title":"Journal of Personalized Medicine","id":"ITEM-5","issue":"4","issued":{"date-parts":[["2018","12","13"]]},"page":"44","title":"Personalized Medicine and Molecular Interaction Networks in Amyotrophic Lateral Sclerosis (ALS): Current Knowledge","type":"article-journal","volume":"8"},"uris":["http://www.mendeley.com/documents/?uuid=bde01f2e-d114-4a30-ae34-8df99bc295e3"]},{"id":"ITEM-6","itemData":{"DOI":"10.3390/jpm10040247","ISSN":"2075-4426","abstract":"Amyotrophic Lateral Sclerosis (ALS) is the most common late-onset motor neuron disorder, but our current knowledge of the molecular mechanisms and pathways underlying this disease remain elusive. This review (1) systematically identifies machine learning studies aimed at the understanding of the genetic architecture of ALS, (2) outlines the main challenges faced and compares the different approaches that have been used to confront them, and (3) compares the experimental designs and results produced by those approaches and describes their reproducibility in terms of biological results and the performances of the machine learning models. The majority of the collected studies incorporated prior knowledge of ALS into their feature selection approaches, and trained their machine learning models using genomic data combined with other types of mined knowledge including functional associations, protein-protein interactions, disease/tissue-specific information, epigenetic data, and known ALS phenotype-genotype associations. The importance of incorporating gene-gene interactions and cis-regulatory elements into the experimental design of future ALS machine learning studies is highlighted. Lastly, it is suggested that future advances in the genomic and machine learning fields will bring about a better understanding of ALS genetic architecture, and enable improved personalized approaches to this and other devastating and complex diseases.","author":[{"dropping-particle":"","family":"Vasilopoulou","given":"Christina","non-dropping-particle":"","parse-names":false,"suffix":""},{"dropping-particle":"","family":"Morris","given":"Andrew P.","non-dropping-particle":"","parse-names":false,"suffix":""},{"dropping-particle":"","family":"Giannakopoulos","given":"George","non-dropping-particle":"","parse-names":false,"suffix":""},{"dropping-particle":"","family":"Duguez","given":"Stephanie","non-dropping-particle":"","parse-names":false,"suffix":""},{"dropping-particle":"","family":"Duddy","given":"William","non-dropping-particle":"","parse-names":false,"suffix":""}],"container-title":"Journal of Personalized Medicine","id":"ITEM-6","issue":"4","issued":{"date-parts":[["2020","11","26"]]},"page":"247","title":"What Can Machine Learning Approaches in Genomics Tell Us about the Molecular Basis of Amyotrophic Lateral Sclerosis?","type":"article-journal","volume":"10"},"uris":["http://www.mendeley.com/documents/?uuid=54fd68b9-0b02-4042-936a-58b47e74baab"]}],"mendeley":{"formattedCitation":"(1–6)","plainTextFormattedCitation":"(1–6)","previouslyFormattedCitation":"(1–6)"},"properties":{"noteIndex":0},"schema":"https://github.com/citation-style-language/schema/raw/master/csl-citation.json"}</w:instrText>
      </w:r>
      <w:r w:rsidR="002219D7">
        <w:rPr>
          <w:rFonts w:asciiTheme="minorHAnsi" w:hAnsiTheme="minorHAnsi" w:cstheme="minorHAnsi"/>
          <w:sz w:val="22"/>
          <w:szCs w:val="22"/>
        </w:rPr>
        <w:fldChar w:fldCharType="separate"/>
      </w:r>
      <w:r w:rsidR="00620042" w:rsidRPr="00620042">
        <w:rPr>
          <w:rFonts w:asciiTheme="minorHAnsi" w:hAnsiTheme="minorHAnsi" w:cstheme="minorHAnsi"/>
          <w:noProof/>
          <w:sz w:val="22"/>
          <w:szCs w:val="22"/>
        </w:rPr>
        <w:t>(1–6)</w:t>
      </w:r>
      <w:r w:rsidR="002219D7">
        <w:rPr>
          <w:rFonts w:asciiTheme="minorHAnsi" w:hAnsiTheme="minorHAnsi" w:cstheme="minorHAnsi"/>
          <w:sz w:val="22"/>
          <w:szCs w:val="22"/>
        </w:rPr>
        <w:fldChar w:fldCharType="end"/>
      </w:r>
      <w:r w:rsidR="00DA31D2" w:rsidRPr="002219D7">
        <w:rPr>
          <w:rFonts w:asciiTheme="minorHAnsi" w:hAnsiTheme="minorHAnsi" w:cstheme="minorHAnsi"/>
          <w:sz w:val="22"/>
          <w:szCs w:val="22"/>
        </w:rPr>
        <w:t>.</w:t>
      </w:r>
      <w:r w:rsidR="00FD6967" w:rsidRPr="002219D7">
        <w:rPr>
          <w:rFonts w:asciiTheme="minorHAnsi" w:hAnsiTheme="minorHAnsi" w:cstheme="minorHAnsi"/>
          <w:sz w:val="22"/>
          <w:szCs w:val="22"/>
        </w:rPr>
        <w:t xml:space="preserve"> </w:t>
      </w:r>
      <w:r w:rsidR="00843A85" w:rsidRPr="002219D7">
        <w:rPr>
          <w:rFonts w:asciiTheme="minorHAnsi" w:hAnsiTheme="minorHAnsi" w:cstheme="minorHAnsi"/>
          <w:sz w:val="22"/>
          <w:szCs w:val="22"/>
        </w:rPr>
        <w:t>MINs</w:t>
      </w:r>
      <w:r w:rsidR="00843A85">
        <w:rPr>
          <w:rFonts w:asciiTheme="minorHAnsi" w:hAnsiTheme="minorHAnsi" w:cstheme="minorHAnsi"/>
          <w:sz w:val="22"/>
        </w:rPr>
        <w:t xml:space="preserve"> are comprised of known functional associations between molecules</w:t>
      </w:r>
      <w:r w:rsidR="005A30B8">
        <w:rPr>
          <w:rFonts w:asciiTheme="minorHAnsi" w:hAnsiTheme="minorHAnsi" w:cstheme="minorHAnsi"/>
          <w:sz w:val="22"/>
        </w:rPr>
        <w:t>,</w:t>
      </w:r>
      <w:r w:rsidR="00FD6967">
        <w:rPr>
          <w:rFonts w:asciiTheme="minorHAnsi" w:hAnsiTheme="minorHAnsi" w:cstheme="minorHAnsi"/>
          <w:sz w:val="22"/>
        </w:rPr>
        <w:t xml:space="preserve"> and it can be useful to distinguish between </w:t>
      </w:r>
      <w:r w:rsidR="00843A85">
        <w:rPr>
          <w:rFonts w:asciiTheme="minorHAnsi" w:hAnsiTheme="minorHAnsi" w:cstheme="minorHAnsi"/>
          <w:sz w:val="22"/>
        </w:rPr>
        <w:t>direct physical binding between proteins (</w:t>
      </w:r>
      <w:r w:rsidR="009F1464">
        <w:rPr>
          <w:rFonts w:asciiTheme="minorHAnsi" w:hAnsiTheme="minorHAnsi" w:cstheme="minorHAnsi"/>
          <w:sz w:val="22"/>
        </w:rPr>
        <w:t>protein</w:t>
      </w:r>
      <w:r w:rsidR="00843A85">
        <w:rPr>
          <w:rFonts w:asciiTheme="minorHAnsi" w:hAnsiTheme="minorHAnsi" w:cstheme="minorHAnsi"/>
          <w:sz w:val="22"/>
        </w:rPr>
        <w:t>-</w:t>
      </w:r>
      <w:r w:rsidR="009F1464">
        <w:rPr>
          <w:rFonts w:asciiTheme="minorHAnsi" w:hAnsiTheme="minorHAnsi" w:cstheme="minorHAnsi"/>
          <w:sz w:val="22"/>
        </w:rPr>
        <w:t>protein interactions</w:t>
      </w:r>
      <w:r w:rsidR="00843A85">
        <w:rPr>
          <w:rFonts w:asciiTheme="minorHAnsi" w:hAnsiTheme="minorHAnsi" w:cstheme="minorHAnsi"/>
          <w:sz w:val="22"/>
        </w:rPr>
        <w:t xml:space="preserve">; </w:t>
      </w:r>
      <w:r w:rsidR="009F1464">
        <w:rPr>
          <w:rFonts w:asciiTheme="minorHAnsi" w:hAnsiTheme="minorHAnsi" w:cstheme="minorHAnsi"/>
          <w:sz w:val="22"/>
        </w:rPr>
        <w:t>PPIs)</w:t>
      </w:r>
      <w:r w:rsidR="00597125">
        <w:rPr>
          <w:rFonts w:asciiTheme="minorHAnsi" w:hAnsiTheme="minorHAnsi" w:cstheme="minorHAnsi"/>
          <w:sz w:val="22"/>
        </w:rPr>
        <w:t xml:space="preserve"> </w:t>
      </w:r>
      <w:r w:rsidR="008F057D">
        <w:rPr>
          <w:rFonts w:asciiTheme="minorHAnsi" w:hAnsiTheme="minorHAnsi" w:cstheme="minorHAnsi"/>
          <w:sz w:val="22"/>
        </w:rPr>
        <w:t>or</w:t>
      </w:r>
      <w:r w:rsidR="00597125">
        <w:rPr>
          <w:rFonts w:asciiTheme="minorHAnsi" w:hAnsiTheme="minorHAnsi" w:cstheme="minorHAnsi"/>
          <w:sz w:val="22"/>
        </w:rPr>
        <w:t xml:space="preserve"> other molecules (e.g. transcription factors, RNA interactions)</w:t>
      </w:r>
      <w:r w:rsidR="00FD6967">
        <w:rPr>
          <w:rFonts w:asciiTheme="minorHAnsi" w:hAnsiTheme="minorHAnsi" w:cstheme="minorHAnsi"/>
          <w:sz w:val="22"/>
        </w:rPr>
        <w:t xml:space="preserve"> and other </w:t>
      </w:r>
      <w:r w:rsidR="008F057D">
        <w:rPr>
          <w:rFonts w:asciiTheme="minorHAnsi" w:hAnsiTheme="minorHAnsi" w:cstheme="minorHAnsi"/>
          <w:sz w:val="22"/>
        </w:rPr>
        <w:t xml:space="preserve">types of </w:t>
      </w:r>
      <w:r w:rsidR="00FD6967">
        <w:rPr>
          <w:rFonts w:asciiTheme="minorHAnsi" w:hAnsiTheme="minorHAnsi" w:cstheme="minorHAnsi"/>
          <w:sz w:val="22"/>
        </w:rPr>
        <w:t>functional relationship</w:t>
      </w:r>
      <w:r w:rsidR="008F057D">
        <w:rPr>
          <w:rFonts w:asciiTheme="minorHAnsi" w:hAnsiTheme="minorHAnsi" w:cstheme="minorHAnsi"/>
          <w:sz w:val="22"/>
        </w:rPr>
        <w:t xml:space="preserve"> </w:t>
      </w:r>
      <w:r w:rsidR="00FD6967">
        <w:rPr>
          <w:rFonts w:asciiTheme="minorHAnsi" w:hAnsiTheme="minorHAnsi" w:cstheme="minorHAnsi"/>
          <w:sz w:val="22"/>
        </w:rPr>
        <w:t>such as:</w:t>
      </w:r>
      <w:r w:rsidR="00597125">
        <w:rPr>
          <w:rFonts w:asciiTheme="minorHAnsi" w:hAnsiTheme="minorHAnsi" w:cstheme="minorHAnsi"/>
          <w:sz w:val="22"/>
        </w:rPr>
        <w:t xml:space="preserve"> co-expression of genes across samples and/or conditions; genetic interactions; </w:t>
      </w:r>
      <w:r w:rsidR="00FD6967">
        <w:rPr>
          <w:rFonts w:asciiTheme="minorHAnsi" w:hAnsiTheme="minorHAnsi" w:cstheme="minorHAnsi"/>
          <w:sz w:val="22"/>
        </w:rPr>
        <w:t xml:space="preserve">observed physical colocalization </w:t>
      </w:r>
      <w:r w:rsidR="000A67CF">
        <w:rPr>
          <w:rFonts w:asciiTheme="minorHAnsi" w:hAnsiTheme="minorHAnsi" w:cstheme="minorHAnsi"/>
          <w:sz w:val="22"/>
        </w:rPr>
        <w:t>with</w:t>
      </w:r>
      <w:r w:rsidR="00FD6967">
        <w:rPr>
          <w:rFonts w:asciiTheme="minorHAnsi" w:hAnsiTheme="minorHAnsi" w:cstheme="minorHAnsi"/>
          <w:sz w:val="22"/>
        </w:rPr>
        <w:t xml:space="preserve">in the cell or tissue; participation to the same pathway or pathways; </w:t>
      </w:r>
      <w:r w:rsidR="00597125">
        <w:rPr>
          <w:rFonts w:asciiTheme="minorHAnsi" w:hAnsiTheme="minorHAnsi" w:cstheme="minorHAnsi"/>
          <w:sz w:val="22"/>
        </w:rPr>
        <w:t>and assumed functional similarity based on shared sequence or folding of protein domains</w:t>
      </w:r>
      <w:r w:rsidR="002907E7">
        <w:rPr>
          <w:rFonts w:asciiTheme="minorHAnsi" w:hAnsiTheme="minorHAnsi" w:cstheme="minorHAnsi"/>
          <w:sz w:val="22"/>
        </w:rPr>
        <w:t xml:space="preserve"> </w:t>
      </w:r>
      <w:r w:rsidR="002907E7">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{"citationItems":[{"id":"ITEM-1","itemData":{"DOI":"10.1371/journal.pcbi.1002820","ISSN":"1553-7358","PMID":"23300411","abstract":"Complex diseases are caused by a combination of genetic and environmental factors. Uncovering the molecular pathways through which genetic factors affect a phenotype is always difficult, but in the case of complex diseases this is further complicated since genetic factors in affected individuals might be different. In recent years, systems biology approaches and, more specifically, network based approaches emerged as powerful tools for studying complex diseases. These approaches are often built on the knowledge of physical or functional interactions between molecules which are usually represented as an interaction network. An interaction network not only reports the binary relationships between individual nodes but also encodes hidden higher level organization of cellular communication. Computational biologists were challenged with the task of uncovering this organization and utilizing it for the understanding of disease complexity, which prompted rich and diverse algorithmic approaches to be proposed. We start this chapter with a description of the general characteristics of complex diseases followed by a brief introduction to physical and functional networks. Next we will show how these networks are used to leverage genotype, gene expression, and other types of data to identify dysregulated pathways, infer the relationships between genotype and phenotype, and explain disease heterogeneity. We group the methods by common underlying principles and first provide a high level description of the principles followed by more specific examples. We hope that this chapter will give readers an appreciation for the wealth of algorithmic techniques that have been developed for the purpose of studying complex diseases as well as insight into their strengths and limitations.","author":[{"dropping-particle":"","family":"Cho","given":"Dong-Yeon","non-dropping-particle":"","parse-names":false,"suffix":""},{"dropping-particle":"","family":"Kim","given":"Yoo-Ah","non-dropping-particle":"","parse-names":false,"suffix":""},{"dropping-particle":"","family":"Przytycka","given":"Teresa M","non-dropping-particle":"","parse-names":false,"suffix":""}],"container-title":"PLoS computational biology","id":"ITEM-1","issue":"12","issued":{"date-parts":[["2012"]]},"page":"e1002820","title":"Chapter 5: Network biology approach to complex diseases.","type":"article-journal","volume":"8"},"uris":["http://www.mendeley.com/documents/?uuid=9ab4c13d-eda9-4678-ae2e-3cad07008ad3"]},{"id":"ITEM-2","itemData":{"DOI":"10.1093/bib/bbz064","ISSN":"1477-4054","abstract":"The vast amount of experimental data from recent advances in the field of high-throughput biology begs for integration into more complex data structures such as genome-wide functional association networks. Such networks have been used for elucidation of the interplay of intra-cellular molecules to make advances ranging from the basic science understanding of evolutionary processes to the more translational field of precision medicine. The allure of the field has resulted in rapid growth of the number of available network resources, each with unique attributes exploitable to answer different biological questions. Unfortunately, the high volume of network resources makes it impossible for the intended user to select an appropriate tool for their particular research question. The aim of this paper is to provide an overview of the underlying data and representative network resources as well as to mention methods of integration, allowing a customized approach to resource selection. Additionally, this report will provide a primer for researchers venturing into the field of network integration.","author":[{"dropping-particle":"","family":"Guala","given":"Dimitri","non-dropping-particle":"","parse-names":false,"suffix":""},{"dropping-particle":"","family":"Ogris","given":"Christoph","non-dropping-particle":"","parse-names":false,"suffix":""},{"dropping-particle":"","family":"Müller","given":"Nikola","non-dropping-particle":"","parse-names":false,"suffix":""},{"dropping-particle":"","family":"Sonnhammer","given":"Erik L L","non-dropping-particle":"","parse-names":false,"suffix":""}],"container-title":"Briefings in Bioinformatics","id":"ITEM-2","issue":"4","issued":{"date-parts":[["2020","7","15"]]},"page":"1224-1237","title":"Genome-wide functional association networks: background, data &amp;amp; state-of-the-art resources","type":"article-journal","volume":"21"},"uris":["http://www.mendeley.com/documents/?uuid=ec280c81-d754-4eec-975e-df79cf3fd598"]}],"mendeley":{"formattedCitation":"(7,8)","plainTextFormattedCitation":"(7,8)","previouslyFormattedCitation":"(7,8)"},"properties":{"noteIndex":0},"schema":"https://github.com/citation-style-language/schema/raw/master/csl-citation.json"}</w:instrText>
      </w:r>
      <w:r w:rsidR="002907E7">
        <w:rPr>
          <w:rFonts w:asciiTheme="minorHAnsi" w:hAnsiTheme="minorHAnsi" w:cstheme="minorHAnsi"/>
          <w:sz w:val="22"/>
        </w:rPr>
        <w:fldChar w:fldCharType="separate"/>
      </w:r>
      <w:r w:rsidR="00620042" w:rsidRPr="00620042">
        <w:rPr>
          <w:rFonts w:asciiTheme="minorHAnsi" w:hAnsiTheme="minorHAnsi" w:cstheme="minorHAnsi"/>
          <w:noProof/>
          <w:sz w:val="22"/>
        </w:rPr>
        <w:t>(7,8)</w:t>
      </w:r>
      <w:r w:rsidR="002907E7">
        <w:rPr>
          <w:rFonts w:asciiTheme="minorHAnsi" w:hAnsiTheme="minorHAnsi" w:cstheme="minorHAnsi"/>
          <w:sz w:val="22"/>
        </w:rPr>
        <w:fldChar w:fldCharType="end"/>
      </w:r>
      <w:r w:rsidR="002907E7">
        <w:rPr>
          <w:rFonts w:asciiTheme="minorHAnsi" w:hAnsiTheme="minorHAnsi" w:cstheme="minorHAnsi"/>
          <w:sz w:val="22"/>
        </w:rPr>
        <w:t>.</w:t>
      </w:r>
    </w:p>
    <w:p w14:paraId="3665450F" w14:textId="7D01A3E5" w:rsidR="00575202" w:rsidRPr="006A3A46" w:rsidRDefault="00B520DF" w:rsidP="00066430">
      <w:pPr>
        <w:pStyle w:val="p"/>
        <w:spacing w:after="0" w:afterAutospacing="0" w:line="480" w:lineRule="auto"/>
        <w:jc w:val="both"/>
        <w:rPr>
          <w:rFonts w:asciiTheme="minorHAnsi" w:hAnsiTheme="minorHAnsi" w:cstheme="minorHAnsi"/>
          <w:sz w:val="22"/>
        </w:rPr>
      </w:pPr>
      <w:r>
        <w:rPr>
          <w:rFonts w:asciiTheme="minorHAnsi" w:hAnsiTheme="minorHAnsi" w:cstheme="minorHAnsi"/>
          <w:sz w:val="22"/>
        </w:rPr>
        <w:t xml:space="preserve">Physical interaction networks </w:t>
      </w:r>
      <w:r w:rsidR="008F057D">
        <w:rPr>
          <w:rFonts w:asciiTheme="minorHAnsi" w:hAnsiTheme="minorHAnsi" w:cstheme="minorHAnsi"/>
          <w:sz w:val="22"/>
        </w:rPr>
        <w:t xml:space="preserve">represent </w:t>
      </w:r>
      <w:r>
        <w:rPr>
          <w:rFonts w:asciiTheme="minorHAnsi" w:hAnsiTheme="minorHAnsi" w:cstheme="minorHAnsi"/>
          <w:sz w:val="22"/>
        </w:rPr>
        <w:t xml:space="preserve">the physical contacts between proteins. With much of the critical machinery for biological processes consisting of stable protein complexes, it has been suggested that studying </w:t>
      </w:r>
      <w:r w:rsidR="00EF5738">
        <w:rPr>
          <w:rFonts w:asciiTheme="minorHAnsi" w:hAnsiTheme="minorHAnsi" w:cstheme="minorHAnsi"/>
          <w:sz w:val="22"/>
        </w:rPr>
        <w:t>the</w:t>
      </w:r>
      <w:r>
        <w:rPr>
          <w:rFonts w:asciiTheme="minorHAnsi" w:hAnsiTheme="minorHAnsi" w:cstheme="minorHAnsi"/>
          <w:sz w:val="22"/>
        </w:rPr>
        <w:t xml:space="preserve"> structure of protein networks can identify key contributors to disease mechanisms </w:t>
      </w:r>
      <w:r>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{"citationItems":[{"id":"ITEM-1","itemData":{"DOI":"10.1002/pmic.201100594","ISSN":"1615-9861","PMID":"22593007","abstract":"The physical interaction of proteins is subject to intense investigation that has revealed that proteins are assembled into large densely connected networks. In this review, we will examine how signaling pathways can be combined to form higher order protein interaction networks. By using network graph theory, these interaction networks can be further analyzed for global organization, which has revealed unique aspects of the relationships between protein networks and complex biological phenotypes. Moreover, several studies have shown that the structure and dynamics of protein networks are disturbed in complex diseases such as cancer progression. These relationships suggest a novel paradigm for treatment of complex multigenic disease where the protein interaction network is the target of therapy more so than individual molecules within the network.","author":[{"dropping-particle":"","family":"Taylor","given":"Ian W","non-dropping-particle":"","parse-names":false,"suffix":""},{"dropping-particle":"","family":"Wrana","given":"Jeffrey L","non-dropping-particle":"","parse-names":false,"suffix":""}],"container-title":"Proteomics","id":"ITEM-1","issue":"10","issued":{"date-parts":[["2012","5"]]},"page":"1706-16","title":"Protein interaction networks in medicine and disease.","type":"article-journal","volume":"12"},"uris":["http://www.mendeley.com/documents/?uuid=83d2151d-3e82-4cdc-aad1-b0d1b65de588","http://www.mendeley.com/documents/?uuid=aa9edf8e-0000-4937-851c-3e363001e11e"]}],"mendeley":{"formattedCitation":"(9)","plainTextFormattedCitation":"(9)","previouslyFormattedCitation":"(9)"},"properties":{"noteIndex":0},"schema":"https://github.com/citation-style-language/schema/raw/master/csl-citation.json"}</w:instrText>
      </w:r>
      <w:r>
        <w:rPr>
          <w:rFonts w:asciiTheme="minorHAnsi" w:hAnsiTheme="minorHAnsi" w:cstheme="minorHAnsi"/>
          <w:sz w:val="22"/>
        </w:rPr>
        <w:fldChar w:fldCharType="separate"/>
      </w:r>
      <w:r w:rsidR="00620042" w:rsidRPr="00620042">
        <w:rPr>
          <w:rFonts w:asciiTheme="minorHAnsi" w:hAnsiTheme="minorHAnsi" w:cstheme="minorHAnsi"/>
          <w:noProof/>
          <w:sz w:val="22"/>
        </w:rPr>
        <w:t>(9)</w:t>
      </w:r>
      <w:r>
        <w:rPr>
          <w:rFonts w:asciiTheme="minorHAnsi" w:hAnsiTheme="minorHAnsi" w:cstheme="minorHAnsi"/>
          <w:sz w:val="22"/>
        </w:rPr>
        <w:fldChar w:fldCharType="end"/>
      </w:r>
      <w:r>
        <w:rPr>
          <w:rFonts w:asciiTheme="minorHAnsi" w:hAnsiTheme="minorHAnsi" w:cstheme="minorHAnsi"/>
          <w:sz w:val="22"/>
        </w:rPr>
        <w:t xml:space="preserve">. </w:t>
      </w:r>
      <w:r w:rsidR="008C2D6F">
        <w:rPr>
          <w:rFonts w:asciiTheme="minorHAnsi" w:hAnsiTheme="minorHAnsi" w:cstheme="minorHAnsi"/>
          <w:sz w:val="22"/>
        </w:rPr>
        <w:t>Physical interaction databases avail of the development of many high throughput methods for the study of experimentally proven PPIs, such as yeast two-hybrid (Y2H) and tandem affinity purification coupled to mass spectrometry (TAP-MS), bolstered with computational predictions from evidence such as phylogenetic profiling methods, to define systems</w:t>
      </w:r>
      <w:r w:rsidR="008F057D">
        <w:rPr>
          <w:rFonts w:asciiTheme="minorHAnsi" w:hAnsiTheme="minorHAnsi" w:cstheme="minorHAnsi"/>
          <w:sz w:val="22"/>
        </w:rPr>
        <w:t>-</w:t>
      </w:r>
      <w:r w:rsidR="008C2D6F">
        <w:rPr>
          <w:rFonts w:asciiTheme="minorHAnsi" w:hAnsiTheme="minorHAnsi" w:cstheme="minorHAnsi"/>
          <w:sz w:val="22"/>
        </w:rPr>
        <w:t xml:space="preserve">wide interactions in species </w:t>
      </w:r>
      <w:r w:rsidR="008C2D6F">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{"citationItems":[{"id":"ITEM-1","itemData":{"DOI":"10.1371/journal.pcbi.0030043","ISSN":"1553-7358","PMID":"17465672","abstract":"Recent advances in high-throughput experimental methods for the identification of protein interactions have resulted in a large amount of diverse data that are somewhat incomplete and contradictory. As valuable as they are, such experimental approaches studying protein interactomes have certain limitations that can be complemented by the computational methods for predicting protein interactions. In this review we describe different approaches to predict protein interaction partners as well as highlight recent achievements in the prediction of specific domains mediating protein-protein interactions. We discuss the applicability of computational methods to different types of prediction problems and point out limitations common to all of them.","author":[{"dropping-particle":"","family":"Shoemaker","given":"Benjamin A","non-dropping-particle":"","parse-names":false,"suffix":""},{"dropping-particle":"","family":"Panchenko","given":"Anna R","non-dropping-particle":"","parse-names":false,"suffix":""}],"container-title":"PLoS computational biology","id":"ITEM-1","issue":"4","issued":{"date-parts":[["2007","4"]]},"page":"e43","title":"Deciphering protein-protein interactions. Part II. Computational methods to predict protein and domain interaction partners.","type":"article-journal","volume":"3"},"uris":["http://www.mendeley.com/documents/?uuid=b02357c9-4b29-4fda-9d24-7cbc5136e54b","http://www.mendeley.com/documents/?uuid=6fc91652-56d7-4bdb-b1dc-f219aef89ae6"]},{"id":"ITEM-2","itemData":{"DOI":"10.1002/pmic.200700131","ISSN":"1615-9853","PMID":"17640003","abstract":"A large number of methods have been developed over the years to study protein-protein interactions. Many of these techniques are now available to the nonspecialist researcher thanks to new affordable instruments and/or resource centres. A typical protein-protein interaction study usually starts with an initial screen for novel binding partners. We start this review by describing three techniques that can be used for this purpose: (i) affinity-tagged proteins (ii) the two-hybrid system and (iii) some quantitative proteomic techniques that can be used in combination with, e.g., affinity chromatography and coimmunoprecipitation for screening of protein-protein interactions. We then describe some public protein-protein interaction databases that can be searched to identify previously reported interactions for a given bait protein. Four strategies for validation of protein-protein interactions are presented: confocal microscopy for intracellular colocalization of proteins, coimmunoprecipitation, surface plasmon resonance (SPR) and spectroscopic studies. Throughout the review we focus particularly on the advantages and limitations of each method.","author":[{"dropping-particle":"","family":"Berggård","given":"Tord","non-dropping-particle":"","parse-names":false,"suffix":""},{"dropping-particle":"","family":"Linse","given":"Sara","non-dropping-particle":"","parse-names":false,"suffix":""},{"dropping-particle":"","family":"James","given":"Peter","non-dropping-particle":"","parse-names":false,"suffix":""}],"container-title":"Proteomics","id":"ITEM-2","issue":"16","issued":{"date-parts":[["2007","8"]]},"page":"2833-42","title":"Methods for the detection and analysis of protein-protein interactions.","type":"article-journal","volume":"7"},"uris":["http://www.mendeley.com/documents/?uuid=9178ee5a-4873-4c61-ae7f-f26898588e5a","http://www.mendeley.com/documents/?uuid=9c5021f0-e165-41e1-9d46-65bc009dcc73"]}],"mendeley":{"formattedCitation":"(10,11)","plainTextFormattedCitation":"(10,11)","previouslyFormattedCitation":"(10,11)"},"properties":{"noteIndex":0},"schema":"https://github.com/citation-style-language/schema/raw/master/csl-citation.json"}</w:instrText>
      </w:r>
      <w:r w:rsidR="008C2D6F">
        <w:rPr>
          <w:rFonts w:asciiTheme="minorHAnsi" w:hAnsiTheme="minorHAnsi" w:cstheme="minorHAnsi"/>
          <w:sz w:val="22"/>
        </w:rPr>
        <w:fldChar w:fldCharType="separate"/>
      </w:r>
      <w:r w:rsidR="00620042" w:rsidRPr="00620042">
        <w:rPr>
          <w:rFonts w:asciiTheme="minorHAnsi" w:hAnsiTheme="minorHAnsi" w:cstheme="minorHAnsi"/>
          <w:noProof/>
          <w:sz w:val="22"/>
        </w:rPr>
        <w:t>(10,11)</w:t>
      </w:r>
      <w:r w:rsidR="008C2D6F">
        <w:rPr>
          <w:rFonts w:asciiTheme="minorHAnsi" w:hAnsiTheme="minorHAnsi" w:cstheme="minorHAnsi"/>
          <w:sz w:val="22"/>
        </w:rPr>
        <w:fldChar w:fldCharType="end"/>
      </w:r>
      <w:r w:rsidR="008C2D6F">
        <w:rPr>
          <w:rFonts w:asciiTheme="minorHAnsi" w:hAnsiTheme="minorHAnsi" w:cstheme="minorHAnsi"/>
          <w:sz w:val="22"/>
        </w:rPr>
        <w:t xml:space="preserve">. </w:t>
      </w:r>
      <w:r w:rsidR="000266FD">
        <w:rPr>
          <w:rFonts w:asciiTheme="minorHAnsi" w:hAnsiTheme="minorHAnsi" w:cstheme="minorHAnsi"/>
          <w:sz w:val="22"/>
        </w:rPr>
        <w:t>Studies have shown the utility of identifying proteins in PPI networks that interact with known disease gene products. P</w:t>
      </w:r>
      <w:r w:rsidR="00AF1970">
        <w:rPr>
          <w:rFonts w:asciiTheme="minorHAnsi" w:hAnsiTheme="minorHAnsi" w:cstheme="minorHAnsi"/>
          <w:sz w:val="22"/>
        </w:rPr>
        <w:t>rot</w:t>
      </w:r>
      <w:r w:rsidR="00907E7A">
        <w:rPr>
          <w:rFonts w:asciiTheme="minorHAnsi" w:hAnsiTheme="minorHAnsi" w:cstheme="minorHAnsi"/>
          <w:sz w:val="22"/>
        </w:rPr>
        <w:t>eins encoded by genes known to be involved in a disease tend to have a higher likelihood of PPIs with genes associated with similar disorders, indicating the presence of shared disease subnetworks</w:t>
      </w:r>
      <w:r w:rsidR="000266FD">
        <w:rPr>
          <w:rFonts w:asciiTheme="minorHAnsi" w:hAnsiTheme="minorHAnsi" w:cstheme="minorHAnsi"/>
          <w:sz w:val="22"/>
        </w:rPr>
        <w:t xml:space="preserve"> among similar disease phenotypes</w:t>
      </w:r>
      <w:r w:rsidR="00907E7A">
        <w:rPr>
          <w:rFonts w:asciiTheme="minorHAnsi" w:hAnsiTheme="minorHAnsi" w:cstheme="minorHAnsi"/>
          <w:sz w:val="22"/>
        </w:rPr>
        <w:t xml:space="preserve"> </w:t>
      </w:r>
      <w:r w:rsidR="00907E7A">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{"citationItems":[{"id":"ITEM-1","itemData":{"DOI":"10.1038/ng1747","ISSN":"1061-4036","PMID":"16501559","abstract":"We present the first analysis of the human proteome with regard to interactions between proteins. We also compare the human interactome with the available interaction datasets from yeast (Saccharomyces cerevisiae), worm (Caenorhabditis elegans) and fly (Drosophila melanogaster). Of &gt;70,000 binary interactions, only 42 were common to human, worm and fly, and only 16 were common to all four datasets. An additional 36 interactions were common to fly and worm but were not observed in humans, although a coimmunoprecipitation assay showed that 9 of the interactions do occur in humans. A re-examination of the connectivity of essential genes in yeast and humans indicated that the available data do not support the presumption that the number of interaction partners can accurately predict whether a gene is essential. Finally, we found that proteins encoded by genes mutated in inherited genetic disorders are likely to interact with proteins known to cause similar disorders, suggesting the existence of disease subnetworks. The human interaction map constructed from our analysis should facilitate an integrative systems biology approach to elucidating the cellular networks that contribute to health and disease states.","author":[{"dropping-particle":"","family":"Gandhi","given":"T K B","non-dropping-particle":"","parse-names":false,"suffix":""},{"dropping-particle":"","family":"Zhong","given":"Jun","non-dropping-particle":"","parse-names":false,"suffix":""},{"dropping-particle":"","family":"Mathivanan","given":"Suresh","non-dropping-particle":"","parse-names":false,"suffix":""},{"dropping-particle":"","family":"Karthick","given":"L","non-dropping-particle":"","parse-names":false,"suffix":""},{"dropping-particle":"","family":"Chandrika","given":"K N","non-dropping-particle":"","parse-names":false,"suffix":""},{"dropping-particle":"","family":"Mohan","given":"S Sujatha","non-dropping-particle":"","parse-names":false,"suffix":""},{"dropping-particle":"","family":"Sharma","given":"Salil","non-dropping-particle":"","parse-names":false,"suffix":""},{"dropping-particle":"","family":"Pinkert","given":"Stefan","non-dropping-particle":"","parse-names":false,"suffix":""},{"dropping-particle":"","family":"Nagaraju","given":"Shilpa","non-dropping-particle":"","parse-names":false,"suffix":""},{"dropping-particle":"","family":"Periaswamy","given":"Balamurugan","non-dropping-particle":"","parse-names":false,"suffix":""},{"dropping-particle":"","family":"Mishra","given":"Goparani","non-dropping-particle":"","parse-names":false,"suffix":""},{"dropping-particle":"","family":"Nandakumar","given":"Kannabiran","non-dropping-particle":"","parse-names":false,"suffix":""},{"dropping-particle":"","family":"Shen","given":"Beiyi","non-dropping-particle":"","parse-names":false,"suffix":""},{"dropping-particle":"","family":"Deshpande","given":"Nandan","non-dropping-particle":"","parse-names":false,"suffix":""},{"dropping-particle":"","family":"Nayak","given":"Rashmi","non-dropping-particle":"","parse-names":false,"suffix":""},{"dropping-particle":"","family":"Sarker","given":"Malabika","non-dropping-particle":"","parse-names":false,"suffix":""},{"dropping-particle":"","family":"Boeke","given":"Jef D","non-dropping-particle":"","parse-names":false,"suffix":""},{"dropping-particle":"","family":"Parmigiani","given":"Giovanni","non-dropping-particle":"","parse-names":false,"suffix":""},{"dropping-particle":"","family":"Schultz","given":"Jörg","non-dropping-particle":"","parse-names":false,"suffix":""},{"dropping-particle":"","family":"Bader","given":"Joel S","non-dropping-particle":"","parse-names":false,"suffix":""},{"dropping-particle":"","family":"Pandey","given":"Akhilesh","non-dropping-particle":"","parse-names":false,"suffix":""}],"container-title":"Nature genetics","id":"ITEM-1","issue":"3","issued":{"date-parts":[["2006","3"]]},"page":"285-93","title":"Analysis of the human protein interactome and comparison with yeast, worm and fly interaction datasets.","type":"article-journal","volume":"38"},"uris":["http://www.mendeley.com/documents/?uuid=097b0d91-145c-4282-a554-20663fe96720","http://www.mendeley.com/documents/?uuid=3d7662ba-f60f-4b66-b4ff-ee9c22d20e53"]},{"id":"ITEM-2","itemData":{"DOI":"10.1073/pnas.0701361104","ISSN":"0027-8424","PMID":"17502601","abstract":"A network of disorders and disease genes linked by known disorder-gene associations offers a platform to explore in a single graph-theoretic framework all known phenotype and disease gene associations, indicating the common genetic origin of many diseases. Genes associated with similar disorders show both higher likelihood of physical interactions between their products and higher expression profiling similarity for their transcripts, supporting the existence of distinct disease-specific functional modules. We find that essential human genes are likely to encode hub proteins and are expressed widely in most tissues. This suggests that disease genes also would play a central role in the human interactome. In contrast, we find that the vast majority of disease genes are nonessential and show no tendency to encode hub proteins, and their expression pattern indicates that they are localized in the functional periphery of the network. A selection-based model explains the observed difference between essential and disease genes and also suggests that diseases caused by somatic mutations should not be peripheral, a prediction we confirm for cancer genes.","author":[{"dropping-particle":"","family":"Goh","given":"Kwang-Il","non-dropping-particle":"","parse-names":false,"suffix":""},{"dropping-particle":"","family":"Cusick","given":"Michael E","non-dropping-particle":"","parse-names":false,"suffix":""},{"dropping-particle":"","family":"Valle","given":"David","non-dropping-particle":"","parse-names":false,"suffix":""},{"dropping-particle":"","family":"Childs","given":"Barton","non-dropping-particle":"","parse-names":false,"suffix":""},{"dropping-particle":"","family":"Vidal","given":"Marc","non-dropping-particle":"","parse-names":false,"suffix":""},{"dropping-particle":"","family":"Barabási","given":"Albert-László","non-dropping-particle":"","parse-names":false,"suffix":""}],"container-title":"Proceedings of the National Academy of Sciences of the United States of America","id":"ITEM-2","issue":"21","issued":{"date-parts":[["2007","5","22"]]},"page":"8685-90","title":"The human disease network.","type":"article-journal","volume":"104"},"uris":["http://www.mendeley.com/documents/?uuid=aa0b27a4-82ed-4432-94c7-075a95a920fb"]},{"id":"ITEM-3","itemData":{"DOI":"10.1136/jmg.2006.041376","ISSN":"1468-6244","PMID":"16611749","abstract":"BACKGROUND The responsible genes have not yet been identified for many genetically mapped disease loci. Physically interacting proteins tend to be involved in the same cellular process, and mutations in their genes may lead to similar disease phenotypes. OBJECTIVE To investigate whether protein-protein interactions can predict genes for genetically heterogeneous diseases. METHODS 72,940 protein-protein interactions between 10,894 human proteins were used to search 432 loci for candidate disease genes representing 383 genetically heterogeneous hereditary diseases. For each disease, the protein interaction partners of its known causative genes were compared with the disease associated loci lacking identified causative genes. Interaction partners located within such loci were considered candidate disease gene predictions. Prediction accuracy was tested using a benchmark set of known disease genes. RESULTS Almost 300 candidate disease gene predictions were made. Some of these have since been confirmed. On average, 10% or more are expected to be genuine disease genes, representing a 10-fold enrichment compared with positional information only. Examples of interesting candidates are AKAP6 for arrythmogenic right ventricular dysplasia 3 and SYN3 for familial partial epilepsy with variable foci. CONCLUSIONS Exploiting protein-protein interactions can greatly increase the likelihood of finding positional candidate disease genes. When applied on a large scale they can lead to novel candidate gene predictions.","author":[{"dropping-particle":"","family":"Oti","given":"M","non-dropping-particle":"","parse-names":false,"suffix":""},{"dropping-particle":"","family":"Snel","given":"B","non-dropping-particle":"","parse-names":false,"suffix":""},{"dropping-particle":"","family":"Huynen","given":"M A","non-dropping-particle":"","parse-names":false,"suffix":""},{"dropping-particle":"","family":"Brunner","given":"H G","non-dropping-particle":"","parse-names":false,"suffix":""}],"container-title":"Journal of medical genetics","id":"ITEM-3","issue":"8","issued":{"date-parts":[["2006","8"]]},"page":"691-8","title":"Predicting disease genes using protein-protein interactions.","type":"article-journal","volume":"43"},"uris":["http://www.mendeley.com/documents/?uuid=74181c55-0bca-4eec-9e31-1ccb89be3a74"]},{"id":"ITEM-4","itemData":{"DOI":"10.1093/bioinformatics/btl467","ISSN":"1367-4811","PMID":"16954137","abstract":"MOTIVATION Mining the hereditary disease-genes from human genome is one of the most important tasks in bioinformatics research. A variety of sequence features and functional similarities between known human hereditary disease-genes and those not known to be involved in disease have been systematically examined and efficient classifiers have been constructed based on the identified common patterns. The availability of human genome-wide protein-protein interactions (PPIs) provides us with new opportunity for discovering hereditary disease-genes by topological features in PPIs network. RESULTS This analysis reveals that the hereditary disease-genes ascertained from OMIM in the literature-curated (LC) PPIs network are characterized by a larger degree, tendency to interact with other disease-genes, more common neighbors and quick communication to each other whereas those properties could not be detected from the network identified from high-throughput yeast two-hybrid mapping approach (EXP) and predicted interactions (PDT) PPIs network. KNN classifier based on those features was created and on average gained overall prediction accuracy of 0.76 in cross-validation test. Then the classifier was applied to 5262 genes on human genome and predicted 178 novel disease-genes. Some of the predictions have been validated by biological experiments.","author":[{"dropping-particle":"","family":"Xu","given":"Jianzhen","non-dropping-particle":"","parse-names":false,"suffix":""},{"dropping-particle":"","family":"Li","given":"Yongjin","non-dropping-particle":"","parse-names":false,"suffix":""}],"container-title":"Bioinformatics (Oxford, England)","id":"ITEM-4","issue":"22","issued":{"date-parts":[["2006","11"]]},"page":"2800-5","title":"Discovering disease-genes by topological features in human protein-protein interaction network.","type":"article-journal","volume":"22"},"uris":["http://www.mendeley.com/documents/?uuid=1a725d66-50aa-4222-87ff-c2187713047a","http://www.mendeley.com/documents/?uuid=8103463f-af9e-4e0c-91cd-eb1dfbab7b84"]}],"mendeley":{"formattedCitation":"(12–15)","plainTextFormattedCitation":"(12–15)","previouslyFormattedCitation":"(12–15)"},"properties":{"noteIndex":0},"schema":"https://github.com/citation-style-language/schema/raw/master/csl-citation.json"}</w:instrText>
      </w:r>
      <w:r w:rsidR="00907E7A">
        <w:rPr>
          <w:rFonts w:asciiTheme="minorHAnsi" w:hAnsiTheme="minorHAnsi" w:cstheme="minorHAnsi"/>
          <w:sz w:val="22"/>
        </w:rPr>
        <w:fldChar w:fldCharType="separate"/>
      </w:r>
      <w:r w:rsidR="00620042" w:rsidRPr="00620042">
        <w:rPr>
          <w:rFonts w:asciiTheme="minorHAnsi" w:hAnsiTheme="minorHAnsi" w:cstheme="minorHAnsi"/>
          <w:noProof/>
          <w:sz w:val="22"/>
        </w:rPr>
        <w:t>(12–15)</w:t>
      </w:r>
      <w:r w:rsidR="00907E7A">
        <w:rPr>
          <w:rFonts w:asciiTheme="minorHAnsi" w:hAnsiTheme="minorHAnsi" w:cstheme="minorHAnsi"/>
          <w:sz w:val="22"/>
        </w:rPr>
        <w:fldChar w:fldCharType="end"/>
      </w:r>
      <w:r w:rsidR="00907E7A">
        <w:rPr>
          <w:rFonts w:asciiTheme="minorHAnsi" w:hAnsiTheme="minorHAnsi" w:cstheme="minorHAnsi"/>
          <w:sz w:val="22"/>
        </w:rPr>
        <w:t>.</w:t>
      </w:r>
      <w:r w:rsidR="000266FD">
        <w:rPr>
          <w:rFonts w:asciiTheme="minorHAnsi" w:hAnsiTheme="minorHAnsi" w:cstheme="minorHAnsi"/>
          <w:sz w:val="22"/>
        </w:rPr>
        <w:t xml:space="preserve"> </w:t>
      </w:r>
      <w:r w:rsidR="008F057D">
        <w:rPr>
          <w:rFonts w:asciiTheme="minorHAnsi" w:hAnsiTheme="minorHAnsi" w:cstheme="minorHAnsi"/>
          <w:sz w:val="22"/>
        </w:rPr>
        <w:t>D</w:t>
      </w:r>
      <w:r w:rsidR="000C493F">
        <w:rPr>
          <w:rFonts w:asciiTheme="minorHAnsi" w:hAnsiTheme="minorHAnsi" w:cstheme="minorHAnsi"/>
          <w:sz w:val="22"/>
        </w:rPr>
        <w:t>river nodes for cancer survivability-essential proteins could be defined via PPI networks</w:t>
      </w:r>
      <w:r w:rsidR="008F057D">
        <w:rPr>
          <w:rFonts w:asciiTheme="minorHAnsi" w:hAnsiTheme="minorHAnsi" w:cstheme="minorHAnsi"/>
          <w:sz w:val="22"/>
        </w:rPr>
        <w:t>, and</w:t>
      </w:r>
      <w:r w:rsidR="000C493F">
        <w:rPr>
          <w:rFonts w:asciiTheme="minorHAnsi" w:hAnsiTheme="minorHAnsi" w:cstheme="minorHAnsi"/>
          <w:sz w:val="22"/>
        </w:rPr>
        <w:t xml:space="preserve"> </w:t>
      </w:r>
      <w:r w:rsidR="008F057D">
        <w:rPr>
          <w:rFonts w:asciiTheme="minorHAnsi" w:hAnsiTheme="minorHAnsi" w:cstheme="minorHAnsi"/>
          <w:sz w:val="22"/>
        </w:rPr>
        <w:t>t</w:t>
      </w:r>
      <w:r w:rsidR="000C493F">
        <w:rPr>
          <w:rFonts w:asciiTheme="minorHAnsi" w:hAnsiTheme="minorHAnsi" w:cstheme="minorHAnsi"/>
          <w:sz w:val="22"/>
        </w:rPr>
        <w:t>his allowed for screening of FDA</w:t>
      </w:r>
      <w:r w:rsidR="008F057D">
        <w:rPr>
          <w:rFonts w:asciiTheme="minorHAnsi" w:hAnsiTheme="minorHAnsi" w:cstheme="minorHAnsi"/>
          <w:sz w:val="22"/>
        </w:rPr>
        <w:t>-</w:t>
      </w:r>
      <w:r w:rsidR="000C493F">
        <w:rPr>
          <w:rFonts w:asciiTheme="minorHAnsi" w:hAnsiTheme="minorHAnsi" w:cstheme="minorHAnsi"/>
          <w:sz w:val="22"/>
        </w:rPr>
        <w:t xml:space="preserve">approved cancer therapies to target the highlighted driver nodes, including cancer therapies not normally applied in the cancers under investigation </w:t>
      </w:r>
      <w:r w:rsidR="000C493F">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{"citationItems":[{"id":"ITEM-1","itemData":{"DOI":"10.1038/s41598-017-10491-y","ISSN":"2045-2322","PMID":"28871116","abstract":"Control theory is a well-established approach in network science, with applications in bio-medicine and cancer research. We build on recent results for structural controllability of directed networks, which identifies a set of driver nodes able to control an a-priori defined part of the network. We develop a novel and efficient approach for the (targeted) structural controllability of cancer networks and demonstrate it for the analysis of breast, pancreatic, and ovarian cancer. We build in each case a protein-protein interaction network and focus on the survivability-essential proteins specific to each cancer type. We show that these essential proteins are efficiently controllable from a relatively small computable set of driver nodes. Moreover, we adjust the method to find the driver nodes among FDA-approved drug-target nodes. We find that, while many of the drugs acting on the driver nodes are part of known cancer therapies, some of them are not used for the cancer types analyzed here; some drug-target driver nodes identified by our algorithms are not known to be used in any cancer therapy. Overall we show that a better understanding of the control dynamics of cancer through computational modelling can pave the way for new efficient therapeutic approaches and personalized medicine.","author":[{"dropping-particle":"","family":"Kanhaiya","given":"Krishna","non-dropping-particle":"","parse-names":false,"suffix":""},{"dropping-particle":"","family":"Czeizler","given":"Eugen","non-dropping-particle":"","parse-names":false,"suffix":""},{"dropping-particle":"","family":"Gratie","given":"Cristian","non-dropping-particle":"","parse-names":false,"suffix":""},{"dropping-particle":"","family":"Petre","given":"Ion","non-dropping-particle":"","parse-names":false,"suffix":""}],"container-title":"Scientific reports","id":"ITEM-1","issue":"1","issued":{"date-parts":[["2017"]]},"page":"10327","title":"Controlling Directed Protein Interaction Networks in Cancer.","type":"article-journal","volume":"7"},"uris":["http://www.mendeley.com/documents/?uuid=00810d3a-09fb-4901-9bcd-b4f476334434","http://www.mendeley.com/documents/?uuid=19ecdcf3-02e2-4445-8f1a-3b7c8304d80d"]}],"mendeley":{"formattedCitation":"(16)","plainTextFormattedCitation":"(16)","previouslyFormattedCitation":"(16)"},"properties":{"noteIndex":0},"schema":"https://github.com/citation-style-language/schema/raw/master/csl-citation.json"}</w:instrText>
      </w:r>
      <w:r w:rsidR="000C493F">
        <w:rPr>
          <w:rFonts w:asciiTheme="minorHAnsi" w:hAnsiTheme="minorHAnsi" w:cstheme="minorHAnsi"/>
          <w:sz w:val="22"/>
        </w:rPr>
        <w:fldChar w:fldCharType="separate"/>
      </w:r>
      <w:r w:rsidR="00620042" w:rsidRPr="00620042">
        <w:rPr>
          <w:rFonts w:asciiTheme="minorHAnsi" w:hAnsiTheme="minorHAnsi" w:cstheme="minorHAnsi"/>
          <w:noProof/>
          <w:sz w:val="22"/>
        </w:rPr>
        <w:t>(16)</w:t>
      </w:r>
      <w:r w:rsidR="000C493F">
        <w:rPr>
          <w:rFonts w:asciiTheme="minorHAnsi" w:hAnsiTheme="minorHAnsi" w:cstheme="minorHAnsi"/>
          <w:sz w:val="22"/>
        </w:rPr>
        <w:fldChar w:fldCharType="end"/>
      </w:r>
      <w:r w:rsidR="000C493F">
        <w:rPr>
          <w:rFonts w:asciiTheme="minorHAnsi" w:hAnsiTheme="minorHAnsi" w:cstheme="minorHAnsi"/>
          <w:sz w:val="22"/>
        </w:rPr>
        <w:t>.</w:t>
      </w:r>
    </w:p>
    <w:p w14:paraId="66172B7C" w14:textId="5D8EECCE" w:rsidR="00140D2D" w:rsidRDefault="002859F0" w:rsidP="00066430">
      <w:pPr>
        <w:pStyle w:val="p"/>
        <w:spacing w:after="0" w:afterAutospacing="0" w:line="480" w:lineRule="auto"/>
        <w:jc w:val="both"/>
        <w:rPr>
          <w:rFonts w:asciiTheme="minorHAnsi" w:hAnsiTheme="minorHAnsi" w:cstheme="minorHAnsi"/>
          <w:sz w:val="22"/>
          <w:szCs w:val="22"/>
        </w:rPr>
      </w:pPr>
      <w:r>
        <w:rPr>
          <w:rFonts w:asciiTheme="minorHAnsi" w:hAnsiTheme="minorHAnsi" w:cstheme="minorHAnsi"/>
          <w:sz w:val="22"/>
        </w:rPr>
        <w:t>Networks constructed from other types of f</w:t>
      </w:r>
      <w:r w:rsidR="00DB7621">
        <w:rPr>
          <w:rFonts w:asciiTheme="minorHAnsi" w:hAnsiTheme="minorHAnsi" w:cstheme="minorHAnsi"/>
          <w:sz w:val="22"/>
        </w:rPr>
        <w:t xml:space="preserve">unctional interaction aim to </w:t>
      </w:r>
      <w:r>
        <w:rPr>
          <w:rFonts w:asciiTheme="minorHAnsi" w:hAnsiTheme="minorHAnsi" w:cstheme="minorHAnsi"/>
          <w:sz w:val="22"/>
        </w:rPr>
        <w:t xml:space="preserve">capture relationships </w:t>
      </w:r>
      <w:r w:rsidR="00DB7621">
        <w:rPr>
          <w:rFonts w:asciiTheme="minorHAnsi" w:hAnsiTheme="minorHAnsi" w:cstheme="minorHAnsi"/>
          <w:sz w:val="22"/>
        </w:rPr>
        <w:t xml:space="preserve">between genes that share similar or related </w:t>
      </w:r>
      <w:r>
        <w:rPr>
          <w:rFonts w:asciiTheme="minorHAnsi" w:hAnsiTheme="minorHAnsi" w:cstheme="minorHAnsi"/>
          <w:sz w:val="22"/>
        </w:rPr>
        <w:t xml:space="preserve">biological </w:t>
      </w:r>
      <w:r w:rsidR="00DB7621">
        <w:rPr>
          <w:rFonts w:asciiTheme="minorHAnsi" w:hAnsiTheme="minorHAnsi" w:cstheme="minorHAnsi"/>
          <w:sz w:val="22"/>
        </w:rPr>
        <w:t xml:space="preserve">functions </w:t>
      </w:r>
      <w:r w:rsidR="00DB7621">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{"citationItems":[{"id":"ITEM-1","itemData":{"DOI":"10.1371/journal.pcbi.1002820","ISSN":"1553-7358","PMID":"23300411","abstract":"Complex diseases are caused by a combination of genetic and environmental factors. Uncovering the molecular pathways through which genetic factors affect a phenotype is always difficult, but in the case of complex diseases this is further complicated since genetic factors in affected individuals might be different. In recent years, systems biology approaches and, more specifically, network based approaches emerged as powerful tools for studying complex diseases. These approaches are often built on the knowledge of physical or functional interactions between molecules which are usually represented as an interaction network. An interaction network not only reports the binary relationships between individual nodes but also encodes hidden higher level organization of cellular communication. Computational biologists were challenged with the task of uncovering this organization and utilizing it for the understanding of disease complexity, which prompted rich and diverse algorithmic approaches to be proposed. We start this chapter with a description of the general characteristics of complex diseases followed by a brief introduction to physical and functional networks. Next we will show how these networks are used to leverage genotype, gene expression, and other types of data to identify dysregulated pathways, infer the relationships between genotype and phenotype, and explain disease heterogeneity. We group the methods by common underlying principles and first provide a high level description of the principles followed by more specific examples. We hope that this chapter will give readers an appreciation for the wealth of algorithmic techniques that have been developed for the purpose of studying complex diseases as well as insight into their strengths and limitations.","author":[{"dropping-particle":"","family":"Cho","given":"Dong-Yeon","non-dropping-particle":"","parse-names":false,"suffix":""},{"dropping-particle":"","family":"Kim","given":"Yoo-Ah","non-dropping-particle":"","parse-names":false,"suffix":""},{"dropping-particle":"","family":"Przytycka","given":"Teresa M","non-dropping-particle":"","parse-names":false,"suffix":""}],"container-title":"PLoS computational biology","id":"ITEM-1","issue":"12","issued":{"date-parts":[["2012"]]},"page":"e1002820","title":"Chapter 5: Network biology approach to complex diseases.","type":"article-journal","volume":"8"},"uris":["http://www.mendeley.com/documents/?uuid=9ab4c13d-eda9-4678-ae2e-3cad07008ad3"]}],"mendeley":{"formattedCitation":"(7)","plainTextFormattedCitation":"(7)","previouslyFormattedCitation":"(7)"},"properties":{"noteIndex":0},"schema":"https://github.com/citation-style-language/schema/raw/master/csl-citation.json"}</w:instrText>
      </w:r>
      <w:r w:rsidR="00DB7621">
        <w:rPr>
          <w:rFonts w:asciiTheme="minorHAnsi" w:hAnsiTheme="minorHAnsi" w:cstheme="minorHAnsi"/>
          <w:sz w:val="22"/>
        </w:rPr>
        <w:fldChar w:fldCharType="separate"/>
      </w:r>
      <w:r w:rsidR="00620042" w:rsidRPr="00620042">
        <w:rPr>
          <w:rFonts w:asciiTheme="minorHAnsi" w:hAnsiTheme="minorHAnsi" w:cstheme="minorHAnsi"/>
          <w:noProof/>
          <w:sz w:val="22"/>
        </w:rPr>
        <w:t>(7)</w:t>
      </w:r>
      <w:r w:rsidR="00DB7621">
        <w:rPr>
          <w:rFonts w:asciiTheme="minorHAnsi" w:hAnsiTheme="minorHAnsi" w:cstheme="minorHAnsi"/>
          <w:sz w:val="22"/>
        </w:rPr>
        <w:fldChar w:fldCharType="end"/>
      </w:r>
      <w:r w:rsidR="00DB7621">
        <w:rPr>
          <w:rFonts w:asciiTheme="minorHAnsi" w:hAnsiTheme="minorHAnsi" w:cstheme="minorHAnsi"/>
          <w:sz w:val="22"/>
        </w:rPr>
        <w:t>.</w:t>
      </w:r>
      <w:r w:rsidR="006C738A">
        <w:rPr>
          <w:rFonts w:asciiTheme="minorHAnsi" w:hAnsiTheme="minorHAnsi" w:cstheme="minorHAnsi"/>
          <w:sz w:val="22"/>
        </w:rPr>
        <w:t xml:space="preserve"> </w:t>
      </w:r>
      <w:r w:rsidR="006A3A46" w:rsidRPr="00493A90">
        <w:rPr>
          <w:rFonts w:asciiTheme="minorHAnsi" w:hAnsiTheme="minorHAnsi" w:cstheme="minorHAnsi"/>
          <w:sz w:val="22"/>
        </w:rPr>
        <w:t>Gen</w:t>
      </w:r>
      <w:r w:rsidR="00493A90" w:rsidRPr="00493A90">
        <w:rPr>
          <w:rFonts w:asciiTheme="minorHAnsi" w:hAnsiTheme="minorHAnsi" w:cstheme="minorHAnsi"/>
          <w:sz w:val="22"/>
        </w:rPr>
        <w:t>e</w:t>
      </w:r>
      <w:r w:rsidR="00493A90">
        <w:rPr>
          <w:rFonts w:asciiTheme="minorHAnsi" w:hAnsiTheme="minorHAnsi" w:cstheme="minorHAnsi"/>
          <w:sz w:val="22"/>
        </w:rPr>
        <w:t xml:space="preserve"> co</w:t>
      </w:r>
      <w:r w:rsidR="0027793B">
        <w:rPr>
          <w:rFonts w:asciiTheme="minorHAnsi" w:hAnsiTheme="minorHAnsi" w:cstheme="minorHAnsi"/>
          <w:sz w:val="22"/>
        </w:rPr>
        <w:t>-</w:t>
      </w:r>
      <w:r w:rsidR="00493A90">
        <w:rPr>
          <w:rFonts w:asciiTheme="minorHAnsi" w:hAnsiTheme="minorHAnsi" w:cstheme="minorHAnsi"/>
          <w:sz w:val="22"/>
        </w:rPr>
        <w:t xml:space="preserve">expression networks define the pairwise relationships among gene transcripts via their </w:t>
      </w:r>
      <w:r w:rsidR="006C738A">
        <w:rPr>
          <w:rFonts w:asciiTheme="minorHAnsi" w:hAnsiTheme="minorHAnsi" w:cstheme="minorHAnsi"/>
          <w:sz w:val="22"/>
        </w:rPr>
        <w:t xml:space="preserve">coordinated expression patterns </w:t>
      </w:r>
      <w:r w:rsidR="00493A90">
        <w:rPr>
          <w:rFonts w:asciiTheme="minorHAnsi" w:hAnsiTheme="minorHAnsi" w:cstheme="minorHAnsi"/>
          <w:sz w:val="22"/>
        </w:rPr>
        <w:t xml:space="preserve">across microarray and/or </w:t>
      </w:r>
      <w:r w:rsidR="000F45F1">
        <w:rPr>
          <w:rFonts w:asciiTheme="minorHAnsi" w:hAnsiTheme="minorHAnsi" w:cstheme="minorHAnsi"/>
          <w:sz w:val="22"/>
        </w:rPr>
        <w:t>RNA-sequencing (RNA-seq) profiles</w:t>
      </w:r>
      <w:r w:rsidR="00493A90">
        <w:rPr>
          <w:rFonts w:asciiTheme="minorHAnsi" w:hAnsiTheme="minorHAnsi" w:cstheme="minorHAnsi"/>
          <w:sz w:val="22"/>
        </w:rPr>
        <w:t xml:space="preserve">. </w:t>
      </w:r>
      <w:r w:rsidR="006C738A">
        <w:rPr>
          <w:rFonts w:asciiTheme="minorHAnsi" w:hAnsiTheme="minorHAnsi" w:cstheme="minorHAnsi"/>
          <w:sz w:val="22"/>
        </w:rPr>
        <w:t xml:space="preserve">Different measures of co-expression have been used to construct </w:t>
      </w:r>
      <w:r>
        <w:rPr>
          <w:rFonts w:asciiTheme="minorHAnsi" w:hAnsiTheme="minorHAnsi" w:cstheme="minorHAnsi"/>
          <w:sz w:val="22"/>
        </w:rPr>
        <w:t xml:space="preserve">such </w:t>
      </w:r>
      <w:r w:rsidR="006C738A">
        <w:rPr>
          <w:rFonts w:asciiTheme="minorHAnsi" w:hAnsiTheme="minorHAnsi" w:cstheme="minorHAnsi"/>
          <w:sz w:val="22"/>
        </w:rPr>
        <w:t>networks, such as Pearson’s or Spearman</w:t>
      </w:r>
      <w:r w:rsidR="000F45F1">
        <w:rPr>
          <w:rFonts w:asciiTheme="minorHAnsi" w:hAnsiTheme="minorHAnsi" w:cstheme="minorHAnsi"/>
          <w:sz w:val="22"/>
        </w:rPr>
        <w:t xml:space="preserve">’s correlation, </w:t>
      </w:r>
      <w:r w:rsidR="006C738A">
        <w:rPr>
          <w:rFonts w:asciiTheme="minorHAnsi" w:hAnsiTheme="minorHAnsi" w:cstheme="minorHAnsi"/>
          <w:sz w:val="22"/>
        </w:rPr>
        <w:t xml:space="preserve">least absolute error regression and Bayesian approaches </w:t>
      </w:r>
      <w:r w:rsidR="006C738A">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{"citationItems":[{"id":"ITEM-1","itemData":{"DOI":"10.1093/bib/bbw139","ISSN":"14774054","PMID":"28077403","abstract":"Gene co-expression networks can be used to associate genes of unknown function with biological processes, to prioritize candidate disease genes or to discern transcriptional regulatory programmes. With recent advances in transcriptomics and next-generation sequencing, co-expression networks constructed from RNA sequencing data also enable the inference of functions and disease associations for non-coding genes and splice variants. Although gene co-expression networks typically do not provide information about causality, emerging methods for differential co-expression analysis are enabling the identification of regulatory genes underlying various phenotypes. Here, we introduce and guide researchers through a (differential) co-expression analysis. We provide an overview of methods and tools used to create and analyse co-expression networks constructed from gene expression data, and we explain how these can be used to identify genes with a regulatory role in disease. Furthermore, we discuss the integration of other data types with co-expression networks and offer future perspectives of co-expression analysis.","author":[{"dropping-particle":"","family":"Dam","given":"Sipko","non-dropping-particle":"van","parse-names":false,"suffix":""},{"dropping-particle":"","family":"Võsa","given":"Urmo","non-dropping-particle":"","parse-names":false,"suffix":""},{"dropping-particle":"","family":"Graaf","given":"Adriaan","non-dropping-particle":"van der","parse-names":false,"suffix":""},{"dropping-particle":"","family":"Franke","given":"Lude","non-dropping-particle":"","parse-names":false,"suffix":""},{"dropping-particle":"","family":"Magalhães","given":"João Pedro","non-dropping-particle":"de","parse-names":false,"suffix":""}],"container-title":"Briefings in Bioinformatics","id":"ITEM-1","issue":"4","issued":{"date-parts":[["2018","1"]]},"page":"575-592","title":"Gene co-expression analysis for functional classification and gene-disease predictions","type":"article-journal","volume":"19"},"uris":["http://www.mendeley.com/documents/?uuid=1d2f3fec-307b-4bf6-b873-55520d84a141","http://www.mendeley.com/documents/?uuid=4626296d-d3ca-4ca0-bc34-a856c80c3da8"]}],"mendeley":{"formattedCitation":"(17)","plainTextFormattedCitation":"(17)","previouslyFormattedCitation":"(17)"},"properties":{"noteIndex":0},"schema":"https://github.com/citation-style-language/schema/raw/master/csl-citation.json"}</w:instrText>
      </w:r>
      <w:r w:rsidR="006C738A">
        <w:rPr>
          <w:rFonts w:asciiTheme="minorHAnsi" w:hAnsiTheme="minorHAnsi" w:cstheme="minorHAnsi"/>
          <w:sz w:val="22"/>
        </w:rPr>
        <w:fldChar w:fldCharType="separate"/>
      </w:r>
      <w:r w:rsidR="00620042" w:rsidRPr="00620042">
        <w:rPr>
          <w:rFonts w:asciiTheme="minorHAnsi" w:hAnsiTheme="minorHAnsi" w:cstheme="minorHAnsi"/>
          <w:noProof/>
          <w:sz w:val="22"/>
        </w:rPr>
        <w:t>(17)</w:t>
      </w:r>
      <w:r w:rsidR="006C738A">
        <w:rPr>
          <w:rFonts w:asciiTheme="minorHAnsi" w:hAnsiTheme="minorHAnsi" w:cstheme="minorHAnsi"/>
          <w:sz w:val="22"/>
        </w:rPr>
        <w:fldChar w:fldCharType="end"/>
      </w:r>
      <w:r w:rsidR="006C738A">
        <w:rPr>
          <w:rFonts w:asciiTheme="minorHAnsi" w:hAnsiTheme="minorHAnsi" w:cstheme="minorHAnsi"/>
          <w:sz w:val="22"/>
        </w:rPr>
        <w:t xml:space="preserve">. </w:t>
      </w:r>
      <w:r w:rsidR="00493A90">
        <w:rPr>
          <w:rFonts w:asciiTheme="minorHAnsi" w:hAnsiTheme="minorHAnsi" w:cstheme="minorHAnsi"/>
          <w:sz w:val="22"/>
        </w:rPr>
        <w:t xml:space="preserve">Genes involved in related </w:t>
      </w:r>
      <w:r w:rsidR="00E30520">
        <w:rPr>
          <w:rFonts w:asciiTheme="minorHAnsi" w:hAnsiTheme="minorHAnsi" w:cstheme="minorHAnsi"/>
          <w:sz w:val="22"/>
        </w:rPr>
        <w:t xml:space="preserve">biological processes tend to </w:t>
      </w:r>
      <w:r>
        <w:rPr>
          <w:rFonts w:asciiTheme="minorHAnsi" w:hAnsiTheme="minorHAnsi" w:cstheme="minorHAnsi"/>
          <w:sz w:val="22"/>
        </w:rPr>
        <w:t xml:space="preserve">show </w:t>
      </w:r>
      <w:r w:rsidR="006C738A">
        <w:rPr>
          <w:rFonts w:asciiTheme="minorHAnsi" w:hAnsiTheme="minorHAnsi" w:cstheme="minorHAnsi"/>
          <w:sz w:val="22"/>
        </w:rPr>
        <w:t>co-expression</w:t>
      </w:r>
      <w:r w:rsidR="00E30520">
        <w:rPr>
          <w:rFonts w:asciiTheme="minorHAnsi" w:hAnsiTheme="minorHAnsi" w:cstheme="minorHAnsi"/>
          <w:sz w:val="22"/>
        </w:rPr>
        <w:t xml:space="preserve"> </w:t>
      </w:r>
      <w:r>
        <w:rPr>
          <w:rFonts w:asciiTheme="minorHAnsi" w:hAnsiTheme="minorHAnsi" w:cstheme="minorHAnsi"/>
          <w:sz w:val="22"/>
        </w:rPr>
        <w:t xml:space="preserve">of </w:t>
      </w:r>
      <w:r w:rsidR="00E30520">
        <w:rPr>
          <w:rFonts w:asciiTheme="minorHAnsi" w:hAnsiTheme="minorHAnsi" w:cstheme="minorHAnsi"/>
          <w:sz w:val="22"/>
        </w:rPr>
        <w:t xml:space="preserve">their expression </w:t>
      </w:r>
      <w:r w:rsidR="00EF5738">
        <w:rPr>
          <w:rFonts w:asciiTheme="minorHAnsi" w:hAnsiTheme="minorHAnsi" w:cstheme="minorHAnsi"/>
          <w:sz w:val="22"/>
        </w:rPr>
        <w:t xml:space="preserve">profiles </w:t>
      </w:r>
      <w:r w:rsidR="00E30520">
        <w:rPr>
          <w:rFonts w:asciiTheme="minorHAnsi" w:hAnsiTheme="minorHAnsi" w:cstheme="minorHAnsi"/>
          <w:sz w:val="22"/>
        </w:rPr>
        <w:fldChar w:fldCharType="begin" w:fldLock="1"/>
      </w:r>
      <w:r w:rsidR="00276AB2">
        <w:rPr>
          <w:rFonts w:asciiTheme="minorHAnsi" w:hAnsiTheme="minorHAnsi" w:cstheme="minorHAnsi"/>
          <w:sz w:val="22"/>
        </w:rPr>
        <w:instrText>ADDIN CSL_CITATION {"citationItems":[{"id":"ITEM-1","itemData":{"DOI":"10.1073/pnas.95.25.14863","ISSN":"0027-8424","PMID":"9843981","abstract":"A system of cluster analysis for genome-wide expression data from DNA microarray hybridization is described that uses standard statistical algorithms to arrange genes according to similarity in pattern of gene expression. The output is displayed graphically, conveying the clustering and the underlying expression data simultaneously in a form intuitive for biologists. We have found in the budding yeast Saccharomyces cerevisiae that clustering gene expression data groups together efficiently genes of known similar function, and we find a similar tendency in human data. Thus patterns seen in genome-wide expression experiments can be interpreted as indications of the status of cellular processes. Also, coexpression of genes of known function with poorly characterized or novel genes may provide a simple means of gaining leads to the functions of many genes for which information is not available currently.","author":[{"dropping-particle":"","family":"Eisen","given":"M B","non-dropping-particle":"","parse-names":false,"suffix":""},{"dropping-particle":"","family":"Spellman","given":"P T","non-dropping-particle":"","parse-names":false,"suffix":""},{"dropping-particle":"","family":"Brown","given":"P O","non-dropping-particle":"","parse-names":false,"suffix":""},{"dropping-particle":"","family":"Botstein","given":"D","non-dropping-particle":"","parse-names":false,"suffix":""}],"container-title":"Proceedings of the National Academy of Sciences of the United States of America","id":"ITEM-1","issue":"25","issued":{"date-parts":[["1998","12"]]},"page":"14863-8","title":"Cluster analysis and display of genome-wide expression patterns.","type":"article-journal","volume":"95"},"uris":["http://www.mendeley.com/documents/?uuid=640f7875-8ec7-4486-b68e-f95e71c7e1fc","http://www.mendeley.com/documents/?uuid=14dd6e3b-c29f-4470-b29f-525260f622ef"]}],"mendeley":{"formattedCitation":"(18)","plainTextFormattedCitation":"(18)","previouslyFormattedCitation":"(18)"},"properties":{"noteIndex":0},"schema":"https://github.com/citation-style-language/schema/raw/master/csl-citation.json"}</w:instrText>
      </w:r>
      <w:r w:rsidR="00E30520">
        <w:rPr>
          <w:rFonts w:asciiTheme="minorHAnsi" w:hAnsiTheme="minorHAnsi" w:cstheme="minorHAnsi"/>
          <w:sz w:val="22"/>
        </w:rPr>
        <w:fldChar w:fldCharType="separate"/>
      </w:r>
      <w:r w:rsidR="00620042" w:rsidRPr="00620042">
        <w:rPr>
          <w:rFonts w:asciiTheme="minorHAnsi" w:hAnsiTheme="minorHAnsi" w:cstheme="minorHAnsi"/>
          <w:noProof/>
          <w:sz w:val="22"/>
        </w:rPr>
        <w:t>(18)</w:t>
      </w:r>
      <w:r w:rsidR="00E30520">
        <w:rPr>
          <w:rFonts w:asciiTheme="minorHAnsi" w:hAnsiTheme="minorHAnsi" w:cstheme="minorHAnsi"/>
          <w:sz w:val="22"/>
        </w:rPr>
        <w:fldChar w:fldCharType="end"/>
      </w:r>
      <w:r w:rsidR="00E30520">
        <w:rPr>
          <w:rFonts w:asciiTheme="minorHAnsi" w:hAnsiTheme="minorHAnsi" w:cstheme="minorHAnsi"/>
          <w:sz w:val="22"/>
        </w:rPr>
        <w:t xml:space="preserve">. </w:t>
      </w:r>
      <w:r w:rsidR="002B083E">
        <w:rPr>
          <w:rFonts w:asciiTheme="minorHAnsi" w:hAnsiTheme="minorHAnsi" w:cstheme="minorHAnsi"/>
          <w:sz w:val="22"/>
        </w:rPr>
        <w:t>Large amounts of transcriptomic data suitable for gene co-expression construction</w:t>
      </w:r>
      <w:r>
        <w:rPr>
          <w:rFonts w:asciiTheme="minorHAnsi" w:hAnsiTheme="minorHAnsi" w:cstheme="minorHAnsi"/>
          <w:sz w:val="22"/>
        </w:rPr>
        <w:t xml:space="preserve"> are</w:t>
      </w:r>
      <w:r w:rsidR="002B083E">
        <w:rPr>
          <w:rFonts w:asciiTheme="minorHAnsi" w:hAnsiTheme="minorHAnsi" w:cstheme="minorHAnsi"/>
          <w:sz w:val="22"/>
        </w:rPr>
        <w:t xml:space="preserve"> available for a multitude of tissues and diseases</w:t>
      </w:r>
      <w:r>
        <w:rPr>
          <w:rFonts w:asciiTheme="minorHAnsi" w:hAnsiTheme="minorHAnsi" w:cstheme="minorHAnsi"/>
          <w:sz w:val="22"/>
        </w:rPr>
        <w:t xml:space="preserve">, such as from the two main public repositories, </w:t>
      </w:r>
      <w:r w:rsidR="002B083E">
        <w:rPr>
          <w:rFonts w:asciiTheme="minorHAnsi" w:hAnsiTheme="minorHAnsi" w:cstheme="minorHAnsi"/>
          <w:sz w:val="22"/>
        </w:rPr>
        <w:t xml:space="preserve">NCBI Gene Expression Omnibus </w:t>
      </w:r>
      <w:r w:rsidR="002B083E" w:rsidRPr="002B083E">
        <w:rPr>
          <w:rFonts w:asciiTheme="minorHAnsi" w:hAnsiTheme="minorHAnsi" w:cstheme="minorHAnsi"/>
          <w:sz w:val="22"/>
          <w:szCs w:val="22"/>
        </w:rPr>
        <w:t>(</w:t>
      </w:r>
      <w:hyperlink r:id="rId9" w:history="1">
        <w:r w:rsidR="002B083E" w:rsidRPr="00B25AC9">
          <w:rPr>
            <w:rStyle w:val="Hyperlink"/>
            <w:rFonts w:asciiTheme="minorHAnsi" w:hAnsiTheme="minorHAnsi" w:cstheme="minorHAnsi"/>
            <w:sz w:val="22"/>
            <w:szCs w:val="22"/>
          </w:rPr>
          <w:t>http://www.ncbi.nlm.nih.gov/geo/</w:t>
        </w:r>
      </w:hyperlink>
      <w:r w:rsidR="002B083E" w:rsidRPr="002B083E">
        <w:rPr>
          <w:rFonts w:asciiTheme="minorHAnsi" w:hAnsiTheme="minorHAnsi" w:cstheme="minorHAnsi"/>
          <w:sz w:val="22"/>
          <w:szCs w:val="22"/>
        </w:rPr>
        <w:t>)</w:t>
      </w:r>
      <w:r w:rsidR="002B083E">
        <w:rPr>
          <w:rFonts w:asciiTheme="minorHAnsi" w:hAnsiTheme="minorHAnsi" w:cstheme="minorHAnsi"/>
          <w:sz w:val="22"/>
          <w:szCs w:val="22"/>
        </w:rPr>
        <w:t xml:space="preserve"> </w:t>
      </w:r>
      <w:r w:rsidR="002B083E">
        <w:rPr>
          <w:rFonts w:asciiTheme="minorHAnsi" w:hAnsiTheme="minorHAnsi" w:cstheme="minorHAnsi"/>
          <w:sz w:val="22"/>
        </w:rPr>
        <w:t xml:space="preserve">and ArrayExpress </w:t>
      </w:r>
      <w:r w:rsidR="002B083E" w:rsidRPr="002B083E">
        <w:rPr>
          <w:rFonts w:asciiTheme="minorHAnsi" w:hAnsiTheme="minorHAnsi" w:cstheme="minorHAnsi"/>
          <w:sz w:val="22"/>
          <w:szCs w:val="22"/>
        </w:rPr>
        <w:t>(</w:t>
      </w:r>
      <w:hyperlink r:id="rId10" w:history="1">
        <w:r w:rsidR="002B083E" w:rsidRPr="00B25AC9">
          <w:rPr>
            <w:rStyle w:val="Hyperlink"/>
            <w:rFonts w:asciiTheme="minorHAnsi" w:hAnsiTheme="minorHAnsi" w:cstheme="minorHAnsi"/>
            <w:sz w:val="22"/>
            <w:szCs w:val="22"/>
          </w:rPr>
          <w:t>https://www.ebi.ac.uk/arrayexpress</w:t>
        </w:r>
      </w:hyperlink>
      <w:r w:rsidR="002B083E" w:rsidRPr="002B083E">
        <w:rPr>
          <w:rFonts w:asciiTheme="minorHAnsi" w:hAnsiTheme="minorHAnsi" w:cstheme="minorHAnsi"/>
          <w:sz w:val="22"/>
          <w:szCs w:val="22"/>
        </w:rPr>
        <w:t>)</w:t>
      </w:r>
      <w:r w:rsidR="002B083E">
        <w:rPr>
          <w:rFonts w:asciiTheme="minorHAnsi" w:hAnsiTheme="minorHAnsi" w:cstheme="minorHAnsi"/>
          <w:sz w:val="22"/>
          <w:szCs w:val="22"/>
        </w:rPr>
        <w:t xml:space="preserve"> </w:t>
      </w:r>
      <w:r w:rsidR="002B083E">
        <w:rPr>
          <w:rFonts w:asciiTheme="minorHAnsi" w:hAnsiTheme="minorHAnsi" w:cstheme="minorHAnsi"/>
          <w:sz w:val="22"/>
          <w:szCs w:val="22"/>
        </w:rPr>
        <w:fldChar w:fldCharType="begin" w:fldLock="1"/>
      </w:r>
      <w:r w:rsidR="00276AB2">
        <w:rPr>
          <w:rFonts w:asciiTheme="minorHAnsi" w:hAnsiTheme="minorHAnsi" w:cstheme="minorHAnsi"/>
          <w:sz w:val="22"/>
          <w:szCs w:val="22"/>
        </w:rPr>
        <w:instrText>ADDIN CSL_CITATION {"citationItems":[{"id":"ITEM-1","itemData":{"DOI":"10.1093/nar/gky964","ISSN":"1362-4962","PMID":"30357387","abstract":"ArrayExpress (https://www.ebi.ac.uk/arrayexpress) is an archive of functional genomics data from a variety of technologies assaying functional modalities of a genome, such as gene expression or promoter occupancy. The number of experiments based on sequencing technologies, in particular RNA-seq experiments, has been increasing over the last few years and submissions of sequencing data have overtaken microarray experiments in the last 12 months. Additionally, there is a significant increase in experiments investigating single cells, rather than bulk samples, known as single-cell RNA-seq. To accommodate these trends, we have substantially changed our submission tool Annotare which, along with raw and processed data, collects all metadata necessary to interpret these experiments. Selected datasets are re-processed and loaded into our sister resource, the value-added Expression Atlas (and its component Single Cell Expression Atlas), which not only enables users to interpret the data easily but also serves as a test for data quality. With an increasing number of studies that combine different assay modalities (multi-omics experiments), a new more general archival resource the BioStudies Database has been developed, which will eventually supersede ArrayExpress. Data submissions will continue unchanged; all existing ArrayExpress data will be incorporated into BioStudies and the existing accession numbers and application programming interfaces will be maintained.","author":[{"dropping-particle":"","family":"Athar","given":"Awais","non-dropping-particle":"","parse-names":false,"suffix":""},{"dropping-particle":"","family":"Füllgrabe","given":"Anja","non-dropping-particle":"","parse-names":false,"suffix":""},{"dropping-particle":"","family":"George","given":"Nancy","non-dropping-particle":"","parse-names":false,"suffix":""},{"dropping-particle":"","family":"Iqbal","given":"Haider","non-dropping-particle":"","parse-names":false,"suffix":""},{"dropping-particle":"","family":"Huerta","given":"Laura","non-dropping-particle":"","parse-names":false,"suffix":""},{"dropping-particle":"","family":"Ali","given":"Ahmed","non-dropping-particle":"","parse-names":false,"suffix":""},{"dropping-particle":"","family":"Snow","given":"Catherine","non-dropping-particle":"","parse-names":false,"suffix":""},{"dropping-particle":"","family":"Fonseca","given":"Nuno A","non-dropping-particle":"","parse-names":false,"suffix":""},{"dropping-particle":"","family":"Petryszak","given":"Robert","non-dropping-particle":"","parse-names":false,"suffix":""},{"dropping-particle":"","family":"Papatheodorou","given":"Irene","non-dropping-particle":"","parse-names":false,"suffix":""},{"dropping-particle":"","family":"Sarkans","given":"Ugis","non-dropping-particle":"","parse-names":false,"suffix":""},{"dropping-particle":"","family":"Brazma","given":"Alvis","non-dropping-particle":"","parse-names":false,"suffix":""}],"container-title":"Nucleic acids research","id":"ITEM-1","issue":"D1","issued":{"date-parts":[["2019"]]},"page":"D711-D715","title":"ArrayExpress update - from bulk to single-cell expression data.","type":"article-journal","volume":"47"},"uris":["http://www.mendeley.com/documents/?uuid=c2da11e2-a7df-419c-a5b1-1bf2c71ca152","http://www.mendeley.com/documents/?uuid=620409f0-e2ea-4a49-9c69-925332c9c21f"]},{"id":"ITEM-2","itemData":{"DOI":"10.1007/978-1-4939-3578-9_5","ISSN":"10643745","PMID":"27008011","abstract":"The Gene Expression Omnibus (GEO) database is an international public repository that archives and freely distributes high-throughput gene expression and other functional genomics data sets. Created in 2000 as a worldwide resource for gene expression studies, GEO has evolved with rapidly changing technologies and now accepts high-throughput data for many other data applications, including those that examine genome methylation, chromatin structure, and genome–protein interactions. GEO supports community-derived reporting standards that specify provision of several critical study elements including raw data, processed data, and descriptive metadata. The database not only provides access to data for tens of thousands of studies, but also offers various Web-based tools and strategies that enable users to locate data relevant to their specific interests, as well as to visualize and analyze the data. This chapter includes detailed descriptions of methods to query and download GEO data and use the analysis and visualization tools. The GEO homepage is at http://www.ncbi.nlm.nih.gov/geo/.","author":[{"dropping-particle":"","family":"Clough","given":"Emily","non-dropping-particle":"","parse-names":false,"suffix":""},{"dropping-particle":"","family":"Barrett","given":"Tanya","non-dropping-particle":"","parse-names":false,"suffix":""}],"container-title":"Methods in Molecular Biology","id":"ITEM-2","issued":{"date-parts":[["2016"]]},"page":"93-110","title":"The Gene Expression Omnibus database","type":"chapter","volume":"1418"},"uris":["http://www.mendeley.com/documents/?uuid=9c44222a-d038-445a-9e33-57eb9e711e9c","http://www.mendeley.com/documents/?uuid=7d73b3cd-a70a-4fd7-b2ae-406ec2bf2793"]}],"mendeley":{"formattedCitation":"(19,20)","plainTextFormattedCitation":"(19,20)","previouslyFormattedCitation":"(19,20)"},"properties":{"noteIndex":0},"schema":"https://github.com/citation-style-language/schema/raw/master/csl-citation.json"}</w:instrText>
      </w:r>
      <w:r w:rsidR="002B083E">
        <w:rPr>
          <w:rFonts w:asciiTheme="minorHAnsi" w:hAnsiTheme="minorHAnsi" w:cstheme="minorHAnsi"/>
          <w:sz w:val="22"/>
          <w:szCs w:val="22"/>
        </w:rPr>
        <w:fldChar w:fldCharType="separate"/>
      </w:r>
      <w:r w:rsidR="00620042" w:rsidRPr="00620042">
        <w:rPr>
          <w:rFonts w:asciiTheme="minorHAnsi" w:hAnsiTheme="minorHAnsi" w:cstheme="minorHAnsi"/>
          <w:noProof/>
          <w:sz w:val="22"/>
          <w:szCs w:val="22"/>
        </w:rPr>
        <w:t>(19,20)</w:t>
      </w:r>
      <w:r w:rsidR="002B083E">
        <w:rPr>
          <w:rFonts w:asciiTheme="minorHAnsi" w:hAnsiTheme="minorHAnsi" w:cstheme="minorHAnsi"/>
          <w:sz w:val="22"/>
          <w:szCs w:val="22"/>
        </w:rPr>
        <w:fldChar w:fldCharType="end"/>
      </w:r>
      <w:r w:rsidR="00F940F5">
        <w:rPr>
          <w:rFonts w:asciiTheme="minorHAnsi" w:hAnsiTheme="minorHAnsi" w:cstheme="minorHAnsi"/>
          <w:sz w:val="22"/>
          <w:szCs w:val="22"/>
        </w:rPr>
        <w:t xml:space="preserve">. </w:t>
      </w:r>
      <w:r w:rsidR="00AB096F">
        <w:rPr>
          <w:rFonts w:asciiTheme="minorHAnsi" w:hAnsiTheme="minorHAnsi" w:cstheme="minorHAnsi"/>
          <w:sz w:val="22"/>
          <w:szCs w:val="22"/>
        </w:rPr>
        <w:t xml:space="preserve">The utility of studying gene co-expression networks has been demonstrated in multiple studies. </w:t>
      </w:r>
      <w:r>
        <w:rPr>
          <w:rFonts w:asciiTheme="minorHAnsi" w:hAnsiTheme="minorHAnsi" w:cstheme="minorHAnsi"/>
          <w:sz w:val="22"/>
          <w:szCs w:val="22"/>
        </w:rPr>
        <w:t>For example, gene co-expression network analysis of microarray data</w:t>
      </w:r>
      <w:r w:rsidDel="002859F0">
        <w:rPr>
          <w:rFonts w:asciiTheme="minorHAnsi" w:hAnsiTheme="minorHAnsi" w:cstheme="minorHAnsi"/>
          <w:sz w:val="22"/>
          <w:szCs w:val="22"/>
        </w:rPr>
        <w:t xml:space="preserve"> </w:t>
      </w:r>
      <w:r>
        <w:rPr>
          <w:rFonts w:asciiTheme="minorHAnsi" w:hAnsiTheme="minorHAnsi" w:cstheme="minorHAnsi"/>
          <w:sz w:val="22"/>
          <w:szCs w:val="22"/>
        </w:rPr>
        <w:t xml:space="preserve">in rheumatoid arthritis </w:t>
      </w:r>
      <w:r w:rsidR="00BA7E81">
        <w:rPr>
          <w:rFonts w:asciiTheme="minorHAnsi" w:hAnsiTheme="minorHAnsi" w:cstheme="minorHAnsi"/>
          <w:sz w:val="22"/>
          <w:szCs w:val="22"/>
        </w:rPr>
        <w:t>identif</w:t>
      </w:r>
      <w:r>
        <w:rPr>
          <w:rFonts w:asciiTheme="minorHAnsi" w:hAnsiTheme="minorHAnsi" w:cstheme="minorHAnsi"/>
          <w:sz w:val="22"/>
          <w:szCs w:val="22"/>
        </w:rPr>
        <w:t>ied</w:t>
      </w:r>
      <w:r w:rsidR="00BA7E81">
        <w:rPr>
          <w:rFonts w:asciiTheme="minorHAnsi" w:hAnsiTheme="minorHAnsi" w:cstheme="minorHAnsi"/>
          <w:sz w:val="22"/>
          <w:szCs w:val="22"/>
        </w:rPr>
        <w:t xml:space="preserve"> modules of key genes related to immune response, inflammatory response</w:t>
      </w:r>
      <w:r>
        <w:rPr>
          <w:rFonts w:asciiTheme="minorHAnsi" w:hAnsiTheme="minorHAnsi" w:cstheme="minorHAnsi"/>
          <w:sz w:val="22"/>
          <w:szCs w:val="22"/>
        </w:rPr>
        <w:t>,</w:t>
      </w:r>
      <w:r w:rsidR="00BA7E81">
        <w:rPr>
          <w:rFonts w:asciiTheme="minorHAnsi" w:hAnsiTheme="minorHAnsi" w:cstheme="minorHAnsi"/>
          <w:sz w:val="22"/>
          <w:szCs w:val="22"/>
        </w:rPr>
        <w:t xml:space="preserve"> and homeostasis</w:t>
      </w:r>
      <w:r>
        <w:rPr>
          <w:rFonts w:asciiTheme="minorHAnsi" w:hAnsiTheme="minorHAnsi" w:cstheme="minorHAnsi"/>
          <w:sz w:val="22"/>
          <w:szCs w:val="22"/>
        </w:rPr>
        <w:t>, resulting in the identification of two small-molecule drugs as potential therapeutics</w:t>
      </w:r>
      <w:r w:rsidR="00BA7E81">
        <w:rPr>
          <w:rFonts w:asciiTheme="minorHAnsi" w:hAnsiTheme="minorHAnsi" w:cstheme="minorHAnsi"/>
          <w:sz w:val="22"/>
          <w:szCs w:val="22"/>
        </w:rPr>
        <w:t xml:space="preserve"> </w:t>
      </w:r>
      <w:r w:rsidR="00BA7E81">
        <w:rPr>
          <w:rFonts w:asciiTheme="minorHAnsi" w:hAnsiTheme="minorHAnsi" w:cstheme="minorHAnsi"/>
          <w:sz w:val="22"/>
          <w:szCs w:val="22"/>
        </w:rPr>
        <w:fldChar w:fldCharType="begin" w:fldLock="1"/>
      </w:r>
      <w:r w:rsidR="00276AB2">
        <w:rPr>
          <w:rFonts w:asciiTheme="minorHAnsi" w:hAnsiTheme="minorHAnsi" w:cstheme="minorHAnsi"/>
          <w:sz w:val="22"/>
          <w:szCs w:val="22"/>
        </w:rPr>
        <w:instrText>ADDIN CSL_CITATION {"citationItems":[{"id":"ITEM-1","itemData":{"DOI":"10.1111/1756-185X.13063","ISSN":"1756-185X","PMID":"28440025","abstract":"PURPOSE This study aimed to identify rheumatoid arthritis (RA) related genes based on microarray data using the WGCNA (weighted gene co-expression network analysis) method. METHODS Two gene expression profile datasets GSE55235 (10 RA samples and 10 healthy controls) and GSE77298 (16 RA samples and seven healthy controls) were downloaded from Gene Expression Omnibus database. Characteristic genes were identified using metaDE package. WGCNA was used to find disease-related networks based on gene expression correlation coefficients, and module significance was defined as the average gene significance of all genes used to assess the correlation between the module and RA status. Genes in the disease-related gene co-expression network were subject to functional annotation and pathway enrichment analysis using Database for Annotation Visualization and Integrated Discovery. Characteristic genes were also mapped to the Connectivity Map to screen small molecules. RESULTS A total of 599 characteristic genes were identified. For each dataset, characteristic genes in the green, red and turquoise modules were most closely associated with RA, with gene numbers of 54, 43 and 79, respectively. These genes were enriched in totally enriched in 17 Gene Ontology terms, mainly related to immune response (CD97, FYB, CXCL1, IKBKE, CCR1, etc.), inflammatory response (CD97, CXCL1, C3AR1, CCR1, LYZ, etc.) and homeostasis (C3AR1, CCR1, PLN, CCL19, PPT1, etc.). Two small-molecule drugs sanguinarine and papaverine were predicted to have a therapeutic effect against RA. CONCLUSION Genes related to immune response, inflammatory response and homeostasis presumably have critical roles in RA pathogenesis. Sanguinarine and papaverine have a potential therapeutic effect against RA.","author":[{"dropping-particle":"","family":"Ma","given":"Chunhui","non-dropping-particle":"","parse-names":false,"suffix":""},{"dropping-particle":"","family":"Lv","given":"Qi","non-dropping-particle":"","parse-names":false,"suffix":""},{"dropping-particle":"","family":"Teng","given":"Songsong","non-dropping-particle":"","parse-names":false,"suffix":""},{"dropping-particle":"","family":"Yu","given":"Yinxian","non-dropping-particle":"","parse-names":false,"suffix":""},{"dropping-particle":"","family":"Niu","given":"Kerun","non-dropping-particle":"","parse-names":false,"suffix":""},{"dropping-particle":"","family":"Yi","given":"Chengqin","non-dropping-particle":"","parse-names":false,"suffix":""}],"container-title":"International journal of rheumatic diseases","id":"ITEM-1","issue":"8","issued":{"date-parts":[["2017","8"]]},"page":"971-979","title":"Identifying key genes in rheumatoid arthritis by weighted gene co-expression network analysis.","type":"article-journal","volume":"20"},"uris":["http://www.mendeley.com/documents/?uuid=5b65e32d-184a-49da-864f-fd8d64ee14bf","http://www.mendeley.com/documents/?uuid=b767e83f-e7cd-4a73-bb17-5244a045c410"]}],"mendeley":{"formattedCitation":"(21)","plainTextFormattedCitation":"(21)","previouslyFormattedCitation":"(21)"},"properties":{"noteIndex":0},"schema":"https://github.com/citation-style-language/schema/raw/master/csl-citation.json"}</w:instrText>
      </w:r>
      <w:r w:rsidR="00BA7E81">
        <w:rPr>
          <w:rFonts w:asciiTheme="minorHAnsi" w:hAnsiTheme="minorHAnsi" w:cstheme="minorHAnsi"/>
          <w:sz w:val="22"/>
          <w:szCs w:val="22"/>
        </w:rPr>
        <w:fldChar w:fldCharType="separate"/>
      </w:r>
      <w:r w:rsidR="00620042" w:rsidRPr="00620042">
        <w:rPr>
          <w:rFonts w:asciiTheme="minorHAnsi" w:hAnsiTheme="minorHAnsi" w:cstheme="minorHAnsi"/>
          <w:noProof/>
          <w:sz w:val="22"/>
          <w:szCs w:val="22"/>
        </w:rPr>
        <w:t>(21)</w:t>
      </w:r>
      <w:r w:rsidR="00BA7E81">
        <w:rPr>
          <w:rFonts w:asciiTheme="minorHAnsi" w:hAnsiTheme="minorHAnsi" w:cstheme="minorHAnsi"/>
          <w:sz w:val="22"/>
          <w:szCs w:val="22"/>
        </w:rPr>
        <w:fldChar w:fldCharType="end"/>
      </w:r>
      <w:r w:rsidR="00BA7E81">
        <w:rPr>
          <w:rFonts w:asciiTheme="minorHAnsi" w:hAnsiTheme="minorHAnsi" w:cstheme="minorHAnsi"/>
          <w:sz w:val="22"/>
          <w:szCs w:val="22"/>
        </w:rPr>
        <w:t>.</w:t>
      </w:r>
    </w:p>
    <w:p w14:paraId="3C9B4A6C" w14:textId="5B8277C6" w:rsidR="00240AED" w:rsidRPr="00A410A3" w:rsidRDefault="00240AED" w:rsidP="00066430">
      <w:pPr>
        <w:pStyle w:val="p"/>
        <w:spacing w:after="0" w:afterAutospacing="0" w:line="480" w:lineRule="auto"/>
        <w:jc w:val="both"/>
        <w:rPr>
          <w:rFonts w:asciiTheme="minorHAnsi" w:hAnsiTheme="minorHAnsi" w:cstheme="minorHAnsi"/>
          <w:sz w:val="22"/>
          <w:szCs w:val="22"/>
        </w:rPr>
      </w:pPr>
      <w:r>
        <w:rPr>
          <w:rFonts w:asciiTheme="minorHAnsi" w:hAnsiTheme="minorHAnsi" w:cstheme="minorHAnsi"/>
          <w:sz w:val="22"/>
          <w:szCs w:val="22"/>
        </w:rPr>
        <w:t xml:space="preserve">The majority of </w:t>
      </w:r>
      <w:r w:rsidR="00C83D1C">
        <w:rPr>
          <w:rFonts w:asciiTheme="minorHAnsi" w:hAnsiTheme="minorHAnsi" w:cstheme="minorHAnsi"/>
          <w:sz w:val="22"/>
          <w:szCs w:val="22"/>
        </w:rPr>
        <w:t xml:space="preserve">molecular interaction databases </w:t>
      </w:r>
      <w:r>
        <w:rPr>
          <w:rFonts w:asciiTheme="minorHAnsi" w:hAnsiTheme="minorHAnsi" w:cstheme="minorHAnsi"/>
          <w:sz w:val="22"/>
          <w:szCs w:val="22"/>
        </w:rPr>
        <w:t>agglomerate</w:t>
      </w:r>
      <w:r w:rsidR="00C83D1C">
        <w:rPr>
          <w:rFonts w:asciiTheme="minorHAnsi" w:hAnsiTheme="minorHAnsi" w:cstheme="minorHAnsi"/>
          <w:sz w:val="22"/>
          <w:szCs w:val="22"/>
        </w:rPr>
        <w:t xml:space="preserve"> interact</w:t>
      </w:r>
      <w:r w:rsidR="003729AC">
        <w:rPr>
          <w:rFonts w:asciiTheme="minorHAnsi" w:hAnsiTheme="minorHAnsi" w:cstheme="minorHAnsi"/>
          <w:sz w:val="22"/>
          <w:szCs w:val="22"/>
        </w:rPr>
        <w:t>ion data from all tissues for a given organism</w:t>
      </w:r>
      <w:r>
        <w:rPr>
          <w:rFonts w:asciiTheme="minorHAnsi" w:hAnsiTheme="minorHAnsi" w:cstheme="minorHAnsi"/>
          <w:sz w:val="22"/>
          <w:szCs w:val="22"/>
        </w:rPr>
        <w:t>, in this sense being tissue-generic</w:t>
      </w:r>
      <w:r w:rsidR="00076DFA">
        <w:rPr>
          <w:rFonts w:asciiTheme="minorHAnsi" w:hAnsiTheme="minorHAnsi" w:cstheme="minorHAnsi"/>
          <w:sz w:val="22"/>
          <w:szCs w:val="22"/>
        </w:rPr>
        <w:t xml:space="preserve">. While many of these </w:t>
      </w:r>
      <w:r w:rsidR="00C83D1C">
        <w:rPr>
          <w:rFonts w:asciiTheme="minorHAnsi" w:hAnsiTheme="minorHAnsi" w:cstheme="minorHAnsi"/>
          <w:sz w:val="22"/>
          <w:szCs w:val="22"/>
        </w:rPr>
        <w:t>databases offer a comprehensive list of generic molecular interactions, it has been suggested that this may limit their functionality when studying a disease from a tissue</w:t>
      </w:r>
      <w:r>
        <w:rPr>
          <w:rFonts w:asciiTheme="minorHAnsi" w:hAnsiTheme="minorHAnsi" w:cstheme="minorHAnsi"/>
          <w:sz w:val="22"/>
          <w:szCs w:val="22"/>
        </w:rPr>
        <w:t>-</w:t>
      </w:r>
      <w:r w:rsidR="00C83D1C">
        <w:rPr>
          <w:rFonts w:asciiTheme="minorHAnsi" w:hAnsiTheme="minorHAnsi" w:cstheme="minorHAnsi"/>
          <w:sz w:val="22"/>
          <w:szCs w:val="22"/>
        </w:rPr>
        <w:t xml:space="preserve">specific context </w:t>
      </w:r>
      <w:r w:rsidR="00C83D1C">
        <w:rPr>
          <w:rFonts w:asciiTheme="minorHAnsi" w:hAnsiTheme="minorHAnsi" w:cstheme="minorHAnsi"/>
          <w:sz w:val="22"/>
          <w:szCs w:val="22"/>
        </w:rPr>
        <w:fldChar w:fldCharType="begin" w:fldLock="1"/>
      </w:r>
      <w:r w:rsidR="00276AB2">
        <w:rPr>
          <w:rFonts w:asciiTheme="minorHAnsi" w:hAnsiTheme="minorHAnsi" w:cstheme="minorHAnsi"/>
          <w:sz w:val="22"/>
          <w:szCs w:val="22"/>
        </w:rPr>
        <w:instrText>ADDIN CSL_CITATION {"citationItems":[{"id":"ITEM-1","itemData":{"DOI":"10.1186/s12859-016-1317-x","ISSN":"1471-2105","PMID":"27829360","abstract":"BACKGROUND Accurately prioritizing candidate disease genes is an important and challenging problem. Various network-based methods have been developed to predict potential disease genes by utilizing the disease similarity network and molecular networks such as protein interaction or gene co-expression networks. Although successful, a common limitation of the existing methods is that they assume all diseases share the same molecular network and a single generic molecular network is used to predict candidate genes for all diseases. However, different diseases tend to manifest in different tissues, and the molecular networks in different tissues are usually different. An ideal method should be able to incorporate tissue-specific molecular networks for different diseases. RESULTS In this paper, we develop a robust and flexible method to integrate tissue-specific molecular networks for disease gene prioritization. Our method allows each disease to have its own tissue-specific network(s). We formulate the problem of candidate gene prioritization as an optimization problem based on network propagation. When there are multiple tissue-specific networks available for a disease, our method can automatically infer the relative importance of each tissue-specific network. Thus it is robust to the noisy and incomplete network data. To solve the optimization problem, we develop fast algorithms which have linear time complexities in the number of nodes in the molecular networks. We also provide rigorous theoretical foundations for our algorithms in terms of their optimality and convergence properties. Extensive experimental results show that our method can significantly improve the accuracy of candidate gene prioritization compared with the state-of-the-art methods. CONCLUSIONS In our experiments, we compare our methods with 7 popular network-based disease gene prioritization algorithms on diseases from Online Mendelian Inheritance in Man (OMIM) database. The experimental results demonstrate that our methods recover true associations more accurately than other methods in terms of AUC values, and the performance differences are significant (with paired t-test p-values less than 0.05). This validates the importance to integrate tissue-specific molecular networks for studying disease gene prioritization and show the superiority of our network models and ranking algorithms toward this purpose. The source code and datasets are available at http://nijingchao.github.io/CRstar/ .","author":[{"dropping-particle":"","family":"Ni","given":"Jingchao","non-dropping-particle":"","parse-names":false,"suffix":""},{"dropping-particle":"","family":"Koyuturk","given":"Mehmet","non-dropping-particle":"","parse-names":false,"suffix":""},{"dropping-particle":"","family":"Tong","given":"Hanghang","non-dropping-particle":"","parse-names":false,"suffix":""},{"dropping-particle":"","family":"Haines","given":"Jonathan","non-dropping-particle":"","parse-names":false,"suffix":""},{"dropping-particle":"","family":"Xu","given":"Rong","non-dropping-particle":"","parse-names":false,"suffix":""},{"dropping-particle":"","family":"Zhang","given":"Xiang","non-dropping-particle":"","parse-names":false,"suffix":""}],"container-title":"BMC bioinformatics","id":"ITEM-1","issue":"1","issued":{"date-parts":[["2016","11"]]},"page":"453","title":"Disease gene prioritization by integrating tissue-specific molecular networks using a robust multi-network model.","type":"article-journal","volume":"17"},"uris":["http://www.mendeley.com/documents/?uuid=33f626ed-d8d4-496a-929a-bbe1c6ae7d7e","http://www.mendeley.com/documents/?uuid=9d2f9e22-6152-42ee-bcc4-f7e67ab069cd"]}],"mendeley":{"formattedCitation":"(22)","plainTextFormattedCitation":"(22)","previouslyFormattedCitation":"(22)"},"properties":{"noteIndex":0},"schema":"https://github.com/citation-style-language/schema/raw/master/csl-citation.json"}</w:instrText>
      </w:r>
      <w:r w:rsidR="00C83D1C">
        <w:rPr>
          <w:rFonts w:asciiTheme="minorHAnsi" w:hAnsiTheme="minorHAnsi" w:cstheme="minorHAnsi"/>
          <w:sz w:val="22"/>
          <w:szCs w:val="22"/>
        </w:rPr>
        <w:fldChar w:fldCharType="separate"/>
      </w:r>
      <w:r w:rsidR="00620042" w:rsidRPr="00620042">
        <w:rPr>
          <w:rFonts w:asciiTheme="minorHAnsi" w:hAnsiTheme="minorHAnsi" w:cstheme="minorHAnsi"/>
          <w:noProof/>
          <w:sz w:val="22"/>
          <w:szCs w:val="22"/>
        </w:rPr>
        <w:t>(22)</w:t>
      </w:r>
      <w:r w:rsidR="00C83D1C">
        <w:rPr>
          <w:rFonts w:asciiTheme="minorHAnsi" w:hAnsiTheme="minorHAnsi" w:cstheme="minorHAnsi"/>
          <w:sz w:val="22"/>
          <w:szCs w:val="22"/>
        </w:rPr>
        <w:fldChar w:fldCharType="end"/>
      </w:r>
      <w:r w:rsidR="005E704F">
        <w:rPr>
          <w:rFonts w:asciiTheme="minorHAnsi" w:hAnsiTheme="minorHAnsi" w:cstheme="minorHAnsi"/>
          <w:sz w:val="22"/>
          <w:szCs w:val="22"/>
        </w:rPr>
        <w:t>.</w:t>
      </w:r>
      <w:r w:rsidR="00076DFA">
        <w:rPr>
          <w:rFonts w:asciiTheme="minorHAnsi" w:hAnsiTheme="minorHAnsi" w:cstheme="minorHAnsi"/>
          <w:sz w:val="22"/>
          <w:szCs w:val="22"/>
        </w:rPr>
        <w:t xml:space="preserve"> Increasingly</w:t>
      </w:r>
      <w:r w:rsidR="00ED246C">
        <w:rPr>
          <w:rFonts w:asciiTheme="minorHAnsi" w:hAnsiTheme="minorHAnsi" w:cstheme="minorHAnsi"/>
          <w:sz w:val="22"/>
          <w:szCs w:val="22"/>
        </w:rPr>
        <w:t>,</w:t>
      </w:r>
      <w:r w:rsidR="00076DFA">
        <w:rPr>
          <w:rFonts w:asciiTheme="minorHAnsi" w:hAnsiTheme="minorHAnsi" w:cstheme="minorHAnsi"/>
          <w:sz w:val="22"/>
          <w:szCs w:val="22"/>
        </w:rPr>
        <w:t xml:space="preserve"> molecular interaction databases are incorporat</w:t>
      </w:r>
      <w:r w:rsidR="007D0323">
        <w:rPr>
          <w:rFonts w:asciiTheme="minorHAnsi" w:hAnsiTheme="minorHAnsi" w:cstheme="minorHAnsi"/>
          <w:sz w:val="22"/>
          <w:szCs w:val="22"/>
        </w:rPr>
        <w:t>ing tissue or condition specific</w:t>
      </w:r>
      <w:r w:rsidR="00076DFA">
        <w:rPr>
          <w:rFonts w:asciiTheme="minorHAnsi" w:hAnsiTheme="minorHAnsi" w:cstheme="minorHAnsi"/>
          <w:sz w:val="22"/>
          <w:szCs w:val="22"/>
        </w:rPr>
        <w:t xml:space="preserve"> molecular interaction data.</w:t>
      </w:r>
      <w:r w:rsidR="005E704F">
        <w:rPr>
          <w:rFonts w:asciiTheme="minorHAnsi" w:hAnsiTheme="minorHAnsi" w:cstheme="minorHAnsi"/>
          <w:sz w:val="22"/>
          <w:szCs w:val="22"/>
        </w:rPr>
        <w:t xml:space="preserve"> </w:t>
      </w:r>
      <w:r w:rsidR="00ED246C">
        <w:rPr>
          <w:rFonts w:asciiTheme="minorHAnsi" w:hAnsiTheme="minorHAnsi" w:cstheme="minorHAnsi"/>
          <w:sz w:val="22"/>
          <w:szCs w:val="22"/>
        </w:rPr>
        <w:t>M</w:t>
      </w:r>
      <w:r w:rsidR="00237FCF">
        <w:rPr>
          <w:rFonts w:asciiTheme="minorHAnsi" w:hAnsiTheme="minorHAnsi" w:cstheme="minorHAnsi"/>
          <w:sz w:val="22"/>
          <w:szCs w:val="22"/>
        </w:rPr>
        <w:t xml:space="preserve">any genetic disorders manifest primarily in one or a few tissues </w:t>
      </w:r>
      <w:r w:rsidR="00237FCF">
        <w:rPr>
          <w:rFonts w:asciiTheme="minorHAnsi" w:hAnsiTheme="minorHAnsi" w:cstheme="minorHAnsi"/>
          <w:sz w:val="22"/>
          <w:szCs w:val="22"/>
        </w:rPr>
        <w:fldChar w:fldCharType="begin" w:fldLock="1"/>
      </w:r>
      <w:r w:rsidR="00276AB2">
        <w:rPr>
          <w:rFonts w:asciiTheme="minorHAnsi" w:hAnsiTheme="minorHAnsi" w:cstheme="minorHAnsi"/>
          <w:sz w:val="22"/>
          <w:szCs w:val="22"/>
        </w:rPr>
        <w:instrText>ADDIN CSL_CITATION {"citationItems":[{"id":"ITEM-1","itemData":{"DOI":"10.1371/journal.pcbi.1002690","ISSN":"1553-7358","PMID":"23028288","abstract":"The prioritization of candidate disease-causing genes is a fundamental challenge in the post-genomic era. Current state of the art methods exploit a protein-protein interaction (PPI) network for this task. They are based on the observation that genes causing phenotypically-similar diseases tend to lie close to one another in a PPI network. However, to date, these methods have used a static picture of human PPIs, while diseases impact specific tissues in which the PPI networks may be dramatically different. Here, for the first time, we perform a large-scale assessment of the contribution of tissue-specific information to gene prioritization. By integrating tissue-specific gene expression data with PPI information, we construct tissue-specific PPI networks for 60 tissues and investigate their prioritization power. We find that tissue-specific PPI networks considerably improve the prioritization results compared to those obtained using a generic PPI network. Furthermore, they allow predicting novel disease-tissue associations, pointing to sub-clinical tissue effects that may escape early detection.","author":[{"dropping-particle":"","family":"Magger","given":"Oded","non-dropping-particle":"","parse-names":false,"suffix":""},{"dropping-particle":"","family":"Waldman","given":"Yedael Y","non-dropping-particle":"","parse-names":false,"suffix":""},{"dropping-particle":"","family":"Ruppin","given":"Eytan","non-dropping-particle":"","parse-names":false,"suffix":""},{"dropping-particle":"","family":"Sharan","given":"Roded","non-dropping-particle":"","parse-names":false,"suffix":""}],"container-title":"PLoS computational biology","id":"ITEM-1","issue":"9","issued":{"date-parts":[["2012"]]},"page":"e1002690","title":"Enhancing the prioritization of disease-causing genes through tissue specific protein interaction networks.","type":"article-journal","volume":"8"},"uris":["http://www.mendeley.com/documents/?uuid=4f1ace1d-284e-4c6f-b1db-761aa42e0fa5","http://www.mendeley.com/documents/?uuid=928c4ebf-20b4-4f6a-8c07-7ec735693c94"]},{"id":"ITEM-2","itemData":{"DOI":"10.1093/nar/gkt661","ISSN":"0305-1048","author":[{"dropping-particle":"","family":"Bornigen","given":"D.","non-dropping-particle":"","parse-names":false,"suffix":""},{"dropping-particle":"","family":"Pers","given":"T. H.","non-dropping-particle":"","parse-names":false,"suffix":""},{"dropping-particle":"","family":"Thorrez","given":"L.","non-dropping-particle":"","parse-names":false,"suffix":""},{"dropping-particle":"","family":"Huttenhower","given":"C.","non-dropping-particle":"","parse-names":false,"suffix":""},{"dropping-particle":"","family":"Moreau","given":"Y.","non-dropping-particle":"","parse-names":false,"suffix":""},{"dropping-particle":"","family":"Brunak","given":"S.","non-dropping-particle":"","parse-names":false,"suffix":""}],"container-title":"Nucleic Acids Research","id":"ITEM-2","issue":"18","issued":{"date-parts":[["2013","10","1"]]},"page":"e171-e171","title":"Concordance of gene expression in human protein complexes reveals tissue specificity and pathology","type":"article-journal","volume":"41"},"uris":["http://www.mendeley.com/documents/?uuid=89e06d9f-7532-4920-88e0-9716c41e09e8"]}],"mendeley":{"formattedCitation":"(23,24)","plainTextFormattedCitation":"(23,24)","previouslyFormattedCitation":"(23,24)"},"properties":{"noteIndex":0},"schema":"https://github.com/citation-style-language/schema/raw/master/csl-citation.json"}</w:instrText>
      </w:r>
      <w:r w:rsidR="00237FCF">
        <w:rPr>
          <w:rFonts w:asciiTheme="minorHAnsi" w:hAnsiTheme="minorHAnsi" w:cstheme="minorHAnsi"/>
          <w:sz w:val="22"/>
          <w:szCs w:val="22"/>
        </w:rPr>
        <w:fldChar w:fldCharType="separate"/>
      </w:r>
      <w:r w:rsidR="00620042" w:rsidRPr="00620042">
        <w:rPr>
          <w:rFonts w:asciiTheme="minorHAnsi" w:hAnsiTheme="minorHAnsi" w:cstheme="minorHAnsi"/>
          <w:noProof/>
          <w:sz w:val="22"/>
          <w:szCs w:val="22"/>
        </w:rPr>
        <w:t>(23,24)</w:t>
      </w:r>
      <w:r w:rsidR="00237FCF">
        <w:rPr>
          <w:rFonts w:asciiTheme="minorHAnsi" w:hAnsiTheme="minorHAnsi" w:cstheme="minorHAnsi"/>
          <w:sz w:val="22"/>
          <w:szCs w:val="22"/>
        </w:rPr>
        <w:fldChar w:fldCharType="end"/>
      </w:r>
      <w:r w:rsidR="003729AC">
        <w:rPr>
          <w:rFonts w:asciiTheme="minorHAnsi" w:hAnsiTheme="minorHAnsi" w:cstheme="minorHAnsi"/>
          <w:sz w:val="22"/>
          <w:szCs w:val="22"/>
        </w:rPr>
        <w:t xml:space="preserve">. Furthermore, it has been observed that molecular interactions are generally variable from tissue to tissue </w:t>
      </w:r>
      <w:r w:rsidR="003729AC">
        <w:rPr>
          <w:rFonts w:asciiTheme="minorHAnsi" w:hAnsiTheme="minorHAnsi" w:cstheme="minorHAnsi"/>
          <w:sz w:val="22"/>
          <w:szCs w:val="22"/>
        </w:rPr>
        <w:fldChar w:fldCharType="begin" w:fldLock="1"/>
      </w:r>
      <w:r w:rsidR="00276AB2">
        <w:rPr>
          <w:rFonts w:asciiTheme="minorHAnsi" w:hAnsiTheme="minorHAnsi" w:cstheme="minorHAnsi"/>
          <w:sz w:val="22"/>
          <w:szCs w:val="22"/>
        </w:rPr>
        <w:instrText>ADDIN CSL_CITATION {"citationItems":[{"id":"ITEM-1","itemData":{"DOI":"10.1038/msb.2009.17","ISSN":"1744-4292","PMID":"19357639","abstract":"A protein interaction network describes a set of physical associations that can occur between proteins. However, within any particular cell or tissue only a subset of proteins is expressed and so only a subset of interactions can occur. Integrating interaction and expression data, we analyze here this interplay between protein expression and physical interactions in humans. Proteins only expressed in restricted cell types, like recently evolved proteins, make few physical interactions. Most tissue-specific proteins do, however, bind to universally expressed proteins, and so can function by recruiting or modifying core cellular processes. Conversely, most 'housekeeping' proteins that are expressed in all cells also make highly tissue-specific protein interactions. These results suggest a model for the evolution of tissue-specific biology, and show that most, and possibly all, 'housekeeping' proteins actually have important tissue-specific molecular interactions.","author":[{"dropping-particle":"","family":"Bossi","given":"Alice","non-dropping-particle":"","parse-names":false,"suffix":""},{"dropping-particle":"","family":"Lehner","given":"Ben","non-dropping-particle":"","parse-names":false,"suffix":""}],"container-title":"Molecular systems biology","id":"ITEM-1","issued":{"date-parts":[["2009"]]},"page":"260","title":"Tissue specificity and the human protein interaction network.","type":"article-journal","volume":"5"},"uris":["http://www.mendeley.com/documents/?uuid=92536ffe-6c96-4d68-aa3e-d9b3c1012300","http://www.mendeley.com/documents/?uuid=fb69dfbc-474b-443a-977e-be3af6ff0588"]},{"id":"ITEM-2","itemData":{"DOI":"10.1371/journal.pcbi.1002694","ISSN":"1553-7358","PMID":"23028291","abstract":"Integrated analyses of functional genomics data have enormous potential for identifying phenotype-associated genes. Tissue-specificity is an important aspect of many genetic diseases, reflecting the potentially different roles of proteins and pathways in diverse cell lineages. Accounting for tissue specificity in global integration of functional genomics data is challenging, as \"functionality\" and \"functional relationships\" are often not resolved for specific tissue types. We address this challenge by generating tissue-specific functional networks, which can effectively represent the diversity of protein function for more accurate identification of phenotype-associated genes in the laboratory mouse. Specifically, we created 107 tissue-specific functional relationship networks through integration of genomic data utilizing knowledge of tissue-specific gene expression patterns. Cross-network comparison revealed significantly changed genes enriched for functions related to specific tissue development. We then utilized these tissue-specific networks to predict genes associated with different phenotypes. Our results demonstrate that prediction performance is significantly improved through using the tissue-specific networks as compared to the global functional network. We used a testis-specific functional relationship network to predict genes associated with male fertility and spermatogenesis phenotypes, and experimentally confirmed one top prediction, Mbyl1. We then focused on a less-common genetic disease, ataxia, and identified candidates uniquely predicted by the cerebellum network, which are supported by both literature and experimental evidence. Our systems-level, tissue-specific scheme advances over traditional global integration and analyses and establishes a prototype to address the tissue-specific effects of genetic perturbations, diseases and drugs.","author":[{"dropping-particle":"","family":"Guan","given":"Yuanfang","non-dropping-particle":"","parse-names":false,"suffix":""},{"dropping-particle":"","family":"Gorenshteyn","given":"Dmitriy","non-dropping-particle":"","parse-names":false,"suffix":""},{"dropping-particle":"","family":"Burmeister","given":"Margit","non-dropping-particle":"","parse-names":false,"suffix":""},{"dropping-particle":"","family":"Wong","given":"Aaron K","non-dropping-particle":"","parse-names":false,"suffix":""},{"dropping-particle":"","family":"Schimenti","given":"John C","non-dropping-particle":"","parse-names":false,"suffix":""},{"dropping-particle":"","family":"Handel","given":"Mary Ann","non-dropping-particle":"","parse-names":false,"suffix":""},{"dropping-particle":"","family":"Bult","given":"Carol J","non-dropping-particle":"","parse-names":false,"suffix":""},{"dropping-particle":"","family":"Hibbs","given":"Matthew A","non-dropping-particle":"","parse-names":false,"suffix":""},{"dropping-particle":"","family":"Troyanskaya","given":"Olga G","non-dropping-particle":"","parse-names":false,"suffix":""}],"container-title":"PLoS computational biology","id":"ITEM-2","issue":"9","issued":{"date-parts":[["2012"]]},"page":"e1002694","title":"Tissue-specific functional networks for prioritizing phenotype and disease genes.","type":"article-journal","volume":"8"},"uris":["http://www.mendeley.com/documents/?uuid=5bda62ee-21bc-4a80-a47b-5004efeaceb3","http://www.mendeley.com/documents/?uuid=551611bc-7e96-4509-9b05-883540407ccd"]},{"id":"ITEM-3","itemData":{"DOI":"10.1038/ng.3259","ISSN":"1546-1718","PMID":"25915600","abstract":"Tissue and cell-type identity lie at the core of human physiology and disease. Understanding the genetic underpinnings of complex tissues and individual cell lineages is crucial for developing improved diagnostics and therapeutics. We present genome-wide functional interaction networks for 144 human tissues and cell types developed using a data-driven Bayesian methodology that integrates thousands of diverse experiments spanning tissue and disease states. Tissue-specific networks predict lineage-specific responses to perturbation, identify the changing functional roles of genes across tissues and illuminate relationships among diseases. We introduce NetWAS, which combines genes with nominally significant genome-wide association study (GWAS) P values and tissue-specific networks to identify disease-gene associations more accurately than GWAS alone. Our webserver, GIANT, provides an interface to human tissue networks through multi-gene queries, network visualization, analysis tools including NetWAS and downloadable networks. GIANT enables systematic exploration of the landscape of interacting genes that shape specialized cellular functions across more than a hundred human tissues and cell types.","author":[{"dropping-particle":"","family":"Greene","given":"Casey S","non-dropping-particle":"","parse-names":false,"suffix":""},{"dropping-particle":"","family":"Krishnan","given":"Arjun","non-dropping-particle":"","parse-names":false,"suffix":""},{"dropping-particle":"","family":"Wong","given":"Aaron K","non-dropping-particle":"","parse-names":false,"suffix":""},{"dropping-particle":"","family":"Ricciotti","given":"Emanuela","non-dropping-particle":"","parse-names":false,"suffix":""},{"dropping-particle":"","family":"Zelaya","given":"Rene A","non-dropping-particle":"","parse-names":false,"suffix":""},{"dropping-particle":"","family":"Himmelstein","given":"Daniel S","non-dropping-particle":"","parse-names":false,"suffix":""},{"dropping-particle":"","family":"Zhang","given":"Ran","non-dropping-particle":"","parse-names":false,"suffix":""},{"dropping-particle":"","family":"Hartmann","given":"Boris M","non-dropping-particle":"","parse-names":false,"suffix":""},{"dropping-particle":"","family":"Zaslavsky","given":"Elena","non-dropping-particle":"","parse-names":false,"suffix":""},{"dropping-particle":"","family":"Sealfon","given":"Stuart C","non-dropping-particle":"","parse-names":false,"suffix":""},{"dropping-particle":"","family":"Chasman","given":"Daniel I","non-dropping-particle":"","parse-names":false,"suffix":""},{"dropping-particle":"","family":"FitzGerald","given":"Garret A","non-dropping-particle":"","parse-names":false,"suffix":""},{"dropping-particle":"","family":"Dolinski","given":"Kara","non-dropping-particle":"","parse-names":false,"suffix":""},{"dropping-particle":"","family":"Grosser","given":"Tilo","non-dropping-particle":"","parse-names":false,"suffix":""},{"dropping-particle":"","family":"Troyanskaya","given":"Olga G","non-dropping-particle":"","parse-names":false,"suffix":""}],"container-title":"Nature genetics","id":"ITEM-3","issue":"6","issued":{"date-parts":[["2015","6"]]},"page":"569-76","title":"Understanding multicellular function and disease with human tissue-specific networks.","type":"article-journal","volume":"47"},"uris":["http://www.mendeley.com/documents/?uuid=2e72058f-b7bd-4923-b8b6-0c5b7cff9c4f","http://www.mendeley.com/documents/?uuid=c0251ef2-b47a-4d0e-ab69-78880d48c756"]}],"mendeley":{"formattedCitation":"(25–27)","plainTextFormattedCitation":"(25–27)","previouslyFormattedCitation":"(25–27)"},"properties":{"noteIndex":0},"schema":"https://github.com/citation-style-language/schema/raw/master/csl-citation.json"}</w:instrText>
      </w:r>
      <w:r w:rsidR="003729AC">
        <w:rPr>
          <w:rFonts w:asciiTheme="minorHAnsi" w:hAnsiTheme="minorHAnsi" w:cstheme="minorHAnsi"/>
          <w:sz w:val="22"/>
          <w:szCs w:val="22"/>
        </w:rPr>
        <w:fldChar w:fldCharType="separate"/>
      </w:r>
      <w:r w:rsidR="00620042" w:rsidRPr="00620042">
        <w:rPr>
          <w:rFonts w:asciiTheme="minorHAnsi" w:hAnsiTheme="minorHAnsi" w:cstheme="minorHAnsi"/>
          <w:noProof/>
          <w:sz w:val="22"/>
          <w:szCs w:val="22"/>
        </w:rPr>
        <w:t>(25–27)</w:t>
      </w:r>
      <w:r w:rsidR="003729AC">
        <w:rPr>
          <w:rFonts w:asciiTheme="minorHAnsi" w:hAnsiTheme="minorHAnsi" w:cstheme="minorHAnsi"/>
          <w:sz w:val="22"/>
          <w:szCs w:val="22"/>
        </w:rPr>
        <w:fldChar w:fldCharType="end"/>
      </w:r>
      <w:r w:rsidR="003729AC">
        <w:rPr>
          <w:rFonts w:asciiTheme="minorHAnsi" w:hAnsiTheme="minorHAnsi" w:cstheme="minorHAnsi"/>
          <w:sz w:val="22"/>
          <w:szCs w:val="22"/>
        </w:rPr>
        <w:t xml:space="preserve">. As a consequence, if the disease pathophysiology is known to occur within a defined tissue or set of tissues, it may be desirable to </w:t>
      </w:r>
      <w:r w:rsidR="00921AB1">
        <w:rPr>
          <w:rFonts w:asciiTheme="minorHAnsi" w:hAnsiTheme="minorHAnsi" w:cstheme="minorHAnsi"/>
          <w:sz w:val="22"/>
          <w:szCs w:val="22"/>
        </w:rPr>
        <w:t>adopt tissue</w:t>
      </w:r>
      <w:r w:rsidR="00ED246C">
        <w:rPr>
          <w:rFonts w:asciiTheme="minorHAnsi" w:hAnsiTheme="minorHAnsi" w:cstheme="minorHAnsi"/>
          <w:sz w:val="22"/>
          <w:szCs w:val="22"/>
        </w:rPr>
        <w:t>-</w:t>
      </w:r>
      <w:r w:rsidR="00921AB1">
        <w:rPr>
          <w:rFonts w:asciiTheme="minorHAnsi" w:hAnsiTheme="minorHAnsi" w:cstheme="minorHAnsi"/>
          <w:sz w:val="22"/>
          <w:szCs w:val="22"/>
        </w:rPr>
        <w:t>specific molecular interaction netw</w:t>
      </w:r>
      <w:r w:rsidR="00076DFA">
        <w:rPr>
          <w:rFonts w:asciiTheme="minorHAnsi" w:hAnsiTheme="minorHAnsi" w:cstheme="minorHAnsi"/>
          <w:sz w:val="22"/>
          <w:szCs w:val="22"/>
        </w:rPr>
        <w:t>orks in the study of a disease.</w:t>
      </w:r>
    </w:p>
    <w:p w14:paraId="30F7B611" w14:textId="0AA7A5A8" w:rsidR="00E0649B" w:rsidRDefault="00AB0CE0" w:rsidP="00066430">
      <w:pPr>
        <w:spacing w:after="0"/>
        <w:jc w:val="both"/>
      </w:pPr>
      <w:r>
        <w:t xml:space="preserve">In the present study, we </w:t>
      </w:r>
      <w:r w:rsidR="00721695">
        <w:t>adopt network medicine appr</w:t>
      </w:r>
      <w:r w:rsidR="00687AE3">
        <w:t xml:space="preserve">oaches to identify </w:t>
      </w:r>
      <w:r w:rsidR="00070A3E">
        <w:t>molecular network</w:t>
      </w:r>
      <w:r w:rsidR="00834FC8">
        <w:t>s</w:t>
      </w:r>
      <w:r w:rsidR="00BF3A05">
        <w:t xml:space="preserve"> with the </w:t>
      </w:r>
      <w:r w:rsidR="00240AED">
        <w:t>optimal representation of</w:t>
      </w:r>
      <w:r w:rsidR="00BF3A05">
        <w:t xml:space="preserve"> </w:t>
      </w:r>
      <w:r w:rsidR="00ED54C8">
        <w:t>skeletal muscle (SM)</w:t>
      </w:r>
      <w:r w:rsidR="00834FC8">
        <w:t xml:space="preserve"> </w:t>
      </w:r>
      <w:r w:rsidR="00240AED">
        <w:t>functional associations</w:t>
      </w:r>
      <w:r w:rsidR="00070A3E">
        <w:t xml:space="preserve">. </w:t>
      </w:r>
      <w:r w:rsidR="00D338F5">
        <w:t>MIN</w:t>
      </w:r>
      <w:r w:rsidR="002C17BF">
        <w:t>s from a variety of predefined sources</w:t>
      </w:r>
      <w:r w:rsidR="00E0649B">
        <w:t xml:space="preserve"> are compared based on the ability to </w:t>
      </w:r>
      <w:r w:rsidR="00BF42BA">
        <w:t xml:space="preserve">capture </w:t>
      </w:r>
      <w:r w:rsidR="00E0649B">
        <w:t>muscle-relevant genes and gene ontology (GO) terms, tested in two different ways using two established biological network clustering algorithms, DIAMOnD</w:t>
      </w:r>
      <w:r w:rsidR="00276AB2">
        <w:t xml:space="preserve"> </w:t>
      </w:r>
      <w:r w:rsidR="00276AB2">
        <w:fldChar w:fldCharType="begin" w:fldLock="1"/>
      </w:r>
      <w:r w:rsidR="00276AB2">
        <w:instrText>ADDIN CSL_CITATION {"citationItems":[{"id":"ITEM-1","itemData":{"DOI":"10.1371/journal.pcbi.1004120","ISSN":"1553-7358","author":[{"dropping-particle":"","family":"Ghiassian","given":"Susan Dina","non-dropping-particle":"","parse-names":false,"suffix":""},{"dropping-particle":"","family":"Menche","given":"J?rg","non-dropping-particle":"","parse-names":false,"suffix":""},{"dropping-particle":"","family":"Barab?si","given":"Albert-L?szl?","non-dropping-particle":"","parse-names":false,"suffix":""}],"container-title":"PLOS Computational Biology","editor":[{"dropping-particle":"","family":"Rzhetsky","given":"Andrey","non-dropping-particle":"","parse-names":false,"suffix":""}],"id":"ITEM-1","issue":"4","issued":{"date-parts":[["2015","4","8"]]},"page":"e1004120","title":"A DIseAse MOdule Detection (DIAMOnD) Algorithm Derived from a Systematic Analysis of Connectivity Patterns of Disease Proteins in the Human Interactome","type":"article-journal","volume":"11"},"uris":["http://www.mendeley.com/documents/?uuid=06f4b186-b4ad-4836-b34a-fb36beebe2b4"]}],"mendeley":{"formattedCitation":"(28)","plainTextFormattedCitation":"(28)","previouslyFormattedCitation":"(28)"},"properties":{"noteIndex":0},"schema":"https://github.com/citation-style-language/schema/raw/master/csl-citation.json"}</w:instrText>
      </w:r>
      <w:r w:rsidR="00276AB2">
        <w:fldChar w:fldCharType="separate"/>
      </w:r>
      <w:r w:rsidR="00276AB2" w:rsidRPr="00276AB2">
        <w:rPr>
          <w:noProof/>
        </w:rPr>
        <w:t>(28)</w:t>
      </w:r>
      <w:r w:rsidR="00276AB2">
        <w:fldChar w:fldCharType="end"/>
      </w:r>
      <w:r w:rsidR="00276AB2">
        <w:t xml:space="preserve"> </w:t>
      </w:r>
      <w:r w:rsidR="00E0649B">
        <w:t>and DSD</w:t>
      </w:r>
      <w:r w:rsidR="00276AB2">
        <w:t xml:space="preserve"> </w:t>
      </w:r>
      <w:r w:rsidR="00276AB2">
        <w:fldChar w:fldCharType="begin" w:fldLock="1"/>
      </w:r>
      <w:r w:rsidR="00276AB2">
        <w:instrText>ADDIN CSL_CITATION {"citationItems":[{"id":"ITEM-1","itemData":{"DOI":"10.1371/journal.pone.0076339","ISSN":"1932-6203","PMID":"24194834","abstract":"In protein-protein interaction (PPI) networks, functional similarity is often inferred based on the function of directly interacting proteins, or more generally, some notion of interaction network proximity among proteins in a local neighborhood. Prior methods typically measure proximity as the shortest-path distance in the network, but this has only a limited ability to capture fine-grained neighborhood distinctions, because most proteins are close to each other, and there are many ties in proximity. We introduce diffusion state distance (DSD), a new metric based on a graph diffusion property, designed to capture finer-grained distinctions in proximity for transfer of functional annotation in PPI networks. We present a tool that, when input a PPI network, will output the DSD distances between every pair of proteins. We show that replacing the shortest-path metric by DSD improves the performance of classical function prediction methods across the board.","author":[{"dropping-particle":"","family":"Cao","given":"Mengfei","non-dropping-particle":"","parse-names":false,"suffix":""},{"dropping-particle":"","family":"Zhang","given":"Hao","non-dropping-particle":"","parse-names":false,"suffix":""},{"dropping-particle":"","family":"Park","given":"Jisoo","non-dropping-particle":"","parse-names":false,"suffix":""},{"dropping-particle":"","family":"Daniels","given":"Noah M","non-dropping-particle":"","parse-names":false,"suffix":""},{"dropping-particle":"","family":"Crovella","given":"Mark E","non-dropping-particle":"","parse-names":false,"suffix":""},{"dropping-particle":"","family":"Cowen","given":"Lenore J","non-dropping-particle":"","parse-names":false,"suffix":""},{"dropping-particle":"","family":"Hescott","given":"Benjamin","non-dropping-particle":"","parse-names":false,"suffix":""}],"container-title":"PloS one","id":"ITEM-1","issue":"10","issued":{"date-parts":[["2013"]]},"page":"e76339","title":"Going the distance for protein function prediction: a new distance metric for protein interaction networks.","type":"article-journal","volume":"8"},"uris":["http://www.mendeley.com/documents/?uuid=9072ff0f-c2cd-41bc-96d6-ce24a03bd002"]},{"id":"ITEM-2","itemData":{"DOI":"10.1093/bioinformatics/btu263","ISSN":"1367-4811","PMID":"24931987","abstract":"MOTIVATION It has long been hypothesized that incorporating models of network noise as well as edge directions and known pathway information into the representation of protein-protein interaction (PPI) networks might improve their utility for functional inference. However, a simple way to do this has not been obvious. We find that diffusion state distance (DSD), our recent diffusion-based metric for measuring dissimilarity in PPI networks, has natural extensions that incorporate confidence, directions and can even express coherent pathways by calculating DSD on an augmented graph. RESULTS We define three incremental versions of DSD which we term cDSD, caDSD and capDSD, where the capDSD matrix incorporates confidence, known directed edges, and pathways into the measure of how similar each pair of nodes is according to the structure of the PPI network. We test four popular function prediction methods (majority vote, weighted majority vote, multi-way cut and functional flow) using these different matrices on the Baker's yeast PPI network in cross-validation. The best performing method is weighted majority vote using capDSD. We then test the performance of our augmented DSD methods on an integrated heterogeneous set of protein association edges from the STRING database. The superior performance of capDSD in this context confirms that treating the pathways as probabilistic units is more powerful than simply incorporating pathway edges independently into the network. AVAILABILITY All source code for calculating the confidences, for extracting pathway information from KEGG XML files, and for calculating the cDSD, caDSD and capDSD matrices are available from http://dsd.cs.tufts.edu/capdsd","author":[{"dropping-particle":"","family":"Cao","given":"Mengfei","non-dropping-particle":"","parse-names":false,"suffix":""},{"dropping-particle":"","family":"Pietras","given":"Christopher M","non-dropping-particle":"","parse-names":false,"suffix":""},{"dropping-particle":"","family":"Feng","given":"Xian","non-dropping-particle":"","parse-names":false,"suffix":""},{"dropping-particle":"","family":"Doroschak","given":"Kathryn J","non-dropping-particle":"","parse-names":false,"suffix":""},{"dropping-particle":"","family":"Schaffner","given":"Thomas","non-dropping-particle":"","parse-names":false,"suffix":""},{"dropping-particle":"","family":"Park","given":"Jisoo","non-dropping-particle":"","parse-names":false,"suffix":""},{"dropping-particle":"","family":"Zhang","given":"Hao","non-dropping-particle":"","parse-names":false,"suffix":""},{"dropping-particle":"","family":"Cowen","given":"Lenore J","non-dropping-particle":"","parse-names":false,"suffix":""},{"dropping-particle":"","family":"Hescott","given":"Benjamin J","non-dropping-particle":"","parse-names":false,"suffix":""}],"container-title":"Bioinformatics (Oxford, England)","id":"ITEM-2","issue":"12","issued":{"date-parts":[["2014","6"]]},"page":"i219-27","title":"New directions for diffusion-based network prediction of protein function: incorporating pathways with confidence.","type":"article-journal","volume":"30"},"uris":["http://www.mendeley.com/documents/?uuid=68b380e8-192a-44b6-9d2b-d0b24a8b0507"]}],"mendeley":{"formattedCitation":"(29,30)","plainTextFormattedCitation":"(29,30)","previouslyFormattedCitation":"(29,30)"},"properties":{"noteIndex":0},"schema":"https://github.com/citation-style-language/schema/raw/master/csl-citation.json"}</w:instrText>
      </w:r>
      <w:r w:rsidR="00276AB2">
        <w:fldChar w:fldCharType="separate"/>
      </w:r>
      <w:r w:rsidR="00276AB2" w:rsidRPr="00276AB2">
        <w:rPr>
          <w:noProof/>
        </w:rPr>
        <w:t>(29,30)</w:t>
      </w:r>
      <w:r w:rsidR="00276AB2">
        <w:fldChar w:fldCharType="end"/>
      </w:r>
      <w:r w:rsidR="00276AB2">
        <w:t xml:space="preserve">. </w:t>
      </w:r>
      <w:r w:rsidR="00BF42BA">
        <w:t xml:space="preserve">After </w:t>
      </w:r>
      <w:r w:rsidR="007C4419">
        <w:t>identif</w:t>
      </w:r>
      <w:r w:rsidR="00BF42BA">
        <w:t>ying</w:t>
      </w:r>
      <w:r w:rsidR="007C4419">
        <w:t xml:space="preserve"> </w:t>
      </w:r>
      <w:r w:rsidR="00834FC8">
        <w:t>the best performing</w:t>
      </w:r>
      <w:r w:rsidR="00BF42BA">
        <w:t xml:space="preserve"> single-source </w:t>
      </w:r>
      <w:r w:rsidR="00834FC8">
        <w:t xml:space="preserve">molecular interaction </w:t>
      </w:r>
      <w:r w:rsidR="00BF42BA">
        <w:t>networks</w:t>
      </w:r>
      <w:r w:rsidR="00834FC8">
        <w:t xml:space="preserve">, </w:t>
      </w:r>
      <w:r w:rsidR="00BF42BA">
        <w:t>combined networks derived of different sources are then tested.</w:t>
      </w:r>
    </w:p>
    <w:p w14:paraId="756DE249" w14:textId="646C7CAC" w:rsidR="00F77628" w:rsidRDefault="00BF49F4" w:rsidP="00066430">
      <w:pPr>
        <w:spacing w:after="0"/>
        <w:jc w:val="both"/>
        <w:rPr>
          <w:lang w:val="en"/>
        </w:rPr>
      </w:pPr>
      <w:r>
        <w:t xml:space="preserve"> </w:t>
      </w:r>
    </w:p>
    <w:p w14:paraId="138F1105" w14:textId="77777777" w:rsidR="00F77628" w:rsidRDefault="00A63B72" w:rsidP="00066430">
      <w:pPr>
        <w:pStyle w:val="Heading1"/>
        <w:jc w:val="both"/>
      </w:pPr>
      <w:r>
        <w:t xml:space="preserve">Materials and </w:t>
      </w:r>
      <w:r w:rsidR="00F77628">
        <w:t>Methods</w:t>
      </w:r>
    </w:p>
    <w:p w14:paraId="728CA216" w14:textId="77777777" w:rsidR="00F77628" w:rsidRDefault="00F77628" w:rsidP="00066430">
      <w:pPr>
        <w:spacing w:after="0"/>
        <w:jc w:val="both"/>
      </w:pPr>
    </w:p>
    <w:p w14:paraId="18332BD1" w14:textId="77777777" w:rsidR="00F77628" w:rsidRPr="00AC4916" w:rsidRDefault="002B3E95" w:rsidP="00066430">
      <w:pPr>
        <w:jc w:val="both"/>
        <w:rPr>
          <w:b/>
        </w:rPr>
      </w:pPr>
      <w:r w:rsidRPr="00AC4916">
        <w:rPr>
          <w:b/>
        </w:rPr>
        <w:t>Molecular Network data</w:t>
      </w:r>
    </w:p>
    <w:p w14:paraId="7E24B448" w14:textId="77777777" w:rsidR="0082074F" w:rsidRDefault="0082074F" w:rsidP="00066430">
      <w:pPr>
        <w:pStyle w:val="Heading3"/>
        <w:jc w:val="both"/>
        <w:rPr>
          <w:rFonts w:asciiTheme="minorHAnsi" w:eastAsiaTheme="minorHAnsi" w:hAnsiTheme="minorHAnsi" w:cstheme="minorBidi"/>
          <w:color w:val="auto"/>
          <w:sz w:val="22"/>
          <w:szCs w:val="22"/>
        </w:rPr>
      </w:pPr>
    </w:p>
    <w:p w14:paraId="3A54F41C" w14:textId="47B01F77" w:rsidR="00022536" w:rsidRDefault="00BD6BF8" w:rsidP="00066430">
      <w:pPr>
        <w:spacing w:after="0"/>
        <w:jc w:val="both"/>
      </w:pPr>
      <w:r>
        <w:t xml:space="preserve">To compare the performance of </w:t>
      </w:r>
      <w:r w:rsidR="00CA1823">
        <w:t>MINs</w:t>
      </w:r>
      <w:r>
        <w:t xml:space="preserve">, </w:t>
      </w:r>
      <w:r w:rsidR="00CA1823">
        <w:t xml:space="preserve">representing a mix of functional association types and tissue-specificity, </w:t>
      </w:r>
      <w:r w:rsidR="00605A0F">
        <w:t xml:space="preserve">an appropriate range of </w:t>
      </w:r>
      <w:r w:rsidR="00340223">
        <w:t xml:space="preserve">sources had </w:t>
      </w:r>
      <w:r>
        <w:t>to be selected</w:t>
      </w:r>
      <w:r w:rsidR="00FC4C98">
        <w:t>. A summary of t</w:t>
      </w:r>
      <w:r w:rsidR="00605A0F">
        <w:t>he MINs</w:t>
      </w:r>
      <w:r w:rsidR="001A3648">
        <w:t xml:space="preserve"> chosen for this </w:t>
      </w:r>
      <w:r w:rsidR="00340223">
        <w:t>step</w:t>
      </w:r>
      <w:r w:rsidR="00FC4C98">
        <w:t>, their interaction type, source and network attributes can be found in Table 1.</w:t>
      </w:r>
      <w:r w:rsidR="002B3E95">
        <w:t xml:space="preserve"> </w:t>
      </w:r>
      <w:r w:rsidR="00A71F9E">
        <w:t xml:space="preserve">MINs </w:t>
      </w:r>
      <w:r w:rsidR="00770CB2">
        <w:t>containing large number</w:t>
      </w:r>
      <w:r w:rsidR="00340223">
        <w:t>s</w:t>
      </w:r>
      <w:r w:rsidR="00770CB2">
        <w:t xml:space="preserve"> of interactions can be computationally intensive </w:t>
      </w:r>
      <w:r w:rsidR="00A71F9E">
        <w:t xml:space="preserve">to </w:t>
      </w:r>
      <w:r w:rsidR="00CA1823">
        <w:t>analyse</w:t>
      </w:r>
      <w:r w:rsidR="00A71F9E">
        <w:t xml:space="preserve">. </w:t>
      </w:r>
      <w:r w:rsidR="00340223">
        <w:t>For this reason,</w:t>
      </w:r>
      <w:r w:rsidR="00A71F9E">
        <w:t xml:space="preserve"> for MINs</w:t>
      </w:r>
      <w:r w:rsidR="00770CB2">
        <w:t xml:space="preserve"> with a large number of interactions, we have sorted the interactions by their interaction evidence score </w:t>
      </w:r>
      <w:r w:rsidR="00340223">
        <w:t xml:space="preserve">(i.e. edge weight) </w:t>
      </w:r>
      <w:r w:rsidR="00770CB2">
        <w:t>and taken the top 5,500,000 interactions as the largest network size.</w:t>
      </w:r>
      <w:r w:rsidR="00BB1DA4">
        <w:t xml:space="preserve"> We </w:t>
      </w:r>
      <w:r w:rsidR="00F61852">
        <w:t xml:space="preserve">also </w:t>
      </w:r>
      <w:r w:rsidR="00340223">
        <w:t xml:space="preserve">tested </w:t>
      </w:r>
      <w:r w:rsidR="00C933ED">
        <w:t>a range of edge weight cut</w:t>
      </w:r>
      <w:r w:rsidR="00340223">
        <w:t>-</w:t>
      </w:r>
      <w:r w:rsidR="00C933ED">
        <w:t xml:space="preserve">offs </w:t>
      </w:r>
      <w:r w:rsidR="00B038AB">
        <w:t xml:space="preserve">to </w:t>
      </w:r>
      <w:r w:rsidR="00340223">
        <w:t>examine the</w:t>
      </w:r>
      <w:r w:rsidR="00F61852">
        <w:t xml:space="preserve"> effect </w:t>
      </w:r>
      <w:r w:rsidR="00340223">
        <w:t>of edge evidence scores on network clustering</w:t>
      </w:r>
      <w:r w:rsidR="007D0323">
        <w:t>.</w:t>
      </w:r>
      <w:r w:rsidR="00BB1DA4">
        <w:t xml:space="preserve"> The results of clustering networks of varying edge score weight cut</w:t>
      </w:r>
      <w:r w:rsidR="00340223">
        <w:t>-</w:t>
      </w:r>
      <w:r w:rsidR="00BB1DA4">
        <w:t>off can be viewed in the supplementary materials</w:t>
      </w:r>
      <w:r w:rsidR="001A3648">
        <w:t xml:space="preserve"> (</w:t>
      </w:r>
      <w:r w:rsidR="000B1C4F">
        <w:t>F</w:t>
      </w:r>
      <w:r w:rsidR="001A3648">
        <w:t xml:space="preserve">igure </w:t>
      </w:r>
      <w:r w:rsidR="00A85B7B">
        <w:t>S</w:t>
      </w:r>
      <w:r w:rsidR="000B1C4F">
        <w:t>1</w:t>
      </w:r>
      <w:r w:rsidR="005437AF">
        <w:t>)</w:t>
      </w:r>
      <w:r w:rsidR="00BB1DA4">
        <w:t xml:space="preserve">. </w:t>
      </w:r>
      <w:r w:rsidR="00340223">
        <w:t>When selecting networks based on performance, priority was given to</w:t>
      </w:r>
      <w:r w:rsidR="00A67739">
        <w:t xml:space="preserve"> larger MINs as these contained the most interaction information, </w:t>
      </w:r>
      <w:r w:rsidR="00340223">
        <w:t>except if a</w:t>
      </w:r>
      <w:r w:rsidR="00A67739">
        <w:t xml:space="preserve"> smaller filtered network had a clear</w:t>
      </w:r>
      <w:r w:rsidR="00022536">
        <w:t xml:space="preserve"> increase in performance </w:t>
      </w:r>
      <w:r w:rsidR="00340223">
        <w:t>with either DIAMOnD or DSD</w:t>
      </w:r>
      <w:r w:rsidR="00022536">
        <w:t>.</w:t>
      </w:r>
      <w:r w:rsidR="00A67739">
        <w:t xml:space="preserve"> </w:t>
      </w:r>
      <w:r w:rsidR="00340223">
        <w:t>As different network sources used varying methods to define edge weights</w:t>
      </w:r>
      <w:r w:rsidR="001E082D">
        <w:t>, all network edge weights used in this study have been rescaled between 0 – 1, with 1 representing the interaction with the highest edge w</w:t>
      </w:r>
      <w:r w:rsidR="0002037F">
        <w:t>eight score for a given network</w:t>
      </w:r>
      <w:r w:rsidR="00340223">
        <w:t>, in order</w:t>
      </w:r>
      <w:r w:rsidR="00340223" w:rsidRPr="00340223">
        <w:t xml:space="preserve"> </w:t>
      </w:r>
      <w:r w:rsidR="00340223">
        <w:t xml:space="preserve">to ensure that the different methods used to define edge weights would not </w:t>
      </w:r>
      <w:r w:rsidR="00EB389D">
        <w:t>bias the</w:t>
      </w:r>
      <w:r w:rsidR="00340223">
        <w:t xml:space="preserve"> distance metrics applied </w:t>
      </w:r>
      <w:r w:rsidR="00EB389D">
        <w:t>by</w:t>
      </w:r>
      <w:r w:rsidR="00340223">
        <w:t xml:space="preserve"> the clustering algorithms.</w:t>
      </w:r>
    </w:p>
    <w:p w14:paraId="2CD30569" w14:textId="77777777" w:rsidR="0002037F" w:rsidRPr="0002037F" w:rsidRDefault="0002037F" w:rsidP="00066430">
      <w:pPr>
        <w:spacing w:after="0"/>
        <w:jc w:val="both"/>
      </w:pPr>
    </w:p>
    <w:p w14:paraId="19CACE8A" w14:textId="77777777" w:rsidR="00A63B72" w:rsidRPr="00AC4916" w:rsidRDefault="00DB13AF" w:rsidP="00066430">
      <w:pPr>
        <w:jc w:val="both"/>
        <w:rPr>
          <w:b/>
        </w:rPr>
      </w:pPr>
      <w:r w:rsidRPr="00AC4916">
        <w:rPr>
          <w:b/>
        </w:rPr>
        <w:t>Physical</w:t>
      </w:r>
      <w:r w:rsidR="007974C0" w:rsidRPr="00AC4916">
        <w:rPr>
          <w:b/>
        </w:rPr>
        <w:t xml:space="preserve"> Interaction data</w:t>
      </w:r>
    </w:p>
    <w:p w14:paraId="19E4ABDA" w14:textId="345A4CCB" w:rsidR="00E1441C" w:rsidRDefault="00F867C8" w:rsidP="00066430">
      <w:pPr>
        <w:spacing w:after="0"/>
        <w:jc w:val="both"/>
      </w:pPr>
      <w:r>
        <w:t xml:space="preserve">To </w:t>
      </w:r>
      <w:r w:rsidR="00124B53">
        <w:t>use as a</w:t>
      </w:r>
      <w:r w:rsidR="00486CD2">
        <w:t xml:space="preserve"> PPI network</w:t>
      </w:r>
      <w:r w:rsidR="00CA1823" w:rsidRPr="00CA1823">
        <w:t xml:space="preserve"> </w:t>
      </w:r>
      <w:r w:rsidR="00CA1823">
        <w:t>(tissue-generic)</w:t>
      </w:r>
      <w:r w:rsidR="00486CD2">
        <w:t xml:space="preserve">, we downloaded the full protein interaction network from </w:t>
      </w:r>
      <w:r w:rsidR="00831885">
        <w:t xml:space="preserve">the </w:t>
      </w:r>
      <w:r w:rsidR="00486CD2">
        <w:t>STRING</w:t>
      </w:r>
      <w:r w:rsidR="00831885">
        <w:t xml:space="preserve"> database</w:t>
      </w:r>
      <w:r w:rsidR="00486CD2">
        <w:t xml:space="preserve"> </w:t>
      </w:r>
      <w:r w:rsidR="00831885">
        <w:t xml:space="preserve">v10.5 </w:t>
      </w:r>
      <w:r w:rsidR="00486CD2">
        <w:t>(</w:t>
      </w:r>
      <w:hyperlink r:id="rId11" w:history="1">
        <w:r w:rsidR="00486CD2" w:rsidRPr="005D395C">
          <w:rPr>
            <w:rStyle w:val="Hyperlink"/>
          </w:rPr>
          <w:t>https://string-db.org/</w:t>
        </w:r>
      </w:hyperlink>
      <w:r w:rsidR="00486CD2">
        <w:t>)</w:t>
      </w:r>
      <w:r w:rsidR="0022684D">
        <w:t xml:space="preserve"> for </w:t>
      </w:r>
      <w:r w:rsidR="00C64949" w:rsidRPr="003C5E37">
        <w:rPr>
          <w:i/>
          <w:iCs/>
        </w:rPr>
        <w:t xml:space="preserve">Homo </w:t>
      </w:r>
      <w:r w:rsidR="0022684D" w:rsidRPr="003C5E37">
        <w:rPr>
          <w:i/>
          <w:iCs/>
        </w:rPr>
        <w:t>sapiens</w:t>
      </w:r>
      <w:r w:rsidR="00486CD2">
        <w:t>.</w:t>
      </w:r>
      <w:r w:rsidR="00831885">
        <w:t xml:space="preserve"> STRING integrates known and predicted </w:t>
      </w:r>
      <w:r>
        <w:t>protein-protein</w:t>
      </w:r>
      <w:r w:rsidR="00831885">
        <w:t xml:space="preserve"> interactions for both direct (physical) and indirect (functional)</w:t>
      </w:r>
      <w:r w:rsidR="00486CD2">
        <w:t xml:space="preserve"> </w:t>
      </w:r>
      <w:r w:rsidR="00831885">
        <w:t>associations</w:t>
      </w:r>
      <w:r w:rsidR="00124B53">
        <w:t>, and</w:t>
      </w:r>
      <w:r w:rsidR="00831885">
        <w:t xml:space="preserve"> converges multiple resources and evidence streams to </w:t>
      </w:r>
      <w:r w:rsidR="00124B53">
        <w:t>define a</w:t>
      </w:r>
      <w:r w:rsidR="00831885">
        <w:t xml:space="preserve"> confidence score for a given </w:t>
      </w:r>
      <w:r w:rsidR="00124B53">
        <w:t>PPI</w:t>
      </w:r>
      <w:r>
        <w:t xml:space="preserve">. </w:t>
      </w:r>
      <w:r w:rsidR="003E1AF4">
        <w:t>These include</w:t>
      </w:r>
      <w:r w:rsidR="0098121B">
        <w:t xml:space="preserve"> data from g</w:t>
      </w:r>
      <w:r w:rsidR="003E1AF4">
        <w:t>enomic context predictions, high</w:t>
      </w:r>
      <w:r w:rsidR="00124B53">
        <w:t>-</w:t>
      </w:r>
      <w:r w:rsidR="003E1AF4">
        <w:t>throug</w:t>
      </w:r>
      <w:r w:rsidR="0098121B">
        <w:t xml:space="preserve">hput lab experiments, </w:t>
      </w:r>
      <w:r w:rsidR="000F45F1">
        <w:t xml:space="preserve">gene </w:t>
      </w:r>
      <w:r w:rsidR="003E1AF4">
        <w:t xml:space="preserve">co-expression, automated </w:t>
      </w:r>
      <w:r w:rsidR="0098121B">
        <w:t>text mining</w:t>
      </w:r>
      <w:r w:rsidR="003E1AF4">
        <w:t xml:space="preserve"> </w:t>
      </w:r>
      <w:r w:rsidR="000F45F1">
        <w:t xml:space="preserve">of published literature </w:t>
      </w:r>
      <w:r w:rsidR="003E1AF4">
        <w:t>and previous knowledge databases</w:t>
      </w:r>
      <w:r w:rsidR="00921AB1">
        <w:t xml:space="preserve"> </w:t>
      </w:r>
      <w:r w:rsidR="00921AB1">
        <w:fldChar w:fldCharType="begin" w:fldLock="1"/>
      </w:r>
      <w:r w:rsidR="00276AB2">
        <w:instrText>ADDIN CSL_CITATION {"citationItems":[{"id":"ITEM-1","itemData":{"DOI":"10.1093/nar/gku1003","ISSN":"1362-4962","PMID":"25352553","abstract":"The many functional partnerships and interactions that occur between proteins are at the core of cellular processing and their systematic characterization helps to provide context in molecular systems biology. However, known and predicted interactions are scattered over multiple resources, and the available data exhibit notable differences in terms of quality and completeness. The STRING database (http://string-db.org) aims to provide a critical assessment and integration of protein-protein interactions, including direct (physical) as well as indirect (functional) associations. The new version 10.0 of STRING covers more than 2000 organisms, which has necessitated novel, scalable algorithms for transferring interaction information between organisms. For this purpose, we have introduced hierarchical and self-consistent orthology annotations for all interacting proteins, grouping the proteins into families at various levels of phylogenetic resolution. Further improvements in version 10.0 include a completely redesigned prediction pipeline for inferring protein-protein associations from co-expression data, an API interface for the R computing environment and improved statistical analysis for enrichment tests in user-provided networks.","author":[{"dropping-particle":"","family":"Szklarczyk","given":"Damian","non-dropping-particle":"","parse-names":false,"suffix":""},{"dropping-particle":"","family":"Franceschini","given":"Andrea","non-dropping-particle":"","parse-names":false,"suffix":""},{"dropping-particle":"","family":"Wyder","given":"Stefan","non-dropping-particle":"","parse-names":false,"suffix":""},{"dropping-particle":"","family":"Forslund","given":"Kristoffer","non-dropping-particle":"","parse-names":false,"suffix":""},{"dropping-particle":"","family":"Heller","given":"Davide","non-dropping-particle":"","parse-names":false,"suffix":""},{"dropping-particle":"","family":"Huerta-Cepas","given":"Jaime","non-dropping-particle":"","parse-names":false,"suffix":""},{"dropping-particle":"","family":"Simonovic","given":"Milan","non-dropping-particle":"","parse-names":false,"suffix":""},{"dropping-particle":"","family":"Roth","given":"Alexander","non-dropping-particle":"","parse-names":false,"suffix":""},{"dropping-particle":"","family":"Santos","given":"Alberto","non-dropping-particle":"","parse-names":false,"suffix":""},{"dropping-particle":"","family":"Tsafou","given":"Kalliopi P","non-dropping-particle":"","parse-names":false,"suffix":""},{"dropping-particle":"","family":"Kuhn","given":"Michael","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research","id":"ITEM-1","issue":"Database issue","issued":{"date-parts":[["2015","1"]]},"page":"D447-52","title":"STRING v10: protein-protein interaction networks, integrated over the tree of life.","type":"article-journal","volume":"43"},"uris":["http://www.mendeley.com/documents/?uuid=5e386ded-58e4-4303-8c24-f46efb13fe4a","http://www.mendeley.com/documents/?uuid=5acac14c-15a4-465e-98cc-fb2a55f0c711"]},{"id":"ITEM-2","itemData":{"DOI":"10.1093/nar/gkw937","ISSN":"1362-4962","PMID":"27924014","abstract":"A system-wide understanding of cellular function requires knowledge of all functional interactions between the expressed proteins. The STRING database aims to collect and integrate this information, by consolidating known and predicted protein-protein association data for a large number of organisms. The associations in STRING include direct (physical) interactions, as well as indirect (functional) interactions, as long as both are specific and biologically meaningful. Apart from collecting and reassessing available experimental data on protein-protein interactions, and importing known pathways and protein complexes from curated databases, interaction predictions are derived from the following sources: (i) systematic co-expression analysis, (ii) detection of shared selective signals across genomes, (iii) automated text-mining of the scientific literature and (iv) computational transfer of interaction knowledge between organisms based on gene orthology. In the latest version 10.5 of STRING, the biggest changes are concerned with data dissemination: the web frontend has been completely redesigned to reduce dependency on outdated browser technologies, and the database can now also be queried from inside the popular Cytoscape software framework. Further improvements include automated background analysis of user inputs for functional enrichments, and streamlined download options. The STRING resource is available online, at http://string-db.org/.","author":[{"dropping-particle":"","family":"Szklarczyk","given":"Damian","non-dropping-particle":"","parse-names":false,"suffix":""},{"dropping-particle":"","family":"Morris","given":"John H","non-dropping-particle":"","parse-names":false,"suffix":""},{"dropping-particle":"","family":"Cook","given":"Helen","non-dropping-particle":"","parse-names":false,"suffix":""},{"dropping-particle":"","family":"Kuhn","given":"Michael","non-dropping-particle":"","parse-names":false,"suffix":""},{"dropping-particle":"","family":"Wyder","given":"Stefan","non-dropping-particle":"","parse-names":false,"suffix":""},{"dropping-particle":"","family":"Simonovic","given":"Milan","non-dropping-particle":"","parse-names":false,"suffix":""},{"dropping-particle":"","family":"Santos","given":"Alberto","non-dropping-particle":"","parse-names":false,"suffix":""},{"dropping-particle":"","family":"Doncheva","given":"Nadezhda T","non-dropping-particle":"","parse-names":false,"suffix":""},{"dropping-particle":"","family":"Roth","given":"Alexander","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research","id":"ITEM-2","issue":"D1","issued":{"date-parts":[["2017"]]},"page":"D362-D368","title":"The STRING database in 2017: quality-controlled protein-protein association networks, made broadly accessible.","type":"article-journal","volume":"45"},"uris":["http://www.mendeley.com/documents/?uuid=72f1cb60-7f26-4d8a-9ea2-894443cb741c"]}],"mendeley":{"formattedCitation":"(31,32)","plainTextFormattedCitation":"(31,32)","previouslyFormattedCitation":"(31,32)"},"properties":{"noteIndex":0},"schema":"https://github.com/citation-style-language/schema/raw/master/csl-citation.json"}</w:instrText>
      </w:r>
      <w:r w:rsidR="00921AB1">
        <w:fldChar w:fldCharType="separate"/>
      </w:r>
      <w:r w:rsidR="00276AB2" w:rsidRPr="00276AB2">
        <w:rPr>
          <w:noProof/>
        </w:rPr>
        <w:t>(31,32)</w:t>
      </w:r>
      <w:r w:rsidR="00921AB1">
        <w:fldChar w:fldCharType="end"/>
      </w:r>
      <w:r w:rsidR="003E1AF4">
        <w:t>.</w:t>
      </w:r>
      <w:r w:rsidR="00921AB1">
        <w:t xml:space="preserve"> </w:t>
      </w:r>
      <w:r w:rsidR="003E1AF4">
        <w:t xml:space="preserve"> </w:t>
      </w:r>
      <w:r w:rsidR="0093307E">
        <w:t>The STRING</w:t>
      </w:r>
      <w:r w:rsidR="00913F6D">
        <w:t xml:space="preserve"> </w:t>
      </w:r>
      <w:r w:rsidR="00124B53">
        <w:t xml:space="preserve">network </w:t>
      </w:r>
      <w:r w:rsidR="00913F6D">
        <w:t>contai</w:t>
      </w:r>
      <w:r w:rsidR="0022684D">
        <w:t>ns protein interactions in the</w:t>
      </w:r>
      <w:r w:rsidR="00913F6D">
        <w:t xml:space="preserve"> Ensembl Protein iden</w:t>
      </w:r>
      <w:r w:rsidR="0022684D">
        <w:t xml:space="preserve">tifier format. </w:t>
      </w:r>
      <w:r w:rsidR="00124B53">
        <w:t>Updates to Ensembl are more frequent than to STRING, so that n</w:t>
      </w:r>
      <w:r w:rsidR="0022684D">
        <w:t>umerous</w:t>
      </w:r>
      <w:r w:rsidR="00913F6D">
        <w:t xml:space="preserve"> Ensembl Protein identifiers contained in the network download have been made redundant or have been updated to a new identifier. </w:t>
      </w:r>
      <w:r w:rsidR="00124B53">
        <w:t>To account for this,</w:t>
      </w:r>
      <w:r w:rsidR="00913F6D">
        <w:t xml:space="preserve"> we mapped all Ensembl Protein identifiers to </w:t>
      </w:r>
      <w:r w:rsidR="0022684D">
        <w:t>their current identifier or</w:t>
      </w:r>
      <w:r w:rsidR="00913F6D">
        <w:t xml:space="preserve"> removed those that have been made redundant via the </w:t>
      </w:r>
      <w:r w:rsidR="001403FE">
        <w:t xml:space="preserve">Ensembl </w:t>
      </w:r>
      <w:r w:rsidR="00913F6D">
        <w:t>ID History Converter</w:t>
      </w:r>
      <w:r w:rsidR="001403FE">
        <w:t xml:space="preserve"> (</w:t>
      </w:r>
      <w:hyperlink r:id="rId12" w:history="1">
        <w:r w:rsidR="001403FE" w:rsidRPr="001105BD">
          <w:rPr>
            <w:rStyle w:val="Hyperlink"/>
          </w:rPr>
          <w:t>http://www.ensembl.org/Homo_sapiens/Tools/IDMapper</w:t>
        </w:r>
      </w:hyperlink>
      <w:r w:rsidR="001403FE">
        <w:t xml:space="preserve">). We updated all Ensembl protein identifiers to be aligned to the Ensembl 98 release. </w:t>
      </w:r>
      <w:r w:rsidR="00913F6D">
        <w:t>Ensembl protein identifiers</w:t>
      </w:r>
      <w:r w:rsidR="00124B53">
        <w:t xml:space="preserve"> distinguish isoforms</w:t>
      </w:r>
      <w:r w:rsidR="00805664">
        <w:t>,</w:t>
      </w:r>
      <w:r w:rsidR="00913F6D">
        <w:t xml:space="preserve"> </w:t>
      </w:r>
      <w:r w:rsidR="00124B53">
        <w:t xml:space="preserve">so that </w:t>
      </w:r>
      <w:r w:rsidR="00913F6D">
        <w:t>there may be multiple identifiers for a given gene</w:t>
      </w:r>
      <w:r w:rsidR="00805664">
        <w:t>. Since</w:t>
      </w:r>
      <w:r w:rsidR="00124B53">
        <w:t xml:space="preserve"> we are working at the gene or pathwa</w:t>
      </w:r>
      <w:r w:rsidR="00372B15">
        <w:t>y</w:t>
      </w:r>
      <w:r w:rsidR="00124B53">
        <w:t xml:space="preserve"> level,</w:t>
      </w:r>
      <w:r w:rsidR="0022684D">
        <w:t xml:space="preserve"> we converted the STRING network Ensembl protein identifiers to thei</w:t>
      </w:r>
      <w:r w:rsidR="00963120">
        <w:t>r equivalent HGNC symbols</w:t>
      </w:r>
      <w:r w:rsidR="00124B53">
        <w:t>,</w:t>
      </w:r>
      <w:r w:rsidR="001403FE">
        <w:t xml:space="preserve"> </w:t>
      </w:r>
      <w:r w:rsidR="00124B53">
        <w:t>using</w:t>
      </w:r>
      <w:r w:rsidR="001403FE">
        <w:t xml:space="preserve"> the Biomart Ensembl web interface (</w:t>
      </w:r>
      <w:hyperlink r:id="rId13" w:history="1">
        <w:r w:rsidR="001403FE" w:rsidRPr="001105BD">
          <w:rPr>
            <w:rStyle w:val="Hyperlink"/>
          </w:rPr>
          <w:t>https://m.ensembl.org/biomart/martview/</w:t>
        </w:r>
      </w:hyperlink>
      <w:r w:rsidR="001403FE">
        <w:t xml:space="preserve">) </w:t>
      </w:r>
      <w:r w:rsidR="001403FE">
        <w:fldChar w:fldCharType="begin" w:fldLock="1"/>
      </w:r>
      <w:r w:rsidR="00276AB2">
        <w:instrText>ADDIN CSL_CITATION {"citationItems":[{"id":"ITEM-1","itemData":{"DOI":"10.1093/nar/gkv350","ISSN":"1362-4962","PMID":"25897122","abstract":"The BioMart Community Portal (www.biomart.org) is a community-driven effort to provide a unified interface to biomedical databases that are distributed worldwide. The portal provides access to numerous database projects supported by 30 scientific organizations. It includes over 800 different biological datasets spanning genomics, proteomics, model organisms, cancer data, ontology information and more. All resources available through the portal are independently administered and funded by their host organizations. The BioMart data federation technology provides a unified interface to all the available data. The latest version of the portal comes with many new databases that have been created by our ever-growing community. It also comes with better support and extensibility for data analysis and visualization tools. A new addition to our toolbox, the enrichment analysis tool is now accessible through graphical and web service interface. The BioMart community portal averages over one million requests per day. Building on this level of service and the wealth of information that has become available, the BioMart Community Portal has introduced a new, more scalable and cheaper alternative to the large data stores maintained by specialized organizations.","author":[{"dropping-particle":"","family":"Smedley","given":"Damian","non-dropping-particle":"","parse-names":false,"suffix":""},{"dropping-particle":"","family":"Haider","given":"Syed","non-dropping-particle":"","parse-names":false,"suffix":""},{"dropping-particle":"","family":"Durinck","given":"Steffen","non-dropping-particle":"","parse-names":false,"suffix":""},{"dropping-particle":"","family":"Pandini","given":"Luca","non-dropping-particle":"","parse-names":false,"suffix":""},{"dropping-particle":"","family":"Provero","given":"Paolo","non-dropping-particle":"","parse-names":false,"suffix":""},{"dropping-particle":"","family":"Allen","given":"James","non-dropping-particle":"","parse-names":false,"suffix":""},{"dropping-particle":"","family":"Arnaiz","given":"Olivier","non-dropping-particle":"","parse-names":false,"suffix":""},{"dropping-particle":"","family":"Awedh","given":"Mohammad Hamza","non-dropping-particle":"","parse-names":false,"suffix":""},{"dropping-particle":"","family":"Baldock","given":"Richard","non-dropping-particle":"","parse-names":false,"suffix":""},{"dropping-particle":"","family":"Barbiera","given":"Giulia","non-dropping-particle":"","parse-names":false,"suffix":""},{"dropping-particle":"","family":"Bardou","given":"Philippe","non-dropping-particle":"","parse-names":false,"suffix":""},{"dropping-particle":"","family":"Beck","given":"Tim","non-dropping-particle":"","parse-names":false,"suffix":""},{"dropping-particle":"","family":"Blake","given":"Andrew","non-dropping-particle":"","parse-names":false,"suffix":""},{"dropping-particle":"","family":"Bonierbale","given":"Merideth","non-dropping-particle":"","parse-names":false,"suffix":""},{"dropping-particle":"","family":"Brookes","given":"Anthony J","non-dropping-particle":"","parse-names":false,"suffix":""},{"dropping-particle":"","family":"Bucci","given":"Gabriele","non-dropping-particle":"","parse-names":false,"suffix":""},{"dropping-particle":"","family":"Buetti","given":"Iwan","non-dropping-particle":"","parse-names":false,"suffix":""},{"dropping-particle":"","family":"Burge","given":"Sarah","non-dropping-particle":"","parse-names":false,"suffix":""},{"dropping-particle":"","family":"Cabau","given":"Cédric","non-dropping-particle":"","parse-names":false,"suffix":""},{"dropping-particle":"","family":"Carlson","given":"Joseph W","non-dropping-particle":"","parse-names":false,"suffix":""},{"dropping-particle":"","family":"Chelala","given":"Claude","non-dropping-particle":"","parse-names":false,"suffix":""},{"dropping-particle":"","family":"Chrysostomou","given":"Charalambos","non-dropping-particle":"","parse-names":false,"suffix":""},{"dropping-particle":"","family":"Cittaro","given":"Davide","non-dropping-particle":"","parse-names":false,"suffix":""},{"dropping-particle":"","family":"Collin","given":"Olivier","non-dropping-particle":"","parse-names":false,"suffix":""},{"dropping-particle":"","family":"Cordova","given":"Raul","non-dropping-particle":"","parse-names":false,"suffix":""},{"dropping-particle":"","family":"Cutts","given":"Rosalind J","non-dropping-particle":"","parse-names":false,"suffix":""},{"dropping-particle":"","family":"Dassi","given":"Erik","non-dropping-particle":"","parse-names":false,"suffix":""},{"dropping-particle":"","family":"Genova","given":"Alex","non-dropping-particle":"Di","parse-names":false,"suffix":""},{"dropping-particle":"","family":"Djari","given":"Anis","non-dropping-particle":"","parse-names":false,"suffix":""},{"dropping-particle":"","family":"Esposito","given":"Anthony","non-dropping-particle":"","parse-names":false,"suffix":""},{"dropping-particle":"","family":"Estrella","given":"Heather","non-dropping-particle":"","parse-names":false,"suffix":""},{"dropping-particle":"","family":"Eyras","given":"Eduardo","non-dropping-particle":"","parse-names":false,"suffix":""},{"dropping-particle":"","family":"Fernandez-Banet","given":"Julio","non-dropping-particle":"","parse-names":false,"suffix":""},{"dropping-particle":"","family":"Forbes","given":"Simon","non-dropping-particle":"","parse-names":false,"suffix":""},{"dropping-particle":"","family":"Free","given":"Robert C","non-dropping-particle":"","parse-names":false,"suffix":""},{"dropping-particle":"","family":"Fujisawa","given":"Takatomo","non-dropping-particle":"","parse-names":false,"suffix":""},{"dropping-particle":"","family":"Gadaleta","given":"Emanuela","non-dropping-particle":"","parse-names":false,"suffix":""},{"dropping-particle":"","family":"Garcia-Manteiga","given":"Jose M","non-dropping-particle":"","parse-names":false,"suffix":""},{"dropping-particle":"","family":"Goodstein","given":"David","non-dropping-particle":"","parse-names":false,"suffix":""},{"dropping-particle":"","family":"Gray","given":"Kristian","non-dropping-particle":"","parse-names":false,"suffix":""},{"dropping-particle":"","family":"Guerra-Assunção","given":"José Afonso","non-dropping-particle":"","parse-names":false,"suffix":""},{"dropping-particle":"","family":"Haggarty","given":"Bernard","non-dropping-particle":"","parse-names":false,"suffix":""},{"dropping-particle":"","family":"Han","given":"Dong-Jin","non-dropping-particle":"","parse-names":false,"suffix":""},{"dropping-particle":"","family":"Han","given":"Byung Woo","non-dropping-particle":"","parse-names":false,"suffix":""},{"dropping-particle":"","family":"Harris","given":"Todd","non-dropping-particle":"","parse-names":false,"suffix":""},{"dropping-particle":"","family":"Harshbarger","given":"Jayson","non-dropping-particle":"","parse-names":false,"suffix":""},{"dropping-particle":"","family":"Hastings","given":"Robert K","non-dropping-particle":"","parse-names":false,"suffix":""},{"dropping-particle":"","family":"Hayes","given":"Richard D","non-dropping-particle":"","parse-names":false,"suffix":""},{"dropping-particle":"","family":"Hoede","given":"Claire","non-dropping-particle":"","parse-names":false,"suffix":""},{"dropping-particle":"","family":"Hu","given":"Shen","non-dropping-particle":"","parse-names":false,"suffix":""},{"dropping-particle":"","family":"Hu","given":"Zhi-Liang","non-dropping-particle":"","parse-names":false,"suffix":""},{"dropping-particle":"","family":"Hutchins","given":"Lucie","non-dropping-particle":"","parse-names":false,"suffix":""},{"dropping-particle":"","family":"Kan","given":"Zhengyan","non-dropping-particle":"","parse-names":false,"suffix":""},{"dropping-particle":"","family":"Kawaji","given":"Hideya","non-dropping-particle":"","parse-names":false,"suffix":""},{"dropping-particle":"","family":"Keliet","given":"Aminah","non-dropping-particle":"","parse-names":false,"suffix":""},{"dropping-particle":"","family":"Kerhornou","given":"Arnaud","non-dropping-particle":"","parse-names":false,"suffix":""},{"dropping-particle":"","family":"Kim","given":"Sunghoon","non-dropping-particle":"","parse-names":false,"suffix":""},{"dropping-particle":"","family":"Kinsella","given":"Rhoda","non-dropping-particle":"","parse-names":false,"suffix":""},{"dropping-particle":"","family":"Klopp","given":"Christophe","non-dropping-particle":"","parse-names":false,"suffix":""},{"dropping-particle":"","family":"Kong","given":"Lei","non-dropping-particle":"","parse-names":false,"suffix":""},{"dropping-particle":"","family":"Lawson","given":"Daniel","non-dropping-particle":"","parse-names":false,"suffix":""},{"dropping-particle":"","family":"Lazarevic","given":"Dejan","non-dropping-particle":"","parse-names":false,"suffix":""},{"dropping-particle":"","family":"Lee","given":"Ji-Hyun","non-dropping-particle":"","parse-names":false,"suffix":""},{"dropping-particle":"","family":"Letellier","given":"Thomas","non-dropping-particle":"","parse-names":false,"suffix":""},{"dropping-particle":"","family":"Li","given":"Chuan-Yun","non-dropping-particle":"","parse-names":false,"suffix":""},{"dropping-particle":"","family":"Lio","given":"Pietro","non-dropping-particle":"","parse-names":false,"suffix":""},{"dropping-particle":"","family":"Liu","given":"Chu-Jun","non-dropping-particle":"","parse-names":false,"suffix":""},{"dropping-particle":"","family":"Luo","given":"Jie","non-dropping-particle":"","parse-names":false,"suffix":""},{"dropping-particle":"","family":"Maass","given":"Alejandro","non-dropping-particle":"","parse-names":false,"suffix":""},{"dropping-particle":"","family":"Mariette","given":"Jerome","non-dropping-particle":"","parse-names":false,"suffix":""},{"dropping-particle":"","family":"Maurel","given":"Thomas","non-dropping-particle":"","parse-names":false,"suffix":""},{"dropping-particle":"","family":"Merella","given":"Stefania","non-dropping-particle":"","parse-names":false,"suffix":""},{"dropping-particle":"","family":"Mohamed","given":"Azza Mostafa","non-dropping-particle":"","parse-names":false,"suffix":""},{"dropping-particle":"","family":"Moreews","given":"Francois","non-dropping-particle":"","parse-names":false,"suffix":""},{"dropping-particle":"","family":"Nabihoudine","given":"Ibounyamine","non-dropping-particle":"","parse-names":false,"suffix":""},{"dropping-particle":"","family":"Ndegwa","given":"Nelson","non-dropping-particle":"","parse-names":false,"suffix":""},{"dropping-particle":"","family":"Noirot","given":"Céline","non-dropping-particle":"","parse-names":false,"suffix":""},{"dropping-particle":"","family":"Perez-Llamas","given":"Cristian","non-dropping-particle":"","parse-names":false,"suffix":""},{"dropping-particle":"","family":"Primig","given":"Michael","non-dropping-particle":"","parse-names":false,"suffix":""},{"dropping-particle":"","family":"Quattrone","given":"Alessandro","non-dropping-particle":"","parse-names":false,"suffix":""},{"dropping-particle":"","family":"Quesneville","given":"Hadi","non-dropping-particle":"","parse-names":false,"suffix":""},{"dropping-particle":"","family":"Rambaldi","given":"Davide","non-dropping-particle":"","parse-names":false,"suffix":""},{"dropping-particle":"","family":"Reecy","given":"James","non-dropping-particle":"","parse-names":false,"suffix":""},{"dropping-particle":"","family":"Riba","given":"Michela","non-dropping-particle":"","parse-names":false,"suffix":""},{"dropping-particle":"","family":"Rosanoff","given":"Steven","non-dropping-particle":"","parse-names":false,"suffix":""},{"dropping-particle":"","family":"Saddiq","given":"Amna Ali","non-dropping-particle":"","parse-names":false,"suffix":""},{"dropping-particle":"","family":"Salas","given":"Elisa","non-dropping-particle":"","parse-names":false,"suffix":""},{"dropping-particle":"","family":"Sallou","given":"Olivier","non-dropping-particle":"","parse-names":false,"suffix":""},{"dropping-particle":"","family":"Shepherd","given":"Rebecca","non-dropping-particle":"","parse-names":false,"suffix":""},{"dropping-particle":"","family":"Simon","given":"Reinhard","non-dropping-particle":"","parse-names":false,"suffix":""},{"dropping-particle":"","family":"Sperling","given":"Linda","non-dropping-particle":"","parse-names":false,"suffix":""},{"dropping-particle":"","family":"Spooner","given":"William","non-dropping-particle":"","parse-names":false,"suffix":""},{"dropping-particle":"","family":"Staines","given":"Daniel M","non-dropping-particle":"","parse-names":false,"suffix":""},{"dropping-particle":"","family":"Steinbach","given":"Delphine","non-dropping-particle":"","parse-names":false,"suffix":""},{"dropping-particle":"","family":"Stone","given":"Kevin","non-dropping-particle":"","parse-names":false,"suffix":""},{"dropping-particle":"","family":"Stupka","given":"Elia","non-dropping-particle":"","parse-names":false,"suffix":""},{"dropping-particle":"","family":"Teague","given":"Jon W","non-dropping-particle":"","parse-names":false,"suffix":""},{"dropping-particle":"","family":"Dayem Ullah","given":"Abu Z","non-dropping-particle":"","parse-names":false,"suffix":""},{"dropping-particle":"","family":"Wang","given":"Jun","non-dropping-particle":"","parse-names":false,"suffix":""},{"dropping-particle":"","family":"Ware","given":"Doreen","non-dropping-particle":"","parse-names":false,"suffix":""},{"dropping-particle":"","family":"Wong-Erasmus","given":"Marie","non-dropping-particle":"","parse-names":false,"suffix":""},{"dropping-particle":"","family":"Youens-Clark","given":"Ken","non-dropping-particle":"","parse-names":false,"suffix":""},{"dropping-particle":"","family":"Zadissa","given":"Amonida","non-dropping-particle":"","parse-names":false,"suffix":""},{"dropping-particle":"","family":"Zhang","given":"Shi-Jian","non-dropping-particle":"","parse-names":false,"suffix":""},{"dropping-particle":"","family":"Kasprzyk","given":"Arek","non-dropping-particle":"","parse-names":false,"suffix":""}],"container-title":"Nucleic acids research","id":"ITEM-1","issue":"W1","issued":{"date-parts":[["2015","7"]]},"page":"W589-98","title":"The BioMart community portal: an innovative alternative to large, centralized data repositories.","type":"article-journal","volume":"43"},"uris":["http://www.mendeley.com/documents/?uuid=615f2331-66d7-4c3e-b111-0deaf81ffee3","http://www.mendeley.com/documents/?uuid=23fb6061-bf2b-4942-bc68-fdb57988ff09"]}],"mendeley":{"formattedCitation":"(33)","plainTextFormattedCitation":"(33)","previouslyFormattedCitation":"(33)"},"properties":{"noteIndex":0},"schema":"https://github.com/citation-style-language/schema/raw/master/csl-citation.json"}</w:instrText>
      </w:r>
      <w:r w:rsidR="001403FE">
        <w:fldChar w:fldCharType="separate"/>
      </w:r>
      <w:r w:rsidR="00276AB2" w:rsidRPr="00276AB2">
        <w:rPr>
          <w:noProof/>
        </w:rPr>
        <w:t>(33)</w:t>
      </w:r>
      <w:r w:rsidR="001403FE">
        <w:fldChar w:fldCharType="end"/>
      </w:r>
      <w:r w:rsidR="00963120">
        <w:t>, producing</w:t>
      </w:r>
      <w:r w:rsidR="0022684D">
        <w:t xml:space="preserve"> a gene level representation of the STRING network.</w:t>
      </w:r>
      <w:r w:rsidR="00AD1CFA">
        <w:t xml:space="preserve"> The STRING edge confidence scores are on a scale between 0 – 1000, with 1000 representing the maximum confidence of an interaction occurring</w:t>
      </w:r>
      <w:r w:rsidR="00124B53">
        <w:t>,</w:t>
      </w:r>
      <w:r w:rsidR="00AD1CFA">
        <w:t xml:space="preserve"> based on </w:t>
      </w:r>
      <w:r w:rsidR="00124B53">
        <w:t>various s</w:t>
      </w:r>
      <w:r w:rsidR="00AD1CFA">
        <w:t xml:space="preserve">ources of evidence. </w:t>
      </w:r>
      <w:r w:rsidR="001E082D">
        <w:t>The edge weights were rescaled between 0 – 1 to ensure consistent edge weights for all networks in the study. Th</w:t>
      </w:r>
      <w:r w:rsidR="00124B53">
        <w:t>e edge-weight filtered, gene-mapped, and edge-weight scaled</w:t>
      </w:r>
      <w:r w:rsidR="0022684D">
        <w:t xml:space="preserve"> network was used in the subsequent analysis.</w:t>
      </w:r>
      <w:r w:rsidR="00372B15">
        <w:t xml:space="preserve"> Three variations of the STRING network were used: the full network of ~5.5 million interaction (“STRING 5mil”), the top 2 million interaction by evidence score (“STRING 2mil”), and the top 800,000 interactions by evidence score (“STRING 0.8mil”).</w:t>
      </w:r>
    </w:p>
    <w:p w14:paraId="74A18409" w14:textId="77777777" w:rsidR="00F7201E" w:rsidRDefault="00F7201E" w:rsidP="00066430">
      <w:pPr>
        <w:spacing w:after="0"/>
        <w:jc w:val="both"/>
      </w:pPr>
    </w:p>
    <w:p w14:paraId="73535629" w14:textId="0740C45E" w:rsidR="002E1860" w:rsidRDefault="00CA1823" w:rsidP="00066430">
      <w:pPr>
        <w:spacing w:after="0"/>
        <w:jc w:val="both"/>
      </w:pPr>
      <w:r>
        <w:t xml:space="preserve">A second PPI network was </w:t>
      </w:r>
      <w:r w:rsidR="007B6746">
        <w:t>IID</w:t>
      </w:r>
      <w:r w:rsidR="00276AB2">
        <w:t xml:space="preserve"> </w:t>
      </w:r>
      <w:r w:rsidR="00276AB2">
        <w:fldChar w:fldCharType="begin" w:fldLock="1"/>
      </w:r>
      <w:r w:rsidR="00276AB2">
        <w:instrText xml:space="preserve">ADDIN CSL_CITATION {"citationItems":[{"id":"ITEM-1","itemData":{"DOI":"10.1093/nar/gky1037","ISSN":"1362-4962","PMID":"30407591","abstract":"Knowing the set of physical protein-protein interactions (PPIs) that occur in a particular context-a tissue, disease, or other condition-can provide valuable insights into key research questions. However, while the number of identified human PPIs is expanding rapidly, context information remains limited, and for most non-human species context-specific networks are completely unavailable. The Integrated Interactions Database (IID) provides one of the most comprehensive sets of context-specific human PPI networks, including networks for 133 tissues, 91 disease conditions, and many other contexts. Importantly, it also provides context-specific networks for 17 non-human species including model organisms and domesticated animals. These species are vitally important for drug discovery and agriculture. IID integrates interactions from multiple databases and datasets. It comprises over 4.8 million PPIs annotated with several types of context: tissues, subcellular localizations, diseases, and druggability information (the latter three are new annotations not available in the previous version). This update increases the number of species from 6 to 18, the number of PPIs from </w:instrText>
      </w:r>
      <w:r w:rsidR="00276AB2">
        <w:rPr>
          <w:rFonts w:ascii="Cambria Math" w:hAnsi="Cambria Math" w:cs="Cambria Math"/>
        </w:rPr>
        <w:instrText>∼</w:instrText>
      </w:r>
      <w:r w:rsidR="00276AB2">
        <w:instrText xml:space="preserve">1.5 million to </w:instrText>
      </w:r>
      <w:r w:rsidR="00276AB2">
        <w:rPr>
          <w:rFonts w:ascii="Cambria Math" w:hAnsi="Cambria Math" w:cs="Cambria Math"/>
        </w:rPr>
        <w:instrText>∼</w:instrText>
      </w:r>
      <w:r w:rsidR="00276AB2">
        <w:instrText>4.8 million, and the number of tissues from 30 to 133. IID also now supports topology and enrichment analyses of returned networks. IID is available at http://ophid.utoronto.ca/iid.","author":[{"dropping-particle":"","family":"Kotlyar","given":"Max","non-dropping-particle":"","parse-names":false,"suffix":""},{"dropping-particle":"","family":"Pastrello","given":"Chiara","non-dropping-particle":"","parse-names":false,"suffix":""},{"dropping-particle":"","family":"Malik","given":"Zara","non-dropping-particle":"","parse-names":false,"suffix":""},{"dropping-particle":"","family":"Jurisica","given":"Igor","non-dropping-particle":"","parse-names":false,"suffix":""}],"container-title":"Nucleic acids research","id":"ITEM-1","issue":"D1","issued":{"date-parts":[["2019"]]},"page":"D581-D589","title":"IID 2018 update: context-specific physical protein-protein interactions in human, model organisms and domesticated species.","type":"article-journal","volume":"47"},"uris":["http://www.mendeley.com/documents/?uuid=0be72fda-d0f3-4f9f-b88d-aa39937a8d73"]}],"mendeley":{"formattedCitation":"(34)","plainTextFormattedCitation":"(34)","previouslyFormattedCitation":"(34)"},"properties":{"noteIndex":0},"schema":"https://github.com/citation-style-language/schema/raw/master/csl-citation.json"}</w:instrText>
      </w:r>
      <w:r w:rsidR="00276AB2">
        <w:fldChar w:fldCharType="separate"/>
      </w:r>
      <w:r w:rsidR="00276AB2" w:rsidRPr="00276AB2">
        <w:rPr>
          <w:noProof/>
        </w:rPr>
        <w:t>(34)</w:t>
      </w:r>
      <w:r w:rsidR="00276AB2">
        <w:fldChar w:fldCharType="end"/>
      </w:r>
      <w:r w:rsidR="00276AB2">
        <w:t xml:space="preserve">, </w:t>
      </w:r>
      <w:r>
        <w:t>which</w:t>
      </w:r>
      <w:r w:rsidR="007B6746">
        <w:t xml:space="preserve"> provides a set of context</w:t>
      </w:r>
      <w:r w:rsidR="00E077B7">
        <w:t>-</w:t>
      </w:r>
      <w:r w:rsidR="007B6746">
        <w:t>specific human PPI networks fo</w:t>
      </w:r>
      <w:r w:rsidR="008D14D6">
        <w:t xml:space="preserve">r human tissues and diseases sourced mainly from curated PPI databases and predicted protein interactions. </w:t>
      </w:r>
      <w:r w:rsidR="001F374F">
        <w:t>In that resource, g</w:t>
      </w:r>
      <w:r w:rsidR="008D14D6">
        <w:t xml:space="preserve">ene expression profiles for tissues were determined from 20 gene expression datasets </w:t>
      </w:r>
      <w:r w:rsidR="00605A0F">
        <w:t xml:space="preserve">downloaded from NCBI GEO </w:t>
      </w:r>
      <w:r w:rsidR="008D14D6">
        <w:t>and a PPI was considered tissue</w:t>
      </w:r>
      <w:r w:rsidR="00E077B7">
        <w:t>-</w:t>
      </w:r>
      <w:r w:rsidR="008D14D6">
        <w:t>specific if the two encoding genes were expressed in a tissue above a desired threshold of mas5 normalized expression &gt;= 200</w:t>
      </w:r>
      <w:r w:rsidR="000C6FA9">
        <w:t xml:space="preserve"> </w:t>
      </w:r>
      <w:r w:rsidR="000C6FA9">
        <w:fldChar w:fldCharType="begin" w:fldLock="1"/>
      </w:r>
      <w:r w:rsidR="00276AB2">
        <w:instrText xml:space="preserve">ADDIN CSL_CITATION {"citationItems":[{"id":"ITEM-1","itemData":{"DOI":"10.1093/nar/gky1037","ISSN":"1362-4962","PMID":"30407591","abstract":"Knowing the set of physical protein-protein interactions (PPIs) that occur in a particular context-a tissue, disease, or other condition-can provide valuable insights into key research questions. However, while the number of identified human PPIs is expanding rapidly, context information remains limited, and for most non-human species context-specific networks are completely unavailable. The Integrated Interactions Database (IID) provides one of the most comprehensive sets of context-specific human PPI networks, including networks for 133 tissues, 91 disease conditions, and many other contexts. Importantly, it also provides context-specific networks for 17 non-human species including model organisms and domesticated animals. These species are vitally important for drug discovery and agriculture. IID integrates interactions from multiple databases and datasets. It comprises over 4.8 million PPIs annotated with several types of context: tissues, subcellular localizations, diseases, and druggability information (the latter three are new annotations not available in the previous version). This update increases the number of species from 6 to 18, the number of PPIs from </w:instrText>
      </w:r>
      <w:r w:rsidR="00276AB2">
        <w:rPr>
          <w:rFonts w:ascii="Cambria Math" w:hAnsi="Cambria Math" w:cs="Cambria Math"/>
        </w:rPr>
        <w:instrText>∼</w:instrText>
      </w:r>
      <w:r w:rsidR="00276AB2">
        <w:instrText xml:space="preserve">1.5 million to </w:instrText>
      </w:r>
      <w:r w:rsidR="00276AB2">
        <w:rPr>
          <w:rFonts w:ascii="Cambria Math" w:hAnsi="Cambria Math" w:cs="Cambria Math"/>
        </w:rPr>
        <w:instrText>∼</w:instrText>
      </w:r>
      <w:r w:rsidR="00276AB2">
        <w:instrText>4.8 million, and the number of tissues from 30 to 133. IID also now supports topology and enrichment analyses of returned networks. IID is available at http://ophid.utoronto.ca/iid.","author":[{"dropping-particle":"","family":"Kotlyar","given":"Max","non-dropping-particle":"","parse-names":false,"suffix":""},{"dropping-particle":"","family":"Pastrello","given":"Chiara","non-dropping-particle":"","parse-names":false,"suffix":""},{"dropping-particle":"","family":"Malik","given":"Zara","non-dropping-particle":"","parse-names":false,"suffix":""},{"dropping-particle":"","family":"Jurisica","given":"Igor","non-dropping-particle":"","parse-names":false,"suffix":""}],"container-title":"Nucleic acids research","id":"ITEM-1","issue":"D1","issued":{"date-parts":[["2019"]]},"page":"D581-D589","title":"IID 2018 update: context-specific physical protein-protein interactions in human, model organisms and domesticated species.","type":"article-journal","volume":"47"},"uris":["http://www.mendeley.com/documents/?uuid=17847354-6329-401e-99f3-9c8d83ffbe31","http://www.mendeley.com/documents/?uuid=0be72fda-d0f3-4f9f-b88d-aa39937a8d73"]},{"id":"ITEM-2","itemData":{"DOI":"10.1007/978-1-4939-3578-9_5","ISSN":"10643745","PMID":"27008011","abstract":"The Gene Expression Omnibus (GEO) database is an international public repository that archives and freely distributes high-throughput gene expression and other functional genomics data sets. Created in 2000 as a worldwide resource for gene expression studies, GEO has evolved with rapidly changing technologies and now accepts high-throughput data for many other data applications, including those that examine genome methylation, chromatin structure, and genome–protein interactions. GEO supports community-derived reporting standards that specify provision of several critical study elements including raw data, processed data, and descriptive metadata. The database not only provides access to data for tens of thousands of studies, but also offers various Web-based tools and strategies that enable users to locate data relevant to their specific interests, as well as to visualize and analyze the data. This chapter includes detailed descriptions of methods to query and download GEO data and use the analysis and visualization tools. The GEO homepage is at http://www.ncbi.nlm.nih.gov/geo/.","author":[{"dropping-particle":"","family":"Clough","given":"Emily","non-dropping-particle":"","parse-names":false,"suffix":""},{"dropping-particle":"","family":"Barrett","given":"Tanya","non-dropping-particle":"","parse-names":false,"suffix":""}],"container-title":"Methods in Molecular Biology","id":"ITEM-2","issued":{"date-parts":[["2016"]]},"page":"93-110","title":"The Gene Expression Omnibus database","type":"chapter","volume":"1418"},"uris":["http://www.mendeley.com/documents/?uuid=7d73b3cd-a70a-4fd7-b2ae-406ec2bf2793","http://www.mendeley.com/documents/?uuid=9c44222a-d038-445a-9e33-57eb9e711e9c"]}],"mendeley":{"formattedCitation":"(20,34)","plainTextFormattedCitation":"(20,34)","previouslyFormattedCitation":"(20,34)"},"properties":{"noteIndex":0},"schema":"https://github.com/citation-style-language/schema/raw/master/csl-citation.json"}</w:instrText>
      </w:r>
      <w:r w:rsidR="000C6FA9">
        <w:fldChar w:fldCharType="separate"/>
      </w:r>
      <w:r w:rsidR="00276AB2" w:rsidRPr="00276AB2">
        <w:rPr>
          <w:noProof/>
        </w:rPr>
        <w:t>(20,34)</w:t>
      </w:r>
      <w:r w:rsidR="000C6FA9">
        <w:fldChar w:fldCharType="end"/>
      </w:r>
      <w:r w:rsidR="00823186">
        <w:t xml:space="preserve"> </w:t>
      </w:r>
      <w:r w:rsidR="00823186">
        <w:fldChar w:fldCharType="begin" w:fldLock="1"/>
      </w:r>
      <w:r w:rsidR="00276AB2">
        <w:instrText>ADDIN CSL_CITATION {"citationItems":[{"id":"ITEM-1","itemData":{"DOI":"10.1093/biostatistics/4.2.249","ISSN":"1465-4644","PMID":"12925520","abstract":"In this paper we report exploratory analyses of high-density oligonucleotide array data from the Affymetrix GeneChip system with the objective of improving upon currently used measures of gene expression. Our analyses make use of three data sets: a small experimental study consisting of five MGU74A mouse GeneChip arrays, part of the data from an extensive spike-in study conducted by Gene Logic and Wyeth's Genetics Institute involving 95 HG-U95A human GeneChip arrays; and part of a dilution study conducted by Gene Logic involving 75 HG-U95A GeneChip arrays. We display some familiar features of the perfect match and mismatch probe (PM and MM) values of these data, and examine the variance-mean relationship with probe-level data from probes believed to be defective, and so delivering noise only. We explain why we need to normalize the arrays to one another using probe level intensities. We then examine the behavior of the PM and MM using spike-in data and assess three commonly used summary measures: Affymetrix's (i) average difference (AvDiff) and (ii) MAS 5.0 signal, and (iii) the Li and Wong multiplicative model-based expression index (MBEI). The exploratory data analyses of the probe level data motivate a new summary measure that is a robust multi-array average (RMA) of background-adjusted, normalized, and log-transformed PM values. We evaluate the four expression summary measures using the dilution study data, assessing their behavior in terms of bias, variance and (for MBEI and RMA) model fit. Finally, we evaluate the algorithms in terms of their ability to detect known levels of differential expression using the spike-in data. We conclude that there is no obvious downside to using RMA and attaching a standard error (SE) to this quantity using a linear model which removes probe-specific affinities.","author":[{"dropping-particle":"","family":"Irizarry","given":"Rafael A","non-dropping-particle":"","parse-names":false,"suffix":""},{"dropping-particle":"","family":"Hobbs","given":"Bridget","non-dropping-particle":"","parse-names":false,"suffix":""},{"dropping-particle":"","family":"Collin","given":"Francois","non-dropping-particle":"","parse-names":false,"suffix":""},{"dropping-particle":"","family":"Beazer-Barclay","given":"Yasmin D","non-dropping-particle":"","parse-names":false,"suffix":""},{"dropping-particle":"","family":"Antonellis","given":"Kristen J","non-dropping-particle":"","parse-names":false,"suffix":""},{"dropping-particle":"","family":"Scherf","given":"Uwe","non-dropping-particle":"","parse-names":false,"suffix":""},{"dropping-particle":"","family":"Speed","given":"Terence P","non-dropping-particle":"","parse-names":false,"suffix":""}],"container-title":"Biostatistics (Oxford, England)","id":"ITEM-1","issue":"2","issued":{"date-parts":[["2003","4"]]},"page":"249-64","title":"Exploration, normalization, and summaries of high density oligonucleotide array probe level data.","type":"article-journal","volume":"4"},"uris":["http://www.mendeley.com/documents/?uuid=e3583f22-b7db-4c0b-9b5f-120d54694101"]}],"mendeley":{"formattedCitation":"(35)","plainTextFormattedCitation":"(35)","previouslyFormattedCitation":"(35)"},"properties":{"noteIndex":0},"schema":"https://github.com/citation-style-language/schema/raw/master/csl-citation.json"}</w:instrText>
      </w:r>
      <w:r w:rsidR="00823186">
        <w:fldChar w:fldCharType="separate"/>
      </w:r>
      <w:r w:rsidR="00276AB2" w:rsidRPr="00276AB2">
        <w:rPr>
          <w:noProof/>
        </w:rPr>
        <w:t>(35)</w:t>
      </w:r>
      <w:r w:rsidR="00823186">
        <w:fldChar w:fldCharType="end"/>
      </w:r>
      <w:r w:rsidR="008D14D6">
        <w:t>. The Human IID network was downloaded from the IID database version 2018-11 (</w:t>
      </w:r>
      <w:hyperlink r:id="rId14" w:history="1">
        <w:r w:rsidR="008D14D6" w:rsidRPr="00BE7717">
          <w:rPr>
            <w:rStyle w:val="Hyperlink"/>
          </w:rPr>
          <w:t>http://iid.ophid.utoronto.ca/</w:t>
        </w:r>
      </w:hyperlink>
      <w:r w:rsidR="008D14D6">
        <w:t xml:space="preserve">). </w:t>
      </w:r>
      <w:r w:rsidR="00372B15">
        <w:t xml:space="preserve">The IID network PPIs are defined as being present or not within a specific tissue. </w:t>
      </w:r>
      <w:r w:rsidR="002E1860">
        <w:t xml:space="preserve">The network interaction file was filtered to contain only those protein interactions marked as present in </w:t>
      </w:r>
      <w:r w:rsidR="00E077B7">
        <w:t>skeletal muscle (</w:t>
      </w:r>
      <w:r w:rsidR="002E1860">
        <w:t>“</w:t>
      </w:r>
      <w:r w:rsidR="00ED54C8">
        <w:t>SM</w:t>
      </w:r>
      <w:r w:rsidR="002E1860">
        <w:t>”</w:t>
      </w:r>
      <w:r w:rsidR="00E077B7">
        <w:t xml:space="preserve"> in the file)</w:t>
      </w:r>
      <w:r w:rsidR="002E1860">
        <w:t>. No w</w:t>
      </w:r>
      <w:r w:rsidR="00805664">
        <w:t>eighting to the PPI was defined</w:t>
      </w:r>
      <w:r w:rsidR="001E082D">
        <w:t xml:space="preserve"> and all interactions have an equivalent edge weighting of 1.</w:t>
      </w:r>
      <w:r w:rsidR="00372B15">
        <w:t xml:space="preserve"> The filtered skeletal muscle IID network comprised ~600,000 interactions and is referred to as “IID SM 0.6mil”.</w:t>
      </w:r>
    </w:p>
    <w:p w14:paraId="4D162CA9" w14:textId="77777777" w:rsidR="00CA1823" w:rsidRDefault="00CA1823" w:rsidP="00066430">
      <w:pPr>
        <w:spacing w:after="0"/>
        <w:jc w:val="both"/>
      </w:pPr>
    </w:p>
    <w:p w14:paraId="04A09125" w14:textId="4A80C173" w:rsidR="007974C0" w:rsidRDefault="0006694F" w:rsidP="00066430">
      <w:pPr>
        <w:spacing w:after="0"/>
        <w:jc w:val="both"/>
      </w:pPr>
      <w:r>
        <w:t>HumanB</w:t>
      </w:r>
      <w:r w:rsidR="00EB583B">
        <w:t>ase</w:t>
      </w:r>
      <w:r w:rsidR="008D41D3">
        <w:t xml:space="preserve"> </w:t>
      </w:r>
      <w:r w:rsidR="00276AB2">
        <w:fldChar w:fldCharType="begin" w:fldLock="1"/>
      </w:r>
      <w:r w:rsidR="006523A5">
        <w:instrText>ADDIN CSL_CITATION {"citationItems":[{"id":"ITEM-1","itemData":{"DOI":"10.1016/j.kint.2020.09.015","ISSN":"00852538","author":[{"dropping-particle":"","family":"Menon","given":"Rajasree","non-dropping-particle":"","parse-names":false,"suffix":""},{"dropping-particle":"","family":"Otto","given":"Edgar A.","non-dropping-particle":"","parse-names":false,"suffix":""},{"dropping-particle":"","family":"Sealfon","given":"Rachel","non-dropping-particle":"","parse-names":false,"suffix":""},{"dropping-particle":"","family":"Nair","given":"Viji","non-dropping-particle":"","parse-names":false,"suffix":""},{"dropping-particle":"","family":"Wong","given":"Aaron K.","non-dropping-particle":"","parse-names":false,"suffix":""},{"dropping-particle":"","family":"Theesfeld","given":"Chandra L.","non-dropping-particle":"","parse-names":false,"suffix":""},{"dropping-particle":"","family":"Chen","given":"Xi","non-dropping-particle":"","parse-names":false,"suffix":""},{"dropping-particle":"","family":"Wang","given":"Yuan","non-dropping-particle":"","parse-names":false,"suffix":""},{"dropping-particle":"","family":"Boppana","given":"Avinash S.","non-dropping-particle":"","parse-names":false,"suffix":""},{"dropping-particle":"","family":"Luo","given":"Jinghui","non-dropping-particle":"","parse-names":false,"suffix":""},{"dropping-particle":"","family":"Yang","given":"Yingbao","non-dropping-particle":"","parse-names":false,"suffix":""},{"dropping-particle":"","family":"Kasson","given":"Peter M.","non-dropping-particle":"","parse-names":false,"suffix":""},{"dropping-particle":"","family":"Schaub","given":"Jennifer A.","non-dropping-particle":"","parse-names":false,"suffix":""},{"dropping-particle":"","family":"Berthier","given":"Celine C.","non-dropping-particle":"","parse-names":false,"suffix":""},{"dropping-particle":"","family":"Eddy","given":"Sean","non-dropping-particle":"","parse-names":false,"suffix":""},{"dropping-particle":"","family":"Lienczewski","given":"Chrysta C.","non-dropping-particle":"","parse-names":false,"suffix":""},{"dropping-particle":"","family":"Godfrey","given":"Bradley","non-dropping-particle":"","parse-names":false,"suffix":""},{"dropping-particle":"","family":"Dagenais","given":"Susan L.","non-dropping-particle":"","parse-names":false,"suffix":""},{"dropping-particle":"","family":"Sohaney","given":"Ryann","non-dropping-particle":"","parse-names":false,"suffix":""},{"dropping-particle":"","family":"Hartman","given":"John","non-dropping-particle":"","parse-names":false,"suffix":""},{"dropping-particle":"","family":"Fermin","given":"Damian","non-dropping-particle":"","parse-names":false,"suffix":""},{"dropping-particle":"","family":"Subramanian","given":"Lalita","non-dropping-particle":"","parse-names":false,"suffix":""},{"dropping-particle":"","family":"Looker","given":"Helen C.","non-dropping-particle":"","parse-names":false,"suffix":""},{"dropping-particle":"","family":"Harder","given":"Jennifer L.","non-dropping-particle":"","parse-names":false,"suffix":""},{"dropping-particle":"","family":"Mariani","given":"Laura H.","non-dropping-particle":"","parse-names":false,"suffix":""},{"dropping-particle":"","family":"Hodgin","given":"Jeffrey B.","non-dropping-particle":"","parse-names":false,"suffix":""},{"dropping-particle":"","family":"Sexton","given":"Jonathan Z.","non-dropping-particle":"","parse-names":false,"suffix":""},{"dropping-particle":"","family":"Wobus","given":"Christiane E.","non-dropping-particle":"","parse-names":false,"suffix":""},{"dropping-particle":"","family":"Naik","given":"Abhijit S.","non-dropping-particle":"","parse-names":false,"suffix":""},{"dropping-particle":"","family":"Nelson","given":"Robert G.","non-dropping-particle":"","parse-names":false,"suffix":""},{"dropping-particle":"","family":"Troyanskaya","given":"Olga G.","non-dropping-particle":"","parse-names":false,"suffix":""},{"dropping-particle":"","family":"Kretzler","given":"Matthias","non-dropping-particle":"","parse-names":false,"suffix":""}],"container-title":"Kidney International","id":"ITEM-1","issue":"6","issued":{"date-parts":[["2020","12"]]},"page":"1502-1518","title":"SARS-CoV-2 receptor networks in diabetic and COVID-19–associated kidney disease","type":"article-journal","volume":"98"},"uris":["http://www.mendeley.com/documents/?uuid=af282e78-d748-4b62-8588-491f8a4393b2"]}],"mendeley":{"formattedCitation":"(36)","plainTextFormattedCitation":"(36)","previouslyFormattedCitation":"(36)"},"properties":{"noteIndex":0},"schema":"https://github.com/citation-style-language/schema/raw/master/csl-citation.json"}</w:instrText>
      </w:r>
      <w:r w:rsidR="00276AB2">
        <w:fldChar w:fldCharType="separate"/>
      </w:r>
      <w:r w:rsidR="00276AB2" w:rsidRPr="00276AB2">
        <w:rPr>
          <w:noProof/>
        </w:rPr>
        <w:t>(36)</w:t>
      </w:r>
      <w:r w:rsidR="00276AB2">
        <w:fldChar w:fldCharType="end"/>
      </w:r>
      <w:r w:rsidR="00276AB2">
        <w:t xml:space="preserve"> </w:t>
      </w:r>
      <w:r w:rsidR="008D41D3">
        <w:t>captures functional interaction data from a variety of sources, such as PPIs, transcriptional regulation and gene expression data</w:t>
      </w:r>
      <w:r w:rsidR="00F7201E">
        <w:t>,</w:t>
      </w:r>
      <w:r w:rsidR="008D41D3">
        <w:t xml:space="preserve"> to model tissue</w:t>
      </w:r>
      <w:r w:rsidR="00E077B7">
        <w:t>-</w:t>
      </w:r>
      <w:r w:rsidR="008D41D3">
        <w:t xml:space="preserve">specific gene interactions. </w:t>
      </w:r>
      <w:r w:rsidR="00E077B7">
        <w:t>The authors of Humanbase constructed t</w:t>
      </w:r>
      <w:r w:rsidR="008D41D3">
        <w:t xml:space="preserve">issue-specific networks </w:t>
      </w:r>
      <w:r w:rsidR="00DC74BE">
        <w:t>by integrating tissue-specific functional knowledge to a gold standard tissue-naïve network</w:t>
      </w:r>
      <w:r w:rsidR="00FB473A">
        <w:t xml:space="preserve"> </w:t>
      </w:r>
      <w:r w:rsidR="00FB473A">
        <w:fldChar w:fldCharType="begin" w:fldLock="1"/>
      </w:r>
      <w:r w:rsidR="00276AB2">
        <w:instrText>ADDIN CSL_CITATION {"citationItems":[{"id":"ITEM-1","itemData":{"DOI":"10.1038/ng.3259","ISSN":"1546-1718","PMID":"25915600","abstract":"Tissue and cell-type identity lie at the core of human physiology and disease. Understanding the genetic underpinnings of complex tissues and individual cell lineages is crucial for developing improved diagnostics and therapeutics. We present genome-wide functional interaction networks for 144 human tissues and cell types developed using a data-driven Bayesian methodology that integrates thousands of diverse experiments spanning tissue and disease states. Tissue-specific networks predict lineage-specific responses to perturbation, identify the changing functional roles of genes across tissues and illuminate relationships among diseases. We introduce NetWAS, which combines genes with nominally significant genome-wide association study (GWAS) P values and tissue-specific networks to identify disease-gene associations more accurately than GWAS alone. Our webserver, GIANT, provides an interface to human tissue networks through multi-gene queries, network visualization, analysis tools including NetWAS and downloadable networks. GIANT enables systematic exploration of the landscape of interacting genes that shape specialized cellular functions across more than a hundred human tissues and cell types.","author":[{"dropping-particle":"","family":"Greene","given":"Casey S","non-dropping-particle":"","parse-names":false,"suffix":""},{"dropping-particle":"","family":"Krishnan","given":"Arjun","non-dropping-particle":"","parse-names":false,"suffix":""},{"dropping-particle":"","family":"Wong","given":"Aaron K","non-dropping-particle":"","parse-names":false,"suffix":""},{"dropping-particle":"","family":"Ricciotti","given":"Emanuela","non-dropping-particle":"","parse-names":false,"suffix":""},{"dropping-particle":"","family":"Zelaya","given":"Rene A","non-dropping-particle":"","parse-names":false,"suffix":""},{"dropping-particle":"","family":"Himmelstein","given":"Daniel S","non-dropping-particle":"","parse-names":false,"suffix":""},{"dropping-particle":"","family":"Zhang","given":"Ran","non-dropping-particle":"","parse-names":false,"suffix":""},{"dropping-particle":"","family":"Hartmann","given":"Boris M","non-dropping-particle":"","parse-names":false,"suffix":""},{"dropping-particle":"","family":"Zaslavsky","given":"Elena","non-dropping-particle":"","parse-names":false,"suffix":""},{"dropping-particle":"","family":"Sealfon","given":"Stuart C","non-dropping-particle":"","parse-names":false,"suffix":""},{"dropping-particle":"","family":"Chasman","given":"Daniel I","non-dropping-particle":"","parse-names":false,"suffix":""},{"dropping-particle":"","family":"FitzGerald","given":"Garret A","non-dropping-particle":"","parse-names":false,"suffix":""},{"dropping-particle":"","family":"Dolinski","given":"Kara","non-dropping-particle":"","parse-names":false,"suffix":""},{"dropping-particle":"","family":"Grosser","given":"Tilo","non-dropping-particle":"","parse-names":false,"suffix":""},{"dropping-particle":"","family":"Troyanskaya","given":"Olga G","non-dropping-particle":"","parse-names":false,"suffix":""}],"container-title":"Nature genetics","id":"ITEM-1","issue":"6","issued":{"date-parts":[["2015","6"]]},"page":"569-76","title":"Understanding multicellular function and disease with human tissue-specific networks.","type":"article-journal","volume":"47"},"uris":["http://www.mendeley.com/documents/?uuid=c0251ef2-b47a-4d0e-ab69-78880d48c756","http://www.mendeley.com/documents/?uuid=fa0c5de4-c278-4d11-8e0e-3fbc0e8fefd6"]}],"mendeley":{"formattedCitation":"(27)","plainTextFormattedCitation":"(27)","previouslyFormattedCitation":"(27)"},"properties":{"noteIndex":0},"schema":"https://github.com/citation-style-language/schema/raw/master/csl-citation.json"}</w:instrText>
      </w:r>
      <w:r w:rsidR="00FB473A">
        <w:fldChar w:fldCharType="separate"/>
      </w:r>
      <w:r w:rsidR="00620042" w:rsidRPr="00620042">
        <w:rPr>
          <w:noProof/>
        </w:rPr>
        <w:t>(27)</w:t>
      </w:r>
      <w:r w:rsidR="00FB473A">
        <w:fldChar w:fldCharType="end"/>
      </w:r>
      <w:r w:rsidR="00E077B7">
        <w:t>, and</w:t>
      </w:r>
      <w:r w:rsidR="00DC74BE">
        <w:t xml:space="preserve"> </w:t>
      </w:r>
      <w:r w:rsidR="00E077B7">
        <w:t xml:space="preserve">each edge of the network was scored via a posterior probability value that was used to rank the edges by strength of evidence. </w:t>
      </w:r>
      <w:r w:rsidR="001E082D">
        <w:t xml:space="preserve">The </w:t>
      </w:r>
      <w:r w:rsidR="00E077B7">
        <w:t xml:space="preserve">skeletal muscle </w:t>
      </w:r>
      <w:r w:rsidR="001E082D">
        <w:t>full</w:t>
      </w:r>
      <w:r w:rsidR="00EB583B">
        <w:t xml:space="preserve"> e</w:t>
      </w:r>
      <w:r w:rsidR="00262D60">
        <w:t>dges network was downloaded from HumanBase (</w:t>
      </w:r>
      <w:hyperlink r:id="rId15" w:history="1">
        <w:r w:rsidR="00262D60" w:rsidRPr="00AB43D7">
          <w:rPr>
            <w:rStyle w:val="Hyperlink"/>
          </w:rPr>
          <w:t>https://hb.flatironinstitute.org/download</w:t>
        </w:r>
      </w:hyperlink>
      <w:r w:rsidR="001E082D">
        <w:t>). The full</w:t>
      </w:r>
      <w:r w:rsidR="00262D60">
        <w:t xml:space="preserve"> edges network is</w:t>
      </w:r>
      <w:r w:rsidR="001E082D">
        <w:t xml:space="preserve"> a fully connected network containing</w:t>
      </w:r>
      <w:r w:rsidR="00262D60">
        <w:t xml:space="preserve"> edges with evidence </w:t>
      </w:r>
      <w:r w:rsidR="00EB583B">
        <w:t xml:space="preserve">to </w:t>
      </w:r>
      <w:r w:rsidR="00262D60">
        <w:t xml:space="preserve">support a </w:t>
      </w:r>
      <w:r w:rsidR="00ED54C8">
        <w:t>SM</w:t>
      </w:r>
      <w:r w:rsidR="001E082D">
        <w:t xml:space="preserve"> </w:t>
      </w:r>
      <w:r w:rsidR="00262D60">
        <w:t>tissue-specific functional interaction</w:t>
      </w:r>
      <w:r w:rsidR="00EB583B">
        <w:t>.</w:t>
      </w:r>
      <w:r w:rsidR="00374DC2">
        <w:t xml:space="preserve"> </w:t>
      </w:r>
      <w:r w:rsidR="001E082D">
        <w:t xml:space="preserve">The scale of the edge weights are between 0 – 1 with 1 representing those edges with known </w:t>
      </w:r>
      <w:r w:rsidR="00ED54C8">
        <w:t>SM</w:t>
      </w:r>
      <w:r w:rsidR="001E082D">
        <w:t xml:space="preserve"> </w:t>
      </w:r>
      <w:r w:rsidR="00E077B7">
        <w:t>tissue-</w:t>
      </w:r>
      <w:r w:rsidR="001E082D">
        <w:t xml:space="preserve">specific interactions. </w:t>
      </w:r>
      <w:r w:rsidR="00374DC2">
        <w:t>As the downloaded network was particularly large</w:t>
      </w:r>
      <w:r w:rsidR="00E077B7">
        <w:t>,</w:t>
      </w:r>
      <w:r w:rsidR="00374DC2">
        <w:t xml:space="preserve"> we sorted the network interactions by </w:t>
      </w:r>
      <w:r w:rsidR="00E077B7">
        <w:t xml:space="preserve">the </w:t>
      </w:r>
      <w:r w:rsidR="00374DC2">
        <w:t xml:space="preserve">posterior probability </w:t>
      </w:r>
      <w:r w:rsidR="00E077B7">
        <w:t xml:space="preserve">score provided by Humanbase </w:t>
      </w:r>
      <w:r w:rsidR="00374DC2">
        <w:t xml:space="preserve">and took the top 5,500,000 interactions as </w:t>
      </w:r>
      <w:r w:rsidR="001E082D">
        <w:t xml:space="preserve">the </w:t>
      </w:r>
      <w:r w:rsidR="00374DC2">
        <w:t>largest network</w:t>
      </w:r>
      <w:r w:rsidR="005A618E">
        <w:t xml:space="preserve"> (which is similar in size to the full STRING network)</w:t>
      </w:r>
      <w:r w:rsidR="00374DC2">
        <w:t>.</w:t>
      </w:r>
      <w:r w:rsidR="00D67CD8">
        <w:t xml:space="preserve"> This skeletal muscle HumanBase network is referred to as “HumanBase SM full 5.5mil”).</w:t>
      </w:r>
    </w:p>
    <w:p w14:paraId="1EECE83F" w14:textId="77777777" w:rsidR="00262D60" w:rsidRPr="007974C0" w:rsidRDefault="00262D60" w:rsidP="00066430">
      <w:pPr>
        <w:spacing w:after="0"/>
        <w:jc w:val="both"/>
      </w:pPr>
    </w:p>
    <w:p w14:paraId="01968E62" w14:textId="577D5CE2" w:rsidR="00A63B72" w:rsidRPr="00AC4916" w:rsidRDefault="00CA1823" w:rsidP="00066430">
      <w:pPr>
        <w:jc w:val="both"/>
        <w:rPr>
          <w:b/>
        </w:rPr>
      </w:pPr>
      <w:r>
        <w:rPr>
          <w:b/>
        </w:rPr>
        <w:t>Gene co-expression</w:t>
      </w:r>
      <w:r w:rsidR="00DB13AF" w:rsidRPr="00AC4916">
        <w:rPr>
          <w:b/>
        </w:rPr>
        <w:t xml:space="preserve"> </w:t>
      </w:r>
      <w:r w:rsidR="00A63B72" w:rsidRPr="00AC4916">
        <w:rPr>
          <w:b/>
        </w:rPr>
        <w:t>data</w:t>
      </w:r>
    </w:p>
    <w:p w14:paraId="5E331541" w14:textId="1B0EA474" w:rsidR="00115875" w:rsidRDefault="00CE2ECE" w:rsidP="00066430">
      <w:pPr>
        <w:spacing w:after="0"/>
        <w:jc w:val="both"/>
      </w:pPr>
      <w:r>
        <w:t>As</w:t>
      </w:r>
      <w:r w:rsidR="00181952">
        <w:t xml:space="preserve"> a gene co-expression network</w:t>
      </w:r>
      <w:r w:rsidR="00CA1823">
        <w:t xml:space="preserve"> (tissue-generic)</w:t>
      </w:r>
      <w:r>
        <w:t>, h</w:t>
      </w:r>
      <w:r w:rsidR="00181952">
        <w:t>uman gene co-expression data from the co-expressed gene database (COXPRESdb)</w:t>
      </w:r>
      <w:r>
        <w:t xml:space="preserve"> was used</w:t>
      </w:r>
      <w:r w:rsidR="006E7C52">
        <w:t xml:space="preserve"> </w:t>
      </w:r>
      <w:r w:rsidR="006E7C52">
        <w:fldChar w:fldCharType="begin" w:fldLock="1"/>
      </w:r>
      <w:r w:rsidR="006523A5">
        <w:instrText>ADDIN CSL_CITATION {"citationItems":[{"id":"ITEM-1","itemData":{"DOI":"10.1093/nar/gkm840","ISSN":"1362-4962","PMID":"17932064","abstract":"A database of coexpressed gene sets can provide valuable information for a wide variety of experimental designs, such as targeting of genes for functional identification, gene regulation and/or protein-protein interactions. Coexpressed gene databases derived from publicly available GeneChip data are widely used in Arabidopsis research, but platforms that examine coexpression for higher mammals are rather limited. Therefore, we have constructed a new database, COXPRESdb (coexpressed gene database) (http://coxpresdb.hgc.jp), for coexpressed gene lists and networks in human and mouse. Coexpression data could be calculated for 19 777 and 21 036 genes in human and mouse, respectively, by using the GeneChip data in NCBI GEO. COXPRESdb enables analysis of the four types of coexpression networks: (i) highly coexpressed genes for every gene, (ii) genes with the same GO annotation, (iii) genes expressed in the same tissue and (iv) user-defined gene sets. When the networks became too big for the static picture on the web in GO networks or in tissue networks, we used Google Maps API to visualize them interactively. COXPRESdb also provides a view to compare the human and mouse coexpression patterns to estimate the conservation between the two species.","author":[{"dropping-particle":"","family":"Obayashi","given":"Takeshi","non-dropping-particle":"","parse-names":false,"suffix":""},{"dropping-particle":"","family":"Hayashi","given":"Shinpei","non-dropping-particle":"","parse-names":false,"suffix":""},{"dropping-particle":"","family":"Shibaoka","given":"Masayuki","non-dropping-particle":"","parse-names":false,"suffix":""},{"dropping-particle":"","family":"Saeki","given":"Motoshi","non-dropping-particle":"","parse-names":false,"suffix":""},{"dropping-particle":"","family":"Ohta","given":"Hiroyuki","non-dropping-particle":"","parse-names":false,"suffix":""},{"dropping-particle":"","family":"Kinoshita","given":"Kengo","non-dropping-particle":"","parse-names":false,"suffix":""}],"container-title":"Nucleic acids research","id":"ITEM-1","issue":"Database issue","issued":{"date-parts":[["2008","1"]]},"page":"D77-82","title":"COXPRESdb: a database of coexpressed gene networks in mammals.","type":"article-journal","volume":"36"},"uris":["http://www.mendeley.com/documents/?uuid=1b919ff9-88a8-41fd-94e7-3e07c412aec4","http://www.mendeley.com/documents/?uuid=d9786533-df3a-44ab-86e8-52523b44ee67"]}],"mendeley":{"formattedCitation":"(37)","plainTextFormattedCitation":"(37)","previouslyFormattedCitation":"(37)"},"properties":{"noteIndex":0},"schema":"https://github.com/citation-style-language/schema/raw/master/csl-citation.json"}</w:instrText>
      </w:r>
      <w:r w:rsidR="006E7C52">
        <w:fldChar w:fldCharType="separate"/>
      </w:r>
      <w:r w:rsidR="00276AB2" w:rsidRPr="00276AB2">
        <w:rPr>
          <w:noProof/>
        </w:rPr>
        <w:t>(37)</w:t>
      </w:r>
      <w:r w:rsidR="006E7C52">
        <w:fldChar w:fldCharType="end"/>
      </w:r>
      <w:r w:rsidR="00817B3F">
        <w:t xml:space="preserve">. At the time of this study, </w:t>
      </w:r>
      <w:r w:rsidR="006E7C52">
        <w:t>COXPRESdb</w:t>
      </w:r>
      <w:r w:rsidR="0006289A">
        <w:t xml:space="preserve"> </w:t>
      </w:r>
      <w:r w:rsidR="00817B3F">
        <w:t>utilise</w:t>
      </w:r>
      <w:r>
        <w:t xml:space="preserve">d </w:t>
      </w:r>
      <w:r w:rsidR="006E7C52">
        <w:t>gene co-expression data</w:t>
      </w:r>
      <w:r w:rsidR="00817B3F">
        <w:t xml:space="preserve"> from </w:t>
      </w:r>
      <w:r w:rsidR="006E7C52">
        <w:t>11 animal species supported by 23 co-expression platforms</w:t>
      </w:r>
      <w:r w:rsidR="001B3DD4">
        <w:t>, incorporating both microarray and RNA-sequencing transcriptomic data</w:t>
      </w:r>
      <w:r w:rsidR="00181952">
        <w:t xml:space="preserve"> </w:t>
      </w:r>
      <w:r w:rsidR="00181952">
        <w:fldChar w:fldCharType="begin" w:fldLock="1"/>
      </w:r>
      <w:r w:rsidR="006523A5">
        <w:instrText>ADDIN CSL_CITATION {"citationItems":[{"id":"ITEM-1","itemData":{"DOI":"10.1093/nar/gky1155","ISSN":"13624962","PMID":"30462320","abstract":"The advent of RNA-sequencing and microarray technologies has led to rapid growth of transcriptome data generated for a wide range of organisms, under various cellular, organ and individual conditions. Since the number of possible combinations of intercellular and extracellular conditions is almost unlimited, cataloging all transcriptome conditions would be an immeasurable challenge. Gene coexpression refers to the similarity of gene expression patterns under various conditions, such as disease states, tissue types, and developmental stages. Since the quality of gene coexpression data depends on the quality and quantity of transcriptome data, timely usage of the growing data is key to promoting individual research in molecular biology. COXPRESdb (http://coxpresdb.jp) is a database providing coexpression information for 11 animal species. One characteristic feature of COXPRESdb is its ability to compare multiple coexpression data derived from different transcriptomics technologies and different species, which strongly reduces false positive relationships in individual gene coexpression data. Here, we summarized the current version of this database, including 23 coexpression platforms with the highest-level quality till date. Using various functionalities in COXPRESdb, the new coexpression data would support a broader area of research from molecular biology to medical sciences.","author":[{"dropping-particle":"","family":"Obayashi","given":"Takeshi","non-dropping-particle":"","parse-names":false,"suffix":""},{"dropping-particle":"","family":"Kagaya","given":"Yuki","non-dropping-particle":"","parse-names":false,"suffix":""},{"dropping-particle":"","family":"Aoki","given":"Yuichi","non-dropping-particle":"","parse-names":false,"suffix":""},{"dropping-particle":"","family":"Tadaka","given":"Shu","non-dropping-particle":"","parse-names":false,"suffix":""},{"dropping-particle":"","family":"Kinoshita","given":"Kengo","non-dropping-particle":"","parse-names":false,"suffix":""}],"container-title":"Nucleic Acids Research","id":"ITEM-1","issue":"D1","issued":{"date-parts":[["2019","1"]]},"page":"D55-D62","title":"COXPRESdb v7: A gene coexpression database for 11 animal species supported by 23 coexpression platforms for technical evaluation and evolutionary inference","type":"article-journal","volume":"47"},"uris":["http://www.mendeley.com/documents/?uuid=e2da2566-778f-4ce2-a2f9-440476e4b4cd","http://www.mendeley.com/documents/?uuid=13d3a9af-e695-48ef-8c5f-400902438a3a"]},{"id":"ITEM-2","itemData":{"DOI":"10.1093/nar/gku1163","ISSN":"13624962","PMID":"25392420","abstract":"The COXPRESdb (http://coxpresdb.jp) provides gene coexpression relationships for animal species. Here, we report the updates of the database, mainly focusing on the following two points. For the first point, we added RNAseq-based gene coexpression data for three species (human, mouse and fly), and largely increased the number of microarray experiments to nine species. The increase of the number of expression data with multiple platforms could enhance the reliability of coexpression data. For the second point, we refined the data assessment procedures, for each coexpressed gene list and for the total performance of a platform. The assessment of coexpressed gene list now uses more reasonable Pvalues derived from platform-specific null distribution. These developments greatly reduced pseudopredictions for directly associated genes, thus expanding the reliability of coexpression data to design new experiments and to discuss experimental results.","author":[{"dropping-particle":"","family":"Okamura","given":"Yasunobu","non-dropping-particle":"","parse-names":false,"suffix":""},{"dropping-particle":"","family":"Aoki","given":"Yuichi","non-dropping-particle":"","parse-names":false,"suffix":""},{"dropping-particle":"","family":"Obayashi","given":"Takeshi","non-dropping-particle":"","parse-names":false,"suffix":""},{"dropping-particle":"","family":"Tadaka","given":"Shu","non-dropping-particle":"","parse-names":false,"suffix":""},{"dropping-particle":"","family":"Ito","given":"Satoshi","non-dropping-particle":"","parse-names":false,"suffix":""},{"dropping-particle":"","family":"Narise","given":"Takafumi","non-dropping-particle":"","parse-names":false,"suffix":""},{"dropping-particle":"","family":"Kinoshita","given":"Kengo","non-dropping-particle":"","parse-names":false,"suffix":""}],"container-title":"Nucleic Acids Research","id":"ITEM-2","issue":"D1","issued":{"date-parts":[["2015","1"]]},"page":"D82-D86","title":"COXPRESdb in 2015: Coexpression database for animal species by DNA-microarray and RNAseq-based expression data with multiple quality assessment systems","type":"article-journal","volume":"43"},"uris":["http://www.mendeley.com/documents/?uuid=aed244c2-5cfb-401c-a014-56a4df98d59f","http://www.mendeley.com/documents/?uuid=1d9a3496-c9be-4eb3-9496-12ebb97d015c"]}],"mendeley":{"formattedCitation":"(38,39)","plainTextFormattedCitation":"(38,39)","previouslyFormattedCitation":"(38,39)"},"properties":{"noteIndex":0},"schema":"https://github.com/citation-style-language/schema/raw/master/csl-citation.json"}</w:instrText>
      </w:r>
      <w:r w:rsidR="00181952">
        <w:fldChar w:fldCharType="separate"/>
      </w:r>
      <w:r w:rsidR="00276AB2" w:rsidRPr="00276AB2">
        <w:rPr>
          <w:noProof/>
        </w:rPr>
        <w:t>(38,39)</w:t>
      </w:r>
      <w:r w:rsidR="00181952">
        <w:fldChar w:fldCharType="end"/>
      </w:r>
      <w:r w:rsidR="001B3DD4">
        <w:t>.</w:t>
      </w:r>
      <w:r w:rsidR="00181952">
        <w:t xml:space="preserve"> We downloaded the human “Has-u.c2-0” gene correlation table from the COXPRESdb website (</w:t>
      </w:r>
      <w:hyperlink r:id="rId16" w:history="1">
        <w:r w:rsidR="00181952" w:rsidRPr="000C1593">
          <w:rPr>
            <w:rStyle w:val="Hyperlink"/>
          </w:rPr>
          <w:t>https://coxpresdb.jp/download/</w:t>
        </w:r>
      </w:hyperlink>
      <w:r w:rsidR="00181952">
        <w:t>), which encompasses a union of both the microarray and RNA-seq data available for humans</w:t>
      </w:r>
      <w:r w:rsidR="000400A7">
        <w:t xml:space="preserve"> via COXPRESdb</w:t>
      </w:r>
      <w:r w:rsidR="00181952">
        <w:t xml:space="preserve">. COXPRESdb </w:t>
      </w:r>
      <w:r w:rsidR="00374DC2">
        <w:t xml:space="preserve">ranks co-expression between a pair of genes using mutual rank (MR). </w:t>
      </w:r>
      <w:bookmarkStart w:id="0" w:name="_Hlk73636332"/>
      <w:r w:rsidR="00374DC2">
        <w:t xml:space="preserve">For a given gene pair, </w:t>
      </w:r>
      <w:r w:rsidR="00245ED7">
        <w:t xml:space="preserve">the rank of the correlation coefficient for each partner is calculated among the co-expressed genes of its partner. </w:t>
      </w:r>
      <w:r w:rsidR="00374DC2">
        <w:t xml:space="preserve">MR is defined as the </w:t>
      </w:r>
      <w:r w:rsidR="00965FB8">
        <w:t xml:space="preserve">mean </w:t>
      </w:r>
      <w:r w:rsidR="00374DC2">
        <w:t xml:space="preserve">average of </w:t>
      </w:r>
      <w:r w:rsidR="00245ED7">
        <w:t>the two ranks</w:t>
      </w:r>
      <w:r w:rsidR="00374DC2">
        <w:t xml:space="preserve"> </w:t>
      </w:r>
      <w:r w:rsidR="00374DC2">
        <w:fldChar w:fldCharType="begin" w:fldLock="1"/>
      </w:r>
      <w:r w:rsidR="006523A5">
        <w:instrText>ADDIN CSL_CITATION {"citationItems":[{"id":"ITEM-1","itemData":{"DOI":"10.1093/dnares/dsp016","ISSN":"13402838","PMID":"19767600","abstract":"Information regarding gene coexpression is useful to predict gene function. Several databases have been constructed for gene coexpression in model organisms based on a large amount of publicly available gene expression data measured by GeneChip platforms. In these databases, Pearson's correlation coefficients (PCCs) of gene expression patterns are widely used as a measure of gene coexpression. Although the coexpression measure or GeneChip summarization method affects the performance of the gene coexpression database, previous studies for these calculation procedures were tested with only a small number of samples and a particular species. To evaluate the effectiveness of coexpression measures, assessments with large-scale microarray data are required. We first examined characteristics of PCC and found that the optimal PCC threshold to retrieve functionally related genes was affected by the method of gene expression database construction and the target gene function. In addition, we found that this problem could be overcome when we used correlation ranks instead of correlation values. This observation was evaluated by large-scale gene expression data for four species: Arabidopsis, human, mouse and rat.","author":[{"dropping-particle":"","family":"Obayashi","given":"Takeshi","non-dropping-particle":"","parse-names":false,"suffix":""},{"dropping-particle":"","family":"Kinoshita","given":"Kengo","non-dropping-particle":"","parse-names":false,"suffix":""}],"container-title":"DNA Research","id":"ITEM-1","issue":"5","issued":{"date-parts":[["2009","10"]]},"page":"249-260","title":"Rank of correlation coefficient as a comparable measure for biological significance of gene coexpression","type":"article-journal","volume":"16"},"uris":["http://www.mendeley.com/documents/?uuid=94597e9d-ce4f-4dea-9ad1-70d9ac8ba217","http://www.mendeley.com/documents/?uuid=87e392bd-55a4-44a5-9a85-3416d2651dde"]}],"mendeley":{"formattedCitation":"(40)","plainTextFormattedCitation":"(40)","previouslyFormattedCitation":"(40)"},"properties":{"noteIndex":0},"schema":"https://github.com/citation-style-language/schema/raw/master/csl-citation.json"}</w:instrText>
      </w:r>
      <w:r w:rsidR="00374DC2">
        <w:fldChar w:fldCharType="separate"/>
      </w:r>
      <w:r w:rsidR="00276AB2" w:rsidRPr="00276AB2">
        <w:rPr>
          <w:noProof/>
        </w:rPr>
        <w:t>(40)</w:t>
      </w:r>
      <w:r w:rsidR="00374DC2">
        <w:fldChar w:fldCharType="end"/>
      </w:r>
      <w:r w:rsidR="00374DC2">
        <w:t>.</w:t>
      </w:r>
      <w:bookmarkEnd w:id="0"/>
      <w:r w:rsidR="00374DC2">
        <w:t xml:space="preserve"> </w:t>
      </w:r>
      <w:r w:rsidR="001E082D">
        <w:t xml:space="preserve">As lower MR values represent </w:t>
      </w:r>
      <w:r w:rsidR="00817B3F">
        <w:t>gene pairs with the highest correlation coefficient average,</w:t>
      </w:r>
      <w:r w:rsidR="001E082D">
        <w:t xml:space="preserve"> the MR were –log10 transformed to inverse the scale and the resultant values were rescaled to contain edge weights between 0 – 1.</w:t>
      </w:r>
      <w:r w:rsidR="00374DC2">
        <w:t xml:space="preserve"> The number of co-expressed interactions was particularly large</w:t>
      </w:r>
      <w:r w:rsidR="0021149E">
        <w:t xml:space="preserve">, so the co-expressed genes </w:t>
      </w:r>
      <w:r>
        <w:t xml:space="preserve">were sorted </w:t>
      </w:r>
      <w:r w:rsidR="0021149E">
        <w:t xml:space="preserve">by MR and the top 5,500,000 </w:t>
      </w:r>
      <w:r>
        <w:t xml:space="preserve">were taken </w:t>
      </w:r>
      <w:r w:rsidR="0021149E">
        <w:t>as the largest network</w:t>
      </w:r>
      <w:r w:rsidR="005A618E">
        <w:t xml:space="preserve"> (which is similar in size to the full STRING network)</w:t>
      </w:r>
      <w:r w:rsidR="00D67CD8">
        <w:t xml:space="preserve"> and referred to as “COXPRES</w:t>
      </w:r>
      <w:r w:rsidR="00100E80">
        <w:t>db 5.5mil”</w:t>
      </w:r>
      <w:r w:rsidR="0021149E">
        <w:t>.</w:t>
      </w:r>
      <w:r w:rsidR="00BD5928">
        <w:t xml:space="preserve"> Two smaller version were also prepared, taking the top 2 million (“COXPRESdb 2mil”) and top 800,000 (“COXPRESdb 0.8mil”). </w:t>
      </w:r>
    </w:p>
    <w:p w14:paraId="68C348F9" w14:textId="77777777" w:rsidR="00115875" w:rsidRDefault="00115875" w:rsidP="00066430">
      <w:pPr>
        <w:spacing w:after="0"/>
        <w:jc w:val="both"/>
      </w:pPr>
    </w:p>
    <w:p w14:paraId="26D35F43" w14:textId="7ECE0715" w:rsidR="00507D0E" w:rsidRDefault="0040749B" w:rsidP="00066430">
      <w:pPr>
        <w:spacing w:after="0"/>
        <w:jc w:val="both"/>
      </w:pPr>
      <w:r>
        <w:t xml:space="preserve">As </w:t>
      </w:r>
      <w:r w:rsidR="00B30100">
        <w:t xml:space="preserve">a muscle </w:t>
      </w:r>
      <w:r>
        <w:t>tissue-</w:t>
      </w:r>
      <w:r w:rsidR="00B30100">
        <w:t>specific gene co-expression network</w:t>
      </w:r>
      <w:r>
        <w:t>,</w:t>
      </w:r>
      <w:r w:rsidR="00B30100">
        <w:t xml:space="preserve"> a </w:t>
      </w:r>
      <w:r>
        <w:t>skeletal muscle</w:t>
      </w:r>
      <w:r w:rsidR="00B30100">
        <w:t xml:space="preserve"> gene expression matrix from t</w:t>
      </w:r>
      <w:r w:rsidR="00B42C49">
        <w:t>he Genotype-Tissue Expression (</w:t>
      </w:r>
      <w:r w:rsidR="00684A66">
        <w:t>GTEx) project</w:t>
      </w:r>
      <w:r w:rsidR="00B30100">
        <w:t xml:space="preserve"> database</w:t>
      </w:r>
      <w:r>
        <w:t xml:space="preserve"> was used</w:t>
      </w:r>
      <w:r w:rsidR="00B30100">
        <w:t>. GTEx</w:t>
      </w:r>
      <w:r w:rsidR="00684A66">
        <w:t xml:space="preserve"> was designed </w:t>
      </w:r>
      <w:r>
        <w:t xml:space="preserve">as </w:t>
      </w:r>
      <w:r w:rsidR="000C1773">
        <w:t>a</w:t>
      </w:r>
      <w:r w:rsidR="00684A66">
        <w:t xml:space="preserve"> resource </w:t>
      </w:r>
      <w:r>
        <w:t>for</w:t>
      </w:r>
      <w:r w:rsidR="00684A66">
        <w:t xml:space="preserve"> the study of correlation between genetic variation and tissue-specific gene expression profiles</w:t>
      </w:r>
      <w:r w:rsidR="000C6FA9">
        <w:t>,</w:t>
      </w:r>
      <w:r w:rsidR="00684A66">
        <w:t xml:space="preserve"> in tissues taken from patients with no apparent disease </w:t>
      </w:r>
      <w:r>
        <w:fldChar w:fldCharType="begin" w:fldLock="1"/>
      </w:r>
      <w:r w:rsidR="006523A5">
        <w:instrText>ADDIN CSL_CITATION {"citationItems":[{"id":"ITEM-1","itemData":{"DOI":"10.1089/bio.2015.29031.hmm","ISSN":"1947-5543","PMID":"26484569","author":[{"dropping-particle":"","family":"Carithers","given":"Latarsha J","non-dropping-particle":"","parse-names":false,"suffix":""},{"dropping-particle":"","family":"Moore","given":"Helen M","non-dropping-particle":"","parse-names":false,"suffix":""}],"container-title":"Biopreservation and biobanking","id":"ITEM-1","issue":"5","issued":{"date-parts":[["2015","10"]]},"page":"307-8","title":"The Genotype-Tissue Expression (GTEx) Project.","type":"article-journal","volume":"13"},"uris":["http://www.mendeley.com/documents/?uuid=040d4cb1-d006-42e5-842b-eeec8e40c9d3","http://www.mendeley.com/documents/?uuid=7e2d7059-c383-4502-8739-b48c2f535396"]},{"id":"ITEM-2","itemData":{"DOI":"10.1089/bio.2015.0032","ISSN":"1947-5543","PMID":"26484571","abstract":"The Genotype-Tissue Expression (GTEx) project, sponsored by the NIH Common Fund, was established to study the correlation between human genetic variation and tissue-specific gene expression in non-diseased individuals. A significant challenge was the collection of high-quality biospecimens for extensive genomic analyses. Here we describe how a successful infrastructure for biospecimen procurement was developed and implemented by multiple research partners to support the prospective collection, annotation, and distribution of blood, tissues, and cell lines for the GTEx project. Other research projects can follow this model and form beneficial partnerships with rapid autopsy and organ procurement organizations to collect high quality biospecimens and associated clinical data for genomic studies. Biospecimens, clinical and genomic data, and Standard Operating Procedures guiding biospecimen collection for the GTEx project are available to the research community.","author":[{"dropping-particle":"","family":"Carithers","given":"Latarsha J.","non-dropping-particle":"","parse-names":false,"suffix":""},{"dropping-particle":"","family":"Ardlie","given":"Kristin","non-dropping-particle":"","parse-names":false,"suffix":""},{"dropping-particle":"","family":"Barcus","given":"Mary","non-dropping-particle":"","parse-names":false,"suffix":""},{"dropping-particle":"","family":"Branton","given":"Philip A.","non-dropping-particle":"","parse-names":false,"suffix":""},{"dropping-particle":"","family":"Britton","given":"Angela","non-dropping-particle":"","parse-names":false,"suffix":""},{"dropping-particle":"","family":"Buia","given":"Stephen A.","non-dropping-particle":"","parse-names":false,"suffix":""},{"dropping-particle":"","family":"Compton","given":"Carolyn C.","non-dropping-particle":"","parse-names":false,"suffix":""},{"dropping-particle":"","family":"DeLuca","given":"David S","non-dropping-particle":"","parse-names":false,"suffix":""},{"dropping-particle":"","family":"Peter-Demchok","given":"Joanne","non-dropping-particle":"","parse-names":false,"suffix":""},{"dropping-particle":"","family":"Gelfand","given":"Ellen T.","non-dropping-particle":"","parse-names":false,"suffix":""},{"dropping-particle":"","family":"Guan","given":"Ping","non-dropping-particle":"","parse-names":false,"suffix":""},{"dropping-particle":"","family":"Korzeniewski","given":"Greg E.","non-dropping-particle":"","parse-names":false,"suffix":""},{"dropping-particle":"","family":"Lockhart","given":"Nicole C.","non-dropping-particle":"","parse-names":false,"suffix":""},{"dropping-particle":"","family":"Rabiner","given":"Chana A.","non-dropping-particle":"","parse-names":false,"suffix":""},{"dropping-particle":"","family":"Rao","given":"Abhi K.","non-dropping-particle":"","parse-names":false,"suffix":""},{"dropping-particle":"","family":"Robinson","given":"Karna L.","non-dropping-particle":"","parse-names":false,"suffix":""},{"dropping-particle":"V.","family":"Roche","given":"Nancy","non-dropping-particle":"","parse-names":false,"suffix":""},{"dropping-particle":"","family":"Sawyer","given":"Sherilyn J.","non-dropping-particle":"","parse-names":false,"suffix":""},{"dropping-particle":"V.","family":"Segrè","given":"Ayellet","non-dropping-particle":"","parse-names":false,"suffix":""},{"dropping-particle":"","family":"Shive","given":"Charles E.","non-dropping-particle":"","parse-names":false,"suffix":""},{"dropping-particle":"","family":"Smith","given":"Anna M.","non-dropping-particle":"","parse-names":false,"suffix":""},{"dropping-particle":"","family":"Sobin","given":"Leslie H.","non-dropping-particle":"","parse-names":false,"suffix":""},{"dropping-particle":"","family":"Undale","given":"Anita H.","non-dropping-particle":"","parse-names":false,"suffix":""},{"dropping-particle":"","family":"Valentino","given":"Kimberly M.","non-dropping-particle":"","parse-names":false,"suffix":""},{"dropping-particle":"","family":"Vaught","given":"Jim","non-dropping-particle":"","parse-names":false,"suffix":""},{"dropping-particle":"","family":"Young","given":"Taylor R.","non-dropping-particle":"","parse-names":false,"suffix":""},{"dropping-particle":"","family":"Moore","given":"Helen M.","non-dropping-particle":"","parse-names":false,"suffix":""},{"dropping-particle":"","family":"GTEx Consortium","given":"","non-dropping-particle":"","parse-names":false,"suffix":""}],"container-title":"Biopreservation and biobanking","id":"ITEM-2","issue":"5","issued":{"date-parts":[["2015","10"]]},"page":"311-9","title":"A Novel Approach to High-Quality Postmortem Tissue Procurement: The GTEx Project.","type":"article-journal","volume":"13"},"uris":["http://www.mendeley.com/documents/?uuid=ddf7adbd-1b8b-4746-859d-b1a2f81e7bc8","http://www.mendeley.com/documents/?uuid=65cf8cd7-a286-466b-b929-a4ae28727d9d"]}],"mendeley":{"formattedCitation":"(41,42)","plainTextFormattedCitation":"(41,42)","previouslyFormattedCitation":"(41,42)"},"properties":{"noteIndex":0},"schema":"https://github.com/citation-style-language/schema/raw/master/csl-citation.json"}</w:instrText>
      </w:r>
      <w:r>
        <w:fldChar w:fldCharType="separate"/>
      </w:r>
      <w:r w:rsidR="00276AB2" w:rsidRPr="00276AB2">
        <w:rPr>
          <w:noProof/>
        </w:rPr>
        <w:t>(41,42)</w:t>
      </w:r>
      <w:r>
        <w:fldChar w:fldCharType="end"/>
      </w:r>
      <w:r w:rsidR="0084704B">
        <w:t>.</w:t>
      </w:r>
      <w:r w:rsidR="00360551">
        <w:t xml:space="preserve"> </w:t>
      </w:r>
      <w:r w:rsidR="000400A7">
        <w:t>From the GTEx portal for GTEx analysis V8 (</w:t>
      </w:r>
      <w:hyperlink r:id="rId17" w:history="1">
        <w:r w:rsidR="000400A7" w:rsidRPr="00262F09">
          <w:rPr>
            <w:rStyle w:val="Hyperlink"/>
          </w:rPr>
          <w:t>https://www.gtexportal.org/home/datasets</w:t>
        </w:r>
      </w:hyperlink>
      <w:r w:rsidR="000400A7">
        <w:t>), we downloaded the post</w:t>
      </w:r>
      <w:r>
        <w:t>-</w:t>
      </w:r>
      <w:r w:rsidR="000400A7">
        <w:t xml:space="preserve">processed, filtered and normalized gene expression matrix for “Muscle_Skeletal” tissue. </w:t>
      </w:r>
      <w:r w:rsidR="006556C2">
        <w:t>These gene expression matrices were the input to the expression quantitative trait loci (eQTL) mapping analysis</w:t>
      </w:r>
      <w:r>
        <w:t xml:space="preserve"> described by the GTEx authors</w:t>
      </w:r>
      <w:r w:rsidR="006556C2">
        <w:t xml:space="preserve">. Detailed methodology on how the expression matrices were produced is available at </w:t>
      </w:r>
      <w:hyperlink r:id="rId18" w:history="1">
        <w:r w:rsidR="006556C2" w:rsidRPr="00262F09">
          <w:rPr>
            <w:rStyle w:val="Hyperlink"/>
          </w:rPr>
          <w:t>https://www.gtexportal.org/home/documentationPage</w:t>
        </w:r>
      </w:hyperlink>
      <w:r w:rsidR="006556C2">
        <w:t xml:space="preserve"> under the “eQTL Analysis” tab.</w:t>
      </w:r>
      <w:r w:rsidR="00B555EB">
        <w:t xml:space="preserve"> </w:t>
      </w:r>
      <w:r w:rsidR="00F97EFB">
        <w:t>From this gene expression matrix we generate</w:t>
      </w:r>
      <w:r>
        <w:t>d</w:t>
      </w:r>
      <w:r w:rsidR="00F97EFB">
        <w:t xml:space="preserve"> a gene co-expression networ</w:t>
      </w:r>
      <w:r>
        <w:t>k, using</w:t>
      </w:r>
      <w:r w:rsidR="00DB135C">
        <w:t xml:space="preserve"> the R package “psych” to define the Pearson correlation and correlation significance between each gene pair of the gene expression matrix</w:t>
      </w:r>
      <w:r w:rsidR="00E10014">
        <w:t xml:space="preserve"> </w:t>
      </w:r>
      <w:r w:rsidR="00B137E5">
        <w:fldChar w:fldCharType="begin" w:fldLock="1"/>
      </w:r>
      <w:r w:rsidR="006523A5">
        <w:instrText>ADDIN CSL_CITATION {"citationItems":[{"id":"ITEM-1","itemData":{"author":[{"dropping-particle":"","family":"Revelle","given":"William","non-dropping-particle":"","parse-names":false,"suffix":""}],"id":"ITEM-1","issued":{"date-parts":[["2019"]]},"publisher-place":"Evanston, Illinois","title":"psych: Procedures for Psychological, Psychometric, and Personality Research","type":"article"},"uris":["http://www.mendeley.com/documents/?uuid=c05b695c-d2be-4769-939f-cb633d72bbab","http://www.mendeley.com/documents/?uuid=8681e79d-47e0-4230-937e-531c6473e52a"]},{"id":"ITEM-2","itemData":{"DOI":"10.1007/978-1-4939-7747-5_21","ISSN":"1940-6029","PMID":"29525965","abstract":"The rapid increase in the availability of transcriptomics data generated by RNA sequencing represents both a challenge and an opportunity for biologists without bioinformatics training. The challenge is handling, integrating, and interpreting these data sets. The opportunity is to use this information to generate testable hypothesis to understand molecular mechanisms controlling gene expression and biological processes (Fig. 1). A successful strategy to generate tractable hypotheses from transcriptomics data has been to build undirected network graphs based on patterns of gene co-expression. Many examples of new hypothesis derived from network analyses can be found in the literature, spanning different organisms including plants and specific fields such as root developmental biology.In order to make the process of constructing a gene co-expression network more accessible to biologists, here we provide step-by-step instructions using published RNA-seq experimental data obtained from a public database. Similar strategies have been used in previous studies to advance root developmental biology. This guide includes basic instructions for the operation of widely used open source platforms such as Bio-Linux, R, and Cytoscape. Even though the data we used in this example was obtained from Arabidopsis thaliana, the workflow developed in this guide can be easily adapted to work with RNA-seq data from any organism.","author":[{"dropping-particle":"","family":"Contreras-López","given":"Orlando","non-dropping-particle":"","parse-names":false,"suffix":""},{"dropping-particle":"","family":"Moyano","given":"Tomás C","non-dropping-particle":"","parse-names":false,"suffix":""},{"dropping-particle":"","family":"Soto","given":"Daniela C","non-dropping-particle":"","parse-names":false,"suffix":""},{"dropping-particle":"","family":"Gutiérrez","given":"Rodrigo A","non-dropping-particle":"","parse-names":false,"suffix":""}],"container-title":"Methods in molecular biology (Clifton, N.J.)","id":"ITEM-2","issued":{"date-parts":[["2018"]]},"page":"275-301","title":"Step-by-Step Construction of Gene Co-expression Networks from High-Throughput Arabidopsis RNA Sequencing Data.","type":"article-journal","volume":"1761"},"uris":["http://www.mendeley.com/documents/?uuid=aaf85cd4-885b-40bf-ad3e-322d0c7760c5","http://www.mendeley.com/documents/?uuid=89169ad1-e64c-4022-af92-7c9b509f6028"]}],"mendeley":{"formattedCitation":"(43,44)","plainTextFormattedCitation":"(43,44)","previouslyFormattedCitation":"(43,44)"},"properties":{"noteIndex":0},"schema":"https://github.com/citation-style-language/schema/raw/master/csl-citation.json"}</w:instrText>
      </w:r>
      <w:r w:rsidR="00B137E5">
        <w:fldChar w:fldCharType="separate"/>
      </w:r>
      <w:r w:rsidR="00276AB2" w:rsidRPr="00276AB2">
        <w:rPr>
          <w:noProof/>
        </w:rPr>
        <w:t>(43,44)</w:t>
      </w:r>
      <w:r w:rsidR="00B137E5">
        <w:fldChar w:fldCharType="end"/>
      </w:r>
      <w:r w:rsidR="00DB135C">
        <w:t>.</w:t>
      </w:r>
      <w:r w:rsidR="00E10014">
        <w:t xml:space="preserve"> </w:t>
      </w:r>
      <w:r w:rsidR="00B038AB">
        <w:t>Multiple testing correction for the correlation significance was applied using the Benjamini-Hochberg procedure with a</w:t>
      </w:r>
      <w:r w:rsidR="00526F2C">
        <w:t>n</w:t>
      </w:r>
      <w:r w:rsidR="00B038AB">
        <w:t xml:space="preserve"> alpha value of 0.05. </w:t>
      </w:r>
      <w:r w:rsidR="00B137E5">
        <w:t>We set a correlation significance cut-off for each gene-gene co-expression interaction at an adjusted p-value e</w:t>
      </w:r>
      <w:r w:rsidR="00F97EFB">
        <w:t>qual to or less than 0.05. The resultant</w:t>
      </w:r>
      <w:r w:rsidR="00B137E5">
        <w:t xml:space="preserve"> gene co-expressi</w:t>
      </w:r>
      <w:r w:rsidR="00F97EFB">
        <w:t>on network was sorted by the Pearson’</w:t>
      </w:r>
      <w:r>
        <w:t>s</w:t>
      </w:r>
      <w:r w:rsidR="00F97EFB">
        <w:t xml:space="preserve"> correlation c</w:t>
      </w:r>
      <w:r w:rsidR="00481712">
        <w:t xml:space="preserve">oefficient value </w:t>
      </w:r>
      <w:r w:rsidR="001E0A09">
        <w:t>(either positive</w:t>
      </w:r>
      <w:r w:rsidR="001E16CC">
        <w:t xml:space="preserve">, r, </w:t>
      </w:r>
      <w:r w:rsidR="001E0A09">
        <w:t>or absolute value</w:t>
      </w:r>
      <w:r w:rsidR="001E16CC">
        <w:t>, |r|</w:t>
      </w:r>
      <w:r w:rsidR="001E0A09">
        <w:t xml:space="preserve">) </w:t>
      </w:r>
      <w:r w:rsidR="00481712">
        <w:t xml:space="preserve">and </w:t>
      </w:r>
      <w:r w:rsidR="001E16CC">
        <w:t>6</w:t>
      </w:r>
      <w:r w:rsidR="00481712">
        <w:t xml:space="preserve"> </w:t>
      </w:r>
      <w:r w:rsidR="00F97EFB">
        <w:t xml:space="preserve">networks </w:t>
      </w:r>
      <w:r w:rsidR="001E0A09">
        <w:t xml:space="preserve">were produced </w:t>
      </w:r>
      <w:r w:rsidR="00F97EFB">
        <w:t>depending on a range of cut</w:t>
      </w:r>
      <w:r>
        <w:t>-</w:t>
      </w:r>
      <w:r w:rsidR="00F97EFB">
        <w:t>off thresholds</w:t>
      </w:r>
      <w:r w:rsidR="005A618E">
        <w:t xml:space="preserve"> (the lowest r threshold being chosen so as to avoid overly large network sizes of &gt;5.5 million edges)</w:t>
      </w:r>
      <w:r w:rsidR="001E0A09">
        <w:t>:</w:t>
      </w:r>
      <w:r w:rsidR="00F97EFB">
        <w:t xml:space="preserve"> </w:t>
      </w:r>
      <w:bookmarkStart w:id="1" w:name="_Hlk67489500"/>
      <w:r w:rsidR="001E0A09">
        <w:t>r</w:t>
      </w:r>
      <w:r w:rsidR="00F97EFB">
        <w:t xml:space="preserve"> &gt;= 0.5</w:t>
      </w:r>
      <w:r w:rsidR="001E0A09">
        <w:t xml:space="preserve">; </w:t>
      </w:r>
      <w:r w:rsidR="001E16CC">
        <w:t xml:space="preserve">|r| &gt;= 0.5; </w:t>
      </w:r>
      <w:r w:rsidR="00F97EFB">
        <w:t>r</w:t>
      </w:r>
      <w:r w:rsidR="001E16CC">
        <w:t xml:space="preserve"> </w:t>
      </w:r>
      <w:r w:rsidR="00F97EFB">
        <w:t>&gt;=</w:t>
      </w:r>
      <w:r w:rsidR="001E16CC">
        <w:t xml:space="preserve"> </w:t>
      </w:r>
      <w:r w:rsidR="00F97EFB">
        <w:t>0.6</w:t>
      </w:r>
      <w:r w:rsidR="001E0A09">
        <w:t>;</w:t>
      </w:r>
      <w:r w:rsidR="00F97EFB">
        <w:t xml:space="preserve"> </w:t>
      </w:r>
      <w:r w:rsidR="001E16CC">
        <w:t xml:space="preserve">|r| &gt;= 0.6; </w:t>
      </w:r>
      <w:r w:rsidR="001E0A09">
        <w:t xml:space="preserve">top 1 million interactions </w:t>
      </w:r>
      <w:r w:rsidR="001E16CC">
        <w:t>ranked by r; top 1 million interactions ranked by</w:t>
      </w:r>
      <w:r w:rsidR="001E0A09">
        <w:t xml:space="preserve"> |r|.</w:t>
      </w:r>
      <w:r w:rsidR="00317C0D">
        <w:t xml:space="preserve"> </w:t>
      </w:r>
      <w:r w:rsidR="00E30A50">
        <w:t>Subsequently t</w:t>
      </w:r>
      <w:r w:rsidR="00317C0D">
        <w:t xml:space="preserve">hese 6 networks </w:t>
      </w:r>
      <w:r w:rsidR="00E30A50">
        <w:t>are referred to, respectively, as: GTEx SM r&gt;= 0.5 +; GTEx SM r&gt;= 0.5 +/-; GTEx SM r&gt;= 0.6 +; GTEx SM r&gt;= 0.6 +/-; GTEx SM top 1mil +; and GTEx SM top 1mil +/-.</w:t>
      </w:r>
    </w:p>
    <w:bookmarkEnd w:id="1"/>
    <w:p w14:paraId="4E72A18D" w14:textId="58B7D8CB" w:rsidR="0006694F" w:rsidRDefault="0006694F" w:rsidP="00066430">
      <w:pPr>
        <w:spacing w:after="0"/>
        <w:jc w:val="both"/>
      </w:pPr>
    </w:p>
    <w:p w14:paraId="094D1C30" w14:textId="0E788A93" w:rsidR="00AF40B2" w:rsidRDefault="00B30100" w:rsidP="00AF40B2">
      <w:pPr>
        <w:spacing w:after="0"/>
        <w:jc w:val="both"/>
      </w:pPr>
      <w:r>
        <w:t xml:space="preserve">Another source </w:t>
      </w:r>
      <w:r w:rsidR="002337AF">
        <w:t xml:space="preserve">of </w:t>
      </w:r>
      <w:r>
        <w:t>muscle</w:t>
      </w:r>
      <w:r w:rsidR="002337AF">
        <w:t>-</w:t>
      </w:r>
      <w:r>
        <w:t>specific gene co-expression data is the database</w:t>
      </w:r>
      <w:r w:rsidR="002337AF">
        <w:t xml:space="preserve"> underlying the</w:t>
      </w:r>
      <w:r w:rsidR="00554E53">
        <w:t xml:space="preserve"> </w:t>
      </w:r>
      <w:r w:rsidR="002337AF">
        <w:t xml:space="preserve">MyoMiner resource </w:t>
      </w:r>
      <w:r w:rsidR="00554E53">
        <w:t>(</w:t>
      </w:r>
      <w:hyperlink r:id="rId19" w:history="1">
        <w:r w:rsidR="00554E53" w:rsidRPr="00F9556A">
          <w:rPr>
            <w:rStyle w:val="Hyperlink"/>
          </w:rPr>
          <w:t>https://sys-myo.com/myominer</w:t>
        </w:r>
      </w:hyperlink>
      <w:r w:rsidR="00554E53">
        <w:t>)</w:t>
      </w:r>
      <w:r>
        <w:t>. MyoMiner is a striated muscle specific database which provides filtered and processed gene co-expression data for both normal and pathological tissues constructed from</w:t>
      </w:r>
      <w:r w:rsidR="00554E53">
        <w:t xml:space="preserve"> vast amounts of human and mouse microarray data</w:t>
      </w:r>
      <w:r>
        <w:t xml:space="preserve"> </w:t>
      </w:r>
      <w:r>
        <w:fldChar w:fldCharType="begin" w:fldLock="1"/>
      </w:r>
      <w:r w:rsidR="006523A5">
        <w:instrText>ADDIN CSL_CITATION {"citationItems":[{"id":"ITEM-1","itemData":{"DOI":"10.1186/s12920-020-0712-3","ISSN":"1755-8794","PMID":"32393257","abstract":"BACKGROUND High-throughput transcriptomics measures mRNA levels for thousands of genes in a biological sample. Most gene expression studies aim to identify genes that are differentially expressed between different biological conditions, such as between healthy and diseased states. However, these data can also be used to identify genes that are co-expressed within a biological condition. Gene co-expression is used in a guilt-by-association approach to prioritize candidate genes that could be involved in disease, and to gain insights into the functions of genes, protein relations, and signaling pathways. Most existing gene co-expression databases are generic, amalgamating data for a given organism regardless of tissue-type. METHODS To study muscle-specific gene co-expression in both normal and pathological states, publicly available gene expression data were acquired for 2376 mouse and 2228 human striated muscle samples, and separated into 142 categories based on species (human or mouse), tissue origin, age, gender, anatomic part, and experimental condition. Co-expression values were calculated for each category to create the MyoMiner database. RESULTS Within each category, users can select a gene of interest, and the MyoMiner web interface will return all correlated genes. For each co-expressed gene pair, adjusted p-value and confidence intervals are provided as measures of expression correlation strength. A standardized expression-level scatterplot is available for every gene pair r-value. MyoMiner has two extra functions: (a) a network interface for creating a 2-shell correlation network, based either on the most highly correlated genes or from a list of genes provided by the user with the option to include linked genes from the database and (b) a comparison tool from which the users can test whether any two correlation coefficients from different conditions are significantly different. CONCLUSIONS These co-expression analyses will help investigators to delineate the tissue-, cell-, and pathology-specific elements of muscle protein interactions, cell signaling and gene regulation. Changes in co-expression between pathologic and healthy tissue may suggest new disease mechanisms and help define novel therapeutic targets. Thus, MyoMiner is a powerful muscle-specific database for the discovery of genes that are associated with related functions based on their co-expression. MyoMiner is freely available at https://www.sys-myo.com/myominer.","author":[{"dropping-particle":"","family":"Malatras","given":"Apostolos","non-dropping-particle":"","parse-names":false,"suffix":""},{"dropping-particle":"","family":"Michalopoulos","given":"Ioannis","non-dropping-particle":"","parse-names":false,"suffix":""},{"dropping-particle":"","family":"Duguez","given":"Stéphanie","non-dropping-particle":"","parse-names":false,"suffix":""},{"dropping-particle":"","family":"Butler-Browne","given":"Gillian","non-dropping-particle":"","parse-names":false,"suffix":""},{"dropping-particle":"","family":"Spuler","given":"Simone","non-dropping-particle":"","parse-names":false,"suffix":""},{"dropping-particle":"","family":"Duddy","given":"William J","non-dropping-particle":"","parse-names":false,"suffix":""}],"container-title":"BMC medical genomics","id":"ITEM-1","issue":"1","issued":{"date-parts":[["2020"]]},"page":"67","title":"MyoMiner: explore gene co-expression in normal and pathological muscle.","type":"article-journal","volume":"13"},"uris":["http://www.mendeley.com/documents/?uuid=0e8d0c22-1bfd-4208-b494-e39c5eff2dfd","http://www.mendeley.com/documents/?uuid=8c0f4ef1-ddb0-4cdc-b4c1-03b3ab813c3f"]}],"mendeley":{"formattedCitation":"(45)","plainTextFormattedCitation":"(45)","previouslyFormattedCitation":"(45)"},"properties":{"noteIndex":0},"schema":"https://github.com/citation-style-language/schema/raw/master/csl-citation.json"}</w:instrText>
      </w:r>
      <w:r>
        <w:fldChar w:fldCharType="separate"/>
      </w:r>
      <w:r w:rsidR="00276AB2" w:rsidRPr="00276AB2">
        <w:rPr>
          <w:noProof/>
        </w:rPr>
        <w:t>(45)</w:t>
      </w:r>
      <w:r>
        <w:fldChar w:fldCharType="end"/>
      </w:r>
      <w:r>
        <w:t>.</w:t>
      </w:r>
      <w:r w:rsidR="00554E53">
        <w:t xml:space="preserve"> The database </w:t>
      </w:r>
      <w:r w:rsidR="002337AF">
        <w:t>contains</w:t>
      </w:r>
      <w:r w:rsidR="00554E53">
        <w:t xml:space="preserve"> </w:t>
      </w:r>
      <w:r w:rsidR="002337AF">
        <w:t>separate co-expression data on</w:t>
      </w:r>
      <w:r w:rsidR="00554E53">
        <w:t xml:space="preserve"> 142 </w:t>
      </w:r>
      <w:r w:rsidR="002337AF">
        <w:t xml:space="preserve">categories of </w:t>
      </w:r>
      <w:r w:rsidR="00554E53">
        <w:t xml:space="preserve">human, mouse or cell </w:t>
      </w:r>
      <w:r w:rsidR="002337AF">
        <w:t xml:space="preserve">samples further grouped by </w:t>
      </w:r>
      <w:r w:rsidR="00554E53">
        <w:t>age, sex, anatomic part</w:t>
      </w:r>
      <w:r w:rsidR="002337AF">
        <w:t>,</w:t>
      </w:r>
      <w:r w:rsidR="00554E53">
        <w:t xml:space="preserve"> and </w:t>
      </w:r>
      <w:r w:rsidR="002337AF">
        <w:t xml:space="preserve">experimental or disease </w:t>
      </w:r>
      <w:r w:rsidR="00554E53">
        <w:t>condition.</w:t>
      </w:r>
      <w:r>
        <w:t xml:space="preserve"> </w:t>
      </w:r>
      <w:r w:rsidR="00890302">
        <w:t xml:space="preserve">From </w:t>
      </w:r>
      <w:r w:rsidR="002337AF">
        <w:t>t</w:t>
      </w:r>
      <w:r w:rsidR="00890302">
        <w:t xml:space="preserve">he MyoMiner </w:t>
      </w:r>
      <w:r w:rsidR="002337AF">
        <w:t xml:space="preserve">database </w:t>
      </w:r>
      <w:r w:rsidR="00890302">
        <w:t xml:space="preserve">we </w:t>
      </w:r>
      <w:r w:rsidR="002337AF">
        <w:t xml:space="preserve">extracted </w:t>
      </w:r>
      <w:r w:rsidR="0026271D">
        <w:t xml:space="preserve">two </w:t>
      </w:r>
      <w:r w:rsidR="002337AF">
        <w:t xml:space="preserve">gene co-expression </w:t>
      </w:r>
      <w:r w:rsidR="0026271D">
        <w:t>networks</w:t>
      </w:r>
      <w:r w:rsidR="002337AF">
        <w:t>,</w:t>
      </w:r>
      <w:r w:rsidR="0026271D">
        <w:t xml:space="preserve"> representing human </w:t>
      </w:r>
      <w:r w:rsidR="002337AF">
        <w:t xml:space="preserve">whole muscle tissue (from biopsies) </w:t>
      </w:r>
      <w:r w:rsidR="0026271D">
        <w:t>and human muscle cell</w:t>
      </w:r>
      <w:r w:rsidR="002337AF">
        <w:t>s (cultured myoblasts and myotubes)</w:t>
      </w:r>
      <w:r w:rsidR="0026271D">
        <w:t>.</w:t>
      </w:r>
      <w:r w:rsidR="004E2364">
        <w:t xml:space="preserve"> </w:t>
      </w:r>
      <w:r w:rsidR="0026271D">
        <w:t xml:space="preserve">All gene </w:t>
      </w:r>
      <w:r w:rsidR="00FE6A0D">
        <w:t xml:space="preserve">co-expression interactions </w:t>
      </w:r>
      <w:r w:rsidR="0026271D">
        <w:t>contained a Pearson’s correlation r value and a correlation significance</w:t>
      </w:r>
      <w:r w:rsidR="00FE6A0D">
        <w:t xml:space="preserve"> q-value. Any interaction present in the networks</w:t>
      </w:r>
      <w:r w:rsidR="0026271D">
        <w:t xml:space="preserve"> had a correlation significance q-value &lt;= 0.05. </w:t>
      </w:r>
      <w:r w:rsidR="00C76401">
        <w:t>To</w:t>
      </w:r>
      <w:r w:rsidR="00F82BAC">
        <w:t xml:space="preserve"> remove noise introduced by</w:t>
      </w:r>
      <w:r w:rsidR="00C76401">
        <w:t xml:space="preserve"> gene-gene co-expression interactions with low Pearson’</w:t>
      </w:r>
      <w:r w:rsidR="002337AF">
        <w:t>s</w:t>
      </w:r>
      <w:r w:rsidR="00C76401">
        <w:t xml:space="preserve"> correlation coefficient</w:t>
      </w:r>
      <w:r w:rsidR="00F82BAC">
        <w:t>, we</w:t>
      </w:r>
      <w:r w:rsidR="00481712">
        <w:t xml:space="preserve"> applied r value cut-offs. We </w:t>
      </w:r>
      <w:r w:rsidR="002337AF">
        <w:t xml:space="preserve">created </w:t>
      </w:r>
      <w:r w:rsidR="00481712">
        <w:t xml:space="preserve">multiple </w:t>
      </w:r>
      <w:r w:rsidR="002337AF">
        <w:t>versions of</w:t>
      </w:r>
      <w:r w:rsidR="00481712">
        <w:t xml:space="preserve"> both </w:t>
      </w:r>
      <w:r w:rsidR="0026271D">
        <w:t xml:space="preserve">the MyoMiner </w:t>
      </w:r>
      <w:r w:rsidR="00F82BAC">
        <w:t xml:space="preserve">muscle cell network and the MyoMiner </w:t>
      </w:r>
      <w:r w:rsidR="002337AF">
        <w:t xml:space="preserve">whole muscle </w:t>
      </w:r>
      <w:r w:rsidR="00F82BAC">
        <w:t xml:space="preserve">network </w:t>
      </w:r>
      <w:r w:rsidR="00481712">
        <w:t xml:space="preserve">based on </w:t>
      </w:r>
      <w:r w:rsidR="002337AF">
        <w:t xml:space="preserve">different cut-offs of </w:t>
      </w:r>
      <w:r w:rsidR="00481712">
        <w:t>Pearson</w:t>
      </w:r>
      <w:r w:rsidR="002337AF">
        <w:t>’</w:t>
      </w:r>
      <w:r w:rsidR="00481712">
        <w:t>s correlation coefficient values</w:t>
      </w:r>
      <w:r w:rsidR="001E16CC">
        <w:t xml:space="preserve"> (positive, r, or absolute, |r|</w:t>
      </w:r>
      <w:r w:rsidR="005A618E">
        <w:t>; the lowest r thresholds being chosen in each case so as to avoid overly large network sizes of &gt;5.5 million edges</w:t>
      </w:r>
      <w:r w:rsidR="001E16CC">
        <w:t>)</w:t>
      </w:r>
      <w:r w:rsidR="00DE44E5">
        <w:t xml:space="preserve">. </w:t>
      </w:r>
      <w:bookmarkStart w:id="2" w:name="_Hlk67493590"/>
      <w:r w:rsidR="001E16CC">
        <w:t>Six</w:t>
      </w:r>
      <w:r w:rsidR="001E0A09">
        <w:t xml:space="preserve"> </w:t>
      </w:r>
      <w:r w:rsidR="002337AF">
        <w:t xml:space="preserve">versions of the MyoMiner </w:t>
      </w:r>
      <w:r w:rsidR="001E0A09">
        <w:t>c</w:t>
      </w:r>
      <w:r w:rsidR="002337AF">
        <w:t xml:space="preserve">ell network were created: </w:t>
      </w:r>
      <w:r w:rsidR="00F82BAC">
        <w:t>r</w:t>
      </w:r>
      <w:r w:rsidR="002337AF">
        <w:t xml:space="preserve"> </w:t>
      </w:r>
      <w:r w:rsidR="00F82BAC">
        <w:t>&gt;= 0.6</w:t>
      </w:r>
      <w:r w:rsidR="002337AF">
        <w:t>;</w:t>
      </w:r>
      <w:r w:rsidR="00DE44E5">
        <w:t xml:space="preserve"> </w:t>
      </w:r>
      <w:r w:rsidR="001E16CC">
        <w:t xml:space="preserve">|r| &gt;= 0.6; </w:t>
      </w:r>
      <w:r w:rsidR="00F82BAC">
        <w:t>top 1 million interactions</w:t>
      </w:r>
      <w:r w:rsidR="00DE44E5">
        <w:t xml:space="preserve"> </w:t>
      </w:r>
      <w:r w:rsidR="001E16CC">
        <w:t>rank</w:t>
      </w:r>
      <w:r w:rsidR="001E0A09">
        <w:t xml:space="preserve">ed </w:t>
      </w:r>
      <w:r w:rsidR="001E16CC">
        <w:t>by r;</w:t>
      </w:r>
      <w:r w:rsidR="001E0A09">
        <w:t xml:space="preserve"> </w:t>
      </w:r>
      <w:r w:rsidR="001E16CC">
        <w:t xml:space="preserve">top 1 million interactions ranked by </w:t>
      </w:r>
      <w:r w:rsidR="001E0A09">
        <w:t>|r|</w:t>
      </w:r>
      <w:r w:rsidR="001E16CC">
        <w:t>; top 5.5 million interactions ranked by r; and the top 5.5 million interactions ranked by |r|</w:t>
      </w:r>
      <w:r w:rsidR="00F82BAC">
        <w:t>.</w:t>
      </w:r>
      <w:r w:rsidR="00DE44E5">
        <w:t xml:space="preserve"> </w:t>
      </w:r>
      <w:r w:rsidR="001E0A09">
        <w:t xml:space="preserve">Similarly, but with modified cut-offs owing to the different distribution of edge weights, </w:t>
      </w:r>
      <w:r w:rsidR="001E16CC">
        <w:t>six</w:t>
      </w:r>
      <w:r w:rsidR="001E0A09">
        <w:t xml:space="preserve"> versions of the MyoMiner whole muscle network were created: </w:t>
      </w:r>
      <w:r w:rsidR="001E16CC">
        <w:t>r &gt;= 0.7; |r| &gt;= 0.7; top 1 million interactions ranked by r; top 1 million interactions ranked by |r|; top 5.5 million interactions ranked by r; and the top 5.5 million interactions ranked by |r|.</w:t>
      </w:r>
      <w:r w:rsidR="00E30A50">
        <w:t xml:space="preserve"> </w:t>
      </w:r>
      <w:r w:rsidR="00AF40B2">
        <w:t>Subsequent to this, th</w:t>
      </w:r>
      <w:r w:rsidR="00E30A50">
        <w:t xml:space="preserve">e 12 MyoMiner networks </w:t>
      </w:r>
      <w:r w:rsidR="00AF40B2">
        <w:t xml:space="preserve">described above </w:t>
      </w:r>
      <w:r w:rsidR="00E30A50">
        <w:t>are referred to, respectively, as: MyoMiner Cell r&gt;= 0.6 +; MyoMiner Cell r&gt;= 0.6 +/-;</w:t>
      </w:r>
      <w:r w:rsidR="00E30A50" w:rsidRPr="00E30A50">
        <w:t xml:space="preserve"> </w:t>
      </w:r>
      <w:r w:rsidR="00E30A50">
        <w:t xml:space="preserve">MyoMiner Cell top 1mil +; MyoMiner Cell top 1mil +/-; </w:t>
      </w:r>
      <w:r w:rsidR="00AF40B2">
        <w:t>MyoMiner Cell top 5.5mil +; MyoMiner Cell top 5.5mil +/-; MyoMiner SM r&gt;= 0.7 +; MyoMiner SM r&gt;= 0.7 +/-;</w:t>
      </w:r>
      <w:r w:rsidR="00AF40B2" w:rsidRPr="00E30A50">
        <w:t xml:space="preserve"> </w:t>
      </w:r>
      <w:r w:rsidR="00AF40B2">
        <w:t>MyoMiner SM top 1mil +; MyoMiner SM top 1mil +/-; MyoMiner SM top 5.5mil +; MyoMiner SM top 5.5mil +/-.</w:t>
      </w:r>
    </w:p>
    <w:p w14:paraId="0C241AD8" w14:textId="036D84D0" w:rsidR="001E16CC" w:rsidRDefault="001E16CC" w:rsidP="00066430">
      <w:pPr>
        <w:spacing w:after="0"/>
        <w:jc w:val="both"/>
      </w:pPr>
    </w:p>
    <w:bookmarkEnd w:id="2"/>
    <w:p w14:paraId="717F4418" w14:textId="30899DDD" w:rsidR="004A4EB8" w:rsidRDefault="004A4EB8" w:rsidP="00066430">
      <w:pPr>
        <w:spacing w:after="0"/>
        <w:jc w:val="both"/>
      </w:pPr>
    </w:p>
    <w:p w14:paraId="49B2C145" w14:textId="10CC4A5B" w:rsidR="004A4EB8" w:rsidRPr="00AC4916" w:rsidRDefault="00664354" w:rsidP="00066430">
      <w:pPr>
        <w:jc w:val="both"/>
        <w:rPr>
          <w:b/>
        </w:rPr>
      </w:pPr>
      <w:r>
        <w:rPr>
          <w:b/>
        </w:rPr>
        <w:t>Skeletal muscle</w:t>
      </w:r>
      <w:r w:rsidRPr="00AC4916">
        <w:rPr>
          <w:b/>
        </w:rPr>
        <w:t xml:space="preserve"> </w:t>
      </w:r>
      <w:r w:rsidR="004A4EB8" w:rsidRPr="00AC4916">
        <w:rPr>
          <w:b/>
        </w:rPr>
        <w:t>Gene Ontology terms</w:t>
      </w:r>
    </w:p>
    <w:p w14:paraId="0441B1E6" w14:textId="3A4E3233" w:rsidR="00F24CE4" w:rsidRDefault="00774C72" w:rsidP="00066430">
      <w:pPr>
        <w:jc w:val="both"/>
      </w:pPr>
      <w:r>
        <w:t xml:space="preserve">To test </w:t>
      </w:r>
      <w:r w:rsidR="00664354">
        <w:t>for recovery of muscle-related gene functions</w:t>
      </w:r>
      <w:r w:rsidR="005D01A5">
        <w:t xml:space="preserve"> between the various networks, we need</w:t>
      </w:r>
      <w:r w:rsidR="00664354">
        <w:t>ed</w:t>
      </w:r>
      <w:r w:rsidR="005D01A5">
        <w:t xml:space="preserve"> to define a</w:t>
      </w:r>
      <w:r>
        <w:t>n appropriate</w:t>
      </w:r>
      <w:r w:rsidR="005D01A5">
        <w:t xml:space="preserve"> list of gene sets representative of </w:t>
      </w:r>
      <w:r w:rsidR="00664354">
        <w:t>skeletal muscle</w:t>
      </w:r>
      <w:r w:rsidR="005D01A5">
        <w:t xml:space="preserve"> processes.</w:t>
      </w:r>
      <w:r w:rsidR="00A91C3F">
        <w:t xml:space="preserve"> </w:t>
      </w:r>
      <w:r>
        <w:t xml:space="preserve">The Molecular Signatures Database (MSigDB) is a comprehensive </w:t>
      </w:r>
      <w:r w:rsidR="00A06ADA">
        <w:t xml:space="preserve">manually reviewed and curated </w:t>
      </w:r>
      <w:r>
        <w:t xml:space="preserve">database of gene sets used primarily for gene set enrichment analysis </w:t>
      </w:r>
      <w:r>
        <w:fldChar w:fldCharType="begin" w:fldLock="1"/>
      </w:r>
      <w:r w:rsidR="006523A5">
        <w:instrText>ADDIN CSL_CITATION {"citationItems":[{"id":"ITEM-1","itemData":{"DOI":"10.1016/j.cels.2015.12.004","ISSN":"2405-4712","PMID":"26771021","abstract":"The Molecular Signatures Database (MSigDB) is one of the most widely used and comprehensive databases of gene sets for performing gene set enrichment analysis. Since its creation, MSigDB has grown beyond its roots in metabolic disease and cancer to include &gt;10,000 gene sets. These better represent a wider range of biological processes and diseases, but the utility of the database is reduced by increased redundancy across, and heterogeneity within, gene sets. To address this challenge, here we use a combination of automated approaches and expert curation to develop a collection of \"hallmark\" gene sets as part of MSigDB. Each hallmark in this collection consists of a \"refined\" gene set, derived from multiple \"founder\" sets, that conveys a specific biological state or process and displays coherent expression. The hallmarks effectively summarize most of the relevant information of the original founder sets and, by reducing both variation and redundancy, provide more refined and concise inputs for gene set enrichment analysis.","author":[{"dropping-particle":"","family":"Liberzon","given":"Arthur","non-dropping-particle":"","parse-names":false,"suffix":""},{"dropping-particle":"","family":"Birger","given":"Chet","non-dropping-particle":"","parse-names":false,"suffix":""},{"dropping-particle":"","family":"Thorvaldsdóttir","given":"Helga","non-dropping-particle":"","parse-names":false,"suffix":""},{"dropping-particle":"","family":"Ghandi","given":"Mahmoud","non-dropping-particle":"","parse-names":false,"suffix":""},{"dropping-particle":"","family":"Mesirov","given":"Jill P","non-dropping-particle":"","parse-names":false,"suffix":""},{"dropping-particle":"","family":"Tamayo","given":"Pablo","non-dropping-particle":"","parse-names":false,"suffix":""}],"container-title":"Cell systems","id":"ITEM-1","issue":"6","issued":{"date-parts":[["2015","12"]]},"page":"417-425","title":"The Molecular Signatures Database (MSigDB) hallmark gene set collection.","type":"article-journal","volume":"1"},"uris":["http://www.mendeley.com/documents/?uuid=d914eecc-5d81-4fe9-bb2f-b4408dca6194","http://www.mendeley.com/documents/?uuid=60e6efc1-8d56-49aa-8151-9e476eed9b75"]}],"mendeley":{"formattedCitation":"(46)","plainTextFormattedCitation":"(46)","previouslyFormattedCitation":"(46)"},"properties":{"noteIndex":0},"schema":"https://github.com/citation-style-language/schema/raw/master/csl-citation.json"}</w:instrText>
      </w:r>
      <w:r>
        <w:fldChar w:fldCharType="separate"/>
      </w:r>
      <w:r w:rsidR="00276AB2" w:rsidRPr="00276AB2">
        <w:rPr>
          <w:noProof/>
        </w:rPr>
        <w:t>(46)</w:t>
      </w:r>
      <w:r>
        <w:fldChar w:fldCharType="end"/>
      </w:r>
      <w:r>
        <w:t>. From MSigDB we selec</w:t>
      </w:r>
      <w:r w:rsidR="00A06ADA">
        <w:t xml:space="preserve">ted eleven </w:t>
      </w:r>
      <w:r w:rsidR="00664354">
        <w:t xml:space="preserve">muscle-relevant </w:t>
      </w:r>
      <w:r w:rsidR="00A06ADA">
        <w:t xml:space="preserve">gene sets from the C5 collection representing </w:t>
      </w:r>
      <w:r w:rsidR="00664354">
        <w:t xml:space="preserve">the </w:t>
      </w:r>
      <w:r w:rsidR="00A06ADA">
        <w:t>G</w:t>
      </w:r>
      <w:r w:rsidR="00664354">
        <w:t xml:space="preserve">ene </w:t>
      </w:r>
      <w:r w:rsidR="00A06ADA">
        <w:t>O</w:t>
      </w:r>
      <w:r w:rsidR="00664354">
        <w:t>ntology (GO)</w:t>
      </w:r>
      <w:r w:rsidR="00A06ADA">
        <w:t xml:space="preserve">. Table 2 </w:t>
      </w:r>
      <w:r w:rsidR="00664354">
        <w:t xml:space="preserve">gives </w:t>
      </w:r>
      <w:r w:rsidR="00A06ADA">
        <w:t xml:space="preserve">the name of the </w:t>
      </w:r>
      <w:r w:rsidR="00664354">
        <w:t>muscle-relevant</w:t>
      </w:r>
      <w:r w:rsidR="00A06ADA">
        <w:t xml:space="preserve"> gene sets selected, their GO category and the number of genes present in each gene set. These gene sets were subsequently used as input for the DIAMOnD recall analysis and tested for enrichment in netw</w:t>
      </w:r>
      <w:r w:rsidR="00F82BAC">
        <w:t xml:space="preserve">ork clusters produced by the </w:t>
      </w:r>
      <w:r w:rsidR="00664354">
        <w:t xml:space="preserve">DSD </w:t>
      </w:r>
      <w:r w:rsidR="00F82BAC">
        <w:t>Kernel</w:t>
      </w:r>
      <w:r w:rsidR="00A06ADA">
        <w:t xml:space="preserve"> clustering algorithm, as measure</w:t>
      </w:r>
      <w:r w:rsidR="00664354">
        <w:t>s</w:t>
      </w:r>
      <w:r w:rsidR="00A06ADA">
        <w:t xml:space="preserve"> of network performance.  </w:t>
      </w:r>
    </w:p>
    <w:p w14:paraId="3BB26AD1" w14:textId="77777777" w:rsidR="002048AA" w:rsidRPr="00F24CE4" w:rsidRDefault="002048AA" w:rsidP="00066430">
      <w:pPr>
        <w:jc w:val="both"/>
      </w:pPr>
    </w:p>
    <w:p w14:paraId="746121A1" w14:textId="77777777" w:rsidR="002048AA" w:rsidRPr="00AC4916" w:rsidRDefault="002048AA" w:rsidP="002048AA">
      <w:pPr>
        <w:jc w:val="both"/>
        <w:rPr>
          <w:b/>
          <w:lang w:val="en"/>
        </w:rPr>
      </w:pPr>
      <w:r w:rsidRPr="00AC4916">
        <w:rPr>
          <w:b/>
          <w:lang w:val="en"/>
        </w:rPr>
        <w:t xml:space="preserve">Kernel Clustering with Diffusion State Distance (DSD) </w:t>
      </w:r>
    </w:p>
    <w:p w14:paraId="4D54033E" w14:textId="2497411F" w:rsidR="002048AA" w:rsidRPr="00982AB4" w:rsidRDefault="002048AA" w:rsidP="002048AA">
      <w:pPr>
        <w:jc w:val="both"/>
        <w:rPr>
          <w:lang w:val="en"/>
        </w:rPr>
      </w:pPr>
      <w:r>
        <w:rPr>
          <w:lang w:val="en"/>
        </w:rPr>
        <w:t xml:space="preserve">A measure of network performance was to test for enrichment of muscle GO terms among network clusters. To define MIN clusters we applied a kernel clustering method based </w:t>
      </w:r>
      <w:r w:rsidR="00276AB2">
        <w:rPr>
          <w:lang w:val="en"/>
        </w:rPr>
        <w:t xml:space="preserve">on the </w:t>
      </w:r>
      <w:r>
        <w:rPr>
          <w:lang w:val="en"/>
        </w:rPr>
        <w:t xml:space="preserve">Diffusion State Distance (DSD) metric, designed by Cao et al. </w:t>
      </w:r>
      <w:r>
        <w:rPr>
          <w:lang w:val="en"/>
        </w:rPr>
        <w:fldChar w:fldCharType="begin" w:fldLock="1"/>
      </w:r>
      <w:r w:rsidR="00276AB2">
        <w:rPr>
          <w:lang w:val="en"/>
        </w:rPr>
        <w:instrText>ADDIN CSL_CITATION {"citationItems":[{"id":"ITEM-1","itemData":{"DOI":"10.1371/journal.pone.0076339","ISSN":"1932-6203","PMID":"24194834","abstract":"In protein-protein interaction (PPI) networks, functional similarity is often inferred based on the function of directly interacting proteins, or more generally, some notion of interaction network proximity among proteins in a local neighborhood. Prior methods typically measure proximity as the shortest-path distance in the network, but this has only a limited ability to capture fine-grained neighborhood distinctions, because most proteins are close to each other, and there are many ties in proximity. We introduce diffusion state distance (DSD), a new metric based on a graph diffusion property, designed to capture finer-grained distinctions in proximity for transfer of functional annotation in PPI networks. We present a tool that, when input a PPI network, will output the DSD distances between every pair of proteins. We show that replacing the shortest-path metric by DSD improves the performance of classical function prediction methods across the board.","author":[{"dropping-particle":"","family":"Cao","given":"Mengfei","non-dropping-particle":"","parse-names":false,"suffix":""},{"dropping-particle":"","family":"Zhang","given":"Hao","non-dropping-particle":"","parse-names":false,"suffix":""},{"dropping-particle":"","family":"Park","given":"Jisoo","non-dropping-particle":"","parse-names":false,"suffix":""},{"dropping-particle":"","family":"Daniels","given":"Noah M","non-dropping-particle":"","parse-names":false,"suffix":""},{"dropping-particle":"","family":"Crovella","given":"Mark E","non-dropping-particle":"","parse-names":false,"suffix":""},{"dropping-particle":"","family":"Cowen","given":"Lenore J","non-dropping-particle":"","parse-names":false,"suffix":""},{"dropping-particle":"","family":"Hescott","given":"Benjamin","non-dropping-particle":"","parse-names":false,"suffix":""}],"container-title":"PloS one","id":"ITEM-1","issue":"10","issued":{"date-parts":[["2013"]]},"page":"e76339","title":"Going the distance for protein function prediction: a new distance metric for protein interaction networks.","type":"article-journal","volume":"8"},"uris":["http://www.mendeley.com/documents/?uuid=e8afce0a-f752-42a5-8299-a4336600b837","http://www.mendeley.com/documents/?uuid=9072ff0f-c2cd-41bc-96d6-ce24a03bd002"]},{"id":"ITEM-2","itemData":{"DOI":"10.1093/bioinformatics/btu263","ISSN":"1367-4811","PMID":"24931987","abstract":"MOTIVATION It has long been hypothesized that incorporating models of network noise as well as edge directions and known pathway information into the representation of protein-protein interaction (PPI) networks might improve their utility for functional inference. However, a simple way to do this has not been obvious. We find that diffusion state distance (DSD), our recent diffusion-based metric for measuring dissimilarity in PPI networks, has natural extensions that incorporate confidence, directions and can even express coherent pathways by calculating DSD on an augmented graph. RESULTS We define three incremental versions of DSD which we term cDSD, caDSD and capDSD, where the capDSD matrix incorporates confidence, known directed edges, and pathways into the measure of how similar each pair of nodes is according to the structure of the PPI network. We test four popular function prediction methods (majority vote, weighted majority vote, multi-way cut and functional flow) using these different matrices on the Baker's yeast PPI network in cross-validation. The best performing method is weighted majority vote using capDSD. We then test the performance of our augmented DSD methods on an integrated heterogeneous set of protein association edges from the STRING database. The superior performance of capDSD in this context confirms that treating the pathways as probabilistic units is more powerful than simply incorporating pathway edges independently into the network. AVAILABILITY All source code for calculating the confidences, for extracting pathway information from KEGG XML files, and for calculating the cDSD, caDSD and capDSD matrices are available from http://dsd.cs.tufts.edu/capdsd","author":[{"dropping-particle":"","family":"Cao","given":"Mengfei","non-dropping-particle":"","parse-names":false,"suffix":""},{"dropping-particle":"","family":"Pietras","given":"Christopher M","non-dropping-particle":"","parse-names":false,"suffix":""},{"dropping-particle":"","family":"Feng","given":"Xian","non-dropping-particle":"","parse-names":false,"suffix":""},{"dropping-particle":"","family":"Doroschak","given":"Kathryn J","non-dropping-particle":"","parse-names":false,"suffix":""},{"dropping-particle":"","family":"Schaffner","given":"Thomas","non-dropping-particle":"","parse-names":false,"suffix":""},{"dropping-particle":"","family":"Park","given":"Jisoo","non-dropping-particle":"","parse-names":false,"suffix":""},{"dropping-particle":"","family":"Zhang","given":"Hao","non-dropping-particle":"","parse-names":false,"suffix":""},{"dropping-particle":"","family":"Cowen","given":"Lenore J","non-dropping-particle":"","parse-names":false,"suffix":""},{"dropping-particle":"","family":"Hescott","given":"Benjamin J","non-dropping-particle":"","parse-names":false,"suffix":""}],"container-title":"Bioinformatics (Oxford, England)","id":"ITEM-2","issue":"12","issued":{"date-parts":[["2014","6"]]},"page":"i219-27","title":"New directions for diffusion-based network prediction of protein function: incorporating pathways with confidence.","type":"article-journal","volume":"30"},"uris":["http://www.mendeley.com/documents/?uuid=f6d9151a-5b76-4a2b-aa56-95fcc4ebfc7f","http://www.mendeley.com/documents/?uuid=68b380e8-192a-44b6-9d2b-d0b24a8b0507"]}],"mendeley":{"formattedCitation":"(29,30)","plainTextFormattedCitation":"(29,30)","previouslyFormattedCitation":"(29,30)"},"properties":{"noteIndex":0},"schema":"https://github.com/citation-style-language/schema/raw/master/csl-citation.json"}</w:instrText>
      </w:r>
      <w:r>
        <w:rPr>
          <w:lang w:val="en"/>
        </w:rPr>
        <w:fldChar w:fldCharType="separate"/>
      </w:r>
      <w:r w:rsidR="00276AB2" w:rsidRPr="00276AB2">
        <w:rPr>
          <w:noProof/>
          <w:lang w:val="en"/>
        </w:rPr>
        <w:t>(29,30)</w:t>
      </w:r>
      <w:r>
        <w:rPr>
          <w:lang w:val="en"/>
        </w:rPr>
        <w:fldChar w:fldCharType="end"/>
      </w:r>
      <w:r>
        <w:rPr>
          <w:lang w:val="en"/>
        </w:rPr>
        <w:t xml:space="preserve">. DSD is a novel graph metric built on the premise that nodes are more functionally related if they share paths with nodes of low-degree </w:t>
      </w:r>
      <w:r w:rsidR="00E111CF">
        <w:rPr>
          <w:lang w:val="en"/>
        </w:rPr>
        <w:t xml:space="preserve">(fewer connections) </w:t>
      </w:r>
      <w:r>
        <w:rPr>
          <w:lang w:val="en"/>
        </w:rPr>
        <w:t>relative to if they shared paths with nodes of high-degree</w:t>
      </w:r>
      <w:r w:rsidR="00E111CF">
        <w:rPr>
          <w:lang w:val="en"/>
        </w:rPr>
        <w:t xml:space="preserve"> (more connections)</w:t>
      </w:r>
      <w:r>
        <w:rPr>
          <w:lang w:val="en"/>
        </w:rPr>
        <w:t xml:space="preserve">. The DSD metric </w:t>
      </w:r>
      <w:r w:rsidR="00216132">
        <w:rPr>
          <w:lang w:val="en"/>
        </w:rPr>
        <w:t xml:space="preserve">is used to </w:t>
      </w:r>
      <w:r>
        <w:rPr>
          <w:lang w:val="en"/>
        </w:rPr>
        <w:t xml:space="preserve">produce a similarity matrix on which a spectral clustering algorithm is applied. This method, and the source code used, were taken from the top performing network modularization method in the Disease Module Identification (DMI) DREAM Challenge </w:t>
      </w:r>
      <w:r>
        <w:rPr>
          <w:lang w:val="en"/>
        </w:rPr>
        <w:fldChar w:fldCharType="begin" w:fldLock="1"/>
      </w:r>
      <w:r w:rsidR="006523A5">
        <w:rPr>
          <w:lang w:val="en"/>
        </w:rP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f10246bf-e29b-4110-a9ab-8bdd0dcdfa8c","http://www.mendeley.com/documents/?uuid=773d1801-d285-4f69-8118-da29c31cf2b1"]}],"mendeley":{"formattedCitation":"(47)","plainTextFormattedCitation":"(47)","previouslyFormattedCitation":"(47)"},"properties":{"noteIndex":0},"schema":"https://github.com/citation-style-language/schema/raw/master/csl-citation.json"}</w:instrText>
      </w:r>
      <w:r>
        <w:rPr>
          <w:lang w:val="en"/>
        </w:rPr>
        <w:fldChar w:fldCharType="separate"/>
      </w:r>
      <w:r w:rsidR="00276AB2" w:rsidRPr="00276AB2">
        <w:rPr>
          <w:noProof/>
          <w:lang w:val="en"/>
        </w:rPr>
        <w:t>(47)</w:t>
      </w:r>
      <w:r>
        <w:rPr>
          <w:lang w:val="en"/>
        </w:rPr>
        <w:fldChar w:fldCharType="end"/>
      </w:r>
      <w:r>
        <w:rPr>
          <w:lang w:val="en"/>
        </w:rPr>
        <w:t xml:space="preserve">. The source code and method description are available at </w:t>
      </w:r>
      <w:hyperlink r:id="rId20" w:anchor="!Synapse:syn7349492/wiki/407359" w:history="1">
        <w:r w:rsidRPr="00F10AAD">
          <w:rPr>
            <w:rStyle w:val="Hyperlink"/>
            <w:lang w:val="en"/>
          </w:rPr>
          <w:t>https://www.synapse.org/#!Synapse:syn7349492/wiki/407359</w:t>
        </w:r>
      </w:hyperlink>
      <w:r>
        <w:rPr>
          <w:lang w:val="en"/>
        </w:rPr>
        <w:t xml:space="preserve">. The spectral clustering algorithm applied requires a parameter </w:t>
      </w:r>
      <w:r w:rsidRPr="00982AB4">
        <w:rPr>
          <w:i/>
          <w:lang w:val="en"/>
        </w:rPr>
        <w:t>k</w:t>
      </w:r>
      <w:r>
        <w:rPr>
          <w:i/>
          <w:lang w:val="en"/>
        </w:rPr>
        <w:t xml:space="preserve"> </w:t>
      </w:r>
      <w:r>
        <w:rPr>
          <w:lang w:val="en"/>
        </w:rPr>
        <w:t xml:space="preserve">specifying the number of cluster centers. We chose an initial value for </w:t>
      </w:r>
      <w:r>
        <w:rPr>
          <w:i/>
          <w:lang w:val="en"/>
        </w:rPr>
        <w:t xml:space="preserve">k </w:t>
      </w:r>
      <w:r>
        <w:rPr>
          <w:lang w:val="en"/>
        </w:rPr>
        <w:t>as 100. The resultant network clusters varied greatly in size, with some clusters being below 5 and other clusters being above 300. The spectral clustering method deploys a recursive clustering method to split network clusters above a desired threshold. For this we recursively split MIN clusters of size greater than 300 until they satisfied this threshold. Clusters containing 5 nodes or less were discarded. Once the network clusters were defined, each s</w:t>
      </w:r>
      <w:r w:rsidR="006523A5">
        <w:rPr>
          <w:lang w:val="en"/>
        </w:rPr>
        <w:t>ep</w:t>
      </w:r>
      <w:r>
        <w:rPr>
          <w:lang w:val="en"/>
        </w:rPr>
        <w:t xml:space="preserve">arate cluster was then subjected to gene set enrichment analysis using Fishers exact test against each of the 11 skeletal muscle relevant GO gene sets taken from MsigDB. As this involves testing for the enrichment of GO terms across a large number of defined clusters, we applied a Benjamini-Hochberg multiple testing correction with alpha 0.05. </w:t>
      </w:r>
      <w:r w:rsidR="0031084E">
        <w:rPr>
          <w:lang w:val="en"/>
        </w:rPr>
        <w:t xml:space="preserve">For a given network, </w:t>
      </w:r>
      <w:r>
        <w:rPr>
          <w:lang w:val="en"/>
        </w:rPr>
        <w:t xml:space="preserve">the top enrichment score for each muscle GO term </w:t>
      </w:r>
      <w:r w:rsidR="0031084E">
        <w:rPr>
          <w:lang w:val="en"/>
        </w:rPr>
        <w:t xml:space="preserve">could then be identified from </w:t>
      </w:r>
      <w:r>
        <w:rPr>
          <w:lang w:val="en"/>
        </w:rPr>
        <w:t xml:space="preserve">among the </w:t>
      </w:r>
      <w:r w:rsidR="0031084E">
        <w:rPr>
          <w:lang w:val="en"/>
        </w:rPr>
        <w:t xml:space="preserve">DSD-generated </w:t>
      </w:r>
      <w:r>
        <w:rPr>
          <w:lang w:val="en"/>
        </w:rPr>
        <w:t>clusters</w:t>
      </w:r>
      <w:r w:rsidR="0031084E">
        <w:rPr>
          <w:lang w:val="en"/>
        </w:rPr>
        <w:t>. The performances of the networks could then be compared based on these top enrichment scores.</w:t>
      </w:r>
    </w:p>
    <w:p w14:paraId="15FA48E9" w14:textId="77777777" w:rsidR="00C81232" w:rsidRDefault="00C81232" w:rsidP="00066430">
      <w:pPr>
        <w:spacing w:after="0"/>
        <w:jc w:val="both"/>
      </w:pPr>
    </w:p>
    <w:p w14:paraId="3DCBD5A2" w14:textId="6257143D" w:rsidR="002B3E95" w:rsidRPr="00AC4916" w:rsidRDefault="00C81232" w:rsidP="00066430">
      <w:pPr>
        <w:jc w:val="both"/>
        <w:rPr>
          <w:b/>
          <w:lang w:val="en"/>
        </w:rPr>
      </w:pPr>
      <w:r w:rsidRPr="00AC4916">
        <w:rPr>
          <w:b/>
          <w:lang w:val="en"/>
        </w:rPr>
        <w:t>R</w:t>
      </w:r>
      <w:r w:rsidR="00C5405C" w:rsidRPr="00AC4916">
        <w:rPr>
          <w:b/>
          <w:lang w:val="en"/>
        </w:rPr>
        <w:t xml:space="preserve">ecall Analysis with </w:t>
      </w:r>
      <w:r w:rsidR="00664354">
        <w:rPr>
          <w:b/>
          <w:lang w:val="en"/>
        </w:rPr>
        <w:t xml:space="preserve">the </w:t>
      </w:r>
      <w:r w:rsidR="00234838" w:rsidRPr="00AC4916">
        <w:rPr>
          <w:b/>
          <w:lang w:val="en"/>
        </w:rPr>
        <w:t>Disease Module Detection</w:t>
      </w:r>
      <w:r w:rsidR="00337AD1" w:rsidRPr="00AC4916">
        <w:rPr>
          <w:b/>
          <w:lang w:val="en"/>
        </w:rPr>
        <w:t xml:space="preserve"> Algorithm (DIAMOnD)</w:t>
      </w:r>
    </w:p>
    <w:p w14:paraId="08B83BA1" w14:textId="41FE7F5A" w:rsidR="00EF569F" w:rsidRPr="002048AA" w:rsidRDefault="00D60EB4" w:rsidP="00066430">
      <w:pPr>
        <w:spacing w:after="0"/>
        <w:jc w:val="both"/>
        <w:rPr>
          <w:iCs/>
          <w:lang w:val="en"/>
        </w:rPr>
      </w:pPr>
      <w:r>
        <w:rPr>
          <w:lang w:val="en"/>
        </w:rPr>
        <w:t xml:space="preserve">As a </w:t>
      </w:r>
      <w:r w:rsidR="002048AA">
        <w:rPr>
          <w:lang w:val="en"/>
        </w:rPr>
        <w:t xml:space="preserve">second </w:t>
      </w:r>
      <w:r w:rsidR="00D11AEF">
        <w:rPr>
          <w:lang w:val="en"/>
        </w:rPr>
        <w:t>measurement of performance between networks</w:t>
      </w:r>
      <w:r>
        <w:rPr>
          <w:lang w:val="en"/>
        </w:rPr>
        <w:t xml:space="preserve">, </w:t>
      </w:r>
      <w:r w:rsidR="00D11AEF">
        <w:rPr>
          <w:lang w:val="en"/>
        </w:rPr>
        <w:t>t</w:t>
      </w:r>
      <w:r w:rsidR="00234838">
        <w:rPr>
          <w:lang w:val="en"/>
        </w:rPr>
        <w:t>he Disease Module Detection (DIAMOnD) algorithm</w:t>
      </w:r>
      <w:r>
        <w:rPr>
          <w:lang w:val="en"/>
        </w:rPr>
        <w:t xml:space="preserve"> was used</w:t>
      </w:r>
      <w:r w:rsidR="00D11AEF">
        <w:rPr>
          <w:lang w:val="en"/>
        </w:rPr>
        <w:t>. DIAMOnD</w:t>
      </w:r>
      <w:r w:rsidR="000A1CCC">
        <w:rPr>
          <w:lang w:val="en"/>
        </w:rPr>
        <w:t xml:space="preserve"> was </w:t>
      </w:r>
      <w:r w:rsidR="00C81232">
        <w:rPr>
          <w:lang w:val="en"/>
        </w:rPr>
        <w:t>designed</w:t>
      </w:r>
      <w:r w:rsidR="00234838">
        <w:rPr>
          <w:lang w:val="en"/>
        </w:rPr>
        <w:t xml:space="preserve"> to identify disease modules iteratively constructed around a set of known disease genes. The </w:t>
      </w:r>
      <w:r>
        <w:rPr>
          <w:lang w:val="en"/>
        </w:rPr>
        <w:t xml:space="preserve">authors of </w:t>
      </w:r>
      <w:r w:rsidR="00234838">
        <w:rPr>
          <w:lang w:val="en"/>
        </w:rPr>
        <w:t xml:space="preserve">DIAMOnD </w:t>
      </w:r>
      <w:r>
        <w:rPr>
          <w:lang w:val="en"/>
        </w:rPr>
        <w:t>identified a parameter</w:t>
      </w:r>
      <w:r w:rsidR="00234838">
        <w:rPr>
          <w:lang w:val="en"/>
        </w:rPr>
        <w:t xml:space="preserve"> </w:t>
      </w:r>
      <w:r>
        <w:rPr>
          <w:lang w:val="en"/>
        </w:rPr>
        <w:t xml:space="preserve">called </w:t>
      </w:r>
      <w:r w:rsidR="00234838">
        <w:rPr>
          <w:lang w:val="en"/>
        </w:rPr>
        <w:t xml:space="preserve">connectivity significance </w:t>
      </w:r>
      <w:r>
        <w:rPr>
          <w:lang w:val="en"/>
        </w:rPr>
        <w:t xml:space="preserve">as </w:t>
      </w:r>
      <w:r w:rsidR="00234838">
        <w:rPr>
          <w:lang w:val="en"/>
        </w:rPr>
        <w:t>being the most predictive topological property for the identification of disease modules</w:t>
      </w:r>
      <w:r w:rsidR="000769FC">
        <w:rPr>
          <w:lang w:val="en"/>
        </w:rPr>
        <w:t xml:space="preserve">. The </w:t>
      </w:r>
      <w:r>
        <w:rPr>
          <w:lang w:val="en"/>
        </w:rPr>
        <w:t xml:space="preserve">DIAMOnD </w:t>
      </w:r>
      <w:r w:rsidR="000769FC">
        <w:rPr>
          <w:lang w:val="en"/>
        </w:rPr>
        <w:t>algorithm</w:t>
      </w:r>
      <w:r w:rsidR="00180C0F">
        <w:rPr>
          <w:lang w:val="en"/>
        </w:rPr>
        <w:t xml:space="preserve"> applies the hypergeometric distribution</w:t>
      </w:r>
      <w:r w:rsidR="008E60B9">
        <w:rPr>
          <w:lang w:val="en"/>
        </w:rPr>
        <w:t xml:space="preserve"> function</w:t>
      </w:r>
      <w:r w:rsidR="00180C0F">
        <w:rPr>
          <w:lang w:val="en"/>
        </w:rPr>
        <w:t xml:space="preserve"> to define the probability of a given node with </w:t>
      </w:r>
      <w:r w:rsidR="00180C0F" w:rsidRPr="00180C0F">
        <w:rPr>
          <w:i/>
          <w:lang w:val="en"/>
        </w:rPr>
        <w:t>K</w:t>
      </w:r>
      <w:r w:rsidR="00180C0F">
        <w:rPr>
          <w:lang w:val="en"/>
        </w:rPr>
        <w:t xml:space="preserve"> edges</w:t>
      </w:r>
      <w:r w:rsidR="004A4EB8">
        <w:rPr>
          <w:lang w:val="en"/>
        </w:rPr>
        <w:t>,</w:t>
      </w:r>
      <w:r w:rsidR="00180C0F">
        <w:rPr>
          <w:lang w:val="en"/>
        </w:rPr>
        <w:t xml:space="preserve"> having </w:t>
      </w:r>
      <w:r w:rsidR="00A91C3F">
        <w:rPr>
          <w:i/>
          <w:lang w:val="en"/>
        </w:rPr>
        <w:t>KS</w:t>
      </w:r>
      <w:r w:rsidR="00180C0F">
        <w:rPr>
          <w:lang w:val="en"/>
        </w:rPr>
        <w:t xml:space="preserve"> edges with a set of </w:t>
      </w:r>
      <w:r w:rsidR="00180C0F" w:rsidRPr="00180C0F">
        <w:rPr>
          <w:i/>
          <w:lang w:val="en"/>
        </w:rPr>
        <w:t>S</w:t>
      </w:r>
      <w:r w:rsidR="00180C0F">
        <w:rPr>
          <w:lang w:val="en"/>
        </w:rPr>
        <w:t xml:space="preserve"> seed nodes</w:t>
      </w:r>
      <w:r w:rsidR="00AC30E2">
        <w:rPr>
          <w:lang w:val="en"/>
        </w:rPr>
        <w:t xml:space="preserve"> </w:t>
      </w:r>
      <w:r w:rsidR="00AC30E2">
        <w:rPr>
          <w:lang w:val="en"/>
        </w:rPr>
        <w:fldChar w:fldCharType="begin" w:fldLock="1"/>
      </w:r>
      <w:r w:rsidR="00276AB2">
        <w:rPr>
          <w:lang w:val="en"/>
        </w:rPr>
        <w:instrText>ADDIN CSL_CITATION {"citationItems":[{"id":"ITEM-1","itemData":{"DOI":"10.1371/journal.pcbi.1004120","ISSN":"1553-7358","author":[{"dropping-particle":"","family":"Ghiassian","given":"Susan Dina","non-dropping-particle":"","parse-names":false,"suffix":""},{"dropping-particle":"","family":"Menche","given":"J?rg","non-dropping-particle":"","parse-names":false,"suffix":""},{"dropping-particle":"","family":"Barab?si","given":"Albert-L?szl?","non-dropping-particle":"","parse-names":false,"suffix":""}],"container-title":"PLOS Computational Biology","editor":[{"dropping-particle":"","family":"Rzhetsky","given":"Andrey","non-dropping-particle":"","parse-names":false,"suffix":""}],"id":"ITEM-1","issue":"4","issued":{"date-parts":[["2015","4","8"]]},"page":"e1004120","title":"A DIseAse MOdule Detection (DIAMOnD) Algorithm Derived from a Systematic Analysis of Connectivity Patterns of Disease Proteins in the Human Interactome","type":"article-journal","volume":"11"},"uris":["http://www.mendeley.com/documents/?uuid=06f4b186-b4ad-4836-b34a-fb36beebe2b4"]}],"mendeley":{"formattedCitation":"(28)","plainTextFormattedCitation":"(28)","previouslyFormattedCitation":"(28)"},"properties":{"noteIndex":0},"schema":"https://github.com/citation-style-language/schema/raw/master/csl-citation.json"}</w:instrText>
      </w:r>
      <w:r w:rsidR="00AC30E2">
        <w:rPr>
          <w:lang w:val="en"/>
        </w:rPr>
        <w:fldChar w:fldCharType="separate"/>
      </w:r>
      <w:r w:rsidR="00276AB2" w:rsidRPr="00276AB2">
        <w:rPr>
          <w:noProof/>
          <w:lang w:val="en"/>
        </w:rPr>
        <w:t>(28)</w:t>
      </w:r>
      <w:r w:rsidR="00AC30E2">
        <w:rPr>
          <w:lang w:val="en"/>
        </w:rPr>
        <w:fldChar w:fldCharType="end"/>
      </w:r>
      <w:r w:rsidR="00180C0F">
        <w:rPr>
          <w:lang w:val="en"/>
        </w:rPr>
        <w:t>. To define the c</w:t>
      </w:r>
      <w:r w:rsidR="00C81232">
        <w:rPr>
          <w:lang w:val="en"/>
        </w:rPr>
        <w:t xml:space="preserve">onnectivity significance </w:t>
      </w:r>
      <w:r w:rsidR="00180C0F">
        <w:rPr>
          <w:lang w:val="en"/>
        </w:rPr>
        <w:t xml:space="preserve">of a node to the seed list, the cumulative probability for the node having </w:t>
      </w:r>
      <w:r w:rsidR="00A91C3F">
        <w:rPr>
          <w:i/>
          <w:lang w:val="en"/>
        </w:rPr>
        <w:t>KS</w:t>
      </w:r>
      <w:r w:rsidR="00180C0F">
        <w:rPr>
          <w:lang w:val="en"/>
        </w:rPr>
        <w:t xml:space="preserve"> or more edges with the seed set is calculated. This defines the p-value to describe if a node has more edges to the seed set than would be </w:t>
      </w:r>
      <w:r w:rsidR="00C81232">
        <w:rPr>
          <w:lang w:val="en"/>
        </w:rPr>
        <w:t>expected.</w:t>
      </w:r>
      <w:r w:rsidR="00823186">
        <w:rPr>
          <w:lang w:val="en"/>
        </w:rPr>
        <w:t xml:space="preserve"> The benefit of using connectivity significance as a measure of association to a </w:t>
      </w:r>
      <w:r w:rsidR="00A46A58">
        <w:rPr>
          <w:lang w:val="en"/>
        </w:rPr>
        <w:t>list of seed genes is that this</w:t>
      </w:r>
      <w:r w:rsidR="00823186">
        <w:rPr>
          <w:lang w:val="en"/>
        </w:rPr>
        <w:t xml:space="preserve"> reduces the detection of spurious nodes of high degree</w:t>
      </w:r>
      <w:r>
        <w:rPr>
          <w:lang w:val="en"/>
        </w:rPr>
        <w:t xml:space="preserve"> (i.e. number of connections) – in simple terms, connectivity significance indicates how unlikely it is for a gene to interact with a disease gene given the number of other interactions possessed by each of the two genes</w:t>
      </w:r>
      <w:r w:rsidR="00823186">
        <w:rPr>
          <w:lang w:val="en"/>
        </w:rPr>
        <w:t>.</w:t>
      </w:r>
      <w:r w:rsidR="00A46A58">
        <w:rPr>
          <w:lang w:val="en"/>
        </w:rPr>
        <w:t xml:space="preserve"> </w:t>
      </w:r>
      <w:r w:rsidR="005B54AF">
        <w:rPr>
          <w:lang w:val="en"/>
        </w:rPr>
        <w:t>The DIAMOnD algorithm takes as input a network edge list, a list of seed nodes, a value of alpha to weight edges with seed nodes</w:t>
      </w:r>
      <w:r>
        <w:rPr>
          <w:lang w:val="en"/>
        </w:rPr>
        <w:t>,</w:t>
      </w:r>
      <w:r w:rsidR="005B54AF">
        <w:rPr>
          <w:lang w:val="en"/>
        </w:rPr>
        <w:t xml:space="preserve"> and a value </w:t>
      </w:r>
      <w:r w:rsidR="005B54AF" w:rsidRPr="005B54AF">
        <w:rPr>
          <w:i/>
          <w:lang w:val="en"/>
        </w:rPr>
        <w:t>N</w:t>
      </w:r>
      <w:r w:rsidR="005B54AF">
        <w:rPr>
          <w:i/>
          <w:lang w:val="en"/>
        </w:rPr>
        <w:t xml:space="preserve"> </w:t>
      </w:r>
      <w:r w:rsidR="005B54AF">
        <w:rPr>
          <w:lang w:val="en"/>
        </w:rPr>
        <w:t>for the number of nodes to be iteratively added to the given set of seed nodes. As out</w:t>
      </w:r>
      <w:r w:rsidR="00EF569F">
        <w:rPr>
          <w:lang w:val="en"/>
        </w:rPr>
        <w:t>put the DIAMOnD algorithm produces</w:t>
      </w:r>
      <w:r w:rsidR="005B54AF">
        <w:rPr>
          <w:lang w:val="en"/>
        </w:rPr>
        <w:t xml:space="preserve"> a list of nodes from 1 to </w:t>
      </w:r>
      <w:r w:rsidR="005B54AF" w:rsidRPr="005B54AF">
        <w:rPr>
          <w:i/>
          <w:lang w:val="en"/>
        </w:rPr>
        <w:t>N</w:t>
      </w:r>
      <w:r w:rsidR="00EF569F">
        <w:rPr>
          <w:i/>
          <w:lang w:val="en"/>
        </w:rPr>
        <w:t xml:space="preserve">, </w:t>
      </w:r>
      <w:r w:rsidR="00EF569F" w:rsidRPr="00EF569F">
        <w:rPr>
          <w:lang w:val="en"/>
        </w:rPr>
        <w:t>with 1 being the node with the highest connect</w:t>
      </w:r>
      <w:r w:rsidR="00EF569F">
        <w:rPr>
          <w:lang w:val="en"/>
        </w:rPr>
        <w:t xml:space="preserve">ivity significance to the seed </w:t>
      </w:r>
      <w:r w:rsidR="00EF569F" w:rsidRPr="00EF569F">
        <w:rPr>
          <w:lang w:val="en"/>
        </w:rPr>
        <w:t>nodes and the subsequent nodes having the highe</w:t>
      </w:r>
      <w:r w:rsidR="0026271D">
        <w:rPr>
          <w:lang w:val="en"/>
        </w:rPr>
        <w:t>st connectivity significance to</w:t>
      </w:r>
      <w:r w:rsidR="00EF569F" w:rsidRPr="00EF569F">
        <w:rPr>
          <w:lang w:val="en"/>
        </w:rPr>
        <w:t xml:space="preserve"> the expanding </w:t>
      </w:r>
      <w:r w:rsidR="0026271D">
        <w:rPr>
          <w:lang w:val="en"/>
        </w:rPr>
        <w:t>disease module</w:t>
      </w:r>
      <w:r w:rsidR="00EF569F">
        <w:rPr>
          <w:i/>
          <w:lang w:val="en"/>
        </w:rPr>
        <w:t>.</w:t>
      </w:r>
    </w:p>
    <w:p w14:paraId="56A60747" w14:textId="02AB1BE3" w:rsidR="00B66597" w:rsidRDefault="002048AA" w:rsidP="00066430">
      <w:pPr>
        <w:spacing w:after="0"/>
        <w:jc w:val="both"/>
        <w:rPr>
          <w:lang w:val="en"/>
        </w:rPr>
      </w:pPr>
      <w:r>
        <w:rPr>
          <w:lang w:val="en"/>
        </w:rPr>
        <w:t>W</w:t>
      </w:r>
      <w:r w:rsidR="000A1CCC">
        <w:rPr>
          <w:lang w:val="en"/>
        </w:rPr>
        <w:t>e perform</w:t>
      </w:r>
      <w:r w:rsidR="00D60EB4">
        <w:rPr>
          <w:lang w:val="en"/>
        </w:rPr>
        <w:t>ed</w:t>
      </w:r>
      <w:r w:rsidR="000A1CCC">
        <w:rPr>
          <w:lang w:val="en"/>
        </w:rPr>
        <w:t xml:space="preserve"> recall analy</w:t>
      </w:r>
      <w:r w:rsidR="005D01A5">
        <w:rPr>
          <w:lang w:val="en"/>
        </w:rPr>
        <w:t xml:space="preserve">sis with the DIAMOnD algorithm </w:t>
      </w:r>
      <w:r w:rsidR="007E673E">
        <w:rPr>
          <w:lang w:val="en"/>
        </w:rPr>
        <w:t>in order to</w:t>
      </w:r>
      <w:r w:rsidR="000A1CCC">
        <w:rPr>
          <w:lang w:val="en"/>
        </w:rPr>
        <w:t xml:space="preserve"> rank networks based on </w:t>
      </w:r>
      <w:r w:rsidR="007E673E">
        <w:rPr>
          <w:lang w:val="en"/>
        </w:rPr>
        <w:t>the level of recall of</w:t>
      </w:r>
      <w:r w:rsidR="00D60EB4">
        <w:rPr>
          <w:lang w:val="en"/>
        </w:rPr>
        <w:t xml:space="preserve"> muscle-related genes</w:t>
      </w:r>
      <w:r w:rsidR="000A1CCC">
        <w:rPr>
          <w:lang w:val="en"/>
        </w:rPr>
        <w:t xml:space="preserve">. Recall analysis </w:t>
      </w:r>
      <w:r w:rsidR="007E673E">
        <w:rPr>
          <w:lang w:val="en"/>
        </w:rPr>
        <w:t xml:space="preserve">features in the original DIAMOnD paper and </w:t>
      </w:r>
      <w:r w:rsidR="000A1CCC">
        <w:rPr>
          <w:lang w:val="en"/>
        </w:rPr>
        <w:t xml:space="preserve">involves taking </w:t>
      </w:r>
      <w:r w:rsidR="004A4EB8">
        <w:rPr>
          <w:lang w:val="en"/>
        </w:rPr>
        <w:t xml:space="preserve">a set of seed nodes and randomly removing </w:t>
      </w:r>
      <w:r w:rsidR="007E673E">
        <w:rPr>
          <w:lang w:val="en"/>
        </w:rPr>
        <w:t xml:space="preserve">a percentage (e.g. </w:t>
      </w:r>
      <w:r w:rsidR="004A4EB8">
        <w:rPr>
          <w:lang w:val="en"/>
        </w:rPr>
        <w:t>10%, 20%</w:t>
      </w:r>
      <w:r w:rsidR="000769FC">
        <w:rPr>
          <w:lang w:val="en"/>
        </w:rPr>
        <w:t xml:space="preserve"> </w:t>
      </w:r>
      <w:r w:rsidR="007E673E">
        <w:rPr>
          <w:lang w:val="en"/>
        </w:rPr>
        <w:t>or</w:t>
      </w:r>
      <w:r w:rsidR="000769FC">
        <w:rPr>
          <w:lang w:val="en"/>
        </w:rPr>
        <w:t xml:space="preserve"> 30%</w:t>
      </w:r>
      <w:r w:rsidR="007E673E">
        <w:rPr>
          <w:lang w:val="en"/>
        </w:rPr>
        <w:t>)</w:t>
      </w:r>
      <w:r w:rsidR="000769FC">
        <w:rPr>
          <w:lang w:val="en"/>
        </w:rPr>
        <w:t xml:space="preserve"> of the seed node list. </w:t>
      </w:r>
      <w:r w:rsidR="007E673E">
        <w:rPr>
          <w:lang w:val="en"/>
        </w:rPr>
        <w:t>Each</w:t>
      </w:r>
      <w:r w:rsidR="000769FC">
        <w:rPr>
          <w:lang w:val="en"/>
        </w:rPr>
        <w:t xml:space="preserve"> resultant reduced seed list </w:t>
      </w:r>
      <w:r w:rsidR="007E673E">
        <w:rPr>
          <w:lang w:val="en"/>
        </w:rPr>
        <w:t>is</w:t>
      </w:r>
      <w:r w:rsidR="000769FC">
        <w:rPr>
          <w:lang w:val="en"/>
        </w:rPr>
        <w:t xml:space="preserve"> then used as input to the DIAMOnD algorithm</w:t>
      </w:r>
      <w:r w:rsidR="007E673E">
        <w:rPr>
          <w:lang w:val="en"/>
        </w:rPr>
        <w:t>, which is then applied to each of the networks to be compared. T</w:t>
      </w:r>
      <w:r w:rsidR="000769FC">
        <w:rPr>
          <w:lang w:val="en"/>
        </w:rPr>
        <w:t xml:space="preserve">he percentage of removed nodes </w:t>
      </w:r>
      <w:r w:rsidR="007E673E">
        <w:rPr>
          <w:lang w:val="en"/>
        </w:rPr>
        <w:t xml:space="preserve">that were </w:t>
      </w:r>
      <w:r w:rsidR="000769FC">
        <w:rPr>
          <w:lang w:val="en"/>
        </w:rPr>
        <w:t xml:space="preserve">recovered </w:t>
      </w:r>
      <w:r w:rsidR="007E673E">
        <w:rPr>
          <w:lang w:val="en"/>
        </w:rPr>
        <w:t>by</w:t>
      </w:r>
      <w:r w:rsidR="000769FC">
        <w:rPr>
          <w:lang w:val="en"/>
        </w:rPr>
        <w:t xml:space="preserve"> DIAMOnD </w:t>
      </w:r>
      <w:r w:rsidR="007E673E">
        <w:rPr>
          <w:lang w:val="en"/>
        </w:rPr>
        <w:t>(i.e. that were present in the disease module identified by DIAMOnD after a set number of iterations) was taken as an indication of the ability of that network to enable recovery of muscle-relevant genes</w:t>
      </w:r>
      <w:r w:rsidR="000769FC">
        <w:rPr>
          <w:lang w:val="en"/>
        </w:rPr>
        <w:t>.</w:t>
      </w:r>
      <w:r w:rsidR="004A4EB8">
        <w:rPr>
          <w:lang w:val="en"/>
        </w:rPr>
        <w:t xml:space="preserve"> In theory, </w:t>
      </w:r>
      <w:r w:rsidR="005B54AF">
        <w:rPr>
          <w:lang w:val="en"/>
        </w:rPr>
        <w:t xml:space="preserve">for </w:t>
      </w:r>
      <w:r w:rsidR="004A4EB8">
        <w:rPr>
          <w:lang w:val="en"/>
        </w:rPr>
        <w:t xml:space="preserve">a set of highly </w:t>
      </w:r>
      <w:r w:rsidR="007E673E">
        <w:rPr>
          <w:lang w:val="en"/>
        </w:rPr>
        <w:t xml:space="preserve">functionally related </w:t>
      </w:r>
      <w:r w:rsidR="004A4EB8">
        <w:rPr>
          <w:lang w:val="en"/>
        </w:rPr>
        <w:t>seed nodes</w:t>
      </w:r>
      <w:r w:rsidR="007E673E">
        <w:rPr>
          <w:lang w:val="en"/>
        </w:rPr>
        <w:t xml:space="preserve"> (such as those of the skeletal muscle GO terms that we used, which are all involved in the same biological process or in the same cellular component)</w:t>
      </w:r>
      <w:r w:rsidR="005D01A5">
        <w:rPr>
          <w:lang w:val="en"/>
        </w:rPr>
        <w:t xml:space="preserve">, </w:t>
      </w:r>
      <w:r w:rsidR="005B54AF">
        <w:rPr>
          <w:lang w:val="en"/>
        </w:rPr>
        <w:t>it would be expected that a high percentage of the remo</w:t>
      </w:r>
      <w:r w:rsidR="000769FC">
        <w:rPr>
          <w:lang w:val="en"/>
        </w:rPr>
        <w:t xml:space="preserve">ved seed nodes would be </w:t>
      </w:r>
      <w:r w:rsidR="007E673E">
        <w:rPr>
          <w:lang w:val="en"/>
        </w:rPr>
        <w:t>recalled</w:t>
      </w:r>
      <w:r w:rsidR="000769FC">
        <w:rPr>
          <w:lang w:val="en"/>
        </w:rPr>
        <w:t>.</w:t>
      </w:r>
      <w:r w:rsidR="005B54AF">
        <w:rPr>
          <w:lang w:val="en"/>
        </w:rPr>
        <w:t xml:space="preserve"> For each seed list</w:t>
      </w:r>
      <w:r w:rsidR="00AC30E2">
        <w:rPr>
          <w:lang w:val="en"/>
        </w:rPr>
        <w:t>,</w:t>
      </w:r>
      <w:r w:rsidR="005B54AF">
        <w:rPr>
          <w:lang w:val="en"/>
        </w:rPr>
        <w:t xml:space="preserve"> we calculate</w:t>
      </w:r>
      <w:r w:rsidR="007E673E">
        <w:rPr>
          <w:lang w:val="en"/>
        </w:rPr>
        <w:t>d</w:t>
      </w:r>
      <w:r w:rsidR="005B54AF">
        <w:rPr>
          <w:lang w:val="en"/>
        </w:rPr>
        <w:t xml:space="preserve"> the average percentage recall for 100 permutations</w:t>
      </w:r>
      <w:r w:rsidR="007E673E">
        <w:rPr>
          <w:lang w:val="en"/>
        </w:rPr>
        <w:t>,</w:t>
      </w:r>
      <w:r w:rsidR="005B54AF">
        <w:rPr>
          <w:lang w:val="en"/>
        </w:rPr>
        <w:t xml:space="preserve"> randomly removing 10%, 20% and 30% of the seed nodes</w:t>
      </w:r>
      <w:r w:rsidR="007E673E">
        <w:rPr>
          <w:lang w:val="en"/>
        </w:rPr>
        <w:t>,</w:t>
      </w:r>
      <w:r w:rsidR="000769FC">
        <w:rPr>
          <w:lang w:val="en"/>
        </w:rPr>
        <w:t xml:space="preserve"> respectively</w:t>
      </w:r>
      <w:r w:rsidR="008530E2">
        <w:rPr>
          <w:lang w:val="en"/>
        </w:rPr>
        <w:t>, then averaging across each</w:t>
      </w:r>
      <w:r w:rsidR="000769FC">
        <w:rPr>
          <w:lang w:val="en"/>
        </w:rPr>
        <w:t>. We set</w:t>
      </w:r>
      <w:r w:rsidR="00AC30E2">
        <w:rPr>
          <w:lang w:val="en"/>
        </w:rPr>
        <w:t xml:space="preserve"> input parameter of </w:t>
      </w:r>
      <w:r w:rsidR="00AC30E2">
        <w:rPr>
          <w:i/>
          <w:lang w:val="en"/>
        </w:rPr>
        <w:t xml:space="preserve">N </w:t>
      </w:r>
      <w:r w:rsidR="000769FC">
        <w:rPr>
          <w:lang w:val="en"/>
        </w:rPr>
        <w:t xml:space="preserve">in the DIAMOnD algorithm </w:t>
      </w:r>
      <w:r w:rsidR="007E673E">
        <w:rPr>
          <w:lang w:val="en"/>
        </w:rPr>
        <w:t>to</w:t>
      </w:r>
      <w:r w:rsidR="00AC30E2">
        <w:rPr>
          <w:lang w:val="en"/>
        </w:rPr>
        <w:t xml:space="preserve"> 200</w:t>
      </w:r>
      <w:r w:rsidR="007E673E">
        <w:rPr>
          <w:lang w:val="en"/>
        </w:rPr>
        <w:t xml:space="preserve"> iterations</w:t>
      </w:r>
      <w:r w:rsidR="00AC30E2">
        <w:rPr>
          <w:lang w:val="en"/>
        </w:rPr>
        <w:t xml:space="preserve">. </w:t>
      </w:r>
      <w:r w:rsidR="007E673E">
        <w:rPr>
          <w:lang w:val="en"/>
        </w:rPr>
        <w:t>That is, t</w:t>
      </w:r>
      <w:r w:rsidR="00AC30E2">
        <w:rPr>
          <w:lang w:val="en"/>
        </w:rPr>
        <w:t>he recall percentage is calculated as the percentage of the removed seed nodes that are returned after 200 iterations of the DIAMOnD algorithm.</w:t>
      </w:r>
    </w:p>
    <w:p w14:paraId="7546835D" w14:textId="77777777" w:rsidR="000769FC" w:rsidRPr="00AC30E2" w:rsidRDefault="000769FC" w:rsidP="00066430">
      <w:pPr>
        <w:spacing w:after="0"/>
        <w:jc w:val="both"/>
        <w:rPr>
          <w:lang w:val="en"/>
        </w:rPr>
      </w:pPr>
    </w:p>
    <w:p w14:paraId="3412B143" w14:textId="77777777" w:rsidR="006E12E7" w:rsidRDefault="006E12E7" w:rsidP="00066430">
      <w:pPr>
        <w:jc w:val="both"/>
        <w:rPr>
          <w:b/>
        </w:rPr>
      </w:pPr>
    </w:p>
    <w:p w14:paraId="05F7D209" w14:textId="10F8CE65" w:rsidR="00965FB8" w:rsidRPr="00AC4916" w:rsidRDefault="00965FB8" w:rsidP="00066430">
      <w:pPr>
        <w:jc w:val="both"/>
        <w:rPr>
          <w:b/>
        </w:rPr>
      </w:pPr>
      <w:r w:rsidRPr="00AC4916">
        <w:rPr>
          <w:b/>
        </w:rPr>
        <w:t>Combining Networks for optimization</w:t>
      </w:r>
    </w:p>
    <w:p w14:paraId="4C7668FD" w14:textId="03E9FC05" w:rsidR="00480886" w:rsidRDefault="00480886" w:rsidP="00066430">
      <w:pPr>
        <w:jc w:val="both"/>
        <w:rPr>
          <w:lang w:val="en"/>
        </w:rPr>
      </w:pPr>
      <w:r>
        <w:rPr>
          <w:lang w:val="en"/>
        </w:rPr>
        <w:t xml:space="preserve">Once network performance had been </w:t>
      </w:r>
      <w:r w:rsidR="002E75A7">
        <w:rPr>
          <w:lang w:val="en"/>
        </w:rPr>
        <w:t xml:space="preserve">measured </w:t>
      </w:r>
      <w:r>
        <w:rPr>
          <w:lang w:val="en"/>
        </w:rPr>
        <w:t xml:space="preserve">and compared, we then combined </w:t>
      </w:r>
      <w:r w:rsidR="002E75A7">
        <w:rPr>
          <w:lang w:val="en"/>
        </w:rPr>
        <w:t>selected</w:t>
      </w:r>
      <w:r>
        <w:rPr>
          <w:lang w:val="en"/>
        </w:rPr>
        <w:t xml:space="preserve"> </w:t>
      </w:r>
      <w:r w:rsidR="002E75A7">
        <w:rPr>
          <w:lang w:val="en"/>
        </w:rPr>
        <w:t xml:space="preserve">PPI </w:t>
      </w:r>
      <w:r>
        <w:rPr>
          <w:lang w:val="en"/>
        </w:rPr>
        <w:t>network</w:t>
      </w:r>
      <w:r w:rsidR="002E75A7">
        <w:rPr>
          <w:lang w:val="en"/>
        </w:rPr>
        <w:t>s</w:t>
      </w:r>
      <w:r>
        <w:rPr>
          <w:lang w:val="en"/>
        </w:rPr>
        <w:t xml:space="preserve"> </w:t>
      </w:r>
      <w:r w:rsidR="002E75A7">
        <w:rPr>
          <w:lang w:val="en"/>
        </w:rPr>
        <w:t>with</w:t>
      </w:r>
      <w:r w:rsidR="008E60B9">
        <w:rPr>
          <w:lang w:val="en"/>
        </w:rPr>
        <w:t xml:space="preserve"> </w:t>
      </w:r>
      <w:r w:rsidR="002E75A7">
        <w:rPr>
          <w:lang w:val="en"/>
        </w:rPr>
        <w:t>selected</w:t>
      </w:r>
      <w:r w:rsidR="008E60B9">
        <w:rPr>
          <w:lang w:val="en"/>
        </w:rPr>
        <w:t xml:space="preserve"> </w:t>
      </w:r>
      <w:r w:rsidR="00A91C3F">
        <w:rPr>
          <w:lang w:val="en"/>
        </w:rPr>
        <w:t>gene co-expression</w:t>
      </w:r>
      <w:r w:rsidR="002E75A7">
        <w:rPr>
          <w:lang w:val="en"/>
        </w:rPr>
        <w:t xml:space="preserve"> networks</w:t>
      </w:r>
      <w:r w:rsidR="00A91C3F">
        <w:rPr>
          <w:lang w:val="en"/>
        </w:rPr>
        <w:t>,</w:t>
      </w:r>
      <w:r>
        <w:rPr>
          <w:lang w:val="en"/>
        </w:rPr>
        <w:t xml:space="preserve"> to </w:t>
      </w:r>
      <w:r w:rsidR="002E75A7">
        <w:rPr>
          <w:lang w:val="en"/>
        </w:rPr>
        <w:t xml:space="preserve">test </w:t>
      </w:r>
      <w:r>
        <w:rPr>
          <w:lang w:val="en"/>
        </w:rPr>
        <w:t>if an optimal network could be d</w:t>
      </w:r>
      <w:r w:rsidR="008E60B9">
        <w:rPr>
          <w:lang w:val="en"/>
        </w:rPr>
        <w:t>efined</w:t>
      </w:r>
      <w:r w:rsidR="002E75A7">
        <w:rPr>
          <w:lang w:val="en"/>
        </w:rPr>
        <w:t>, which would offer an optimal recall of muscle genes and muscle-related GO terms</w:t>
      </w:r>
      <w:r w:rsidR="008E60B9">
        <w:rPr>
          <w:lang w:val="en"/>
        </w:rPr>
        <w:t>. For this we introduced 2 basic</w:t>
      </w:r>
      <w:r>
        <w:rPr>
          <w:lang w:val="en"/>
        </w:rPr>
        <w:t xml:space="preserve"> combinatory procedure</w:t>
      </w:r>
      <w:r w:rsidR="00B3664C">
        <w:rPr>
          <w:lang w:val="en"/>
        </w:rPr>
        <w:t>s</w:t>
      </w:r>
      <w:r>
        <w:rPr>
          <w:lang w:val="en"/>
        </w:rPr>
        <w:t>. These were:</w:t>
      </w:r>
    </w:p>
    <w:p w14:paraId="224D7DF8" w14:textId="05B53A9A" w:rsidR="00B15D96" w:rsidRDefault="00B15D96" w:rsidP="00066430">
      <w:pPr>
        <w:pStyle w:val="ListParagraph"/>
        <w:numPr>
          <w:ilvl w:val="0"/>
          <w:numId w:val="14"/>
        </w:numPr>
        <w:jc w:val="both"/>
        <w:rPr>
          <w:lang w:val="en"/>
        </w:rPr>
      </w:pPr>
      <w:r>
        <w:rPr>
          <w:lang w:val="en"/>
        </w:rPr>
        <w:t>Node filter – Similar to a gene expression filter. For any node pair in a PPI network, if those nodes are found in the gene co-expression ne</w:t>
      </w:r>
      <w:r w:rsidR="00B3664C">
        <w:rPr>
          <w:lang w:val="en"/>
        </w:rPr>
        <w:t xml:space="preserve">twork being combined, that node </w:t>
      </w:r>
      <w:r>
        <w:rPr>
          <w:lang w:val="en"/>
        </w:rPr>
        <w:t>pair is carried forward.</w:t>
      </w:r>
    </w:p>
    <w:p w14:paraId="3B793A02" w14:textId="4373B60E" w:rsidR="00B15D96" w:rsidRDefault="00B15D96" w:rsidP="00066430">
      <w:pPr>
        <w:pStyle w:val="ListParagraph"/>
        <w:numPr>
          <w:ilvl w:val="0"/>
          <w:numId w:val="14"/>
        </w:numPr>
        <w:jc w:val="both"/>
        <w:rPr>
          <w:lang w:val="en"/>
        </w:rPr>
      </w:pPr>
      <w:r>
        <w:rPr>
          <w:lang w:val="en"/>
        </w:rPr>
        <w:t xml:space="preserve">Union – The union is </w:t>
      </w:r>
      <w:r w:rsidR="00210ADE">
        <w:rPr>
          <w:lang w:val="en"/>
        </w:rPr>
        <w:t xml:space="preserve">the </w:t>
      </w:r>
      <w:r>
        <w:rPr>
          <w:lang w:val="en"/>
        </w:rPr>
        <w:t>simple combination of both networks</w:t>
      </w:r>
      <w:r w:rsidR="00210ADE">
        <w:rPr>
          <w:lang w:val="en"/>
        </w:rPr>
        <w:t>,</w:t>
      </w:r>
      <w:r>
        <w:rPr>
          <w:lang w:val="en"/>
        </w:rPr>
        <w:t xml:space="preserve"> with the removal of duplicate node edges.</w:t>
      </w:r>
    </w:p>
    <w:p w14:paraId="409AD3B8" w14:textId="26746FA7" w:rsidR="00B15D96" w:rsidRDefault="00B15D96" w:rsidP="00066430">
      <w:pPr>
        <w:jc w:val="both"/>
        <w:rPr>
          <w:lang w:val="en"/>
        </w:rPr>
      </w:pPr>
      <w:r>
        <w:rPr>
          <w:lang w:val="en"/>
        </w:rPr>
        <w:t>For the combinations applied in this study</w:t>
      </w:r>
      <w:r w:rsidR="00210ADE">
        <w:rPr>
          <w:lang w:val="en"/>
        </w:rPr>
        <w:t>,</w:t>
      </w:r>
      <w:r>
        <w:rPr>
          <w:lang w:val="en"/>
        </w:rPr>
        <w:t xml:space="preserve"> the network edge weights were not carried forward in the combined networks. Any network edge present in the combined networks </w:t>
      </w:r>
      <w:r w:rsidR="00210ADE">
        <w:rPr>
          <w:lang w:val="en"/>
        </w:rPr>
        <w:t xml:space="preserve">had, or was assigned, </w:t>
      </w:r>
      <w:r>
        <w:rPr>
          <w:lang w:val="en"/>
        </w:rPr>
        <w:t>a value of 1.</w:t>
      </w:r>
      <w:r w:rsidR="00A85B7B">
        <w:rPr>
          <w:lang w:val="en"/>
        </w:rPr>
        <w:t xml:space="preserve"> A schema summarizing the methodology for the combined networks is provided (Figure 1).</w:t>
      </w:r>
    </w:p>
    <w:p w14:paraId="5BEC33BB" w14:textId="2721359E" w:rsidR="00A85B7B" w:rsidRPr="00B15D96" w:rsidRDefault="00A85B7B" w:rsidP="00066430">
      <w:pPr>
        <w:jc w:val="both"/>
        <w:rPr>
          <w:lang w:val="en"/>
        </w:rPr>
      </w:pPr>
      <w:r>
        <w:rPr>
          <w:noProof/>
          <w:lang w:val="en"/>
        </w:rPr>
        <w:drawing>
          <wp:inline distT="0" distB="0" distL="0" distR="0" wp14:anchorId="4012BDBF" wp14:editId="04B21095">
            <wp:extent cx="5731510" cy="3223895"/>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892B018" w14:textId="17CDED11" w:rsidR="00337AD1" w:rsidRPr="003C5E37" w:rsidRDefault="00A85B7B" w:rsidP="00066430">
      <w:pPr>
        <w:spacing w:after="0"/>
        <w:jc w:val="both"/>
        <w:rPr>
          <w:b/>
          <w:bCs/>
          <w:sz w:val="18"/>
          <w:szCs w:val="18"/>
          <w:lang w:val="en"/>
        </w:rPr>
      </w:pPr>
      <w:r w:rsidRPr="003C5E37">
        <w:rPr>
          <w:b/>
          <w:bCs/>
          <w:sz w:val="18"/>
          <w:szCs w:val="18"/>
          <w:lang w:val="en"/>
        </w:rPr>
        <w:t xml:space="preserve">Figure 1. Schema summarizing the </w:t>
      </w:r>
      <w:r>
        <w:rPr>
          <w:b/>
          <w:bCs/>
          <w:sz w:val="18"/>
          <w:szCs w:val="18"/>
          <w:lang w:val="en"/>
        </w:rPr>
        <w:t>sources of combined</w:t>
      </w:r>
      <w:r w:rsidRPr="003C5E37">
        <w:rPr>
          <w:b/>
          <w:bCs/>
          <w:sz w:val="18"/>
          <w:szCs w:val="18"/>
          <w:lang w:val="en"/>
        </w:rPr>
        <w:t xml:space="preserve"> networks</w:t>
      </w:r>
      <w:r>
        <w:rPr>
          <w:b/>
          <w:bCs/>
          <w:sz w:val="18"/>
          <w:szCs w:val="18"/>
          <w:lang w:val="en"/>
        </w:rPr>
        <w:t xml:space="preserve"> and the methods used to assess their performance</w:t>
      </w:r>
      <w:r w:rsidRPr="003C5E37">
        <w:rPr>
          <w:b/>
          <w:bCs/>
          <w:sz w:val="18"/>
          <w:szCs w:val="18"/>
          <w:lang w:val="en"/>
        </w:rPr>
        <w:t>.</w:t>
      </w:r>
    </w:p>
    <w:p w14:paraId="504EEF16" w14:textId="693418E6" w:rsidR="006523A5" w:rsidRDefault="006523A5" w:rsidP="00066430">
      <w:pPr>
        <w:spacing w:after="0"/>
        <w:jc w:val="both"/>
        <w:rPr>
          <w:lang w:val="en"/>
        </w:rPr>
      </w:pPr>
    </w:p>
    <w:p w14:paraId="31C29FDF" w14:textId="254E6C47" w:rsidR="006523A5" w:rsidRDefault="006523A5" w:rsidP="006523A5">
      <w:pPr>
        <w:pStyle w:val="Heading1"/>
        <w:jc w:val="both"/>
      </w:pPr>
      <w:r>
        <w:t>Results</w:t>
      </w:r>
    </w:p>
    <w:p w14:paraId="71B63135" w14:textId="1E891317" w:rsidR="00812616" w:rsidRDefault="007469BA" w:rsidP="00066430">
      <w:pPr>
        <w:jc w:val="both"/>
        <w:rPr>
          <w:lang w:val="en"/>
        </w:rPr>
      </w:pPr>
      <w:r>
        <w:rPr>
          <w:lang w:val="en"/>
        </w:rPr>
        <w:t>Functional association data were obtained from s</w:t>
      </w:r>
      <w:r w:rsidR="00660BE3">
        <w:rPr>
          <w:lang w:val="en"/>
        </w:rPr>
        <w:t xml:space="preserve">ources of </w:t>
      </w:r>
      <w:r w:rsidR="00AA3AF1">
        <w:rPr>
          <w:lang w:val="en"/>
        </w:rPr>
        <w:t>Protein-Protein Interactions (STRING</w:t>
      </w:r>
      <w:r w:rsidR="00660BE3">
        <w:rPr>
          <w:lang w:val="en"/>
        </w:rPr>
        <w:t>, IID</w:t>
      </w:r>
      <w:r w:rsidR="00AA3AF1">
        <w:rPr>
          <w:lang w:val="en"/>
        </w:rPr>
        <w:t>), gene co-expression databases (</w:t>
      </w:r>
      <w:r w:rsidR="008B5FCC">
        <w:rPr>
          <w:lang w:val="en"/>
        </w:rPr>
        <w:t xml:space="preserve">GTEx, </w:t>
      </w:r>
      <w:r w:rsidR="00660BE3">
        <w:rPr>
          <w:lang w:val="en"/>
        </w:rPr>
        <w:t xml:space="preserve">COXPRESdb, </w:t>
      </w:r>
      <w:r w:rsidR="00AA3AF1">
        <w:rPr>
          <w:lang w:val="en"/>
        </w:rPr>
        <w:t>MyoMiner)</w:t>
      </w:r>
      <w:r w:rsidR="00F31D79">
        <w:rPr>
          <w:lang w:val="en"/>
        </w:rPr>
        <w:t>, and combined functional associations (HumanBase)</w:t>
      </w:r>
      <w:r>
        <w:rPr>
          <w:lang w:val="en"/>
        </w:rPr>
        <w:t xml:space="preserve">, and filters were applied to association evidence scores to generate </w:t>
      </w:r>
      <w:r w:rsidR="007A5F0C">
        <w:rPr>
          <w:lang w:val="en"/>
        </w:rPr>
        <w:t>28</w:t>
      </w:r>
      <w:r>
        <w:rPr>
          <w:lang w:val="en"/>
        </w:rPr>
        <w:t xml:space="preserve"> MINs of different compositions and sizes</w:t>
      </w:r>
      <w:r w:rsidR="00AA3AF1">
        <w:rPr>
          <w:lang w:val="en"/>
        </w:rPr>
        <w:t xml:space="preserve"> (</w:t>
      </w:r>
      <w:r w:rsidR="002D6498">
        <w:rPr>
          <w:lang w:val="en"/>
        </w:rPr>
        <w:t xml:space="preserve">Table 1; </w:t>
      </w:r>
      <w:r>
        <w:rPr>
          <w:lang w:val="en"/>
        </w:rPr>
        <w:t>Figur</w:t>
      </w:r>
      <w:r w:rsidR="00AA3AF1">
        <w:rPr>
          <w:lang w:val="en"/>
        </w:rPr>
        <w:t xml:space="preserve">e </w:t>
      </w:r>
      <w:r>
        <w:rPr>
          <w:lang w:val="en"/>
        </w:rPr>
        <w:t>S</w:t>
      </w:r>
      <w:r w:rsidR="00AA3AF1">
        <w:rPr>
          <w:lang w:val="en"/>
        </w:rPr>
        <w:t xml:space="preserve">1). </w:t>
      </w:r>
      <w:r w:rsidR="00491C10">
        <w:rPr>
          <w:lang w:val="en"/>
        </w:rPr>
        <w:t xml:space="preserve">To test </w:t>
      </w:r>
      <w:r w:rsidR="00EA22F7">
        <w:rPr>
          <w:lang w:val="en"/>
        </w:rPr>
        <w:t xml:space="preserve">the </w:t>
      </w:r>
      <w:r w:rsidR="00491C10">
        <w:rPr>
          <w:lang w:val="en"/>
        </w:rPr>
        <w:t xml:space="preserve">recall of muscle-relevant genes and functions, 11 GO terms were selected based on their relevance to skeletal muscle biological processes or representation of important cell components of the skeletal muscle (Table </w:t>
      </w:r>
      <w:r>
        <w:rPr>
          <w:lang w:val="en"/>
        </w:rPr>
        <w:t>S1</w:t>
      </w:r>
      <w:r w:rsidR="00491C10">
        <w:rPr>
          <w:lang w:val="en"/>
        </w:rPr>
        <w:t xml:space="preserve">). </w:t>
      </w:r>
      <w:r w:rsidR="00AD20A4">
        <w:rPr>
          <w:lang w:val="en"/>
        </w:rPr>
        <w:t xml:space="preserve">To </w:t>
      </w:r>
      <w:r w:rsidR="007A5F0C">
        <w:rPr>
          <w:lang w:val="en"/>
        </w:rPr>
        <w:t>retain only those</w:t>
      </w:r>
      <w:r w:rsidR="00AD20A4">
        <w:rPr>
          <w:lang w:val="en"/>
        </w:rPr>
        <w:t xml:space="preserve"> networks having a </w:t>
      </w:r>
      <w:r w:rsidR="007A5F0C">
        <w:rPr>
          <w:lang w:val="en"/>
        </w:rPr>
        <w:t>minimum baseline</w:t>
      </w:r>
      <w:r w:rsidR="00AD20A4">
        <w:rPr>
          <w:lang w:val="en"/>
        </w:rPr>
        <w:t xml:space="preserve"> representation of muscle-relevant genes, </w:t>
      </w:r>
      <w:r w:rsidR="007A5F0C">
        <w:rPr>
          <w:lang w:val="en"/>
        </w:rPr>
        <w:t xml:space="preserve">17 </w:t>
      </w:r>
      <w:r w:rsidR="00AD20A4">
        <w:rPr>
          <w:lang w:val="en"/>
        </w:rPr>
        <w:t>n</w:t>
      </w:r>
      <w:r w:rsidR="00AD20A4" w:rsidRPr="00AD20A4">
        <w:rPr>
          <w:lang w:val="en"/>
        </w:rPr>
        <w:t xml:space="preserve">etworks were selected </w:t>
      </w:r>
      <w:r w:rsidR="007A5F0C">
        <w:rPr>
          <w:lang w:val="en"/>
        </w:rPr>
        <w:t xml:space="preserve">for subsequent analysis </w:t>
      </w:r>
      <w:r w:rsidR="00AD20A4" w:rsidRPr="00AD20A4">
        <w:rPr>
          <w:lang w:val="en"/>
        </w:rPr>
        <w:t>based on their average coverage (percentage of included genes) of the selected muscle-related GO terms</w:t>
      </w:r>
      <w:r w:rsidR="00AD20A4">
        <w:rPr>
          <w:lang w:val="en"/>
        </w:rPr>
        <w:t xml:space="preserve"> (</w:t>
      </w:r>
      <w:r w:rsidR="007A5F0C">
        <w:rPr>
          <w:lang w:val="en"/>
        </w:rPr>
        <w:t xml:space="preserve">&gt;75% average coverage; </w:t>
      </w:r>
      <w:r w:rsidR="00EA120C">
        <w:rPr>
          <w:lang w:val="en"/>
        </w:rPr>
        <w:t>Figur</w:t>
      </w:r>
      <w:r w:rsidR="00AD20A4">
        <w:rPr>
          <w:lang w:val="en"/>
        </w:rPr>
        <w:t xml:space="preserve">e </w:t>
      </w:r>
      <w:r w:rsidR="00EA120C">
        <w:rPr>
          <w:lang w:val="en"/>
        </w:rPr>
        <w:t>S</w:t>
      </w:r>
      <w:r w:rsidR="00AD20A4">
        <w:rPr>
          <w:lang w:val="en"/>
        </w:rPr>
        <w:t xml:space="preserve">1). </w:t>
      </w:r>
      <w:r w:rsidR="00812616">
        <w:rPr>
          <w:lang w:val="en"/>
        </w:rPr>
        <w:t xml:space="preserve"> </w:t>
      </w:r>
    </w:p>
    <w:p w14:paraId="205EFE8A" w14:textId="77777777" w:rsidR="002D6498" w:rsidRDefault="002D6498" w:rsidP="00066430">
      <w:pPr>
        <w:jc w:val="both"/>
        <w:rPr>
          <w:b/>
        </w:rPr>
      </w:pPr>
    </w:p>
    <w:tbl>
      <w:tblPr>
        <w:tblStyle w:val="PlainTable2"/>
        <w:tblW w:w="9493" w:type="dxa"/>
        <w:tblBorders>
          <w:left w:val="single" w:sz="4" w:space="0" w:color="7F7F7F" w:themeColor="text1" w:themeTint="80"/>
          <w:right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1205"/>
        <w:gridCol w:w="1950"/>
        <w:gridCol w:w="3361"/>
        <w:gridCol w:w="1843"/>
        <w:gridCol w:w="1134"/>
      </w:tblGrid>
      <w:tr w:rsidR="009B4235" w:rsidRPr="0002037F" w14:paraId="61237AB3" w14:textId="77777777" w:rsidTr="009B4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7757BEAF" w14:textId="585DAD69" w:rsidR="009B4235" w:rsidRPr="0002037F" w:rsidRDefault="009B4235" w:rsidP="00066430">
            <w:pPr>
              <w:jc w:val="both"/>
              <w:rPr>
                <w:b w:val="0"/>
                <w:sz w:val="18"/>
              </w:rPr>
            </w:pPr>
            <w:r w:rsidRPr="0002037F">
              <w:rPr>
                <w:sz w:val="18"/>
              </w:rPr>
              <w:t xml:space="preserve">Network </w:t>
            </w:r>
            <w:r>
              <w:rPr>
                <w:sz w:val="18"/>
              </w:rPr>
              <w:t>s</w:t>
            </w:r>
            <w:r w:rsidRPr="0002037F">
              <w:rPr>
                <w:sz w:val="18"/>
              </w:rPr>
              <w:t>ource</w:t>
            </w:r>
          </w:p>
        </w:tc>
        <w:tc>
          <w:tcPr>
            <w:tcW w:w="1950" w:type="dxa"/>
            <w:vAlign w:val="center"/>
          </w:tcPr>
          <w:p w14:paraId="7C3B3582" w14:textId="1CD26E16" w:rsidR="009B4235" w:rsidRPr="0002037F" w:rsidRDefault="009B4235" w:rsidP="00066430">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 xml:space="preserve">Interaction </w:t>
            </w:r>
            <w:r>
              <w:rPr>
                <w:sz w:val="18"/>
              </w:rPr>
              <w:t>t</w:t>
            </w:r>
            <w:r w:rsidRPr="0002037F">
              <w:rPr>
                <w:sz w:val="18"/>
              </w:rPr>
              <w:t>ype</w:t>
            </w:r>
            <w:r>
              <w:rPr>
                <w:sz w:val="18"/>
              </w:rPr>
              <w:t>(s)</w:t>
            </w:r>
          </w:p>
        </w:tc>
        <w:tc>
          <w:tcPr>
            <w:tcW w:w="3361" w:type="dxa"/>
            <w:vAlign w:val="center"/>
          </w:tcPr>
          <w:p w14:paraId="508839E8" w14:textId="77777777" w:rsidR="009B4235" w:rsidRPr="0002037F" w:rsidRDefault="009B4235" w:rsidP="00066430">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Interaction weight description</w:t>
            </w:r>
          </w:p>
        </w:tc>
        <w:tc>
          <w:tcPr>
            <w:tcW w:w="1843" w:type="dxa"/>
            <w:vAlign w:val="center"/>
          </w:tcPr>
          <w:p w14:paraId="7835B56B" w14:textId="1D5067BD" w:rsidR="009B4235" w:rsidRPr="0002037F" w:rsidRDefault="009B4235" w:rsidP="00066430">
            <w:pPr>
              <w:jc w:val="both"/>
              <w:cnfStyle w:val="100000000000" w:firstRow="1" w:lastRow="0" w:firstColumn="0" w:lastColumn="0" w:oddVBand="0" w:evenVBand="0" w:oddHBand="0" w:evenHBand="0" w:firstRowFirstColumn="0" w:firstRowLastColumn="0" w:lastRowFirstColumn="0" w:lastRowLastColumn="0"/>
              <w:rPr>
                <w:sz w:val="18"/>
              </w:rPr>
            </w:pPr>
            <w:r>
              <w:rPr>
                <w:sz w:val="18"/>
              </w:rPr>
              <w:t>Tissue specificity</w:t>
            </w:r>
          </w:p>
        </w:tc>
        <w:tc>
          <w:tcPr>
            <w:tcW w:w="1134" w:type="dxa"/>
            <w:vAlign w:val="center"/>
          </w:tcPr>
          <w:p w14:paraId="152254FF" w14:textId="74623FC7" w:rsidR="009B4235" w:rsidRPr="0002037F" w:rsidRDefault="009B4235" w:rsidP="00066430">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Reference</w:t>
            </w:r>
          </w:p>
        </w:tc>
      </w:tr>
      <w:tr w:rsidR="009B4235" w:rsidRPr="0002037F" w14:paraId="32474AB3" w14:textId="77777777" w:rsidTr="009B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29270A7B" w14:textId="77777777" w:rsidR="009B4235" w:rsidRPr="0002037F" w:rsidRDefault="009B4235" w:rsidP="00066430">
            <w:pPr>
              <w:jc w:val="both"/>
              <w:rPr>
                <w:sz w:val="18"/>
              </w:rPr>
            </w:pPr>
            <w:r w:rsidRPr="0002037F">
              <w:rPr>
                <w:sz w:val="18"/>
              </w:rPr>
              <w:t>STRING</w:t>
            </w:r>
          </w:p>
        </w:tc>
        <w:tc>
          <w:tcPr>
            <w:tcW w:w="1950" w:type="dxa"/>
            <w:vAlign w:val="center"/>
          </w:tcPr>
          <w:p w14:paraId="59C9E846" w14:textId="61B4C60B"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AA3AF1">
              <w:rPr>
                <w:sz w:val="18"/>
              </w:rPr>
              <w:t>PPI (</w:t>
            </w:r>
            <w:r>
              <w:rPr>
                <w:sz w:val="18"/>
              </w:rPr>
              <w:t xml:space="preserve">evidence scores </w:t>
            </w:r>
            <w:r w:rsidRPr="00AA3AF1">
              <w:rPr>
                <w:sz w:val="18"/>
              </w:rPr>
              <w:t>supported by other functional associa</w:t>
            </w:r>
            <w:r>
              <w:rPr>
                <w:sz w:val="18"/>
              </w:rPr>
              <w:t>ti</w:t>
            </w:r>
            <w:r w:rsidRPr="00AA3AF1">
              <w:rPr>
                <w:sz w:val="18"/>
              </w:rPr>
              <w:t>ons)</w:t>
            </w:r>
          </w:p>
        </w:tc>
        <w:tc>
          <w:tcPr>
            <w:tcW w:w="3361" w:type="dxa"/>
            <w:vAlign w:val="center"/>
          </w:tcPr>
          <w:p w14:paraId="086F7308" w14:textId="77777777"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Confidence score: Generated by summarising evidence of interaction occurrence.</w:t>
            </w:r>
          </w:p>
        </w:tc>
        <w:tc>
          <w:tcPr>
            <w:tcW w:w="1843" w:type="dxa"/>
            <w:vAlign w:val="center"/>
          </w:tcPr>
          <w:p w14:paraId="557F2683" w14:textId="26D0A2F1"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Tissue-generic only</w:t>
            </w:r>
          </w:p>
        </w:tc>
        <w:tc>
          <w:tcPr>
            <w:tcW w:w="1134" w:type="dxa"/>
            <w:vAlign w:val="center"/>
          </w:tcPr>
          <w:p w14:paraId="369CA3DE" w14:textId="18C6290D"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fldChar w:fldCharType="begin" w:fldLock="1"/>
            </w:r>
            <w:r w:rsidR="00276AB2">
              <w:rPr>
                <w:sz w:val="18"/>
              </w:rPr>
              <w:instrText>ADDIN CSL_CITATION {"citationItems":[{"id":"ITEM-1","itemData":{"DOI":"10.1093/nar/gku1003","ISSN":"1362-4962","PMID":"25352553","abstract":"The many functional partnerships and interactions that occur between proteins are at the core of cellular processing and their systematic characterization helps to provide context in molecular systems biology. However, known and predicted interactions are scattered over multiple resources, and the available data exhibit notable differences in terms of quality and completeness. The STRING database (http://string-db.org) aims to provide a critical assessment and integration of protein-protein interactions, including direct (physical) as well as indirect (functional) associations. The new version 10.0 of STRING covers more than 2000 organisms, which has necessitated novel, scalable algorithms for transferring interaction information between organisms. For this purpose, we have introduced hierarchical and self-consistent orthology annotations for all interacting proteins, grouping the proteins into families at various levels of phylogenetic resolution. Further improvements in version 10.0 include a completely redesigned prediction pipeline for inferring protein-protein associations from co-expression data, an API interface for the R computing environment and improved statistical analysis for enrichment tests in user-provided networks.","author":[{"dropping-particle":"","family":"Szklarczyk","given":"Damian","non-dropping-particle":"","parse-names":false,"suffix":""},{"dropping-particle":"","family":"Franceschini","given":"Andrea","non-dropping-particle":"","parse-names":false,"suffix":""},{"dropping-particle":"","family":"Wyder","given":"Stefan","non-dropping-particle":"","parse-names":false,"suffix":""},{"dropping-particle":"","family":"Forslund","given":"Kristoffer","non-dropping-particle":"","parse-names":false,"suffix":""},{"dropping-particle":"","family":"Heller","given":"Davide","non-dropping-particle":"","parse-names":false,"suffix":""},{"dropping-particle":"","family":"Huerta-Cepas","given":"Jaime","non-dropping-particle":"","parse-names":false,"suffix":""},{"dropping-particle":"","family":"Simonovic","given":"Milan","non-dropping-particle":"","parse-names":false,"suffix":""},{"dropping-particle":"","family":"Roth","given":"Alexander","non-dropping-particle":"","parse-names":false,"suffix":""},{"dropping-particle":"","family":"Santos","given":"Alberto","non-dropping-particle":"","parse-names":false,"suffix":""},{"dropping-particle":"","family":"Tsafou","given":"Kalliopi P","non-dropping-particle":"","parse-names":false,"suffix":""},{"dropping-particle":"","family":"Kuhn","given":"Michael","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research","id":"ITEM-1","issue":"Database issue","issued":{"date-parts":[["2015","1"]]},"page":"D447-52","title":"STRING v10: protein-protein interaction networks, integrated over the tree of life.","type":"article-journal","volume":"43"},"uris":["http://www.mendeley.com/documents/?uuid=5acac14c-15a4-465e-98cc-fb2a55f0c711","http://www.mendeley.com/documents/?uuid=5e386ded-58e4-4303-8c24-f46efb13fe4a"]}],"mendeley":{"formattedCitation":"(31)","plainTextFormattedCitation":"(31)","previouslyFormattedCitation":"(31)"},"properties":{"noteIndex":0},"schema":"https://github.com/citation-style-language/schema/raw/master/csl-citation.json"}</w:instrText>
            </w:r>
            <w:r w:rsidRPr="0002037F">
              <w:rPr>
                <w:sz w:val="18"/>
              </w:rPr>
              <w:fldChar w:fldCharType="separate"/>
            </w:r>
            <w:r w:rsidR="00276AB2" w:rsidRPr="00276AB2">
              <w:rPr>
                <w:noProof/>
                <w:sz w:val="18"/>
              </w:rPr>
              <w:t>(31)</w:t>
            </w:r>
            <w:r w:rsidRPr="0002037F">
              <w:rPr>
                <w:sz w:val="18"/>
              </w:rPr>
              <w:fldChar w:fldCharType="end"/>
            </w:r>
          </w:p>
        </w:tc>
      </w:tr>
      <w:tr w:rsidR="009B4235" w:rsidRPr="0002037F" w14:paraId="2CA3000F" w14:textId="77777777" w:rsidTr="009B4235">
        <w:tc>
          <w:tcPr>
            <w:cnfStyle w:val="001000000000" w:firstRow="0" w:lastRow="0" w:firstColumn="1" w:lastColumn="0" w:oddVBand="0" w:evenVBand="0" w:oddHBand="0" w:evenHBand="0" w:firstRowFirstColumn="0" w:firstRowLastColumn="0" w:lastRowFirstColumn="0" w:lastRowLastColumn="0"/>
            <w:tcW w:w="1205" w:type="dxa"/>
            <w:vAlign w:val="center"/>
          </w:tcPr>
          <w:p w14:paraId="740980B4" w14:textId="00BE3602" w:rsidR="009B4235" w:rsidRPr="0002037F" w:rsidRDefault="009B4235" w:rsidP="00066430">
            <w:pPr>
              <w:jc w:val="both"/>
              <w:rPr>
                <w:sz w:val="18"/>
              </w:rPr>
            </w:pPr>
            <w:r w:rsidRPr="0002037F">
              <w:rPr>
                <w:sz w:val="18"/>
              </w:rPr>
              <w:t>IID</w:t>
            </w:r>
          </w:p>
        </w:tc>
        <w:tc>
          <w:tcPr>
            <w:tcW w:w="1950" w:type="dxa"/>
            <w:vAlign w:val="center"/>
          </w:tcPr>
          <w:p w14:paraId="2B9B64C4" w14:textId="242DA217"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PPI</w:t>
            </w:r>
            <w:r>
              <w:rPr>
                <w:sz w:val="18"/>
              </w:rPr>
              <w:t xml:space="preserve"> (filtered by tissue gene expression)</w:t>
            </w:r>
          </w:p>
        </w:tc>
        <w:tc>
          <w:tcPr>
            <w:tcW w:w="3361" w:type="dxa"/>
            <w:vAlign w:val="center"/>
          </w:tcPr>
          <w:p w14:paraId="57D12B6A" w14:textId="77777777"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Non-weighted Network: Any interaction is given an edge weight of 1</w:t>
            </w:r>
          </w:p>
        </w:tc>
        <w:tc>
          <w:tcPr>
            <w:tcW w:w="1843" w:type="dxa"/>
            <w:vAlign w:val="center"/>
          </w:tcPr>
          <w:p w14:paraId="25D1C74F" w14:textId="149AB014"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Muscle tissue-specific category</w:t>
            </w:r>
          </w:p>
        </w:tc>
        <w:tc>
          <w:tcPr>
            <w:tcW w:w="1134" w:type="dxa"/>
            <w:vAlign w:val="center"/>
          </w:tcPr>
          <w:p w14:paraId="0E7B561B" w14:textId="12FCDACE"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fldChar w:fldCharType="begin" w:fldLock="1"/>
            </w:r>
            <w:r w:rsidR="00276AB2">
              <w:rPr>
                <w:sz w:val="18"/>
              </w:rPr>
              <w:instrText xml:space="preserve">ADDIN CSL_CITATION {"citationItems":[{"id":"ITEM-1","itemData":{"DOI":"10.1093/nar/gky1037","ISSN":"1362-4962","PMID":"30407591","abstract":"Knowing the set of physical protein-protein interactions (PPIs) that occur in a particular context-a tissue, disease, or other condition-can provide valuable insights into key research questions. However, while the number of identified human PPIs is expanding rapidly, context information remains limited, and for most non-human species context-specific networks are completely unavailable. The Integrated Interactions Database (IID) provides one of the most comprehensive sets of context-specific human PPI networks, including networks for 133 tissues, 91 disease conditions, and many other contexts. Importantly, it also provides context-specific networks for 17 non-human species including model organisms and domesticated animals. These species are vitally important for drug discovery and agriculture. IID integrates interactions from multiple databases and datasets. It comprises over 4.8 million PPIs annotated with several types of context: tissues, subcellular localizations, diseases, and druggability information (the latter three are new annotations not available in the previous version). This update increases the number of species from 6 to 18, the number of PPIs from </w:instrText>
            </w:r>
            <w:r w:rsidR="00276AB2">
              <w:rPr>
                <w:rFonts w:ascii="Cambria Math" w:hAnsi="Cambria Math" w:cs="Cambria Math"/>
                <w:sz w:val="18"/>
              </w:rPr>
              <w:instrText>∼</w:instrText>
            </w:r>
            <w:r w:rsidR="00276AB2">
              <w:rPr>
                <w:sz w:val="18"/>
              </w:rPr>
              <w:instrText xml:space="preserve">1.5 million to </w:instrText>
            </w:r>
            <w:r w:rsidR="00276AB2">
              <w:rPr>
                <w:rFonts w:ascii="Cambria Math" w:hAnsi="Cambria Math" w:cs="Cambria Math"/>
                <w:sz w:val="18"/>
              </w:rPr>
              <w:instrText>∼</w:instrText>
            </w:r>
            <w:r w:rsidR="00276AB2">
              <w:rPr>
                <w:sz w:val="18"/>
              </w:rPr>
              <w:instrText>4.8 million, and the number of tissues from 30 to 133. IID also now supports topology and enrichment analyses of returned networks. IID is available at http://ophid.utoronto.ca/iid.","author":[{"dropping-particle":"","family":"Kotlyar","given":"Max","non-dropping-particle":"","parse-names":false,"suffix":""},{"dropping-particle":"","family":"Pastrello","given":"Chiara","non-dropping-particle":"","parse-names":false,"suffix":""},{"dropping-particle":"","family":"Malik","given":"Zara","non-dropping-particle":"","parse-names":false,"suffix":""},{"dropping-particle":"","family":"Jurisica","given":"Igor","non-dropping-particle":"","parse-names":false,"suffix":""}],"container-title":"Nucleic acids research","id":"ITEM-1","issue":"D1","issued":{"date-parts":[["2019"]]},"page":"D581-D589","title":"IID 2018 update: context-specific physical protein-protein interactions in human, model organisms and domesticated species.","type":"article-journal","volume":"47"},"uris":["http://www.mendeley.com/documents/?uuid=0be72fda-d0f3-4f9f-b88d-aa39937a8d73","http://www.mendeley.com/documents/?uuid=17847354-6329-401e-99f3-9c8d83ffbe31"]}],"mendeley":{"formattedCitation":"(34)","plainTextFormattedCitation":"(34)","previouslyFormattedCitation":"(34)"},"properties":{"noteIndex":0},"schema":"https://github.com/citation-style-language/schema/raw/master/csl-citation.json"}</w:instrText>
            </w:r>
            <w:r w:rsidRPr="0002037F">
              <w:rPr>
                <w:sz w:val="18"/>
              </w:rPr>
              <w:fldChar w:fldCharType="separate"/>
            </w:r>
            <w:r w:rsidR="00276AB2" w:rsidRPr="00276AB2">
              <w:rPr>
                <w:noProof/>
                <w:sz w:val="18"/>
              </w:rPr>
              <w:t>(34)</w:t>
            </w:r>
            <w:r w:rsidRPr="0002037F">
              <w:rPr>
                <w:sz w:val="18"/>
              </w:rPr>
              <w:fldChar w:fldCharType="end"/>
            </w:r>
          </w:p>
        </w:tc>
      </w:tr>
      <w:tr w:rsidR="009B4235" w:rsidRPr="0002037F" w14:paraId="710FDDDB" w14:textId="77777777" w:rsidTr="009B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04460669" w14:textId="4FEA3287" w:rsidR="009B4235" w:rsidRPr="0002037F" w:rsidRDefault="009B4235" w:rsidP="00066430">
            <w:pPr>
              <w:jc w:val="both"/>
              <w:rPr>
                <w:sz w:val="18"/>
              </w:rPr>
            </w:pPr>
            <w:r w:rsidRPr="0002037F">
              <w:rPr>
                <w:sz w:val="18"/>
              </w:rPr>
              <w:t>HumanBase</w:t>
            </w:r>
          </w:p>
        </w:tc>
        <w:tc>
          <w:tcPr>
            <w:tcW w:w="1950" w:type="dxa"/>
            <w:vAlign w:val="center"/>
          </w:tcPr>
          <w:p w14:paraId="0D709E26" w14:textId="5E60A9CF"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Multiple types of functional association</w:t>
            </w:r>
          </w:p>
        </w:tc>
        <w:tc>
          <w:tcPr>
            <w:tcW w:w="3361" w:type="dxa"/>
            <w:vAlign w:val="center"/>
          </w:tcPr>
          <w:p w14:paraId="0275DA18" w14:textId="77777777"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Posterior Probability: 0-1</w:t>
            </w:r>
          </w:p>
        </w:tc>
        <w:tc>
          <w:tcPr>
            <w:tcW w:w="1843" w:type="dxa"/>
            <w:vAlign w:val="center"/>
          </w:tcPr>
          <w:p w14:paraId="27DC8EAD" w14:textId="2223D840"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Muscle tissue-specific category</w:t>
            </w:r>
          </w:p>
        </w:tc>
        <w:tc>
          <w:tcPr>
            <w:tcW w:w="1134" w:type="dxa"/>
            <w:vAlign w:val="center"/>
          </w:tcPr>
          <w:p w14:paraId="7E3C798C" w14:textId="3A866FFF"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fldChar w:fldCharType="begin" w:fldLock="1"/>
            </w:r>
            <w:r w:rsidR="00276AB2">
              <w:rPr>
                <w:sz w:val="18"/>
              </w:rPr>
              <w:instrText>ADDIN CSL_CITATION {"citationItems":[{"id":"ITEM-1","itemData":{"DOI":"10.1038/ng.3259","ISSN":"1546-1718","PMID":"25915600","abstract":"Tissue and cell-type identity lie at the core of human physiology and disease. Understanding the genetic underpinnings of complex tissues and individual cell lineages is crucial for developing improved diagnostics and therapeutics. We present genome-wide functional interaction networks for 144 human tissues and cell types developed using a data-driven Bayesian methodology that integrates thousands of diverse experiments spanning tissue and disease states. Tissue-specific networks predict lineage-specific responses to perturbation, identify the changing functional roles of genes across tissues and illuminate relationships among diseases. We introduce NetWAS, which combines genes with nominally significant genome-wide association study (GWAS) P values and tissue-specific networks to identify disease-gene associations more accurately than GWAS alone. Our webserver, GIANT, provides an interface to human tissue networks through multi-gene queries, network visualization, analysis tools including NetWAS and downloadable networks. GIANT enables systematic exploration of the landscape of interacting genes that shape specialized cellular functions across more than a hundred human tissues and cell types.","author":[{"dropping-particle":"","family":"Greene","given":"Casey S","non-dropping-particle":"","parse-names":false,"suffix":""},{"dropping-particle":"","family":"Krishnan","given":"Arjun","non-dropping-particle":"","parse-names":false,"suffix":""},{"dropping-particle":"","family":"Wong","given":"Aaron K","non-dropping-particle":"","parse-names":false,"suffix":""},{"dropping-particle":"","family":"Ricciotti","given":"Emanuela","non-dropping-particle":"","parse-names":false,"suffix":""},{"dropping-particle":"","family":"Zelaya","given":"Rene A","non-dropping-particle":"","parse-names":false,"suffix":""},{"dropping-particle":"","family":"Himmelstein","given":"Daniel S","non-dropping-particle":"","parse-names":false,"suffix":""},{"dropping-particle":"","family":"Zhang","given":"Ran","non-dropping-particle":"","parse-names":false,"suffix":""},{"dropping-particle":"","family":"Hartmann","given":"Boris M","non-dropping-particle":"","parse-names":false,"suffix":""},{"dropping-particle":"","family":"Zaslavsky","given":"Elena","non-dropping-particle":"","parse-names":false,"suffix":""},{"dropping-particle":"","family":"Sealfon","given":"Stuart C","non-dropping-particle":"","parse-names":false,"suffix":""},{"dropping-particle":"","family":"Chasman","given":"Daniel I","non-dropping-particle":"","parse-names":false,"suffix":""},{"dropping-particle":"","family":"FitzGerald","given":"Garret A","non-dropping-particle":"","parse-names":false,"suffix":""},{"dropping-particle":"","family":"Dolinski","given":"Kara","non-dropping-particle":"","parse-names":false,"suffix":""},{"dropping-particle":"","family":"Grosser","given":"Tilo","non-dropping-particle":"","parse-names":false,"suffix":""},{"dropping-particle":"","family":"Troyanskaya","given":"Olga G","non-dropping-particle":"","parse-names":false,"suffix":""}],"container-title":"Nature genetics","id":"ITEM-1","issue":"6","issued":{"date-parts":[["2015","6"]]},"page":"569-76","title":"Understanding multicellular function and disease with human tissue-specific networks.","type":"article-journal","volume":"47"},"uris":["http://www.mendeley.com/documents/?uuid=c0251ef2-b47a-4d0e-ab69-78880d48c756","http://www.mendeley.com/documents/?uuid=fa0c5de4-c278-4d11-8e0e-3fbc0e8fefd6"]}],"mendeley":{"formattedCitation":"(27)","plainTextFormattedCitation":"(27)","previouslyFormattedCitation":"(27)"},"properties":{"noteIndex":0},"schema":"https://github.com/citation-style-language/schema/raw/master/csl-citation.json"}</w:instrText>
            </w:r>
            <w:r w:rsidRPr="0002037F">
              <w:rPr>
                <w:sz w:val="18"/>
              </w:rPr>
              <w:fldChar w:fldCharType="separate"/>
            </w:r>
            <w:r w:rsidR="00620042" w:rsidRPr="00620042">
              <w:rPr>
                <w:noProof/>
                <w:sz w:val="18"/>
              </w:rPr>
              <w:t>(27)</w:t>
            </w:r>
            <w:r w:rsidRPr="0002037F">
              <w:rPr>
                <w:sz w:val="18"/>
              </w:rPr>
              <w:fldChar w:fldCharType="end"/>
            </w:r>
          </w:p>
        </w:tc>
      </w:tr>
      <w:tr w:rsidR="009B4235" w:rsidRPr="0002037F" w14:paraId="0AF0EA3D" w14:textId="77777777" w:rsidTr="009B4235">
        <w:tc>
          <w:tcPr>
            <w:cnfStyle w:val="001000000000" w:firstRow="0" w:lastRow="0" w:firstColumn="1" w:lastColumn="0" w:oddVBand="0" w:evenVBand="0" w:oddHBand="0" w:evenHBand="0" w:firstRowFirstColumn="0" w:firstRowLastColumn="0" w:lastRowFirstColumn="0" w:lastRowLastColumn="0"/>
            <w:tcW w:w="1205" w:type="dxa"/>
            <w:vAlign w:val="center"/>
          </w:tcPr>
          <w:p w14:paraId="08BEFDFE" w14:textId="77777777" w:rsidR="009B4235" w:rsidRPr="0002037F" w:rsidRDefault="009B4235" w:rsidP="00066430">
            <w:pPr>
              <w:jc w:val="both"/>
              <w:rPr>
                <w:sz w:val="18"/>
              </w:rPr>
            </w:pPr>
            <w:r w:rsidRPr="0002037F">
              <w:rPr>
                <w:sz w:val="18"/>
              </w:rPr>
              <w:t>COXPRESdb</w:t>
            </w:r>
          </w:p>
        </w:tc>
        <w:tc>
          <w:tcPr>
            <w:tcW w:w="1950" w:type="dxa"/>
            <w:vAlign w:val="center"/>
          </w:tcPr>
          <w:p w14:paraId="2222AE40" w14:textId="52AC1BD0" w:rsidR="009B4235"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Gene co-expression</w:t>
            </w:r>
          </w:p>
        </w:tc>
        <w:tc>
          <w:tcPr>
            <w:tcW w:w="3361" w:type="dxa"/>
            <w:vAlign w:val="center"/>
          </w:tcPr>
          <w:p w14:paraId="6EB56AD3" w14:textId="71686127"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 xml:space="preserve">Mutual Rank: </w:t>
            </w:r>
            <w:r w:rsidR="00E525FF">
              <w:rPr>
                <w:sz w:val="18"/>
              </w:rPr>
              <w:t>a</w:t>
            </w:r>
            <w:r w:rsidR="00E525FF" w:rsidRPr="0002037F">
              <w:rPr>
                <w:sz w:val="18"/>
              </w:rPr>
              <w:t xml:space="preserve">verage </w:t>
            </w:r>
            <w:r w:rsidRPr="0002037F">
              <w:rPr>
                <w:sz w:val="18"/>
              </w:rPr>
              <w:t>rank of gene co</w:t>
            </w:r>
            <w:r w:rsidR="00E525FF">
              <w:rPr>
                <w:sz w:val="18"/>
              </w:rPr>
              <w:t>-</w:t>
            </w:r>
            <w:r w:rsidRPr="0002037F">
              <w:rPr>
                <w:sz w:val="18"/>
              </w:rPr>
              <w:t>expression between both interacting genes</w:t>
            </w:r>
          </w:p>
        </w:tc>
        <w:tc>
          <w:tcPr>
            <w:tcW w:w="1843" w:type="dxa"/>
            <w:vAlign w:val="center"/>
          </w:tcPr>
          <w:p w14:paraId="4BF6255E" w14:textId="17171EBC"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Tissue-generic only</w:t>
            </w:r>
          </w:p>
        </w:tc>
        <w:tc>
          <w:tcPr>
            <w:tcW w:w="1134" w:type="dxa"/>
            <w:vAlign w:val="center"/>
          </w:tcPr>
          <w:p w14:paraId="40D01CE2" w14:textId="758D3252"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fldChar w:fldCharType="begin" w:fldLock="1"/>
            </w:r>
            <w:r w:rsidR="006523A5">
              <w:rPr>
                <w:sz w:val="18"/>
              </w:rPr>
              <w:instrText>ADDIN CSL_CITATION {"citationItems":[{"id":"ITEM-1","itemData":{"DOI":"10.1093/nar/gkm840","ISSN":"1362-4962","PMID":"17932064","abstract":"A database of coexpressed gene sets can provide valuable information for a wide variety of experimental designs, such as targeting of genes for functional identification, gene regulation and/or protein-protein interactions. Coexpressed gene databases derived from publicly available GeneChip data are widely used in Arabidopsis research, but platforms that examine coexpression for higher mammals are rather limited. Therefore, we have constructed a new database, COXPRESdb (coexpressed gene database) (http://coxpresdb.hgc.jp), for coexpressed gene lists and networks in human and mouse. Coexpression data could be calculated for 19 777 and 21 036 genes in human and mouse, respectively, by using the GeneChip data in NCBI GEO. COXPRESdb enables analysis of the four types of coexpression networks: (i) highly coexpressed genes for every gene, (ii) genes with the same GO annotation, (iii) genes expressed in the same tissue and (iv) user-defined gene sets. When the networks became too big for the static picture on the web in GO networks or in tissue networks, we used Google Maps API to visualize them interactively. COXPRESdb also provides a view to compare the human and mouse coexpression patterns to estimate the conservation between the two species.","author":[{"dropping-particle":"","family":"Obayashi","given":"Takeshi","non-dropping-particle":"","parse-names":false,"suffix":""},{"dropping-particle":"","family":"Hayashi","given":"Shinpei","non-dropping-particle":"","parse-names":false,"suffix":""},{"dropping-particle":"","family":"Shibaoka","given":"Masayuki","non-dropping-particle":"","parse-names":false,"suffix":""},{"dropping-particle":"","family":"Saeki","given":"Motoshi","non-dropping-particle":"","parse-names":false,"suffix":""},{"dropping-particle":"","family":"Ohta","given":"Hiroyuki","non-dropping-particle":"","parse-names":false,"suffix":""},{"dropping-particle":"","family":"Kinoshita","given":"Kengo","non-dropping-particle":"","parse-names":false,"suffix":""}],"container-title":"Nucleic acids research","id":"ITEM-1","issue":"Database issue","issued":{"date-parts":[["2008","1"]]},"page":"D77-82","title":"COXPRESdb: a database of coexpressed gene networks in mammals.","type":"article-journal","volume":"36"},"uris":["http://www.mendeley.com/documents/?uuid=d9786533-df3a-44ab-86e8-52523b44ee67","http://www.mendeley.com/documents/?uuid=1b919ff9-88a8-41fd-94e7-3e07c412aec4"]}],"mendeley":{"formattedCitation":"(37)","plainTextFormattedCitation":"(37)","previouslyFormattedCitation":"(37)"},"properties":{"noteIndex":0},"schema":"https://github.com/citation-style-language/schema/raw/master/csl-citation.json"}</w:instrText>
            </w:r>
            <w:r w:rsidRPr="0002037F">
              <w:rPr>
                <w:sz w:val="18"/>
              </w:rPr>
              <w:fldChar w:fldCharType="separate"/>
            </w:r>
            <w:r w:rsidR="00276AB2" w:rsidRPr="00276AB2">
              <w:rPr>
                <w:noProof/>
                <w:sz w:val="18"/>
              </w:rPr>
              <w:t>(37)</w:t>
            </w:r>
            <w:r w:rsidRPr="0002037F">
              <w:rPr>
                <w:sz w:val="18"/>
              </w:rPr>
              <w:fldChar w:fldCharType="end"/>
            </w:r>
          </w:p>
        </w:tc>
      </w:tr>
      <w:tr w:rsidR="009B4235" w:rsidRPr="0002037F" w14:paraId="7F6E2E35" w14:textId="77777777" w:rsidTr="009B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5756DB5C" w14:textId="238EA692" w:rsidR="009B4235" w:rsidRPr="0002037F" w:rsidRDefault="009B4235" w:rsidP="00066430">
            <w:pPr>
              <w:jc w:val="both"/>
              <w:rPr>
                <w:sz w:val="18"/>
              </w:rPr>
            </w:pPr>
            <w:r w:rsidRPr="0002037F">
              <w:rPr>
                <w:sz w:val="18"/>
              </w:rPr>
              <w:t>GTEx</w:t>
            </w:r>
          </w:p>
        </w:tc>
        <w:tc>
          <w:tcPr>
            <w:tcW w:w="1950" w:type="dxa"/>
            <w:vAlign w:val="center"/>
          </w:tcPr>
          <w:p w14:paraId="3A2A30EA" w14:textId="5A1AEA47"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Gene co-expression</w:t>
            </w:r>
          </w:p>
        </w:tc>
        <w:tc>
          <w:tcPr>
            <w:tcW w:w="3361" w:type="dxa"/>
            <w:vAlign w:val="center"/>
          </w:tcPr>
          <w:p w14:paraId="519407A0" w14:textId="64F81236"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Pearson Correlation: -1 – 1</w:t>
            </w:r>
          </w:p>
        </w:tc>
        <w:tc>
          <w:tcPr>
            <w:tcW w:w="1843" w:type="dxa"/>
            <w:vAlign w:val="center"/>
          </w:tcPr>
          <w:p w14:paraId="6E87BEDE" w14:textId="4AE578CD"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Muscle tissue-specific category</w:t>
            </w:r>
          </w:p>
        </w:tc>
        <w:tc>
          <w:tcPr>
            <w:tcW w:w="1134" w:type="dxa"/>
            <w:vAlign w:val="center"/>
          </w:tcPr>
          <w:p w14:paraId="36F5669C" w14:textId="24902017" w:rsidR="009B4235" w:rsidRPr="0002037F" w:rsidRDefault="009B4235"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fldChar w:fldCharType="begin" w:fldLock="1"/>
            </w:r>
            <w:r w:rsidR="006523A5">
              <w:rPr>
                <w:sz w:val="18"/>
              </w:rPr>
              <w:instrText>ADDIN CSL_CITATION {"citationItems":[{"id":"ITEM-1","itemData":{"DOI":"10.1089/bio.2015.29031.hmm","ISSN":"1947-5543","PMID":"26484569","author":[{"dropping-particle":"","family":"Carithers","given":"Latarsha J","non-dropping-particle":"","parse-names":false,"suffix":""},{"dropping-particle":"","family":"Moore","given":"Helen M","non-dropping-particle":"","parse-names":false,"suffix":""}],"container-title":"Biopreservation and biobanking","id":"ITEM-1","issue":"5","issued":{"date-parts":[["2015","10"]]},"page":"307-8","title":"The Genotype-Tissue Expression (GTEx) Project.","type":"article-journal","volume":"13"},"uris":["http://www.mendeley.com/documents/?uuid=7e2d7059-c383-4502-8739-b48c2f535396","http://www.mendeley.com/documents/?uuid=040d4cb1-d006-42e5-842b-eeec8e40c9d3"]}],"mendeley":{"formattedCitation":"(41)","plainTextFormattedCitation":"(41)","previouslyFormattedCitation":"(41)"},"properties":{"noteIndex":0},"schema":"https://github.com/citation-style-language/schema/raw/master/csl-citation.json"}</w:instrText>
            </w:r>
            <w:r w:rsidRPr="0002037F">
              <w:rPr>
                <w:sz w:val="18"/>
              </w:rPr>
              <w:fldChar w:fldCharType="separate"/>
            </w:r>
            <w:r w:rsidR="00276AB2" w:rsidRPr="00276AB2">
              <w:rPr>
                <w:noProof/>
                <w:sz w:val="18"/>
              </w:rPr>
              <w:t>(41)</w:t>
            </w:r>
            <w:r w:rsidRPr="0002037F">
              <w:rPr>
                <w:sz w:val="18"/>
              </w:rPr>
              <w:fldChar w:fldCharType="end"/>
            </w:r>
          </w:p>
        </w:tc>
      </w:tr>
      <w:tr w:rsidR="009B4235" w:rsidRPr="0002037F" w14:paraId="2D98D6C5" w14:textId="77777777" w:rsidTr="009B4235">
        <w:tc>
          <w:tcPr>
            <w:cnfStyle w:val="001000000000" w:firstRow="0" w:lastRow="0" w:firstColumn="1" w:lastColumn="0" w:oddVBand="0" w:evenVBand="0" w:oddHBand="0" w:evenHBand="0" w:firstRowFirstColumn="0" w:firstRowLastColumn="0" w:lastRowFirstColumn="0" w:lastRowLastColumn="0"/>
            <w:tcW w:w="1205" w:type="dxa"/>
            <w:vAlign w:val="center"/>
          </w:tcPr>
          <w:p w14:paraId="40EFA8A8" w14:textId="27358C73" w:rsidR="009B4235" w:rsidRPr="0002037F" w:rsidRDefault="009B4235" w:rsidP="00066430">
            <w:pPr>
              <w:jc w:val="both"/>
              <w:rPr>
                <w:sz w:val="18"/>
              </w:rPr>
            </w:pPr>
            <w:r w:rsidRPr="0002037F">
              <w:rPr>
                <w:sz w:val="18"/>
              </w:rPr>
              <w:t>MyoMiner</w:t>
            </w:r>
          </w:p>
        </w:tc>
        <w:tc>
          <w:tcPr>
            <w:tcW w:w="1950" w:type="dxa"/>
            <w:vAlign w:val="center"/>
          </w:tcPr>
          <w:p w14:paraId="4526032E" w14:textId="66A237EC"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Gene co-expression</w:t>
            </w:r>
          </w:p>
        </w:tc>
        <w:tc>
          <w:tcPr>
            <w:tcW w:w="3361" w:type="dxa"/>
            <w:vAlign w:val="center"/>
          </w:tcPr>
          <w:p w14:paraId="0DBEEE32" w14:textId="77777777"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Pearson Correlation:</w:t>
            </w:r>
          </w:p>
          <w:p w14:paraId="70C4B80C" w14:textId="1BDF9888"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 – 1</w:t>
            </w:r>
          </w:p>
        </w:tc>
        <w:tc>
          <w:tcPr>
            <w:tcW w:w="1843" w:type="dxa"/>
            <w:vAlign w:val="center"/>
          </w:tcPr>
          <w:p w14:paraId="1BBD55A2" w14:textId="73509AC1"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Muscle tissue-specific</w:t>
            </w:r>
          </w:p>
        </w:tc>
        <w:tc>
          <w:tcPr>
            <w:tcW w:w="1134" w:type="dxa"/>
            <w:vAlign w:val="center"/>
          </w:tcPr>
          <w:p w14:paraId="45D593ED" w14:textId="4B7AE9BA" w:rsidR="009B4235" w:rsidRPr="0002037F" w:rsidRDefault="009B4235"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fldChar w:fldCharType="begin" w:fldLock="1"/>
            </w:r>
            <w:r w:rsidR="006523A5">
              <w:rPr>
                <w:sz w:val="18"/>
              </w:rPr>
              <w:instrText>ADDIN CSL_CITATION {"citationItems":[{"id":"ITEM-1","itemData":{"DOI":"10.1186/s12920-020-0712-3","ISSN":"1755-8794","PMID":"32393257","abstract":"BACKGROUND High-throughput transcriptomics measures mRNA levels for thousands of genes in a biological sample. Most gene expression studies aim to identify genes that are differentially expressed between different biological conditions, such as between healthy and diseased states. However, these data can also be used to identify genes that are co-expressed within a biological condition. Gene co-expression is used in a guilt-by-association approach to prioritize candidate genes that could be involved in disease, and to gain insights into the functions of genes, protein relations, and signaling pathways. Most existing gene co-expression databases are generic, amalgamating data for a given organism regardless of tissue-type. METHODS To study muscle-specific gene co-expression in both normal and pathological states, publicly available gene expression data were acquired for 2376 mouse and 2228 human striated muscle samples, and separated into 142 categories based on species (human or mouse), tissue origin, age, gender, anatomic part, and experimental condition. Co-expression values were calculated for each category to create the MyoMiner database. RESULTS Within each category, users can select a gene of interest, and the MyoMiner web interface will return all correlated genes. For each co-expressed gene pair, adjusted p-value and confidence intervals are provided as measures of expression correlation strength. A standardized expression-level scatterplot is available for every gene pair r-value. MyoMiner has two extra functions: (a) a network interface for creating a 2-shell correlation network, based either on the most highly correlated genes or from a list of genes provided by the user with the option to include linked genes from the database and (b) a comparison tool from which the users can test whether any two correlation coefficients from different conditions are significantly different. CONCLUSIONS These co-expression analyses will help investigators to delineate the tissue-, cell-, and pathology-specific elements of muscle protein interactions, cell signaling and gene regulation. Changes in co-expression between pathologic and healthy tissue may suggest new disease mechanisms and help define novel therapeutic targets. Thus, MyoMiner is a powerful muscle-specific database for the discovery of genes that are associated with related functions based on their co-expression. MyoMiner is freely available at https://www.sys-myo.com/myominer.","author":[{"dropping-particle":"","family":"Malatras","given":"Apostolos","non-dropping-particle":"","parse-names":false,"suffix":""},{"dropping-particle":"","family":"Michalopoulos","given":"Ioannis","non-dropping-particle":"","parse-names":false,"suffix":""},{"dropping-particle":"","family":"Duguez","given":"Stéphanie","non-dropping-particle":"","parse-names":false,"suffix":""},{"dropping-particle":"","family":"Butler-Browne","given":"Gillian","non-dropping-particle":"","parse-names":false,"suffix":""},{"dropping-particle":"","family":"Spuler","given":"Simone","non-dropping-particle":"","parse-names":false,"suffix":""},{"dropping-particle":"","family":"Duddy","given":"William J","non-dropping-particle":"","parse-names":false,"suffix":""}],"container-title":"BMC medical genomics","id":"ITEM-1","issue":"1","issued":{"date-parts":[["2020"]]},"page":"67","title":"MyoMiner: explore gene co-expression in normal and pathological muscle.","type":"article-journal","volume":"13"},"uris":["http://www.mendeley.com/documents/?uuid=8c0f4ef1-ddb0-4cdc-b4c1-03b3ab813c3f","http://www.mendeley.com/documents/?uuid=0e8d0c22-1bfd-4208-b494-e39c5eff2dfd"]}],"mendeley":{"formattedCitation":"(45)","plainTextFormattedCitation":"(45)","previouslyFormattedCitation":"(45)"},"properties":{"noteIndex":0},"schema":"https://github.com/citation-style-language/schema/raw/master/csl-citation.json"}</w:instrText>
            </w:r>
            <w:r w:rsidRPr="0002037F">
              <w:rPr>
                <w:sz w:val="18"/>
              </w:rPr>
              <w:fldChar w:fldCharType="separate"/>
            </w:r>
            <w:r w:rsidR="00276AB2" w:rsidRPr="00276AB2">
              <w:rPr>
                <w:noProof/>
                <w:sz w:val="18"/>
              </w:rPr>
              <w:t>(45)</w:t>
            </w:r>
            <w:r w:rsidRPr="0002037F">
              <w:rPr>
                <w:sz w:val="18"/>
              </w:rPr>
              <w:fldChar w:fldCharType="end"/>
            </w:r>
          </w:p>
        </w:tc>
      </w:tr>
    </w:tbl>
    <w:p w14:paraId="5B741E14" w14:textId="0435D3FD" w:rsidR="002D6498" w:rsidRDefault="002D6498" w:rsidP="00066430">
      <w:pPr>
        <w:spacing w:after="0"/>
        <w:jc w:val="both"/>
        <w:rPr>
          <w:b/>
          <w:sz w:val="16"/>
        </w:rPr>
      </w:pPr>
      <w:r w:rsidRPr="00AB0422">
        <w:rPr>
          <w:b/>
          <w:sz w:val="16"/>
        </w:rPr>
        <w:t>Table 1:</w:t>
      </w:r>
      <w:r>
        <w:rPr>
          <w:b/>
          <w:sz w:val="16"/>
        </w:rPr>
        <w:t xml:space="preserve"> </w:t>
      </w:r>
      <w:r w:rsidR="009B4235">
        <w:rPr>
          <w:b/>
          <w:sz w:val="16"/>
        </w:rPr>
        <w:t>Sources of functional associations</w:t>
      </w:r>
      <w:r>
        <w:rPr>
          <w:b/>
          <w:sz w:val="16"/>
        </w:rPr>
        <w:t>.</w:t>
      </w:r>
    </w:p>
    <w:p w14:paraId="29EAF7DE" w14:textId="3BC59408" w:rsidR="002D6498" w:rsidRDefault="002D6498" w:rsidP="00066430">
      <w:pPr>
        <w:jc w:val="both"/>
        <w:rPr>
          <w:lang w:val="en"/>
        </w:rPr>
      </w:pPr>
    </w:p>
    <w:p w14:paraId="113C6581" w14:textId="6D7DC931" w:rsidR="00535B71" w:rsidRDefault="0075347A" w:rsidP="00066430">
      <w:pPr>
        <w:jc w:val="both"/>
        <w:rPr>
          <w:lang w:val="en"/>
        </w:rPr>
      </w:pPr>
      <w:r>
        <w:rPr>
          <w:lang w:val="en"/>
        </w:rPr>
        <w:t xml:space="preserve">Each of the 17 networks were then compared using two measures: (1) </w:t>
      </w:r>
      <w:r w:rsidR="008021EE">
        <w:rPr>
          <w:lang w:val="en"/>
        </w:rPr>
        <w:t xml:space="preserve">the </w:t>
      </w:r>
      <w:r>
        <w:rPr>
          <w:lang w:val="en"/>
        </w:rPr>
        <w:t>top enrichment score</w:t>
      </w:r>
      <w:r w:rsidR="008021EE">
        <w:rPr>
          <w:lang w:val="en"/>
        </w:rPr>
        <w:t>s</w:t>
      </w:r>
      <w:r>
        <w:rPr>
          <w:lang w:val="en"/>
        </w:rPr>
        <w:t xml:space="preserve"> obtained for each muscle-related GO term among clusters generated from this network using the DSD algorithm (Figure </w:t>
      </w:r>
      <w:r w:rsidR="00A85B7B">
        <w:rPr>
          <w:lang w:val="en"/>
        </w:rPr>
        <w:t>2</w:t>
      </w:r>
      <w:r>
        <w:rPr>
          <w:lang w:val="en"/>
        </w:rPr>
        <w:t xml:space="preserve">A), and (2) the ability of the DIAMOnD algorithm to recall the genes of muscle-related GO terms using this network (Figure </w:t>
      </w:r>
      <w:r w:rsidR="00A85B7B">
        <w:rPr>
          <w:lang w:val="en"/>
        </w:rPr>
        <w:t>2</w:t>
      </w:r>
      <w:r>
        <w:rPr>
          <w:lang w:val="en"/>
        </w:rPr>
        <w:t>B).</w:t>
      </w:r>
    </w:p>
    <w:p w14:paraId="353707F1" w14:textId="0D9C5E6E" w:rsidR="008021EE" w:rsidRDefault="008021EE" w:rsidP="00066430">
      <w:pPr>
        <w:jc w:val="both"/>
        <w:rPr>
          <w:lang w:val="en"/>
        </w:rPr>
      </w:pPr>
      <w:r>
        <w:rPr>
          <w:lang w:val="en"/>
        </w:rPr>
        <w:t xml:space="preserve">DSD </w:t>
      </w:r>
      <w:r w:rsidR="00276AB2">
        <w:rPr>
          <w:lang w:val="en"/>
        </w:rPr>
        <w:t>was</w:t>
      </w:r>
      <w:r w:rsidR="0075347A">
        <w:rPr>
          <w:lang w:val="en"/>
        </w:rPr>
        <w:t xml:space="preserve"> the top performing network clustering algorithm ranked during the DREAM Disease Module </w:t>
      </w:r>
      <w:r w:rsidR="006523A5">
        <w:rPr>
          <w:lang w:val="en"/>
        </w:rPr>
        <w:t>Identification</w:t>
      </w:r>
      <w:r w:rsidR="0075347A">
        <w:rPr>
          <w:lang w:val="en"/>
        </w:rPr>
        <w:t xml:space="preserve"> community challenge</w:t>
      </w:r>
      <w:r w:rsidR="006523A5">
        <w:rPr>
          <w:lang w:val="en"/>
        </w:rPr>
        <w:t xml:space="preserve"> </w:t>
      </w:r>
      <w:r w:rsidR="006523A5">
        <w:rPr>
          <w:lang w:val="en"/>
        </w:rPr>
        <w:fldChar w:fldCharType="begin" w:fldLock="1"/>
      </w:r>
      <w:r w:rsidR="006523A5">
        <w:rPr>
          <w:lang w:val="en"/>
        </w:rP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mendeley":{"formattedCitation":"(47)","plainTextFormattedCitation":"(47)","previouslyFormattedCitation":"(47)"},"properties":{"noteIndex":0},"schema":"https://github.com/citation-style-language/schema/raw/master/csl-citation.json"}</w:instrText>
      </w:r>
      <w:r w:rsidR="006523A5">
        <w:rPr>
          <w:lang w:val="en"/>
        </w:rPr>
        <w:fldChar w:fldCharType="separate"/>
      </w:r>
      <w:r w:rsidR="006523A5" w:rsidRPr="006523A5">
        <w:rPr>
          <w:noProof/>
          <w:lang w:val="en"/>
        </w:rPr>
        <w:t>(47)</w:t>
      </w:r>
      <w:r w:rsidR="006523A5">
        <w:rPr>
          <w:lang w:val="en"/>
        </w:rPr>
        <w:fldChar w:fldCharType="end"/>
      </w:r>
      <w:r w:rsidR="0075347A">
        <w:rPr>
          <w:lang w:val="en"/>
        </w:rPr>
        <w:t xml:space="preserve">. The algorithm utilizes a distance metric called </w:t>
      </w:r>
      <w:r w:rsidR="00276AB2">
        <w:rPr>
          <w:lang w:val="en"/>
        </w:rPr>
        <w:t>diffusion state distance</w:t>
      </w:r>
      <w:r w:rsidR="0075347A">
        <w:rPr>
          <w:lang w:val="en"/>
        </w:rPr>
        <w:t xml:space="preserve"> that defines pairwise distance scores on the premise that nodes connected by low degree neighbors are more likely to be functionally related. The distance matrix </w:t>
      </w:r>
      <w:r>
        <w:rPr>
          <w:lang w:val="en"/>
        </w:rPr>
        <w:t xml:space="preserve">that is </w:t>
      </w:r>
      <w:r w:rsidR="0075347A">
        <w:rPr>
          <w:lang w:val="en"/>
        </w:rPr>
        <w:t xml:space="preserve">produced is </w:t>
      </w:r>
      <w:r>
        <w:rPr>
          <w:lang w:val="en"/>
        </w:rPr>
        <w:t xml:space="preserve">then </w:t>
      </w:r>
      <w:r w:rsidR="0075347A">
        <w:rPr>
          <w:lang w:val="en"/>
        </w:rPr>
        <w:t xml:space="preserve">converted to a similarity matrix and spectral clustering is applied to define network clusters. To avoid </w:t>
      </w:r>
      <w:r>
        <w:rPr>
          <w:lang w:val="en"/>
        </w:rPr>
        <w:t>clusters too large as to have a very specific</w:t>
      </w:r>
      <w:r w:rsidR="0075347A">
        <w:rPr>
          <w:lang w:val="en"/>
        </w:rPr>
        <w:t xml:space="preserve"> biological</w:t>
      </w:r>
      <w:r>
        <w:rPr>
          <w:lang w:val="en"/>
        </w:rPr>
        <w:t xml:space="preserve"> meaning,</w:t>
      </w:r>
      <w:r w:rsidR="0075347A">
        <w:rPr>
          <w:lang w:val="en"/>
        </w:rPr>
        <w:t xml:space="preserve"> we</w:t>
      </w:r>
      <w:r>
        <w:rPr>
          <w:lang w:val="en"/>
        </w:rPr>
        <w:t xml:space="preserve"> further broke down clusters with &gt;300 nodes by</w:t>
      </w:r>
      <w:r w:rsidR="0075347A">
        <w:rPr>
          <w:lang w:val="en"/>
        </w:rPr>
        <w:t xml:space="preserve"> iterative appli</w:t>
      </w:r>
      <w:r>
        <w:rPr>
          <w:lang w:val="en"/>
        </w:rPr>
        <w:t>cation of</w:t>
      </w:r>
      <w:r w:rsidR="0075347A">
        <w:rPr>
          <w:lang w:val="en"/>
        </w:rPr>
        <w:t xml:space="preserve"> the spectral clustering </w:t>
      </w:r>
      <w:r>
        <w:rPr>
          <w:lang w:val="en"/>
        </w:rPr>
        <w:t>step</w:t>
      </w:r>
      <w:r w:rsidR="0075347A">
        <w:rPr>
          <w:lang w:val="en"/>
        </w:rPr>
        <w:t xml:space="preserve">. </w:t>
      </w:r>
      <w:r>
        <w:rPr>
          <w:lang w:val="en"/>
        </w:rPr>
        <w:t>C</w:t>
      </w:r>
      <w:r w:rsidR="0075347A">
        <w:rPr>
          <w:lang w:val="en"/>
        </w:rPr>
        <w:t xml:space="preserve">lusters with &lt;5 nodes </w:t>
      </w:r>
      <w:r>
        <w:rPr>
          <w:lang w:val="en"/>
        </w:rPr>
        <w:t xml:space="preserve">were discarded, as they may yield spurious enrichment results. </w:t>
      </w:r>
      <w:r w:rsidR="00535B71">
        <w:rPr>
          <w:lang w:val="en"/>
        </w:rPr>
        <w:t>For each network, each DSD</w:t>
      </w:r>
      <w:r w:rsidRPr="008021EE">
        <w:rPr>
          <w:lang w:val="en"/>
        </w:rPr>
        <w:t xml:space="preserve"> cluster was tested for enrichment of each of </w:t>
      </w:r>
      <w:r>
        <w:rPr>
          <w:lang w:val="en"/>
        </w:rPr>
        <w:t xml:space="preserve">the </w:t>
      </w:r>
      <w:r w:rsidRPr="008021EE">
        <w:rPr>
          <w:lang w:val="en"/>
        </w:rPr>
        <w:t xml:space="preserve">11 muscle-related GO terms. </w:t>
      </w:r>
      <w:r w:rsidR="00535B71">
        <w:rPr>
          <w:lang w:val="en"/>
        </w:rPr>
        <w:t>T</w:t>
      </w:r>
      <w:r w:rsidRPr="008021EE">
        <w:rPr>
          <w:lang w:val="en"/>
        </w:rPr>
        <w:t>he most strongly enriched (</w:t>
      </w:r>
      <w:r w:rsidR="008B34AC">
        <w:rPr>
          <w:lang w:val="en"/>
        </w:rPr>
        <w:t>high</w:t>
      </w:r>
      <w:r w:rsidRPr="008021EE">
        <w:rPr>
          <w:lang w:val="en"/>
        </w:rPr>
        <w:t xml:space="preserve">est </w:t>
      </w:r>
      <w:r w:rsidR="008B34AC">
        <w:rPr>
          <w:lang w:val="en"/>
        </w:rPr>
        <w:t>-log</w:t>
      </w:r>
      <w:r w:rsidR="008B34AC" w:rsidRPr="008530E2">
        <w:rPr>
          <w:vertAlign w:val="subscript"/>
          <w:lang w:val="en"/>
        </w:rPr>
        <w:t>10</w:t>
      </w:r>
      <w:r w:rsidR="008B34AC">
        <w:rPr>
          <w:lang w:val="en"/>
        </w:rPr>
        <w:t xml:space="preserve"> </w:t>
      </w:r>
      <w:r w:rsidRPr="008021EE">
        <w:rPr>
          <w:lang w:val="en"/>
        </w:rPr>
        <w:t>Q value based on Fisher’s exact test) cluster for each of the 11 GO term was identified, giving 11 enrichment Q values for that network. The median of these 11 enrichment Q values was used as a basis of comparison between networks</w:t>
      </w:r>
      <w:r>
        <w:rPr>
          <w:lang w:val="en"/>
        </w:rPr>
        <w:t xml:space="preserve"> (Figure </w:t>
      </w:r>
      <w:r w:rsidR="00A85B7B">
        <w:rPr>
          <w:lang w:val="en"/>
        </w:rPr>
        <w:t>2</w:t>
      </w:r>
      <w:r>
        <w:rPr>
          <w:lang w:val="en"/>
        </w:rPr>
        <w:t>A).</w:t>
      </w:r>
    </w:p>
    <w:p w14:paraId="0BB348A5" w14:textId="42DF5EBA" w:rsidR="002A7B98" w:rsidRDefault="0075347A" w:rsidP="00066430">
      <w:pPr>
        <w:jc w:val="both"/>
        <w:rPr>
          <w:lang w:val="en"/>
        </w:rPr>
      </w:pPr>
      <w:r>
        <w:rPr>
          <w:lang w:val="en"/>
        </w:rPr>
        <w:t xml:space="preserve">The DIAMOnD algorithm generates a disease module by defining a disease cluster of nodes with the highest connectivity significance to a set of input seed nodes. </w:t>
      </w:r>
      <w:r w:rsidR="00535B71">
        <w:rPr>
          <w:lang w:val="en"/>
        </w:rPr>
        <w:t xml:space="preserve">The measure known as connectivity significance was introduced in order to account for spurious nodes having high numbers of connections. </w:t>
      </w:r>
      <w:r>
        <w:rPr>
          <w:lang w:val="en"/>
        </w:rPr>
        <w:t xml:space="preserve">DIAMOnD </w:t>
      </w:r>
      <w:r w:rsidR="00535B71">
        <w:rPr>
          <w:lang w:val="en"/>
        </w:rPr>
        <w:t>is iterative:</w:t>
      </w:r>
      <w:r>
        <w:rPr>
          <w:lang w:val="en"/>
        </w:rPr>
        <w:t xml:space="preserve"> </w:t>
      </w:r>
      <w:r w:rsidR="00535B71">
        <w:rPr>
          <w:lang w:val="en"/>
        </w:rPr>
        <w:t>t</w:t>
      </w:r>
      <w:r>
        <w:rPr>
          <w:lang w:val="en"/>
        </w:rPr>
        <w:t xml:space="preserve">he node with the highest connectivity significance to the input seed nodes is added to the disease module and this step is repeated for a user defined number of iterations. </w:t>
      </w:r>
      <w:r w:rsidR="002A7B98">
        <w:rPr>
          <w:lang w:val="en"/>
        </w:rPr>
        <w:t>Recall analysis features in the original DIAMOnD paper and involves taking a set of seed nodes and randomly removing a percentage (e.g. 10%, 20% or 30%) of the seed node list. In our implementation of recall analysis, f</w:t>
      </w:r>
      <w:r w:rsidR="002A7B98" w:rsidRPr="002A7B98">
        <w:rPr>
          <w:lang w:val="en"/>
        </w:rPr>
        <w:t>or each network and each muscle-related GO term</w:t>
      </w:r>
      <w:r w:rsidR="002A7B98">
        <w:rPr>
          <w:lang w:val="en"/>
        </w:rPr>
        <w:t xml:space="preserve"> </w:t>
      </w:r>
      <w:r w:rsidR="002A7B98" w:rsidRPr="002A7B98">
        <w:rPr>
          <w:lang w:val="en"/>
        </w:rPr>
        <w:t>a random 30% subset of genes was removed from the GO term. The remaining genes were used as a</w:t>
      </w:r>
      <w:r w:rsidR="008B34AC">
        <w:rPr>
          <w:lang w:val="en"/>
        </w:rPr>
        <w:t>n</w:t>
      </w:r>
      <w:r w:rsidR="002A7B98" w:rsidRPr="002A7B98">
        <w:rPr>
          <w:lang w:val="en"/>
        </w:rPr>
        <w:t xml:space="preserve"> </w:t>
      </w:r>
      <w:r w:rsidR="002A7B98">
        <w:rPr>
          <w:lang w:val="en"/>
        </w:rPr>
        <w:t xml:space="preserve">input </w:t>
      </w:r>
      <w:r w:rsidR="002A7B98" w:rsidRPr="002A7B98">
        <w:rPr>
          <w:lang w:val="en"/>
        </w:rPr>
        <w:t xml:space="preserve">seed list, and an attempt was made to recall the missing genes during iterative cluster growth by the DIAMOnD algorithm. The 30% subset of genes was randomized across 100 permutations to establish an average recall rate for that GO term for that network. The median average recall rate for the 11 GO terms was used as a </w:t>
      </w:r>
      <w:r w:rsidR="002A7B98">
        <w:rPr>
          <w:lang w:val="en"/>
        </w:rPr>
        <w:t xml:space="preserve">second </w:t>
      </w:r>
      <w:r w:rsidR="002A7B98" w:rsidRPr="002A7B98">
        <w:rPr>
          <w:lang w:val="en"/>
        </w:rPr>
        <w:t>basis of comparison between networks</w:t>
      </w:r>
      <w:r w:rsidR="002A7B98">
        <w:rPr>
          <w:lang w:val="en"/>
        </w:rPr>
        <w:t xml:space="preserve"> (Figure </w:t>
      </w:r>
      <w:r w:rsidR="00A85B7B">
        <w:rPr>
          <w:lang w:val="en"/>
        </w:rPr>
        <w:t>2</w:t>
      </w:r>
      <w:r w:rsidR="002A7B98">
        <w:rPr>
          <w:lang w:val="en"/>
        </w:rPr>
        <w:t>B)</w:t>
      </w:r>
      <w:r w:rsidR="002A7B98" w:rsidRPr="002A7B98">
        <w:rPr>
          <w:lang w:val="en"/>
        </w:rPr>
        <w:t>.</w:t>
      </w:r>
    </w:p>
    <w:p w14:paraId="041330A9" w14:textId="11ED9C42" w:rsidR="00A7492F" w:rsidRDefault="00A7492F" w:rsidP="00066430">
      <w:pPr>
        <w:jc w:val="both"/>
        <w:rPr>
          <w:lang w:val="en"/>
        </w:rPr>
      </w:pPr>
      <w:r>
        <w:rPr>
          <w:lang w:val="en"/>
        </w:rPr>
        <w:t xml:space="preserve">From Figure </w:t>
      </w:r>
      <w:r w:rsidR="00A85B7B">
        <w:rPr>
          <w:lang w:val="en"/>
        </w:rPr>
        <w:t>2</w:t>
      </w:r>
      <w:r>
        <w:rPr>
          <w:lang w:val="en"/>
        </w:rPr>
        <w:t xml:space="preserve">A and </w:t>
      </w:r>
      <w:r w:rsidR="00A85B7B">
        <w:rPr>
          <w:lang w:val="en"/>
        </w:rPr>
        <w:t>2</w:t>
      </w:r>
      <w:r>
        <w:rPr>
          <w:lang w:val="en"/>
        </w:rPr>
        <w:t xml:space="preserve">B we can see the relative performance of each network for the median </w:t>
      </w:r>
      <w:r w:rsidR="006F5B76">
        <w:rPr>
          <w:lang w:val="en"/>
        </w:rPr>
        <w:t xml:space="preserve">recall percentage of </w:t>
      </w:r>
      <w:r>
        <w:rPr>
          <w:lang w:val="en"/>
        </w:rPr>
        <w:t>DIAMOnD and</w:t>
      </w:r>
      <w:r w:rsidR="006F5B76">
        <w:rPr>
          <w:lang w:val="en"/>
        </w:rPr>
        <w:t xml:space="preserve"> for the</w:t>
      </w:r>
      <w:r>
        <w:rPr>
          <w:lang w:val="en"/>
        </w:rPr>
        <w:t xml:space="preserve"> median enrichment q-value </w:t>
      </w:r>
      <w:r w:rsidR="006F5B76">
        <w:rPr>
          <w:lang w:val="en"/>
        </w:rPr>
        <w:t xml:space="preserve">of </w:t>
      </w:r>
      <w:r>
        <w:rPr>
          <w:lang w:val="en"/>
        </w:rPr>
        <w:t xml:space="preserve">DSD. The STRING PPI </w:t>
      </w:r>
      <w:r w:rsidR="00A45EA8">
        <w:rPr>
          <w:lang w:val="en"/>
        </w:rPr>
        <w:t xml:space="preserve">networks </w:t>
      </w:r>
      <w:r>
        <w:rPr>
          <w:lang w:val="en"/>
        </w:rPr>
        <w:t>and the COXPRESdb gene co-expression network</w:t>
      </w:r>
      <w:r w:rsidR="00A45EA8">
        <w:rPr>
          <w:lang w:val="en"/>
        </w:rPr>
        <w:t xml:space="preserve">s all </w:t>
      </w:r>
      <w:r>
        <w:rPr>
          <w:lang w:val="en"/>
        </w:rPr>
        <w:t xml:space="preserve">perform relatively well in </w:t>
      </w:r>
      <w:r w:rsidR="008B34AC">
        <w:rPr>
          <w:lang w:val="en"/>
        </w:rPr>
        <w:t xml:space="preserve">terms of </w:t>
      </w:r>
      <w:r>
        <w:rPr>
          <w:lang w:val="en"/>
        </w:rPr>
        <w:t xml:space="preserve">both </w:t>
      </w:r>
      <w:r w:rsidR="008B34AC">
        <w:rPr>
          <w:lang w:val="en"/>
        </w:rPr>
        <w:t xml:space="preserve">the </w:t>
      </w:r>
      <w:r>
        <w:rPr>
          <w:lang w:val="en"/>
        </w:rPr>
        <w:t xml:space="preserve">DIAMOnD and DSD clustering. For the </w:t>
      </w:r>
      <w:r w:rsidR="00A45EA8">
        <w:rPr>
          <w:lang w:val="en"/>
        </w:rPr>
        <w:t>muscle tissue-</w:t>
      </w:r>
      <w:r>
        <w:rPr>
          <w:lang w:val="en"/>
        </w:rPr>
        <w:t>specific PPI networks</w:t>
      </w:r>
      <w:r w:rsidR="00A45EA8">
        <w:rPr>
          <w:lang w:val="en"/>
        </w:rPr>
        <w:t>,</w:t>
      </w:r>
      <w:r>
        <w:rPr>
          <w:lang w:val="en"/>
        </w:rPr>
        <w:t xml:space="preserve"> </w:t>
      </w:r>
      <w:r w:rsidR="00A45EA8">
        <w:rPr>
          <w:lang w:val="en"/>
        </w:rPr>
        <w:t xml:space="preserve">for </w:t>
      </w:r>
      <w:r>
        <w:rPr>
          <w:lang w:val="en"/>
        </w:rPr>
        <w:t>both the DIAMOnD and DSD clustering methods</w:t>
      </w:r>
      <w:r w:rsidR="00A45EA8">
        <w:rPr>
          <w:lang w:val="en"/>
        </w:rPr>
        <w:t>,</w:t>
      </w:r>
      <w:r>
        <w:rPr>
          <w:lang w:val="en"/>
        </w:rPr>
        <w:t xml:space="preserve"> the IID SM PPI network provides a larger median recall percentage and a more significant median enrichment q-value </w:t>
      </w:r>
      <w:r w:rsidR="00A45EA8">
        <w:rPr>
          <w:lang w:val="en"/>
        </w:rPr>
        <w:t xml:space="preserve">than </w:t>
      </w:r>
      <w:r>
        <w:rPr>
          <w:lang w:val="en"/>
        </w:rPr>
        <w:t>the HumanBase network.</w:t>
      </w:r>
      <w:r w:rsidR="00A45EA8">
        <w:rPr>
          <w:lang w:val="en"/>
        </w:rPr>
        <w:t xml:space="preserve"> For the muscle tissue-</w:t>
      </w:r>
      <w:r>
        <w:rPr>
          <w:lang w:val="en"/>
        </w:rPr>
        <w:t>specific gene co-expression networks</w:t>
      </w:r>
      <w:r w:rsidR="00A45EA8">
        <w:rPr>
          <w:lang w:val="en"/>
        </w:rPr>
        <w:t>,</w:t>
      </w:r>
      <w:r>
        <w:rPr>
          <w:lang w:val="en"/>
        </w:rPr>
        <w:t xml:space="preserve"> we see that with the DSD clustering algorithm, the MyoMiner SM cell network provides clusters with more significant median enrichment q-values compared to the GTEx SM gene co-expression network, which performs relatively poorly in comparison to the other networks. For the DIAMOnD algorithm, the median recall for the GTEx SM network </w:t>
      </w:r>
      <w:r w:rsidR="00A45EA8">
        <w:rPr>
          <w:lang w:val="en"/>
        </w:rPr>
        <w:t>wa</w:t>
      </w:r>
      <w:r>
        <w:rPr>
          <w:lang w:val="en"/>
        </w:rPr>
        <w:t>s similar to that of the MyoMiner SM cell network.</w:t>
      </w:r>
    </w:p>
    <w:p w14:paraId="3E94BAD2" w14:textId="6F3E74D8" w:rsidR="0075347A" w:rsidRDefault="0075347A" w:rsidP="00066430">
      <w:pPr>
        <w:jc w:val="both"/>
        <w:rPr>
          <w:lang w:val="en"/>
        </w:rPr>
      </w:pPr>
    </w:p>
    <w:p w14:paraId="4DB0082C" w14:textId="77777777" w:rsidR="0075347A" w:rsidRDefault="0075347A" w:rsidP="00066430">
      <w:pPr>
        <w:jc w:val="both"/>
        <w:rPr>
          <w:b/>
          <w:sz w:val="18"/>
          <w:lang w:val="en"/>
        </w:rPr>
      </w:pPr>
    </w:p>
    <w:p w14:paraId="5E43C57F" w14:textId="3FC39821" w:rsidR="00EA120C" w:rsidRDefault="00EA120C" w:rsidP="00066430">
      <w:pPr>
        <w:jc w:val="both"/>
        <w:rPr>
          <w:b/>
          <w:sz w:val="18"/>
          <w:lang w:val="en"/>
        </w:rPr>
      </w:pPr>
      <w:r>
        <w:rPr>
          <w:b/>
          <w:noProof/>
          <w:sz w:val="18"/>
          <w:lang w:eastAsia="en-GB"/>
        </w:rPr>
        <w:drawing>
          <wp:inline distT="0" distB="0" distL="0" distR="0" wp14:anchorId="381B8F43" wp14:editId="1453BC6F">
            <wp:extent cx="5731510" cy="37014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MIN.tiff"/>
                    <pic:cNvPicPr/>
                  </pic:nvPicPr>
                  <pic:blipFill>
                    <a:blip r:embed="rId22">
                      <a:extLst>
                        <a:ext uri="{28A0092B-C50C-407E-A947-70E740481C1C}">
                          <a14:useLocalDpi xmlns:a14="http://schemas.microsoft.com/office/drawing/2010/main" val="0"/>
                        </a:ext>
                      </a:extLst>
                    </a:blip>
                    <a:stretch>
                      <a:fillRect/>
                    </a:stretch>
                  </pic:blipFill>
                  <pic:spPr>
                    <a:xfrm>
                      <a:off x="0" y="0"/>
                      <a:ext cx="5731510" cy="3701415"/>
                    </a:xfrm>
                    <a:prstGeom prst="rect">
                      <a:avLst/>
                    </a:prstGeom>
                  </pic:spPr>
                </pic:pic>
              </a:graphicData>
            </a:graphic>
          </wp:inline>
        </w:drawing>
      </w:r>
    </w:p>
    <w:p w14:paraId="68FC74D9" w14:textId="6A4A7355" w:rsidR="00EA120C" w:rsidRPr="007C1C13" w:rsidRDefault="00EA120C" w:rsidP="00066430">
      <w:pPr>
        <w:jc w:val="both"/>
        <w:rPr>
          <w:b/>
          <w:sz w:val="18"/>
          <w:lang w:val="en"/>
        </w:rPr>
      </w:pPr>
      <w:r>
        <w:rPr>
          <w:b/>
          <w:sz w:val="18"/>
          <w:lang w:val="en"/>
        </w:rPr>
        <w:t xml:space="preserve">Figure </w:t>
      </w:r>
      <w:r w:rsidR="00A85B7B">
        <w:rPr>
          <w:b/>
          <w:sz w:val="18"/>
          <w:lang w:val="en"/>
        </w:rPr>
        <w:t>2</w:t>
      </w:r>
      <w:r>
        <w:rPr>
          <w:b/>
          <w:sz w:val="18"/>
          <w:lang w:val="en"/>
        </w:rPr>
        <w:t xml:space="preserve">: Comparison of the </w:t>
      </w:r>
      <w:r w:rsidR="009E4629">
        <w:rPr>
          <w:b/>
          <w:sz w:val="18"/>
          <w:lang w:val="en"/>
        </w:rPr>
        <w:t>performance</w:t>
      </w:r>
      <w:r w:rsidR="0026210B">
        <w:rPr>
          <w:b/>
          <w:sz w:val="18"/>
          <w:lang w:val="en"/>
        </w:rPr>
        <w:t>s</w:t>
      </w:r>
      <w:r w:rsidR="009E4629">
        <w:rPr>
          <w:b/>
          <w:sz w:val="18"/>
          <w:lang w:val="en"/>
        </w:rPr>
        <w:t xml:space="preserve"> of 17 molecular interaction networks </w:t>
      </w:r>
      <w:r>
        <w:rPr>
          <w:b/>
          <w:sz w:val="18"/>
          <w:lang w:val="en"/>
        </w:rPr>
        <w:t xml:space="preserve">using two different clustering algorithms, DSD and DIAMOnD. </w:t>
      </w:r>
      <w:r w:rsidR="00BD5928">
        <w:rPr>
          <w:b/>
          <w:sz w:val="18"/>
          <w:lang w:val="en"/>
        </w:rPr>
        <w:t xml:space="preserve">MINs vary in functional association source data and in selected thresholds for their supporting evidence scores, and are named as explained in the Materials and Methods. </w:t>
      </w:r>
      <w:r>
        <w:rPr>
          <w:b/>
          <w:sz w:val="18"/>
          <w:lang w:val="en"/>
        </w:rPr>
        <w:t xml:space="preserve">(A) Each network was subjected to clustering by DSD and each resulting cluster was tested for enrichment of each of 11 muscle-related GO terms. For each network, the most strongly enriched (lowest Q value based on Fisher’s exact test) cluster for each </w:t>
      </w:r>
      <w:r w:rsidR="00D523D9">
        <w:rPr>
          <w:b/>
          <w:sz w:val="18"/>
          <w:lang w:val="en"/>
        </w:rPr>
        <w:t xml:space="preserve">of the 11 </w:t>
      </w:r>
      <w:r>
        <w:rPr>
          <w:b/>
          <w:sz w:val="18"/>
          <w:lang w:val="en"/>
        </w:rPr>
        <w:t>GO term was identified</w:t>
      </w:r>
      <w:r w:rsidR="00D523D9">
        <w:rPr>
          <w:b/>
          <w:sz w:val="18"/>
          <w:lang w:val="en"/>
        </w:rPr>
        <w:t>, giving 11 enrichment Q values for that network</w:t>
      </w:r>
      <w:r>
        <w:rPr>
          <w:b/>
          <w:sz w:val="18"/>
          <w:lang w:val="en"/>
        </w:rPr>
        <w:t xml:space="preserve">. The median </w:t>
      </w:r>
      <w:r w:rsidR="00D523D9">
        <w:rPr>
          <w:b/>
          <w:sz w:val="18"/>
          <w:lang w:val="en"/>
        </w:rPr>
        <w:t xml:space="preserve">of these 11 </w:t>
      </w:r>
      <w:r>
        <w:rPr>
          <w:b/>
          <w:sz w:val="18"/>
          <w:lang w:val="en"/>
        </w:rPr>
        <w:t>enrichment Q value</w:t>
      </w:r>
      <w:r w:rsidR="00D523D9">
        <w:rPr>
          <w:b/>
          <w:sz w:val="18"/>
          <w:lang w:val="en"/>
        </w:rPr>
        <w:t>s</w:t>
      </w:r>
      <w:r>
        <w:rPr>
          <w:b/>
          <w:sz w:val="18"/>
          <w:lang w:val="en"/>
        </w:rPr>
        <w:t xml:space="preserve"> </w:t>
      </w:r>
      <w:r w:rsidR="00D523D9">
        <w:rPr>
          <w:b/>
          <w:sz w:val="18"/>
          <w:lang w:val="en"/>
        </w:rPr>
        <w:t>was used as a basis of comparison between</w:t>
      </w:r>
      <w:r>
        <w:rPr>
          <w:b/>
          <w:sz w:val="18"/>
          <w:lang w:val="en"/>
        </w:rPr>
        <w:t xml:space="preserve"> </w:t>
      </w:r>
      <w:r w:rsidR="00D523D9">
        <w:rPr>
          <w:b/>
          <w:sz w:val="18"/>
          <w:lang w:val="en"/>
        </w:rPr>
        <w:t>networks, and is shown here for each network</w:t>
      </w:r>
      <w:r>
        <w:rPr>
          <w:b/>
          <w:sz w:val="18"/>
          <w:lang w:val="en"/>
        </w:rPr>
        <w:t xml:space="preserve">. (B) </w:t>
      </w:r>
      <w:r w:rsidR="00EF2BB7">
        <w:rPr>
          <w:b/>
          <w:sz w:val="18"/>
          <w:lang w:val="en"/>
        </w:rPr>
        <w:t xml:space="preserve">For each network and each muscle-related GO term, a random 30% subset of genes was removed from the GO term. The remaining genes were used as a seed list for the DIAMOnD algorithm, and an attempt was made to recall the missing genes during iterative cluster growth by the DIAMOnD algorithm. The </w:t>
      </w:r>
      <w:r w:rsidR="00A627E4">
        <w:rPr>
          <w:b/>
          <w:sz w:val="18"/>
          <w:lang w:val="en"/>
        </w:rPr>
        <w:t xml:space="preserve">30% </w:t>
      </w:r>
      <w:r w:rsidR="00EF2BB7">
        <w:rPr>
          <w:b/>
          <w:sz w:val="18"/>
          <w:lang w:val="en"/>
        </w:rPr>
        <w:t xml:space="preserve">subset of genes was randomized across 100 </w:t>
      </w:r>
      <w:r w:rsidR="006240AA">
        <w:rPr>
          <w:b/>
          <w:sz w:val="18"/>
          <w:lang w:val="en"/>
        </w:rPr>
        <w:t>permut</w:t>
      </w:r>
      <w:r w:rsidR="00EF2BB7">
        <w:rPr>
          <w:b/>
          <w:sz w:val="18"/>
          <w:lang w:val="en"/>
        </w:rPr>
        <w:t>ations to establish an average recall rate for that GO term for that network. The median average recall rate for the 11 GO terms was used as a basis of comparison between networks, and is shown here for each network.</w:t>
      </w:r>
    </w:p>
    <w:p w14:paraId="615BAC6B" w14:textId="77777777" w:rsidR="00E627A6" w:rsidRDefault="00E627A6" w:rsidP="00066430">
      <w:pPr>
        <w:jc w:val="both"/>
        <w:rPr>
          <w:lang w:val="en"/>
        </w:rPr>
      </w:pPr>
    </w:p>
    <w:p w14:paraId="69B1D9B2" w14:textId="4537820F" w:rsidR="00EA120C" w:rsidRDefault="00E627A6" w:rsidP="00066430">
      <w:pPr>
        <w:jc w:val="both"/>
        <w:rPr>
          <w:lang w:val="en"/>
        </w:rPr>
      </w:pPr>
      <w:r>
        <w:rPr>
          <w:lang w:val="en"/>
        </w:rPr>
        <w:t xml:space="preserve">To test whether combined networks </w:t>
      </w:r>
      <w:r w:rsidR="005439E4">
        <w:rPr>
          <w:lang w:val="en"/>
        </w:rPr>
        <w:t xml:space="preserve">of different types of functional association (PPI and gene co-expression) </w:t>
      </w:r>
      <w:r>
        <w:rPr>
          <w:lang w:val="en"/>
        </w:rPr>
        <w:t>could improve the recall of muscle-related genes and functions, a subset of networks were selected to be combined. Selection was based on the individual performance of each network with DSD and DIAMOnD, and also to represent tissue-specificity or non-specificity.</w:t>
      </w:r>
      <w:r w:rsidR="00D12308">
        <w:rPr>
          <w:lang w:val="en"/>
        </w:rPr>
        <w:t xml:space="preserve"> </w:t>
      </w:r>
      <w:r>
        <w:rPr>
          <w:lang w:val="en"/>
        </w:rPr>
        <w:t xml:space="preserve">In </w:t>
      </w:r>
      <w:r w:rsidR="00D12308">
        <w:rPr>
          <w:lang w:val="en"/>
        </w:rPr>
        <w:t>general</w:t>
      </w:r>
      <w:r>
        <w:rPr>
          <w:lang w:val="en"/>
        </w:rPr>
        <w:t xml:space="preserve">, the best performing network </w:t>
      </w:r>
      <w:r w:rsidR="00E54B3F">
        <w:rPr>
          <w:lang w:val="en"/>
        </w:rPr>
        <w:t xml:space="preserve">(taking into account results from both DSD and DIAMOnD) </w:t>
      </w:r>
      <w:r>
        <w:rPr>
          <w:lang w:val="en"/>
        </w:rPr>
        <w:t xml:space="preserve">from each different source </w:t>
      </w:r>
      <w:r w:rsidR="00E54B3F">
        <w:rPr>
          <w:lang w:val="en"/>
        </w:rPr>
        <w:t xml:space="preserve">database </w:t>
      </w:r>
      <w:r>
        <w:rPr>
          <w:lang w:val="en"/>
        </w:rPr>
        <w:t xml:space="preserve">was included, except those networks derived from GTEx and </w:t>
      </w:r>
      <w:r w:rsidR="001C1172">
        <w:rPr>
          <w:lang w:val="en"/>
        </w:rPr>
        <w:t>HumanDB</w:t>
      </w:r>
      <w:r>
        <w:rPr>
          <w:lang w:val="en"/>
        </w:rPr>
        <w:t>, which</w:t>
      </w:r>
      <w:r w:rsidR="00E54B3F">
        <w:rPr>
          <w:lang w:val="en"/>
        </w:rPr>
        <w:t xml:space="preserve"> all</w:t>
      </w:r>
      <w:r>
        <w:rPr>
          <w:lang w:val="en"/>
        </w:rPr>
        <w:t xml:space="preserve"> performed poorly on both DSD and DIAMOnD.</w:t>
      </w:r>
      <w:r w:rsidR="00D12308" w:rsidRPr="00D12308">
        <w:rPr>
          <w:lang w:val="en"/>
        </w:rPr>
        <w:t xml:space="preserve"> </w:t>
      </w:r>
      <w:r w:rsidR="00D12308">
        <w:rPr>
          <w:lang w:val="en"/>
        </w:rPr>
        <w:t xml:space="preserve">For each source database, larger networks were retained as these contain the most interaction information, unless a smaller network had notably better performance. </w:t>
      </w:r>
      <w:r w:rsidR="00406F2D">
        <w:rPr>
          <w:lang w:val="en"/>
        </w:rPr>
        <w:t xml:space="preserve">A total of 4 networks were selected. </w:t>
      </w:r>
      <w:r w:rsidR="00D12308" w:rsidRPr="00D12308">
        <w:rPr>
          <w:lang w:val="en"/>
        </w:rPr>
        <w:t>The</w:t>
      </w:r>
      <w:r w:rsidR="00406F2D">
        <w:rPr>
          <w:lang w:val="en"/>
        </w:rPr>
        <w:t>se are shown</w:t>
      </w:r>
      <w:r w:rsidR="00D12308" w:rsidRPr="00D12308">
        <w:rPr>
          <w:lang w:val="en"/>
        </w:rPr>
        <w:t>, together with basic network characteristics such as number</w:t>
      </w:r>
      <w:r w:rsidR="00406F2D">
        <w:rPr>
          <w:lang w:val="en"/>
        </w:rPr>
        <w:t>s</w:t>
      </w:r>
      <w:r w:rsidR="00D12308" w:rsidRPr="00D12308">
        <w:rPr>
          <w:lang w:val="en"/>
        </w:rPr>
        <w:t xml:space="preserve"> of nodes and edges, in Table 2.</w:t>
      </w:r>
    </w:p>
    <w:p w14:paraId="2FD85077" w14:textId="17F69C11" w:rsidR="00E627A6" w:rsidRPr="00325D20" w:rsidRDefault="00E627A6" w:rsidP="00066430">
      <w:pPr>
        <w:jc w:val="both"/>
        <w:rPr>
          <w:sz w:val="19"/>
        </w:rPr>
      </w:pP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tblBorders>
        <w:tblLook w:val="04A0" w:firstRow="1" w:lastRow="0" w:firstColumn="1" w:lastColumn="0" w:noHBand="0" w:noVBand="1"/>
      </w:tblPr>
      <w:tblGrid>
        <w:gridCol w:w="1202"/>
        <w:gridCol w:w="793"/>
        <w:gridCol w:w="1139"/>
        <w:gridCol w:w="1681"/>
        <w:gridCol w:w="4201"/>
      </w:tblGrid>
      <w:tr w:rsidR="00E54B3F" w:rsidRPr="0002037F" w14:paraId="5BB4AB28" w14:textId="502E0EFD" w:rsidTr="00325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1893B34F" w14:textId="7C850CEB" w:rsidR="00E54B3F" w:rsidRPr="0002037F" w:rsidRDefault="00E54B3F" w:rsidP="00066430">
            <w:pPr>
              <w:jc w:val="both"/>
              <w:rPr>
                <w:b w:val="0"/>
                <w:sz w:val="18"/>
              </w:rPr>
            </w:pPr>
            <w:r>
              <w:rPr>
                <w:sz w:val="18"/>
              </w:rPr>
              <w:t>MIN</w:t>
            </w:r>
            <w:r w:rsidRPr="0002037F">
              <w:rPr>
                <w:sz w:val="18"/>
              </w:rPr>
              <w:t xml:space="preserve"> </w:t>
            </w:r>
            <w:r>
              <w:rPr>
                <w:sz w:val="18"/>
              </w:rPr>
              <w:t>name</w:t>
            </w:r>
          </w:p>
        </w:tc>
        <w:tc>
          <w:tcPr>
            <w:tcW w:w="793" w:type="dxa"/>
          </w:tcPr>
          <w:p w14:paraId="7D24EB2B" w14:textId="77777777" w:rsidR="00E54B3F" w:rsidRPr="0002037F" w:rsidRDefault="00E54B3F" w:rsidP="00066430">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Nodes</w:t>
            </w:r>
          </w:p>
        </w:tc>
        <w:tc>
          <w:tcPr>
            <w:tcW w:w="1139" w:type="dxa"/>
          </w:tcPr>
          <w:p w14:paraId="0C5ED71F" w14:textId="77777777" w:rsidR="00E54B3F" w:rsidRPr="0002037F" w:rsidRDefault="00E54B3F" w:rsidP="00066430">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Edges</w:t>
            </w:r>
          </w:p>
        </w:tc>
        <w:tc>
          <w:tcPr>
            <w:tcW w:w="1681" w:type="dxa"/>
          </w:tcPr>
          <w:p w14:paraId="2D6F758A" w14:textId="174D8A49" w:rsidR="00E54B3F" w:rsidRPr="0002037F" w:rsidRDefault="005B7108" w:rsidP="00066430">
            <w:pPr>
              <w:jc w:val="both"/>
              <w:cnfStyle w:val="100000000000" w:firstRow="1" w:lastRow="0" w:firstColumn="0" w:lastColumn="0" w:oddVBand="0" w:evenVBand="0" w:oddHBand="0" w:evenHBand="0" w:firstRowFirstColumn="0" w:firstRowLastColumn="0" w:lastRowFirstColumn="0" w:lastRowLastColumn="0"/>
              <w:rPr>
                <w:b w:val="0"/>
                <w:sz w:val="18"/>
              </w:rPr>
            </w:pPr>
            <w:r>
              <w:rPr>
                <w:sz w:val="18"/>
              </w:rPr>
              <w:t>Edge</w:t>
            </w:r>
            <w:r w:rsidRPr="0002037F">
              <w:rPr>
                <w:sz w:val="18"/>
              </w:rPr>
              <w:t xml:space="preserve"> </w:t>
            </w:r>
            <w:r w:rsidR="00E54B3F" w:rsidRPr="0002037F">
              <w:rPr>
                <w:sz w:val="18"/>
              </w:rPr>
              <w:t>weight range</w:t>
            </w:r>
          </w:p>
        </w:tc>
        <w:tc>
          <w:tcPr>
            <w:tcW w:w="4201" w:type="dxa"/>
          </w:tcPr>
          <w:p w14:paraId="1201E2AB" w14:textId="013E6141" w:rsidR="00E54B3F" w:rsidRPr="0002037F" w:rsidRDefault="00E54B3F" w:rsidP="00066430">
            <w:pPr>
              <w:jc w:val="both"/>
              <w:cnfStyle w:val="100000000000" w:firstRow="1" w:lastRow="0" w:firstColumn="0" w:lastColumn="0" w:oddVBand="0" w:evenVBand="0" w:oddHBand="0" w:evenHBand="0" w:firstRowFirstColumn="0" w:firstRowLastColumn="0" w:lastRowFirstColumn="0" w:lastRowLastColumn="0"/>
              <w:rPr>
                <w:sz w:val="18"/>
              </w:rPr>
            </w:pPr>
            <w:r>
              <w:rPr>
                <w:sz w:val="18"/>
              </w:rPr>
              <w:t>Brief description</w:t>
            </w:r>
          </w:p>
        </w:tc>
      </w:tr>
      <w:tr w:rsidR="00E54B3F" w:rsidRPr="0002037F" w14:paraId="5B272406" w14:textId="6D617D08" w:rsidTr="00325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3D1707DB" w14:textId="77777777" w:rsidR="00E54B3F" w:rsidRPr="0002037F" w:rsidRDefault="00E54B3F" w:rsidP="00066430">
            <w:pPr>
              <w:jc w:val="both"/>
              <w:rPr>
                <w:sz w:val="18"/>
              </w:rPr>
            </w:pPr>
            <w:r w:rsidRPr="0002037F">
              <w:rPr>
                <w:sz w:val="18"/>
              </w:rPr>
              <w:t>STRING</w:t>
            </w:r>
          </w:p>
        </w:tc>
        <w:tc>
          <w:tcPr>
            <w:tcW w:w="793" w:type="dxa"/>
          </w:tcPr>
          <w:p w14:paraId="70E1E968" w14:textId="77777777"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18,038</w:t>
            </w:r>
          </w:p>
        </w:tc>
        <w:tc>
          <w:tcPr>
            <w:tcW w:w="1139" w:type="dxa"/>
          </w:tcPr>
          <w:p w14:paraId="25C43511" w14:textId="77777777"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5,022,630</w:t>
            </w:r>
          </w:p>
        </w:tc>
        <w:tc>
          <w:tcPr>
            <w:tcW w:w="1681" w:type="dxa"/>
          </w:tcPr>
          <w:p w14:paraId="7334916F" w14:textId="77777777"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0.15 - 1</w:t>
            </w:r>
          </w:p>
        </w:tc>
        <w:tc>
          <w:tcPr>
            <w:tcW w:w="4201" w:type="dxa"/>
          </w:tcPr>
          <w:p w14:paraId="50067D9D" w14:textId="364828C6"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Full STRING network (PPIs; tissue-generic)</w:t>
            </w:r>
          </w:p>
        </w:tc>
      </w:tr>
      <w:tr w:rsidR="00E54B3F" w:rsidRPr="0002037F" w14:paraId="4B482082" w14:textId="240DC47B" w:rsidTr="00325D20">
        <w:tc>
          <w:tcPr>
            <w:cnfStyle w:val="001000000000" w:firstRow="0" w:lastRow="0" w:firstColumn="1" w:lastColumn="0" w:oddVBand="0" w:evenVBand="0" w:oddHBand="0" w:evenHBand="0" w:firstRowFirstColumn="0" w:firstRowLastColumn="0" w:lastRowFirstColumn="0" w:lastRowLastColumn="0"/>
            <w:tcW w:w="1202" w:type="dxa"/>
          </w:tcPr>
          <w:p w14:paraId="079DCE7A" w14:textId="77777777" w:rsidR="00E54B3F" w:rsidRPr="0002037F" w:rsidRDefault="00E54B3F" w:rsidP="00066430">
            <w:pPr>
              <w:jc w:val="both"/>
              <w:rPr>
                <w:sz w:val="18"/>
              </w:rPr>
            </w:pPr>
            <w:r w:rsidRPr="0002037F">
              <w:rPr>
                <w:sz w:val="18"/>
              </w:rPr>
              <w:t>IID SM</w:t>
            </w:r>
          </w:p>
        </w:tc>
        <w:tc>
          <w:tcPr>
            <w:tcW w:w="793" w:type="dxa"/>
          </w:tcPr>
          <w:p w14:paraId="3EA819E4" w14:textId="77777777" w:rsidR="00E54B3F" w:rsidRPr="0002037F" w:rsidRDefault="00E54B3F"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11,921</w:t>
            </w:r>
          </w:p>
        </w:tc>
        <w:tc>
          <w:tcPr>
            <w:tcW w:w="1139" w:type="dxa"/>
          </w:tcPr>
          <w:p w14:paraId="51F618B1" w14:textId="77777777" w:rsidR="00E54B3F" w:rsidRPr="0002037F" w:rsidRDefault="00E54B3F"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584,579</w:t>
            </w:r>
          </w:p>
        </w:tc>
        <w:tc>
          <w:tcPr>
            <w:tcW w:w="1681" w:type="dxa"/>
          </w:tcPr>
          <w:p w14:paraId="691E2879" w14:textId="77777777" w:rsidR="00E54B3F" w:rsidRPr="0002037F" w:rsidRDefault="00E54B3F"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w:t>
            </w:r>
          </w:p>
        </w:tc>
        <w:tc>
          <w:tcPr>
            <w:tcW w:w="4201" w:type="dxa"/>
          </w:tcPr>
          <w:p w14:paraId="3F37715C" w14:textId="61D40D2C" w:rsidR="00E54B3F" w:rsidRPr="0002037F" w:rsidRDefault="00E525FF"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IID skeletal muscle</w:t>
            </w:r>
            <w:r w:rsidR="00E54B3F">
              <w:rPr>
                <w:sz w:val="18"/>
              </w:rPr>
              <w:t xml:space="preserve"> subset</w:t>
            </w:r>
            <w:r>
              <w:rPr>
                <w:sz w:val="18"/>
              </w:rPr>
              <w:t xml:space="preserve"> (PPIs; muscle-specific)</w:t>
            </w:r>
          </w:p>
        </w:tc>
      </w:tr>
      <w:tr w:rsidR="00E54B3F" w:rsidRPr="0002037F" w14:paraId="1A4BFA9F" w14:textId="4D04A59F" w:rsidTr="00325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117513C8" w14:textId="77777777" w:rsidR="00E54B3F" w:rsidRPr="0002037F" w:rsidRDefault="00E54B3F" w:rsidP="00066430">
            <w:pPr>
              <w:jc w:val="both"/>
              <w:rPr>
                <w:sz w:val="18"/>
              </w:rPr>
            </w:pPr>
            <w:r w:rsidRPr="0002037F">
              <w:rPr>
                <w:sz w:val="18"/>
              </w:rPr>
              <w:t>COXPRESdb</w:t>
            </w:r>
          </w:p>
        </w:tc>
        <w:tc>
          <w:tcPr>
            <w:tcW w:w="793" w:type="dxa"/>
          </w:tcPr>
          <w:p w14:paraId="23D60571" w14:textId="77777777"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18,099</w:t>
            </w:r>
          </w:p>
        </w:tc>
        <w:tc>
          <w:tcPr>
            <w:tcW w:w="1139" w:type="dxa"/>
          </w:tcPr>
          <w:p w14:paraId="649B91B9" w14:textId="77777777"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5,500,000</w:t>
            </w:r>
          </w:p>
        </w:tc>
        <w:tc>
          <w:tcPr>
            <w:tcW w:w="1681" w:type="dxa"/>
          </w:tcPr>
          <w:p w14:paraId="3F323F99" w14:textId="77777777" w:rsidR="00E54B3F" w:rsidRPr="0002037F" w:rsidRDefault="00E54B3F" w:rsidP="00066430">
            <w:pPr>
              <w:jc w:val="both"/>
              <w:cnfStyle w:val="000000100000" w:firstRow="0" w:lastRow="0" w:firstColumn="0" w:lastColumn="0" w:oddVBand="0" w:evenVBand="0" w:oddHBand="1" w:evenHBand="0" w:firstRowFirstColumn="0" w:firstRowLastColumn="0" w:lastRowFirstColumn="0" w:lastRowLastColumn="0"/>
              <w:rPr>
                <w:sz w:val="18"/>
              </w:rPr>
            </w:pPr>
            <w:bookmarkStart w:id="3" w:name="_Hlk67931231"/>
            <w:r w:rsidRPr="0002037F">
              <w:rPr>
                <w:sz w:val="18"/>
              </w:rPr>
              <w:t xml:space="preserve">0.0001 </w:t>
            </w:r>
            <w:bookmarkEnd w:id="3"/>
            <w:r w:rsidRPr="0002037F">
              <w:rPr>
                <w:sz w:val="18"/>
              </w:rPr>
              <w:t>- 1</w:t>
            </w:r>
          </w:p>
        </w:tc>
        <w:tc>
          <w:tcPr>
            <w:tcW w:w="4201" w:type="dxa"/>
          </w:tcPr>
          <w:p w14:paraId="46529E60" w14:textId="2B41E462" w:rsidR="00E54B3F" w:rsidRPr="0002037F" w:rsidRDefault="00E525FF" w:rsidP="00066430">
            <w:pPr>
              <w:jc w:val="both"/>
              <w:cnfStyle w:val="000000100000" w:firstRow="0" w:lastRow="0" w:firstColumn="0" w:lastColumn="0" w:oddVBand="0" w:evenVBand="0" w:oddHBand="1" w:evenHBand="0" w:firstRowFirstColumn="0" w:firstRowLastColumn="0" w:lastRowFirstColumn="0" w:lastRowLastColumn="0"/>
              <w:rPr>
                <w:sz w:val="18"/>
              </w:rPr>
            </w:pPr>
            <w:r>
              <w:rPr>
                <w:sz w:val="18"/>
              </w:rPr>
              <w:t>COXPRESSdb most strongly co-expressed genes</w:t>
            </w:r>
            <w:r w:rsidR="00E54B3F">
              <w:rPr>
                <w:sz w:val="18"/>
              </w:rPr>
              <w:t xml:space="preserve"> (tissue-generic)</w:t>
            </w:r>
          </w:p>
        </w:tc>
      </w:tr>
      <w:tr w:rsidR="00E54B3F" w:rsidRPr="0002037F" w14:paraId="2197A936" w14:textId="6A92AC01" w:rsidTr="00325D20">
        <w:tc>
          <w:tcPr>
            <w:cnfStyle w:val="001000000000" w:firstRow="0" w:lastRow="0" w:firstColumn="1" w:lastColumn="0" w:oddVBand="0" w:evenVBand="0" w:oddHBand="0" w:evenHBand="0" w:firstRowFirstColumn="0" w:firstRowLastColumn="0" w:lastRowFirstColumn="0" w:lastRowLastColumn="0"/>
            <w:tcW w:w="1202" w:type="dxa"/>
          </w:tcPr>
          <w:p w14:paraId="111EB76E" w14:textId="77777777" w:rsidR="00E54B3F" w:rsidRPr="0002037F" w:rsidRDefault="00E54B3F" w:rsidP="00066430">
            <w:pPr>
              <w:jc w:val="both"/>
              <w:rPr>
                <w:sz w:val="18"/>
              </w:rPr>
            </w:pPr>
            <w:r w:rsidRPr="0002037F">
              <w:rPr>
                <w:sz w:val="18"/>
              </w:rPr>
              <w:t>MyoMiner Muscle Cell</w:t>
            </w:r>
          </w:p>
        </w:tc>
        <w:tc>
          <w:tcPr>
            <w:tcW w:w="793" w:type="dxa"/>
          </w:tcPr>
          <w:p w14:paraId="71437859" w14:textId="77777777" w:rsidR="00E54B3F" w:rsidRPr="0002037F" w:rsidRDefault="00E54B3F"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18,791</w:t>
            </w:r>
          </w:p>
        </w:tc>
        <w:tc>
          <w:tcPr>
            <w:tcW w:w="1139" w:type="dxa"/>
          </w:tcPr>
          <w:p w14:paraId="446CE16C" w14:textId="77777777" w:rsidR="00E54B3F" w:rsidRPr="0002037F" w:rsidRDefault="00E54B3F"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1,801,020</w:t>
            </w:r>
          </w:p>
        </w:tc>
        <w:tc>
          <w:tcPr>
            <w:tcW w:w="1681" w:type="dxa"/>
          </w:tcPr>
          <w:p w14:paraId="2010C613" w14:textId="77777777" w:rsidR="00E54B3F" w:rsidRPr="0002037F" w:rsidRDefault="00E54B3F" w:rsidP="00066430">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0.61 – 1</w:t>
            </w:r>
          </w:p>
        </w:tc>
        <w:tc>
          <w:tcPr>
            <w:tcW w:w="4201" w:type="dxa"/>
          </w:tcPr>
          <w:p w14:paraId="17DD881E" w14:textId="2B96EBC9" w:rsidR="00E54B3F" w:rsidRPr="0002037F" w:rsidRDefault="005B7108" w:rsidP="00066430">
            <w:pPr>
              <w:jc w:val="both"/>
              <w:cnfStyle w:val="000000000000" w:firstRow="0" w:lastRow="0" w:firstColumn="0" w:lastColumn="0" w:oddVBand="0" w:evenVBand="0" w:oddHBand="0" w:evenHBand="0" w:firstRowFirstColumn="0" w:firstRowLastColumn="0" w:lastRowFirstColumn="0" w:lastRowLastColumn="0"/>
              <w:rPr>
                <w:sz w:val="18"/>
              </w:rPr>
            </w:pPr>
            <w:r>
              <w:rPr>
                <w:sz w:val="18"/>
              </w:rPr>
              <w:t>MyoMiner positively co-expressed (r &gt; 0.6) genes in muscle cells</w:t>
            </w:r>
            <w:r w:rsidR="00E525FF">
              <w:rPr>
                <w:sz w:val="18"/>
              </w:rPr>
              <w:t xml:space="preserve"> (muscle-specific)</w:t>
            </w:r>
          </w:p>
        </w:tc>
      </w:tr>
    </w:tbl>
    <w:p w14:paraId="52434898" w14:textId="607C1D50" w:rsidR="00E627A6" w:rsidRDefault="00E627A6" w:rsidP="00066430">
      <w:pPr>
        <w:spacing w:after="0"/>
        <w:jc w:val="both"/>
        <w:rPr>
          <w:b/>
          <w:sz w:val="16"/>
        </w:rPr>
      </w:pPr>
      <w:r w:rsidRPr="00AB0422">
        <w:rPr>
          <w:b/>
          <w:sz w:val="16"/>
        </w:rPr>
        <w:t xml:space="preserve">Table </w:t>
      </w:r>
      <w:r w:rsidR="005B7108">
        <w:rPr>
          <w:b/>
          <w:sz w:val="16"/>
        </w:rPr>
        <w:t>2</w:t>
      </w:r>
      <w:r w:rsidRPr="00AB0422">
        <w:rPr>
          <w:b/>
          <w:sz w:val="16"/>
        </w:rPr>
        <w:t>:</w:t>
      </w:r>
      <w:r>
        <w:rPr>
          <w:b/>
          <w:sz w:val="16"/>
        </w:rPr>
        <w:t xml:space="preserve"> Properties of the </w:t>
      </w:r>
      <w:r w:rsidR="00FF0DD1">
        <w:rPr>
          <w:b/>
          <w:sz w:val="16"/>
        </w:rPr>
        <w:t xml:space="preserve">individual </w:t>
      </w:r>
      <w:r>
        <w:rPr>
          <w:b/>
          <w:sz w:val="16"/>
        </w:rPr>
        <w:t>MIN</w:t>
      </w:r>
      <w:r w:rsidR="00FF0DD1">
        <w:rPr>
          <w:b/>
          <w:sz w:val="16"/>
        </w:rPr>
        <w:t>s</w:t>
      </w:r>
      <w:r>
        <w:rPr>
          <w:b/>
          <w:sz w:val="16"/>
        </w:rPr>
        <w:t xml:space="preserve"> selected for </w:t>
      </w:r>
      <w:r w:rsidR="00FF0DD1">
        <w:rPr>
          <w:b/>
          <w:sz w:val="16"/>
        </w:rPr>
        <w:t>combination</w:t>
      </w:r>
      <w:r>
        <w:rPr>
          <w:b/>
          <w:sz w:val="16"/>
        </w:rPr>
        <w:t>.</w:t>
      </w:r>
    </w:p>
    <w:p w14:paraId="4F1C2340" w14:textId="05811AFB" w:rsidR="00E627A6" w:rsidRDefault="00E627A6" w:rsidP="00066430">
      <w:pPr>
        <w:jc w:val="both"/>
        <w:rPr>
          <w:lang w:val="en"/>
        </w:rPr>
      </w:pPr>
    </w:p>
    <w:p w14:paraId="31BA8495" w14:textId="3E2D820B" w:rsidR="0075347A" w:rsidRDefault="00A7492F" w:rsidP="00066430">
      <w:pPr>
        <w:jc w:val="both"/>
        <w:rPr>
          <w:lang w:val="en"/>
        </w:rPr>
      </w:pPr>
      <w:r>
        <w:rPr>
          <w:lang w:val="en"/>
        </w:rPr>
        <w:t>To combin</w:t>
      </w:r>
      <w:r w:rsidR="005439E4">
        <w:rPr>
          <w:lang w:val="en"/>
        </w:rPr>
        <w:t>e</w:t>
      </w:r>
      <w:r>
        <w:rPr>
          <w:lang w:val="en"/>
        </w:rPr>
        <w:t xml:space="preserve"> </w:t>
      </w:r>
      <w:r w:rsidR="005439E4">
        <w:rPr>
          <w:lang w:val="en"/>
        </w:rPr>
        <w:t xml:space="preserve">each of </w:t>
      </w:r>
      <w:r>
        <w:rPr>
          <w:lang w:val="en"/>
        </w:rPr>
        <w:t xml:space="preserve">the </w:t>
      </w:r>
      <w:r w:rsidR="005439E4">
        <w:rPr>
          <w:lang w:val="en"/>
        </w:rPr>
        <w:t>selected</w:t>
      </w:r>
      <w:r>
        <w:rPr>
          <w:lang w:val="en"/>
        </w:rPr>
        <w:t xml:space="preserve"> </w:t>
      </w:r>
      <w:r w:rsidR="005439E4">
        <w:rPr>
          <w:lang w:val="en"/>
        </w:rPr>
        <w:t>PPI MINs with each of the selected gene co-expression MIN</w:t>
      </w:r>
      <w:r>
        <w:rPr>
          <w:lang w:val="en"/>
        </w:rPr>
        <w:t>s, we define</w:t>
      </w:r>
      <w:r w:rsidR="005439E4">
        <w:rPr>
          <w:lang w:val="en"/>
        </w:rPr>
        <w:t>d</w:t>
      </w:r>
      <w:r>
        <w:rPr>
          <w:lang w:val="en"/>
        </w:rPr>
        <w:t xml:space="preserve"> 2 methods</w:t>
      </w:r>
      <w:r w:rsidR="005439E4">
        <w:rPr>
          <w:lang w:val="en"/>
        </w:rPr>
        <w:t>: node filter combination</w:t>
      </w:r>
      <w:r w:rsidR="007559CE">
        <w:rPr>
          <w:lang w:val="en"/>
        </w:rPr>
        <w:t xml:space="preserve"> (NF)</w:t>
      </w:r>
      <w:r w:rsidR="005439E4">
        <w:rPr>
          <w:lang w:val="en"/>
        </w:rPr>
        <w:t>, and union combination</w:t>
      </w:r>
      <w:r w:rsidR="007559CE">
        <w:rPr>
          <w:lang w:val="en"/>
        </w:rPr>
        <w:t xml:space="preserve"> (U)</w:t>
      </w:r>
      <w:r>
        <w:rPr>
          <w:lang w:val="en"/>
        </w:rPr>
        <w:t xml:space="preserve">. The node filter combination method is similar to a gene expression filter. For a </w:t>
      </w:r>
      <w:r w:rsidR="005439E4">
        <w:rPr>
          <w:lang w:val="en"/>
        </w:rPr>
        <w:t xml:space="preserve">given </w:t>
      </w:r>
      <w:r>
        <w:rPr>
          <w:lang w:val="en"/>
        </w:rPr>
        <w:t>PPI MIN</w:t>
      </w:r>
      <w:r w:rsidR="005439E4">
        <w:rPr>
          <w:lang w:val="en"/>
        </w:rPr>
        <w:t>,</w:t>
      </w:r>
      <w:r>
        <w:rPr>
          <w:lang w:val="en"/>
        </w:rPr>
        <w:t xml:space="preserve"> only those edges are kept that contain nodes present in the gene co-expression network. The union combination approach is a </w:t>
      </w:r>
      <w:r w:rsidR="005439E4">
        <w:rPr>
          <w:lang w:val="en"/>
        </w:rPr>
        <w:t xml:space="preserve">simple </w:t>
      </w:r>
      <w:r>
        <w:rPr>
          <w:lang w:val="en"/>
        </w:rPr>
        <w:t xml:space="preserve">union of </w:t>
      </w:r>
      <w:r w:rsidR="005439E4">
        <w:rPr>
          <w:lang w:val="en"/>
        </w:rPr>
        <w:t xml:space="preserve">all nodes and edges of </w:t>
      </w:r>
      <w:r>
        <w:rPr>
          <w:lang w:val="en"/>
        </w:rPr>
        <w:t>both networks</w:t>
      </w:r>
      <w:r w:rsidR="005439E4">
        <w:rPr>
          <w:lang w:val="en"/>
        </w:rPr>
        <w:t>,</w:t>
      </w:r>
      <w:r>
        <w:rPr>
          <w:lang w:val="en"/>
        </w:rPr>
        <w:t xml:space="preserve"> with duplicate edges removed. </w:t>
      </w:r>
      <w:r w:rsidR="009743C4">
        <w:rPr>
          <w:lang w:val="en"/>
        </w:rPr>
        <w:t xml:space="preserve">In this way, 8 combined networks were generated (each of the 2 PPI networks combined with each of the 2 co-expression networks using either method of combination). </w:t>
      </w:r>
      <w:r w:rsidR="007559CE">
        <w:rPr>
          <w:lang w:val="en"/>
        </w:rPr>
        <w:t xml:space="preserve">All but one of these (IID + COXPRESdb, NF) passed the threshold for minimum baseline representation of muscle-relevant genes (&gt;75% average coverage of the selected </w:t>
      </w:r>
      <w:r w:rsidR="007559CE" w:rsidRPr="00AD20A4">
        <w:rPr>
          <w:lang w:val="en"/>
        </w:rPr>
        <w:t>muscle-related GO terms</w:t>
      </w:r>
      <w:r w:rsidR="007559CE">
        <w:rPr>
          <w:lang w:val="en"/>
        </w:rPr>
        <w:t>) and was retained for subsequent analysis</w:t>
      </w:r>
      <w:r w:rsidR="00F20BC4">
        <w:rPr>
          <w:lang w:val="en"/>
        </w:rPr>
        <w:t xml:space="preserve"> (Figure S2)</w:t>
      </w:r>
      <w:r w:rsidR="007559CE">
        <w:rPr>
          <w:lang w:val="en"/>
        </w:rPr>
        <w:t xml:space="preserve">. </w:t>
      </w:r>
    </w:p>
    <w:p w14:paraId="19174CC5" w14:textId="0BCD4DA1" w:rsidR="0056523F" w:rsidRDefault="009A7D39" w:rsidP="00066430">
      <w:pPr>
        <w:jc w:val="both"/>
        <w:rPr>
          <w:lang w:val="en"/>
        </w:rPr>
      </w:pPr>
      <w:r>
        <w:rPr>
          <w:lang w:val="en"/>
        </w:rPr>
        <w:t>The median</w:t>
      </w:r>
      <w:r w:rsidR="003134C3">
        <w:rPr>
          <w:lang w:val="en"/>
        </w:rPr>
        <w:t xml:space="preserve"> </w:t>
      </w:r>
      <w:r w:rsidR="007559CE">
        <w:rPr>
          <w:lang w:val="en"/>
        </w:rPr>
        <w:t>muscle GO term recall performance (</w:t>
      </w:r>
      <w:r w:rsidR="003134C3">
        <w:rPr>
          <w:lang w:val="en"/>
        </w:rPr>
        <w:t>median DIAMOnD recall percentages and median DSD cluster enrichment values</w:t>
      </w:r>
      <w:r w:rsidR="007559CE">
        <w:rPr>
          <w:lang w:val="en"/>
        </w:rPr>
        <w:t>)</w:t>
      </w:r>
      <w:r w:rsidR="003134C3">
        <w:rPr>
          <w:lang w:val="en"/>
        </w:rPr>
        <w:t xml:space="preserve"> for </w:t>
      </w:r>
      <w:r w:rsidR="00A7492F">
        <w:rPr>
          <w:lang w:val="en"/>
        </w:rPr>
        <w:t>the combined networks</w:t>
      </w:r>
      <w:r>
        <w:rPr>
          <w:lang w:val="en"/>
        </w:rPr>
        <w:t xml:space="preserve"> is shown (</w:t>
      </w:r>
      <w:r w:rsidR="000B1C4F">
        <w:rPr>
          <w:lang w:val="en"/>
        </w:rPr>
        <w:t>F</w:t>
      </w:r>
      <w:r>
        <w:rPr>
          <w:lang w:val="en"/>
        </w:rPr>
        <w:t xml:space="preserve">igure </w:t>
      </w:r>
      <w:r w:rsidR="00A85B7B">
        <w:rPr>
          <w:lang w:val="en"/>
        </w:rPr>
        <w:t>3</w:t>
      </w:r>
      <w:r>
        <w:rPr>
          <w:lang w:val="en"/>
        </w:rPr>
        <w:t>), and broken down by individual muscle GO term (tables 3 and 4)</w:t>
      </w:r>
      <w:r w:rsidR="003134C3">
        <w:rPr>
          <w:lang w:val="en"/>
        </w:rPr>
        <w:t xml:space="preserve">. </w:t>
      </w:r>
      <w:r w:rsidR="00E0457D">
        <w:rPr>
          <w:lang w:val="en"/>
        </w:rPr>
        <w:t xml:space="preserve">Scores for the </w:t>
      </w:r>
      <w:r w:rsidR="007559CE">
        <w:rPr>
          <w:lang w:val="en"/>
        </w:rPr>
        <w:t>separate co</w:t>
      </w:r>
      <w:r w:rsidR="0056523F">
        <w:rPr>
          <w:lang w:val="en"/>
        </w:rPr>
        <w:t>nstitu</w:t>
      </w:r>
      <w:r w:rsidR="007559CE">
        <w:rPr>
          <w:lang w:val="en"/>
        </w:rPr>
        <w:t>ent</w:t>
      </w:r>
      <w:r w:rsidR="00E0457D">
        <w:rPr>
          <w:lang w:val="en"/>
        </w:rPr>
        <w:t xml:space="preserve"> networks (already presented in Figure </w:t>
      </w:r>
      <w:r w:rsidR="00A85B7B">
        <w:rPr>
          <w:lang w:val="en"/>
        </w:rPr>
        <w:t>2</w:t>
      </w:r>
      <w:r w:rsidR="00E0457D">
        <w:rPr>
          <w:lang w:val="en"/>
        </w:rPr>
        <w:t>) are included again for comparison.</w:t>
      </w:r>
      <w:r w:rsidR="001E5236">
        <w:rPr>
          <w:lang w:val="en"/>
        </w:rPr>
        <w:t xml:space="preserve"> </w:t>
      </w:r>
      <w:r w:rsidR="00FA279A">
        <w:rPr>
          <w:lang w:val="en"/>
        </w:rPr>
        <w:t>A notable improvement is observed (</w:t>
      </w:r>
      <w:r w:rsidR="000B1C4F">
        <w:rPr>
          <w:lang w:val="en"/>
        </w:rPr>
        <w:t>F</w:t>
      </w:r>
      <w:r w:rsidR="00FA279A">
        <w:rPr>
          <w:lang w:val="en"/>
        </w:rPr>
        <w:t xml:space="preserve">igure </w:t>
      </w:r>
      <w:r w:rsidR="00A85B7B">
        <w:rPr>
          <w:lang w:val="en"/>
        </w:rPr>
        <w:t>3</w:t>
      </w:r>
      <w:r w:rsidR="00FA279A">
        <w:rPr>
          <w:lang w:val="en"/>
        </w:rPr>
        <w:t>A</w:t>
      </w:r>
      <w:r>
        <w:rPr>
          <w:lang w:val="en"/>
        </w:rPr>
        <w:t>; table 3</w:t>
      </w:r>
      <w:r w:rsidR="00FA279A">
        <w:rPr>
          <w:lang w:val="en"/>
        </w:rPr>
        <w:t xml:space="preserve">) in the median enrichment q-value of the DSD approach when the STRING PPI network </w:t>
      </w:r>
      <w:r w:rsidR="00D36C63">
        <w:rPr>
          <w:lang w:val="en"/>
        </w:rPr>
        <w:t xml:space="preserve">(median q-value of 8.4 alone) </w:t>
      </w:r>
      <w:r w:rsidR="00FA279A">
        <w:rPr>
          <w:lang w:val="en"/>
        </w:rPr>
        <w:t>is combined with either of the two co-expression networks (COXPRESdb or MyoMiner) using the NF combination method</w:t>
      </w:r>
      <w:r w:rsidR="00D36C63">
        <w:rPr>
          <w:lang w:val="en"/>
        </w:rPr>
        <w:t xml:space="preserve"> (median q-values of 14.4 and 12.3, respectively)</w:t>
      </w:r>
      <w:r w:rsidR="00FA279A">
        <w:rPr>
          <w:lang w:val="en"/>
        </w:rPr>
        <w:t xml:space="preserve">. The same two combined networks (STRING + CoXPRESdb NF, and STRING + MyoMiner Cell NF) are also the top performers </w:t>
      </w:r>
      <w:r w:rsidR="00EC13DC">
        <w:rPr>
          <w:lang w:val="en"/>
        </w:rPr>
        <w:t>with</w:t>
      </w:r>
      <w:r w:rsidR="00FA279A">
        <w:rPr>
          <w:lang w:val="en"/>
        </w:rPr>
        <w:t xml:space="preserve"> the DIAMOnD approach (</w:t>
      </w:r>
      <w:r w:rsidR="000B1C4F">
        <w:rPr>
          <w:lang w:val="en"/>
        </w:rPr>
        <w:t>F</w:t>
      </w:r>
      <w:r w:rsidR="00FA279A">
        <w:rPr>
          <w:lang w:val="en"/>
        </w:rPr>
        <w:t xml:space="preserve">igure </w:t>
      </w:r>
      <w:r w:rsidR="00A85B7B">
        <w:rPr>
          <w:lang w:val="en"/>
        </w:rPr>
        <w:t>3</w:t>
      </w:r>
      <w:r w:rsidR="00FA279A">
        <w:rPr>
          <w:lang w:val="en"/>
        </w:rPr>
        <w:t>B</w:t>
      </w:r>
      <w:r w:rsidR="00D36C63">
        <w:rPr>
          <w:lang w:val="en"/>
        </w:rPr>
        <w:t>; table 4</w:t>
      </w:r>
      <w:r w:rsidR="00FA279A">
        <w:rPr>
          <w:lang w:val="en"/>
        </w:rPr>
        <w:t>), but in this case the improvement over STRING alone (39% median recall) is more notable in combination with MyoMiner (4</w:t>
      </w:r>
      <w:r>
        <w:rPr>
          <w:lang w:val="en"/>
        </w:rPr>
        <w:t>6</w:t>
      </w:r>
      <w:r w:rsidR="00FA279A">
        <w:rPr>
          <w:lang w:val="en"/>
        </w:rPr>
        <w:t>% median recall), the i</w:t>
      </w:r>
      <w:r w:rsidR="00EC13DC">
        <w:rPr>
          <w:lang w:val="en"/>
        </w:rPr>
        <w:t>ncrease</w:t>
      </w:r>
      <w:r w:rsidR="00FA279A">
        <w:rPr>
          <w:lang w:val="en"/>
        </w:rPr>
        <w:t xml:space="preserve"> with CoXPRES being </w:t>
      </w:r>
      <w:r>
        <w:rPr>
          <w:lang w:val="en"/>
        </w:rPr>
        <w:t>a single percentage point (40% median recall)</w:t>
      </w:r>
      <w:r w:rsidR="00FA279A">
        <w:rPr>
          <w:lang w:val="en"/>
        </w:rPr>
        <w:t>.</w:t>
      </w:r>
      <w:r w:rsidR="00603815">
        <w:rPr>
          <w:lang w:val="en"/>
        </w:rPr>
        <w:t xml:space="preserve"> The performance of the IID PPI network generally did not improve, or improved only marginally, when combined with a gene co-expression network. The union combination method generally did not improve the performance of either PPI</w:t>
      </w:r>
      <w:r w:rsidR="00C841B7">
        <w:rPr>
          <w:lang w:val="en"/>
        </w:rPr>
        <w:t xml:space="preserve"> network</w:t>
      </w:r>
      <w:r w:rsidR="00603815">
        <w:rPr>
          <w:lang w:val="en"/>
        </w:rPr>
        <w:t>, and indeed markedly reduced their performance under the DSD approach.</w:t>
      </w:r>
      <w:r w:rsidR="00BF591A">
        <w:rPr>
          <w:lang w:val="en"/>
        </w:rPr>
        <w:t xml:space="preserve"> Overall, muscle GO term recall performance had moderate correlation (</w:t>
      </w:r>
      <w:r w:rsidR="00BF591A" w:rsidRPr="00EA5D75">
        <w:rPr>
          <w:i/>
          <w:iCs/>
          <w:lang w:val="en"/>
        </w:rPr>
        <w:t>R</w:t>
      </w:r>
      <w:r w:rsidR="00BF591A">
        <w:rPr>
          <w:lang w:val="en"/>
        </w:rPr>
        <w:t xml:space="preserve"> = 0.31; p = 0.00049) between the DSD and DIAMOnD approaches (</w:t>
      </w:r>
      <w:r w:rsidR="000B1C4F">
        <w:rPr>
          <w:lang w:val="en"/>
        </w:rPr>
        <w:t>F</w:t>
      </w:r>
      <w:r w:rsidR="00BF591A">
        <w:rPr>
          <w:lang w:val="en"/>
        </w:rPr>
        <w:t>igure S</w:t>
      </w:r>
      <w:r w:rsidR="00F20BC4">
        <w:rPr>
          <w:lang w:val="en"/>
        </w:rPr>
        <w:t>3</w:t>
      </w:r>
      <w:r w:rsidR="00BF591A">
        <w:rPr>
          <w:lang w:val="en"/>
        </w:rPr>
        <w:t>).</w:t>
      </w:r>
    </w:p>
    <w:p w14:paraId="4DF37BCF" w14:textId="6DA6BC44" w:rsidR="0085050B" w:rsidRDefault="0085050B" w:rsidP="00066430">
      <w:pPr>
        <w:jc w:val="both"/>
        <w:rPr>
          <w:lang w:val="en"/>
        </w:rPr>
      </w:pPr>
    </w:p>
    <w:p w14:paraId="54D5620A" w14:textId="77777777" w:rsidR="001D7D38" w:rsidRDefault="001D7D38" w:rsidP="00066430">
      <w:pPr>
        <w:jc w:val="both"/>
        <w:rPr>
          <w:lang w:val="en"/>
        </w:rPr>
      </w:pPr>
    </w:p>
    <w:p w14:paraId="12A56AFF" w14:textId="784A348B" w:rsidR="00045103" w:rsidRDefault="00045103" w:rsidP="00066430">
      <w:pPr>
        <w:jc w:val="both"/>
        <w:rPr>
          <w:b/>
          <w:sz w:val="18"/>
          <w:lang w:val="en"/>
        </w:rPr>
      </w:pPr>
    </w:p>
    <w:p w14:paraId="70841111" w14:textId="2D306311" w:rsidR="00A82A27" w:rsidRDefault="00A82A27" w:rsidP="00066430">
      <w:pPr>
        <w:jc w:val="both"/>
        <w:rPr>
          <w:b/>
          <w:sz w:val="18"/>
          <w:lang w:val="en"/>
        </w:rPr>
      </w:pPr>
      <w:r>
        <w:rPr>
          <w:b/>
          <w:noProof/>
          <w:sz w:val="18"/>
          <w:lang w:val="en"/>
        </w:rPr>
        <w:drawing>
          <wp:inline distT="0" distB="0" distL="0" distR="0" wp14:anchorId="3455415E" wp14:editId="6B65923C">
            <wp:extent cx="5731510" cy="2865755"/>
            <wp:effectExtent l="0" t="0" r="2540" b="0"/>
            <wp:docPr id="15" name="Picture 1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funnel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4B40C04" w14:textId="36A74025" w:rsidR="001D7D38" w:rsidRDefault="001A3648" w:rsidP="00066430">
      <w:pPr>
        <w:jc w:val="both"/>
        <w:rPr>
          <w:b/>
          <w:sz w:val="18"/>
          <w:lang w:val="en"/>
        </w:rPr>
      </w:pPr>
      <w:r>
        <w:rPr>
          <w:b/>
          <w:sz w:val="18"/>
          <w:lang w:val="en"/>
        </w:rPr>
        <w:t>Figure</w:t>
      </w:r>
      <w:r w:rsidR="003741A1">
        <w:rPr>
          <w:b/>
          <w:sz w:val="18"/>
          <w:lang w:val="en"/>
        </w:rPr>
        <w:t xml:space="preserve"> </w:t>
      </w:r>
      <w:r w:rsidR="00A85B7B">
        <w:rPr>
          <w:b/>
          <w:sz w:val="18"/>
          <w:lang w:val="en"/>
        </w:rPr>
        <w:t>3</w:t>
      </w:r>
      <w:r w:rsidR="001D7D38">
        <w:rPr>
          <w:b/>
          <w:sz w:val="18"/>
          <w:lang w:val="en"/>
        </w:rPr>
        <w:t xml:space="preserve">: </w:t>
      </w:r>
      <w:r w:rsidR="00B63A1E">
        <w:rPr>
          <w:b/>
          <w:sz w:val="18"/>
          <w:lang w:val="en"/>
        </w:rPr>
        <w:t xml:space="preserve">Comparison of the </w:t>
      </w:r>
      <w:r w:rsidR="0026210B">
        <w:rPr>
          <w:b/>
          <w:sz w:val="18"/>
          <w:lang w:val="en"/>
        </w:rPr>
        <w:t>performances of</w:t>
      </w:r>
      <w:r w:rsidR="00B63A1E">
        <w:rPr>
          <w:b/>
          <w:sz w:val="18"/>
          <w:lang w:val="en"/>
        </w:rPr>
        <w:t xml:space="preserve"> combined (PPI and gene co-expression) molecular interaction networks using clustering algorithms DSD and DIAMOnD</w:t>
      </w:r>
      <w:r w:rsidR="0026210B">
        <w:rPr>
          <w:b/>
          <w:sz w:val="18"/>
          <w:lang w:val="en"/>
        </w:rPr>
        <w:t>. Networks were compared in terms of the enrichment (DSD) or recall (DIAMOnD) of muscle-related GO terms</w:t>
      </w:r>
      <w:r w:rsidR="00B63A1E">
        <w:rPr>
          <w:b/>
          <w:sz w:val="18"/>
          <w:lang w:val="en"/>
        </w:rPr>
        <w:t>.</w:t>
      </w:r>
      <w:r w:rsidR="00761B1F">
        <w:rPr>
          <w:b/>
          <w:sz w:val="18"/>
          <w:lang w:val="en"/>
        </w:rPr>
        <w:t xml:space="preserve"> </w:t>
      </w:r>
      <w:r w:rsidR="00B63A1E">
        <w:rPr>
          <w:b/>
          <w:sz w:val="18"/>
          <w:lang w:val="en"/>
        </w:rPr>
        <w:t>M</w:t>
      </w:r>
      <w:r w:rsidR="00133D09">
        <w:rPr>
          <w:b/>
          <w:sz w:val="18"/>
          <w:lang w:val="en"/>
        </w:rPr>
        <w:t>edian values for the</w:t>
      </w:r>
      <w:r w:rsidR="00B63A1E">
        <w:rPr>
          <w:b/>
          <w:sz w:val="18"/>
          <w:lang w:val="en"/>
        </w:rPr>
        <w:t xml:space="preserve"> </w:t>
      </w:r>
      <w:r w:rsidR="00133D09">
        <w:rPr>
          <w:b/>
          <w:sz w:val="18"/>
          <w:lang w:val="en"/>
        </w:rPr>
        <w:t>combi</w:t>
      </w:r>
      <w:r w:rsidR="00B63A1E">
        <w:rPr>
          <w:b/>
          <w:sz w:val="18"/>
          <w:lang w:val="en"/>
        </w:rPr>
        <w:t>ned networks and for their component networks are shown for DSD (A) and for DIAMOnD (B)</w:t>
      </w:r>
      <w:r w:rsidR="00133D09">
        <w:rPr>
          <w:b/>
          <w:sz w:val="18"/>
          <w:lang w:val="en"/>
        </w:rPr>
        <w:t xml:space="preserve">. </w:t>
      </w:r>
      <w:r w:rsidR="004E48D3">
        <w:rPr>
          <w:b/>
          <w:sz w:val="18"/>
          <w:lang w:val="en"/>
        </w:rPr>
        <w:t xml:space="preserve">For the DSD algorithm, combining the STRING PPI with the muscle tissue-specific MyoMiner Cell gene co-expression network via the node filter approach, produces network clusters with the most significant median enrichment q-values. </w:t>
      </w:r>
      <w:r w:rsidR="00B63A1E">
        <w:rPr>
          <w:b/>
          <w:sz w:val="18"/>
          <w:lang w:val="en"/>
        </w:rPr>
        <w:t>For</w:t>
      </w:r>
      <w:r w:rsidR="00133D09">
        <w:rPr>
          <w:b/>
          <w:sz w:val="18"/>
          <w:lang w:val="en"/>
        </w:rPr>
        <w:t xml:space="preserve"> DIAMOnD</w:t>
      </w:r>
      <w:r w:rsidR="00B63A1E">
        <w:rPr>
          <w:b/>
          <w:sz w:val="18"/>
          <w:lang w:val="en"/>
        </w:rPr>
        <w:t>,</w:t>
      </w:r>
      <w:r w:rsidR="00133D09">
        <w:rPr>
          <w:b/>
          <w:sz w:val="18"/>
          <w:lang w:val="en"/>
        </w:rPr>
        <w:t xml:space="preserve"> combining the STRING PPI with a generic gene co-expression network</w:t>
      </w:r>
      <w:r w:rsidR="00A71F9E">
        <w:rPr>
          <w:b/>
          <w:sz w:val="18"/>
          <w:lang w:val="en"/>
        </w:rPr>
        <w:t xml:space="preserve"> via the node filter approach </w:t>
      </w:r>
      <w:r w:rsidR="004E48D3">
        <w:rPr>
          <w:b/>
          <w:sz w:val="18"/>
          <w:lang w:val="en"/>
        </w:rPr>
        <w:t xml:space="preserve">produces </w:t>
      </w:r>
      <w:r w:rsidR="00A71F9E">
        <w:rPr>
          <w:b/>
          <w:sz w:val="18"/>
          <w:lang w:val="en"/>
        </w:rPr>
        <w:t>a network with the highest median recall percentage.</w:t>
      </w:r>
    </w:p>
    <w:p w14:paraId="6B977EA2" w14:textId="77777777" w:rsidR="00CF72E8" w:rsidRDefault="00CF72E8" w:rsidP="00066430">
      <w:pPr>
        <w:jc w:val="both"/>
        <w:rPr>
          <w:b/>
          <w:sz w:val="18"/>
          <w:lang w:val="en"/>
        </w:rPr>
      </w:pPr>
    </w:p>
    <w:p w14:paraId="14F1DE98" w14:textId="77777777" w:rsidR="00071D11" w:rsidRDefault="00071D11">
      <w:pPr>
        <w:rPr>
          <w:b/>
        </w:rPr>
      </w:pPr>
      <w:r>
        <w:rPr>
          <w:b/>
        </w:rPr>
        <w:br w:type="page"/>
      </w:r>
    </w:p>
    <w:p w14:paraId="1FE07CAC" w14:textId="77777777" w:rsidR="00071D11" w:rsidRDefault="00071D11" w:rsidP="00066430">
      <w:pPr>
        <w:jc w:val="both"/>
        <w:rPr>
          <w:b/>
        </w:rPr>
        <w:sectPr w:rsidR="00071D11" w:rsidSect="00934159">
          <w:footerReference w:type="default" r:id="rId24"/>
          <w:type w:val="continuous"/>
          <w:pgSz w:w="11906" w:h="16838"/>
          <w:pgMar w:top="1440" w:right="1440" w:bottom="1440" w:left="1440" w:header="709" w:footer="709" w:gutter="0"/>
          <w:cols w:space="708"/>
          <w:docGrid w:linePitch="360"/>
        </w:sect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1304"/>
        <w:gridCol w:w="1033"/>
        <w:gridCol w:w="449"/>
        <w:gridCol w:w="1030"/>
        <w:gridCol w:w="918"/>
        <w:gridCol w:w="449"/>
        <w:gridCol w:w="536"/>
        <w:gridCol w:w="670"/>
        <w:gridCol w:w="985"/>
        <w:gridCol w:w="993"/>
        <w:gridCol w:w="850"/>
        <w:gridCol w:w="851"/>
      </w:tblGrid>
      <w:tr w:rsidR="00735765" w:rsidRPr="00CD304F" w14:paraId="03E95E55" w14:textId="77777777" w:rsidTr="00CD33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2" w:type="dxa"/>
            <w:vMerge w:val="restart"/>
            <w:tcBorders>
              <w:top w:val="single" w:sz="12" w:space="0" w:color="auto"/>
              <w:bottom w:val="none" w:sz="0" w:space="0" w:color="auto"/>
            </w:tcBorders>
            <w:noWrap/>
            <w:vAlign w:val="center"/>
            <w:hideMark/>
          </w:tcPr>
          <w:p w14:paraId="39B606EA" w14:textId="77777777" w:rsidR="00735765" w:rsidRPr="00CD304F" w:rsidRDefault="00735765" w:rsidP="00CD334D">
            <w:pPr>
              <w:jc w:val="center"/>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Network Variant</w:t>
            </w:r>
          </w:p>
        </w:tc>
        <w:tc>
          <w:tcPr>
            <w:tcW w:w="1304" w:type="dxa"/>
            <w:vMerge w:val="restart"/>
            <w:tcBorders>
              <w:top w:val="single" w:sz="12" w:space="0" w:color="auto"/>
              <w:bottom w:val="none" w:sz="0" w:space="0" w:color="auto"/>
            </w:tcBorders>
            <w:noWrap/>
            <w:vAlign w:val="center"/>
            <w:hideMark/>
          </w:tcPr>
          <w:p w14:paraId="17341F98" w14:textId="77777777" w:rsidR="00735765" w:rsidRPr="00CD304F" w:rsidRDefault="00735765" w:rsidP="00CD33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 xml:space="preserve">Median </w:t>
            </w:r>
            <w:r>
              <w:rPr>
                <w:rFonts w:ascii="Calibri" w:eastAsia="Times New Roman" w:hAnsi="Calibri" w:cs="Calibri"/>
                <w:color w:val="000000"/>
                <w:sz w:val="18"/>
                <w:szCs w:val="18"/>
                <w:lang w:eastAsia="en-GB"/>
              </w:rPr>
              <w:t>enrichment across all muscle GO terms</w:t>
            </w:r>
            <w:r w:rsidRPr="00CD304F">
              <w:rPr>
                <w:rFonts w:ascii="Calibri" w:eastAsia="Times New Roman" w:hAnsi="Calibri" w:cs="Calibri"/>
                <w:color w:val="000000"/>
                <w:sz w:val="18"/>
                <w:szCs w:val="18"/>
                <w:lang w:eastAsia="en-GB"/>
              </w:rPr>
              <w:t xml:space="preserve"> (-log10)</w:t>
            </w:r>
          </w:p>
        </w:tc>
        <w:tc>
          <w:tcPr>
            <w:tcW w:w="2512" w:type="dxa"/>
            <w:gridSpan w:val="3"/>
            <w:tcBorders>
              <w:top w:val="single" w:sz="12" w:space="0" w:color="auto"/>
              <w:bottom w:val="none" w:sz="0" w:space="0" w:color="auto"/>
            </w:tcBorders>
            <w:noWrap/>
            <w:vAlign w:val="center"/>
            <w:hideMark/>
          </w:tcPr>
          <w:p w14:paraId="45ACD140" w14:textId="77777777" w:rsidR="00735765" w:rsidRPr="00CD304F" w:rsidRDefault="00735765"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Contraction</w:t>
            </w:r>
          </w:p>
        </w:tc>
        <w:tc>
          <w:tcPr>
            <w:tcW w:w="1903" w:type="dxa"/>
            <w:gridSpan w:val="3"/>
            <w:tcBorders>
              <w:top w:val="single" w:sz="12" w:space="0" w:color="auto"/>
              <w:bottom w:val="none" w:sz="0" w:space="0" w:color="auto"/>
            </w:tcBorders>
            <w:noWrap/>
            <w:vAlign w:val="center"/>
            <w:hideMark/>
          </w:tcPr>
          <w:p w14:paraId="11E46596" w14:textId="77777777" w:rsidR="00735765" w:rsidRPr="00CD304F" w:rsidRDefault="00735765"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Membrane</w:t>
            </w:r>
          </w:p>
        </w:tc>
        <w:tc>
          <w:tcPr>
            <w:tcW w:w="2648" w:type="dxa"/>
            <w:gridSpan w:val="3"/>
            <w:tcBorders>
              <w:top w:val="single" w:sz="12" w:space="0" w:color="auto"/>
              <w:bottom w:val="none" w:sz="0" w:space="0" w:color="auto"/>
            </w:tcBorders>
            <w:noWrap/>
            <w:vAlign w:val="center"/>
            <w:hideMark/>
          </w:tcPr>
          <w:p w14:paraId="0219DD19" w14:textId="77777777" w:rsidR="00735765" w:rsidRPr="00CD304F" w:rsidRDefault="00735765"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Regeneration</w:t>
            </w:r>
          </w:p>
        </w:tc>
        <w:tc>
          <w:tcPr>
            <w:tcW w:w="1701" w:type="dxa"/>
            <w:gridSpan w:val="2"/>
            <w:tcBorders>
              <w:top w:val="single" w:sz="12" w:space="0" w:color="auto"/>
              <w:bottom w:val="none" w:sz="0" w:space="0" w:color="auto"/>
            </w:tcBorders>
            <w:noWrap/>
            <w:vAlign w:val="center"/>
            <w:hideMark/>
          </w:tcPr>
          <w:p w14:paraId="3543C500" w14:textId="77777777" w:rsidR="00735765" w:rsidRPr="00CD304F" w:rsidRDefault="00735765"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Other</w:t>
            </w:r>
          </w:p>
        </w:tc>
      </w:tr>
      <w:tr w:rsidR="00735765" w:rsidRPr="00CD304F" w14:paraId="722FE308" w14:textId="77777777" w:rsidTr="00735765">
        <w:trPr>
          <w:cantSplit/>
          <w:trHeight w:val="1377"/>
        </w:trPr>
        <w:tc>
          <w:tcPr>
            <w:cnfStyle w:val="001000000000" w:firstRow="0" w:lastRow="0" w:firstColumn="1" w:lastColumn="0" w:oddVBand="0" w:evenVBand="0" w:oddHBand="0" w:evenHBand="0" w:firstRowFirstColumn="0" w:firstRowLastColumn="0" w:lastRowFirstColumn="0" w:lastRowLastColumn="0"/>
            <w:tcW w:w="2832" w:type="dxa"/>
            <w:vMerge/>
            <w:tcBorders>
              <w:bottom w:val="single" w:sz="4" w:space="0" w:color="auto"/>
            </w:tcBorders>
            <w:noWrap/>
            <w:vAlign w:val="center"/>
            <w:hideMark/>
          </w:tcPr>
          <w:p w14:paraId="2AD49861" w14:textId="77777777" w:rsidR="00735765" w:rsidRPr="00CD304F" w:rsidRDefault="00735765" w:rsidP="00CD334D">
            <w:pPr>
              <w:jc w:val="center"/>
              <w:rPr>
                <w:rFonts w:ascii="Calibri" w:eastAsia="Times New Roman" w:hAnsi="Calibri" w:cs="Calibri"/>
                <w:color w:val="000000"/>
                <w:sz w:val="18"/>
                <w:szCs w:val="18"/>
                <w:lang w:eastAsia="en-GB"/>
              </w:rPr>
            </w:pPr>
          </w:p>
        </w:tc>
        <w:tc>
          <w:tcPr>
            <w:tcW w:w="1304" w:type="dxa"/>
            <w:vMerge/>
            <w:tcBorders>
              <w:bottom w:val="single" w:sz="4" w:space="0" w:color="auto"/>
            </w:tcBorders>
            <w:noWrap/>
            <w:vAlign w:val="center"/>
            <w:hideMark/>
          </w:tcPr>
          <w:p w14:paraId="38E68F3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033" w:type="dxa"/>
            <w:tcBorders>
              <w:bottom w:val="single" w:sz="4" w:space="0" w:color="auto"/>
            </w:tcBorders>
            <w:noWrap/>
            <w:textDirection w:val="btLr"/>
            <w:vAlign w:val="center"/>
            <w:hideMark/>
          </w:tcPr>
          <w:p w14:paraId="0011F460"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Fiber Development</w:t>
            </w:r>
          </w:p>
        </w:tc>
        <w:tc>
          <w:tcPr>
            <w:tcW w:w="449" w:type="dxa"/>
            <w:tcBorders>
              <w:bottom w:val="single" w:sz="4" w:space="0" w:color="auto"/>
            </w:tcBorders>
            <w:noWrap/>
            <w:textDirection w:val="btLr"/>
            <w:vAlign w:val="center"/>
            <w:hideMark/>
          </w:tcPr>
          <w:p w14:paraId="4BD8B8DA"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Myofilament</w:t>
            </w:r>
          </w:p>
        </w:tc>
        <w:tc>
          <w:tcPr>
            <w:tcW w:w="1030" w:type="dxa"/>
            <w:tcBorders>
              <w:bottom w:val="single" w:sz="4" w:space="0" w:color="auto"/>
              <w:right w:val="single" w:sz="4" w:space="0" w:color="auto"/>
            </w:tcBorders>
            <w:noWrap/>
            <w:textDirection w:val="btLr"/>
            <w:vAlign w:val="center"/>
            <w:hideMark/>
          </w:tcPr>
          <w:p w14:paraId="543862F4"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Contraction</w:t>
            </w:r>
          </w:p>
        </w:tc>
        <w:tc>
          <w:tcPr>
            <w:tcW w:w="918" w:type="dxa"/>
            <w:tcBorders>
              <w:left w:val="single" w:sz="4" w:space="0" w:color="auto"/>
              <w:bottom w:val="single" w:sz="4" w:space="0" w:color="auto"/>
            </w:tcBorders>
            <w:noWrap/>
            <w:textDirection w:val="btLr"/>
            <w:vAlign w:val="center"/>
            <w:hideMark/>
          </w:tcPr>
          <w:p w14:paraId="1239175D"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Neuromuscular Junction</w:t>
            </w:r>
          </w:p>
        </w:tc>
        <w:tc>
          <w:tcPr>
            <w:tcW w:w="449" w:type="dxa"/>
            <w:tcBorders>
              <w:bottom w:val="single" w:sz="4" w:space="0" w:color="auto"/>
            </w:tcBorders>
            <w:noWrap/>
            <w:textDirection w:val="btLr"/>
            <w:vAlign w:val="center"/>
            <w:hideMark/>
          </w:tcPr>
          <w:p w14:paraId="334213C4"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Sarcolemma</w:t>
            </w:r>
          </w:p>
        </w:tc>
        <w:tc>
          <w:tcPr>
            <w:tcW w:w="536" w:type="dxa"/>
            <w:tcBorders>
              <w:bottom w:val="single" w:sz="4" w:space="0" w:color="auto"/>
              <w:right w:val="single" w:sz="4" w:space="0" w:color="auto"/>
            </w:tcBorders>
            <w:noWrap/>
            <w:textDirection w:val="btLr"/>
            <w:vAlign w:val="center"/>
            <w:hideMark/>
          </w:tcPr>
          <w:p w14:paraId="08FD1CE6"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T-Tubule</w:t>
            </w:r>
          </w:p>
        </w:tc>
        <w:tc>
          <w:tcPr>
            <w:tcW w:w="670" w:type="dxa"/>
            <w:tcBorders>
              <w:left w:val="single" w:sz="4" w:space="0" w:color="auto"/>
              <w:bottom w:val="single" w:sz="4" w:space="0" w:color="auto"/>
            </w:tcBorders>
            <w:noWrap/>
            <w:textDirection w:val="btLr"/>
            <w:vAlign w:val="center"/>
            <w:hideMark/>
          </w:tcPr>
          <w:p w14:paraId="714A5D19"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Hypertrophy</w:t>
            </w:r>
          </w:p>
        </w:tc>
        <w:tc>
          <w:tcPr>
            <w:tcW w:w="985" w:type="dxa"/>
            <w:tcBorders>
              <w:bottom w:val="single" w:sz="4" w:space="0" w:color="auto"/>
            </w:tcBorders>
            <w:noWrap/>
            <w:textDirection w:val="btLr"/>
            <w:vAlign w:val="center"/>
            <w:hideMark/>
          </w:tcPr>
          <w:p w14:paraId="4CE2751A"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Tissue Regeneration</w:t>
            </w:r>
          </w:p>
        </w:tc>
        <w:tc>
          <w:tcPr>
            <w:tcW w:w="993" w:type="dxa"/>
            <w:tcBorders>
              <w:bottom w:val="single" w:sz="4" w:space="0" w:color="auto"/>
              <w:right w:val="single" w:sz="4" w:space="0" w:color="auto"/>
            </w:tcBorders>
            <w:noWrap/>
            <w:textDirection w:val="btLr"/>
            <w:vAlign w:val="center"/>
            <w:hideMark/>
          </w:tcPr>
          <w:p w14:paraId="26B34B60"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Striated Muscle Cell Proliferation</w:t>
            </w:r>
          </w:p>
        </w:tc>
        <w:tc>
          <w:tcPr>
            <w:tcW w:w="850" w:type="dxa"/>
            <w:tcBorders>
              <w:left w:val="single" w:sz="4" w:space="0" w:color="auto"/>
              <w:bottom w:val="single" w:sz="4" w:space="0" w:color="auto"/>
            </w:tcBorders>
            <w:noWrap/>
            <w:textDirection w:val="btLr"/>
            <w:vAlign w:val="center"/>
            <w:hideMark/>
          </w:tcPr>
          <w:p w14:paraId="475F6F0D"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Myoblast Fusion</w:t>
            </w:r>
          </w:p>
        </w:tc>
        <w:tc>
          <w:tcPr>
            <w:tcW w:w="851" w:type="dxa"/>
            <w:tcBorders>
              <w:bottom w:val="single" w:sz="4" w:space="0" w:color="auto"/>
            </w:tcBorders>
            <w:noWrap/>
            <w:textDirection w:val="btLr"/>
            <w:vAlign w:val="center"/>
            <w:hideMark/>
          </w:tcPr>
          <w:p w14:paraId="33342302" w14:textId="77777777" w:rsidR="00735765" w:rsidRPr="00CD304F" w:rsidRDefault="00735765"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Cell Differentiation</w:t>
            </w:r>
          </w:p>
        </w:tc>
      </w:tr>
      <w:tr w:rsidR="00735765" w:rsidRPr="00CD304F" w14:paraId="6A40C2D0"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single" w:sz="4" w:space="0" w:color="auto"/>
              <w:left w:val="nil"/>
              <w:bottom w:val="nil"/>
              <w:right w:val="nil"/>
            </w:tcBorders>
            <w:noWrap/>
            <w:hideMark/>
          </w:tcPr>
          <w:p w14:paraId="3225ABE8"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w:t>
            </w:r>
          </w:p>
        </w:tc>
      </w:tr>
      <w:tr w:rsidR="00735765" w:rsidRPr="00CD304F" w14:paraId="5784E015"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17E961B"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5mil</w:t>
            </w:r>
          </w:p>
        </w:tc>
        <w:tc>
          <w:tcPr>
            <w:tcW w:w="1304" w:type="dxa"/>
            <w:noWrap/>
            <w:vAlign w:val="center"/>
            <w:hideMark/>
          </w:tcPr>
          <w:p w14:paraId="00515CE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8.4</w:t>
            </w:r>
          </w:p>
        </w:tc>
        <w:tc>
          <w:tcPr>
            <w:tcW w:w="1033" w:type="dxa"/>
            <w:noWrap/>
            <w:vAlign w:val="center"/>
            <w:hideMark/>
          </w:tcPr>
          <w:p w14:paraId="4C65F49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w:t>
            </w:r>
          </w:p>
        </w:tc>
        <w:tc>
          <w:tcPr>
            <w:tcW w:w="449" w:type="dxa"/>
            <w:noWrap/>
            <w:vAlign w:val="center"/>
            <w:hideMark/>
          </w:tcPr>
          <w:p w14:paraId="7E661E0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6.0</w:t>
            </w:r>
          </w:p>
        </w:tc>
        <w:tc>
          <w:tcPr>
            <w:tcW w:w="1030" w:type="dxa"/>
            <w:noWrap/>
            <w:vAlign w:val="center"/>
            <w:hideMark/>
          </w:tcPr>
          <w:p w14:paraId="2E9BB9F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16.8</w:t>
            </w:r>
          </w:p>
        </w:tc>
        <w:tc>
          <w:tcPr>
            <w:tcW w:w="918" w:type="dxa"/>
            <w:noWrap/>
            <w:vAlign w:val="center"/>
            <w:hideMark/>
          </w:tcPr>
          <w:p w14:paraId="273AA35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8.9</w:t>
            </w:r>
          </w:p>
        </w:tc>
        <w:tc>
          <w:tcPr>
            <w:tcW w:w="449" w:type="dxa"/>
            <w:noWrap/>
            <w:vAlign w:val="center"/>
            <w:hideMark/>
          </w:tcPr>
          <w:p w14:paraId="0F98C2D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536" w:type="dxa"/>
            <w:noWrap/>
            <w:vAlign w:val="center"/>
            <w:hideMark/>
          </w:tcPr>
          <w:p w14:paraId="7278104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16.3</w:t>
            </w:r>
          </w:p>
        </w:tc>
        <w:tc>
          <w:tcPr>
            <w:tcW w:w="670" w:type="dxa"/>
            <w:noWrap/>
            <w:vAlign w:val="center"/>
            <w:hideMark/>
          </w:tcPr>
          <w:p w14:paraId="0314F033"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w:t>
            </w:r>
          </w:p>
        </w:tc>
        <w:tc>
          <w:tcPr>
            <w:tcW w:w="985" w:type="dxa"/>
            <w:noWrap/>
            <w:vAlign w:val="center"/>
            <w:hideMark/>
          </w:tcPr>
          <w:p w14:paraId="554F92C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w:t>
            </w:r>
          </w:p>
        </w:tc>
        <w:tc>
          <w:tcPr>
            <w:tcW w:w="993" w:type="dxa"/>
            <w:noWrap/>
            <w:vAlign w:val="center"/>
            <w:hideMark/>
          </w:tcPr>
          <w:p w14:paraId="68BF4D6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17.1</w:t>
            </w:r>
          </w:p>
        </w:tc>
        <w:tc>
          <w:tcPr>
            <w:tcW w:w="850" w:type="dxa"/>
            <w:noWrap/>
            <w:vAlign w:val="center"/>
            <w:hideMark/>
          </w:tcPr>
          <w:p w14:paraId="0E09B9E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0.5</w:t>
            </w:r>
          </w:p>
        </w:tc>
        <w:tc>
          <w:tcPr>
            <w:tcW w:w="851" w:type="dxa"/>
            <w:noWrap/>
            <w:vAlign w:val="center"/>
            <w:hideMark/>
          </w:tcPr>
          <w:p w14:paraId="262E411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6.5</w:t>
            </w:r>
          </w:p>
        </w:tc>
      </w:tr>
      <w:tr w:rsidR="00735765" w:rsidRPr="00CD304F" w14:paraId="422B7CDE"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1F956AB6"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w:t>
            </w:r>
          </w:p>
        </w:tc>
      </w:tr>
      <w:tr w:rsidR="00735765" w:rsidRPr="00CD304F" w14:paraId="026B79D5"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196225B2"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SM 0.6mil</w:t>
            </w:r>
          </w:p>
        </w:tc>
        <w:tc>
          <w:tcPr>
            <w:tcW w:w="1304" w:type="dxa"/>
            <w:noWrap/>
            <w:vAlign w:val="center"/>
            <w:hideMark/>
          </w:tcPr>
          <w:p w14:paraId="654CD75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7.9</w:t>
            </w:r>
          </w:p>
        </w:tc>
        <w:tc>
          <w:tcPr>
            <w:tcW w:w="1033" w:type="dxa"/>
            <w:noWrap/>
            <w:vAlign w:val="center"/>
            <w:hideMark/>
          </w:tcPr>
          <w:p w14:paraId="4FEEB90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10.4</w:t>
            </w:r>
          </w:p>
        </w:tc>
        <w:tc>
          <w:tcPr>
            <w:tcW w:w="449" w:type="dxa"/>
            <w:noWrap/>
            <w:vAlign w:val="center"/>
            <w:hideMark/>
          </w:tcPr>
          <w:p w14:paraId="143CAB1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4.2</w:t>
            </w:r>
          </w:p>
        </w:tc>
        <w:tc>
          <w:tcPr>
            <w:tcW w:w="1030" w:type="dxa"/>
            <w:noWrap/>
            <w:vAlign w:val="center"/>
            <w:hideMark/>
          </w:tcPr>
          <w:p w14:paraId="767B722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24.2</w:t>
            </w:r>
          </w:p>
        </w:tc>
        <w:tc>
          <w:tcPr>
            <w:tcW w:w="918" w:type="dxa"/>
            <w:noWrap/>
            <w:vAlign w:val="center"/>
            <w:hideMark/>
          </w:tcPr>
          <w:p w14:paraId="78D65CB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19.5</w:t>
            </w:r>
          </w:p>
        </w:tc>
        <w:tc>
          <w:tcPr>
            <w:tcW w:w="449" w:type="dxa"/>
            <w:noWrap/>
            <w:vAlign w:val="center"/>
            <w:hideMark/>
          </w:tcPr>
          <w:p w14:paraId="52AFB4B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2.1</w:t>
            </w:r>
          </w:p>
        </w:tc>
        <w:tc>
          <w:tcPr>
            <w:tcW w:w="536" w:type="dxa"/>
            <w:noWrap/>
            <w:vAlign w:val="center"/>
            <w:hideMark/>
          </w:tcPr>
          <w:p w14:paraId="39B4C16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4.6</w:t>
            </w:r>
          </w:p>
        </w:tc>
        <w:tc>
          <w:tcPr>
            <w:tcW w:w="670" w:type="dxa"/>
            <w:noWrap/>
            <w:vAlign w:val="center"/>
            <w:hideMark/>
          </w:tcPr>
          <w:p w14:paraId="666C35A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0.3</w:t>
            </w:r>
          </w:p>
        </w:tc>
        <w:tc>
          <w:tcPr>
            <w:tcW w:w="985" w:type="dxa"/>
            <w:noWrap/>
            <w:vAlign w:val="center"/>
            <w:hideMark/>
          </w:tcPr>
          <w:p w14:paraId="6052379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993" w:type="dxa"/>
            <w:noWrap/>
            <w:vAlign w:val="center"/>
            <w:hideMark/>
          </w:tcPr>
          <w:p w14:paraId="4D2B1DA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9.6</w:t>
            </w:r>
          </w:p>
        </w:tc>
        <w:tc>
          <w:tcPr>
            <w:tcW w:w="850" w:type="dxa"/>
            <w:noWrap/>
            <w:vAlign w:val="center"/>
            <w:hideMark/>
          </w:tcPr>
          <w:p w14:paraId="0A1D774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0.0</w:t>
            </w:r>
          </w:p>
        </w:tc>
        <w:tc>
          <w:tcPr>
            <w:tcW w:w="851" w:type="dxa"/>
            <w:noWrap/>
            <w:vAlign w:val="center"/>
            <w:hideMark/>
          </w:tcPr>
          <w:p w14:paraId="27765A1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4.1</w:t>
            </w:r>
          </w:p>
        </w:tc>
      </w:tr>
      <w:tr w:rsidR="00735765" w:rsidRPr="00CD304F" w14:paraId="1CA58BBB"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702D8072"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Gene Coexpression</w:t>
            </w:r>
          </w:p>
        </w:tc>
      </w:tr>
      <w:tr w:rsidR="00735765" w:rsidRPr="00CD304F" w14:paraId="305EDF4B"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15EE4826"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COXPRESdb 5.5mil</w:t>
            </w:r>
          </w:p>
        </w:tc>
        <w:tc>
          <w:tcPr>
            <w:tcW w:w="1304" w:type="dxa"/>
            <w:noWrap/>
            <w:vAlign w:val="center"/>
            <w:hideMark/>
          </w:tcPr>
          <w:p w14:paraId="71528AA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8.2</w:t>
            </w:r>
          </w:p>
        </w:tc>
        <w:tc>
          <w:tcPr>
            <w:tcW w:w="1033" w:type="dxa"/>
            <w:noWrap/>
            <w:vAlign w:val="center"/>
            <w:hideMark/>
          </w:tcPr>
          <w:p w14:paraId="069E395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13.7</w:t>
            </w:r>
          </w:p>
        </w:tc>
        <w:tc>
          <w:tcPr>
            <w:tcW w:w="449" w:type="dxa"/>
            <w:noWrap/>
            <w:vAlign w:val="center"/>
            <w:hideMark/>
          </w:tcPr>
          <w:p w14:paraId="7F0B284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3.2</w:t>
            </w:r>
          </w:p>
        </w:tc>
        <w:tc>
          <w:tcPr>
            <w:tcW w:w="1030" w:type="dxa"/>
            <w:noWrap/>
            <w:vAlign w:val="center"/>
            <w:hideMark/>
          </w:tcPr>
          <w:p w14:paraId="6A1626C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9.0</w:t>
            </w:r>
          </w:p>
        </w:tc>
        <w:tc>
          <w:tcPr>
            <w:tcW w:w="918" w:type="dxa"/>
            <w:noWrap/>
            <w:vAlign w:val="center"/>
            <w:hideMark/>
          </w:tcPr>
          <w:p w14:paraId="6EDA969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15.8</w:t>
            </w:r>
          </w:p>
        </w:tc>
        <w:tc>
          <w:tcPr>
            <w:tcW w:w="449" w:type="dxa"/>
            <w:noWrap/>
            <w:vAlign w:val="center"/>
            <w:hideMark/>
          </w:tcPr>
          <w:p w14:paraId="52D08AE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c>
          <w:tcPr>
            <w:tcW w:w="536" w:type="dxa"/>
            <w:noWrap/>
            <w:vAlign w:val="center"/>
            <w:hideMark/>
          </w:tcPr>
          <w:p w14:paraId="256CBA2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w:t>
            </w:r>
          </w:p>
        </w:tc>
        <w:tc>
          <w:tcPr>
            <w:tcW w:w="670" w:type="dxa"/>
            <w:noWrap/>
            <w:vAlign w:val="center"/>
            <w:hideMark/>
          </w:tcPr>
          <w:p w14:paraId="572EFB0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w:t>
            </w:r>
          </w:p>
        </w:tc>
        <w:tc>
          <w:tcPr>
            <w:tcW w:w="985" w:type="dxa"/>
            <w:noWrap/>
            <w:vAlign w:val="center"/>
            <w:hideMark/>
          </w:tcPr>
          <w:p w14:paraId="4062367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993" w:type="dxa"/>
            <w:noWrap/>
            <w:vAlign w:val="center"/>
            <w:hideMark/>
          </w:tcPr>
          <w:p w14:paraId="12CFEF5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4.2</w:t>
            </w:r>
          </w:p>
        </w:tc>
        <w:tc>
          <w:tcPr>
            <w:tcW w:w="850" w:type="dxa"/>
            <w:noWrap/>
            <w:vAlign w:val="center"/>
            <w:hideMark/>
          </w:tcPr>
          <w:p w14:paraId="4E1D7EFF"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w:t>
            </w:r>
          </w:p>
        </w:tc>
        <w:tc>
          <w:tcPr>
            <w:tcW w:w="851" w:type="dxa"/>
            <w:noWrap/>
            <w:vAlign w:val="center"/>
            <w:hideMark/>
          </w:tcPr>
          <w:p w14:paraId="5C9DE4C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r>
      <w:tr w:rsidR="00735765" w:rsidRPr="00CD304F" w14:paraId="694F92B6"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42A905C8"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Gene Coexpression</w:t>
            </w:r>
          </w:p>
        </w:tc>
      </w:tr>
      <w:tr w:rsidR="00735765" w:rsidRPr="00CD304F" w14:paraId="7A5C8646"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2CBC2DC7"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MyoMiner Cell r&gt;= 0.6 +</w:t>
            </w:r>
          </w:p>
        </w:tc>
        <w:tc>
          <w:tcPr>
            <w:tcW w:w="1304" w:type="dxa"/>
            <w:noWrap/>
            <w:vAlign w:val="center"/>
            <w:hideMark/>
          </w:tcPr>
          <w:p w14:paraId="4A35071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4.0</w:t>
            </w:r>
          </w:p>
        </w:tc>
        <w:tc>
          <w:tcPr>
            <w:tcW w:w="1033" w:type="dxa"/>
            <w:noWrap/>
            <w:vAlign w:val="center"/>
            <w:hideMark/>
          </w:tcPr>
          <w:p w14:paraId="6F5D77A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4.5</w:t>
            </w:r>
          </w:p>
        </w:tc>
        <w:tc>
          <w:tcPr>
            <w:tcW w:w="449" w:type="dxa"/>
            <w:noWrap/>
            <w:vAlign w:val="center"/>
            <w:hideMark/>
          </w:tcPr>
          <w:p w14:paraId="6FC46FB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w:t>
            </w:r>
          </w:p>
        </w:tc>
        <w:tc>
          <w:tcPr>
            <w:tcW w:w="1030" w:type="dxa"/>
            <w:noWrap/>
            <w:vAlign w:val="center"/>
            <w:hideMark/>
          </w:tcPr>
          <w:p w14:paraId="5DFF0A9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3.6</w:t>
            </w:r>
          </w:p>
        </w:tc>
        <w:tc>
          <w:tcPr>
            <w:tcW w:w="918" w:type="dxa"/>
            <w:noWrap/>
            <w:vAlign w:val="center"/>
            <w:hideMark/>
          </w:tcPr>
          <w:p w14:paraId="1C46ECFF"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7.1</w:t>
            </w:r>
          </w:p>
        </w:tc>
        <w:tc>
          <w:tcPr>
            <w:tcW w:w="449" w:type="dxa"/>
            <w:noWrap/>
            <w:vAlign w:val="center"/>
            <w:hideMark/>
          </w:tcPr>
          <w:p w14:paraId="67FEC2CF"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1.1</w:t>
            </w:r>
          </w:p>
        </w:tc>
        <w:tc>
          <w:tcPr>
            <w:tcW w:w="536" w:type="dxa"/>
            <w:noWrap/>
            <w:vAlign w:val="center"/>
            <w:hideMark/>
          </w:tcPr>
          <w:p w14:paraId="338466A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w:t>
            </w:r>
          </w:p>
        </w:tc>
        <w:tc>
          <w:tcPr>
            <w:tcW w:w="670" w:type="dxa"/>
            <w:noWrap/>
            <w:vAlign w:val="center"/>
            <w:hideMark/>
          </w:tcPr>
          <w:p w14:paraId="7963CEC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0.6</w:t>
            </w:r>
          </w:p>
        </w:tc>
        <w:tc>
          <w:tcPr>
            <w:tcW w:w="985" w:type="dxa"/>
            <w:noWrap/>
            <w:vAlign w:val="center"/>
            <w:hideMark/>
          </w:tcPr>
          <w:p w14:paraId="05001FD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8.3</w:t>
            </w:r>
          </w:p>
        </w:tc>
        <w:tc>
          <w:tcPr>
            <w:tcW w:w="993" w:type="dxa"/>
            <w:noWrap/>
            <w:vAlign w:val="center"/>
            <w:hideMark/>
          </w:tcPr>
          <w:p w14:paraId="70D1CDC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6.0</w:t>
            </w:r>
          </w:p>
        </w:tc>
        <w:tc>
          <w:tcPr>
            <w:tcW w:w="850" w:type="dxa"/>
            <w:noWrap/>
            <w:vAlign w:val="center"/>
            <w:hideMark/>
          </w:tcPr>
          <w:p w14:paraId="3BD002E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851" w:type="dxa"/>
            <w:noWrap/>
            <w:vAlign w:val="center"/>
            <w:hideMark/>
          </w:tcPr>
          <w:p w14:paraId="360BB64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0.2</w:t>
            </w:r>
          </w:p>
        </w:tc>
      </w:tr>
      <w:tr w:rsidR="00735765" w:rsidRPr="00CD304F" w14:paraId="4AEB764E"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4A982C62"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Gene Coexpression</w:t>
            </w:r>
          </w:p>
        </w:tc>
      </w:tr>
      <w:tr w:rsidR="00735765" w:rsidRPr="00CD304F" w14:paraId="642FBBB5"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6266BD9"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NF</w:t>
            </w:r>
          </w:p>
        </w:tc>
        <w:tc>
          <w:tcPr>
            <w:tcW w:w="1304" w:type="dxa"/>
            <w:noWrap/>
            <w:vAlign w:val="center"/>
            <w:hideMark/>
          </w:tcPr>
          <w:p w14:paraId="4B0431AF"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14.4</w:t>
            </w:r>
          </w:p>
        </w:tc>
        <w:tc>
          <w:tcPr>
            <w:tcW w:w="1033" w:type="dxa"/>
            <w:noWrap/>
            <w:vAlign w:val="center"/>
            <w:hideMark/>
          </w:tcPr>
          <w:p w14:paraId="7AF2D5D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w:t>
            </w:r>
          </w:p>
        </w:tc>
        <w:tc>
          <w:tcPr>
            <w:tcW w:w="449" w:type="dxa"/>
            <w:noWrap/>
            <w:vAlign w:val="center"/>
            <w:hideMark/>
          </w:tcPr>
          <w:p w14:paraId="5102C66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3.2</w:t>
            </w:r>
          </w:p>
        </w:tc>
        <w:tc>
          <w:tcPr>
            <w:tcW w:w="1030" w:type="dxa"/>
            <w:noWrap/>
            <w:vAlign w:val="center"/>
            <w:hideMark/>
          </w:tcPr>
          <w:p w14:paraId="7282AF9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5.9</w:t>
            </w:r>
          </w:p>
        </w:tc>
        <w:tc>
          <w:tcPr>
            <w:tcW w:w="918" w:type="dxa"/>
            <w:noWrap/>
            <w:vAlign w:val="center"/>
            <w:hideMark/>
          </w:tcPr>
          <w:p w14:paraId="1A9720F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w:t>
            </w:r>
          </w:p>
        </w:tc>
        <w:tc>
          <w:tcPr>
            <w:tcW w:w="449" w:type="dxa"/>
            <w:noWrap/>
            <w:vAlign w:val="center"/>
            <w:hideMark/>
          </w:tcPr>
          <w:p w14:paraId="32D7F61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w:t>
            </w:r>
          </w:p>
        </w:tc>
        <w:tc>
          <w:tcPr>
            <w:tcW w:w="536" w:type="dxa"/>
            <w:noWrap/>
            <w:vAlign w:val="center"/>
            <w:hideMark/>
          </w:tcPr>
          <w:p w14:paraId="2209058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27.7</w:t>
            </w:r>
          </w:p>
        </w:tc>
        <w:tc>
          <w:tcPr>
            <w:tcW w:w="670" w:type="dxa"/>
            <w:noWrap/>
            <w:vAlign w:val="center"/>
            <w:hideMark/>
          </w:tcPr>
          <w:p w14:paraId="4F26143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985" w:type="dxa"/>
            <w:noWrap/>
            <w:vAlign w:val="center"/>
            <w:hideMark/>
          </w:tcPr>
          <w:p w14:paraId="02E150D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0.6</w:t>
            </w:r>
          </w:p>
        </w:tc>
        <w:tc>
          <w:tcPr>
            <w:tcW w:w="993" w:type="dxa"/>
            <w:noWrap/>
            <w:vAlign w:val="center"/>
            <w:hideMark/>
          </w:tcPr>
          <w:p w14:paraId="18E785C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29.7</w:t>
            </w:r>
          </w:p>
        </w:tc>
        <w:tc>
          <w:tcPr>
            <w:tcW w:w="850" w:type="dxa"/>
            <w:noWrap/>
            <w:vAlign w:val="center"/>
            <w:hideMark/>
          </w:tcPr>
          <w:p w14:paraId="0502E65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w:t>
            </w:r>
          </w:p>
        </w:tc>
        <w:tc>
          <w:tcPr>
            <w:tcW w:w="851" w:type="dxa"/>
            <w:noWrap/>
            <w:vAlign w:val="center"/>
            <w:hideMark/>
          </w:tcPr>
          <w:p w14:paraId="5B4AEB3F"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6.9</w:t>
            </w:r>
          </w:p>
        </w:tc>
      </w:tr>
      <w:tr w:rsidR="00735765" w:rsidRPr="00CD304F" w14:paraId="55075B03"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1640F735"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U</w:t>
            </w:r>
          </w:p>
        </w:tc>
        <w:tc>
          <w:tcPr>
            <w:tcW w:w="1304" w:type="dxa"/>
            <w:noWrap/>
            <w:vAlign w:val="center"/>
            <w:hideMark/>
          </w:tcPr>
          <w:p w14:paraId="555867A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4.0</w:t>
            </w:r>
          </w:p>
        </w:tc>
        <w:tc>
          <w:tcPr>
            <w:tcW w:w="1033" w:type="dxa"/>
            <w:noWrap/>
            <w:vAlign w:val="center"/>
            <w:hideMark/>
          </w:tcPr>
          <w:p w14:paraId="3B8E0CE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w:t>
            </w:r>
          </w:p>
        </w:tc>
        <w:tc>
          <w:tcPr>
            <w:tcW w:w="449" w:type="dxa"/>
            <w:noWrap/>
            <w:vAlign w:val="center"/>
            <w:hideMark/>
          </w:tcPr>
          <w:p w14:paraId="53919E1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3.2</w:t>
            </w:r>
          </w:p>
        </w:tc>
        <w:tc>
          <w:tcPr>
            <w:tcW w:w="1030" w:type="dxa"/>
            <w:noWrap/>
            <w:vAlign w:val="center"/>
            <w:hideMark/>
          </w:tcPr>
          <w:p w14:paraId="146B67C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6.2</w:t>
            </w:r>
          </w:p>
        </w:tc>
        <w:tc>
          <w:tcPr>
            <w:tcW w:w="918" w:type="dxa"/>
            <w:noWrap/>
            <w:vAlign w:val="center"/>
            <w:hideMark/>
          </w:tcPr>
          <w:p w14:paraId="7777E07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449" w:type="dxa"/>
            <w:noWrap/>
            <w:vAlign w:val="center"/>
            <w:hideMark/>
          </w:tcPr>
          <w:p w14:paraId="4CEB9D3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w:t>
            </w:r>
          </w:p>
        </w:tc>
        <w:tc>
          <w:tcPr>
            <w:tcW w:w="536" w:type="dxa"/>
            <w:noWrap/>
            <w:vAlign w:val="center"/>
            <w:hideMark/>
          </w:tcPr>
          <w:p w14:paraId="05FAE1E2"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6.3</w:t>
            </w:r>
          </w:p>
        </w:tc>
        <w:tc>
          <w:tcPr>
            <w:tcW w:w="670" w:type="dxa"/>
            <w:noWrap/>
            <w:vAlign w:val="center"/>
            <w:hideMark/>
          </w:tcPr>
          <w:p w14:paraId="04B8569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985" w:type="dxa"/>
            <w:noWrap/>
            <w:vAlign w:val="center"/>
            <w:hideMark/>
          </w:tcPr>
          <w:p w14:paraId="2EDEE79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w:t>
            </w:r>
          </w:p>
        </w:tc>
        <w:tc>
          <w:tcPr>
            <w:tcW w:w="993" w:type="dxa"/>
            <w:noWrap/>
            <w:vAlign w:val="center"/>
            <w:hideMark/>
          </w:tcPr>
          <w:p w14:paraId="3867C56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8.0</w:t>
            </w:r>
          </w:p>
        </w:tc>
        <w:tc>
          <w:tcPr>
            <w:tcW w:w="850" w:type="dxa"/>
            <w:noWrap/>
            <w:vAlign w:val="center"/>
            <w:hideMark/>
          </w:tcPr>
          <w:p w14:paraId="000BEA3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2.1</w:t>
            </w:r>
          </w:p>
        </w:tc>
        <w:tc>
          <w:tcPr>
            <w:tcW w:w="851" w:type="dxa"/>
            <w:noWrap/>
            <w:vAlign w:val="center"/>
            <w:hideMark/>
          </w:tcPr>
          <w:p w14:paraId="64240602"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7.1</w:t>
            </w:r>
          </w:p>
        </w:tc>
      </w:tr>
      <w:tr w:rsidR="00735765" w:rsidRPr="00CD304F" w14:paraId="7CE6BAC7"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163B52DE"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Muscle Gene Coexpression</w:t>
            </w:r>
          </w:p>
        </w:tc>
      </w:tr>
      <w:tr w:rsidR="00735765" w:rsidRPr="00CD304F" w14:paraId="46D72333"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3A9863F9"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NF</w:t>
            </w:r>
          </w:p>
        </w:tc>
        <w:tc>
          <w:tcPr>
            <w:tcW w:w="1304" w:type="dxa"/>
            <w:noWrap/>
            <w:vAlign w:val="center"/>
            <w:hideMark/>
          </w:tcPr>
          <w:p w14:paraId="03400EB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12.3</w:t>
            </w:r>
          </w:p>
        </w:tc>
        <w:tc>
          <w:tcPr>
            <w:tcW w:w="1033" w:type="dxa"/>
            <w:noWrap/>
            <w:vAlign w:val="center"/>
            <w:hideMark/>
          </w:tcPr>
          <w:p w14:paraId="4B81525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0.3</w:t>
            </w:r>
          </w:p>
        </w:tc>
        <w:tc>
          <w:tcPr>
            <w:tcW w:w="449" w:type="dxa"/>
            <w:noWrap/>
            <w:vAlign w:val="center"/>
            <w:hideMark/>
          </w:tcPr>
          <w:p w14:paraId="3B4138A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7.5</w:t>
            </w:r>
          </w:p>
        </w:tc>
        <w:tc>
          <w:tcPr>
            <w:tcW w:w="1030" w:type="dxa"/>
            <w:noWrap/>
            <w:vAlign w:val="center"/>
            <w:hideMark/>
          </w:tcPr>
          <w:p w14:paraId="5027A6C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5.8</w:t>
            </w:r>
          </w:p>
        </w:tc>
        <w:tc>
          <w:tcPr>
            <w:tcW w:w="918" w:type="dxa"/>
            <w:noWrap/>
            <w:vAlign w:val="center"/>
            <w:hideMark/>
          </w:tcPr>
          <w:p w14:paraId="1C36E68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w:t>
            </w:r>
          </w:p>
        </w:tc>
        <w:tc>
          <w:tcPr>
            <w:tcW w:w="449" w:type="dxa"/>
            <w:noWrap/>
            <w:vAlign w:val="center"/>
            <w:hideMark/>
          </w:tcPr>
          <w:p w14:paraId="0136C40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0.8</w:t>
            </w:r>
          </w:p>
        </w:tc>
        <w:tc>
          <w:tcPr>
            <w:tcW w:w="536" w:type="dxa"/>
            <w:noWrap/>
            <w:vAlign w:val="center"/>
            <w:hideMark/>
          </w:tcPr>
          <w:p w14:paraId="2D0A109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25.3</w:t>
            </w:r>
          </w:p>
        </w:tc>
        <w:tc>
          <w:tcPr>
            <w:tcW w:w="670" w:type="dxa"/>
            <w:noWrap/>
            <w:vAlign w:val="center"/>
            <w:hideMark/>
          </w:tcPr>
          <w:p w14:paraId="762C1DF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985" w:type="dxa"/>
            <w:noWrap/>
            <w:vAlign w:val="center"/>
            <w:hideMark/>
          </w:tcPr>
          <w:p w14:paraId="15877F2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c>
          <w:tcPr>
            <w:tcW w:w="993" w:type="dxa"/>
            <w:noWrap/>
            <w:vAlign w:val="center"/>
            <w:hideMark/>
          </w:tcPr>
          <w:p w14:paraId="0A254C7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27.4</w:t>
            </w:r>
          </w:p>
        </w:tc>
        <w:tc>
          <w:tcPr>
            <w:tcW w:w="850" w:type="dxa"/>
            <w:noWrap/>
            <w:vAlign w:val="center"/>
            <w:hideMark/>
          </w:tcPr>
          <w:p w14:paraId="53F42B0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c>
          <w:tcPr>
            <w:tcW w:w="851" w:type="dxa"/>
            <w:noWrap/>
            <w:vAlign w:val="center"/>
            <w:hideMark/>
          </w:tcPr>
          <w:p w14:paraId="5923A0A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5.9</w:t>
            </w:r>
          </w:p>
        </w:tc>
      </w:tr>
      <w:tr w:rsidR="00735765" w:rsidRPr="00CD304F" w14:paraId="0C02C61B"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66E3105"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U</w:t>
            </w:r>
          </w:p>
        </w:tc>
        <w:tc>
          <w:tcPr>
            <w:tcW w:w="1304" w:type="dxa"/>
            <w:noWrap/>
            <w:vAlign w:val="center"/>
            <w:hideMark/>
          </w:tcPr>
          <w:p w14:paraId="0C5B7053"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5.6</w:t>
            </w:r>
          </w:p>
        </w:tc>
        <w:tc>
          <w:tcPr>
            <w:tcW w:w="1033" w:type="dxa"/>
            <w:noWrap/>
            <w:vAlign w:val="center"/>
            <w:hideMark/>
          </w:tcPr>
          <w:p w14:paraId="2AF0DC0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5.1</w:t>
            </w:r>
          </w:p>
        </w:tc>
        <w:tc>
          <w:tcPr>
            <w:tcW w:w="449" w:type="dxa"/>
            <w:noWrap/>
            <w:vAlign w:val="center"/>
            <w:hideMark/>
          </w:tcPr>
          <w:p w14:paraId="75358AA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4.9</w:t>
            </w:r>
          </w:p>
        </w:tc>
        <w:tc>
          <w:tcPr>
            <w:tcW w:w="1030" w:type="dxa"/>
            <w:noWrap/>
            <w:vAlign w:val="center"/>
            <w:hideMark/>
          </w:tcPr>
          <w:p w14:paraId="2215E70A"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14.0</w:t>
            </w:r>
          </w:p>
        </w:tc>
        <w:tc>
          <w:tcPr>
            <w:tcW w:w="918" w:type="dxa"/>
            <w:noWrap/>
            <w:vAlign w:val="center"/>
            <w:hideMark/>
          </w:tcPr>
          <w:p w14:paraId="3D4D3C8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14.1</w:t>
            </w:r>
          </w:p>
        </w:tc>
        <w:tc>
          <w:tcPr>
            <w:tcW w:w="449" w:type="dxa"/>
            <w:noWrap/>
            <w:vAlign w:val="center"/>
            <w:hideMark/>
          </w:tcPr>
          <w:p w14:paraId="5717F55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w:t>
            </w:r>
          </w:p>
        </w:tc>
        <w:tc>
          <w:tcPr>
            <w:tcW w:w="536" w:type="dxa"/>
            <w:noWrap/>
            <w:vAlign w:val="center"/>
            <w:hideMark/>
          </w:tcPr>
          <w:p w14:paraId="4D2BCC7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6.9</w:t>
            </w:r>
          </w:p>
        </w:tc>
        <w:tc>
          <w:tcPr>
            <w:tcW w:w="670" w:type="dxa"/>
            <w:noWrap/>
            <w:vAlign w:val="center"/>
            <w:hideMark/>
          </w:tcPr>
          <w:p w14:paraId="244FE47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w:t>
            </w:r>
          </w:p>
        </w:tc>
        <w:tc>
          <w:tcPr>
            <w:tcW w:w="985" w:type="dxa"/>
            <w:noWrap/>
            <w:vAlign w:val="center"/>
            <w:hideMark/>
          </w:tcPr>
          <w:p w14:paraId="27FCB75F"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4.3</w:t>
            </w:r>
          </w:p>
        </w:tc>
        <w:tc>
          <w:tcPr>
            <w:tcW w:w="993" w:type="dxa"/>
            <w:noWrap/>
            <w:vAlign w:val="center"/>
            <w:hideMark/>
          </w:tcPr>
          <w:p w14:paraId="251380F2"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8.2</w:t>
            </w:r>
          </w:p>
        </w:tc>
        <w:tc>
          <w:tcPr>
            <w:tcW w:w="850" w:type="dxa"/>
            <w:noWrap/>
            <w:vAlign w:val="center"/>
            <w:hideMark/>
          </w:tcPr>
          <w:p w14:paraId="784677B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3.5</w:t>
            </w:r>
          </w:p>
        </w:tc>
        <w:tc>
          <w:tcPr>
            <w:tcW w:w="851" w:type="dxa"/>
            <w:noWrap/>
            <w:vAlign w:val="center"/>
            <w:hideMark/>
          </w:tcPr>
          <w:p w14:paraId="426A887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9.8</w:t>
            </w:r>
          </w:p>
        </w:tc>
      </w:tr>
      <w:tr w:rsidR="00735765" w:rsidRPr="00CD304F" w14:paraId="21753499"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6176B11B"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Gene Coexpression</w:t>
            </w:r>
          </w:p>
        </w:tc>
      </w:tr>
      <w:tr w:rsidR="00735765" w:rsidRPr="00CD304F" w14:paraId="6E5DC8DB"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286F989E"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NF</w:t>
            </w:r>
          </w:p>
        </w:tc>
        <w:tc>
          <w:tcPr>
            <w:tcW w:w="1304" w:type="dxa"/>
            <w:noWrap/>
            <w:vAlign w:val="center"/>
            <w:hideMark/>
          </w:tcPr>
          <w:p w14:paraId="5C3EA05E"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7.9</w:t>
            </w:r>
          </w:p>
        </w:tc>
        <w:tc>
          <w:tcPr>
            <w:tcW w:w="1033" w:type="dxa"/>
            <w:noWrap/>
            <w:vAlign w:val="center"/>
            <w:hideMark/>
          </w:tcPr>
          <w:p w14:paraId="699B0E1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10.9</w:t>
            </w:r>
          </w:p>
        </w:tc>
        <w:tc>
          <w:tcPr>
            <w:tcW w:w="449" w:type="dxa"/>
            <w:noWrap/>
            <w:vAlign w:val="center"/>
            <w:hideMark/>
          </w:tcPr>
          <w:p w14:paraId="7C7951D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w:t>
            </w:r>
          </w:p>
        </w:tc>
        <w:tc>
          <w:tcPr>
            <w:tcW w:w="1030" w:type="dxa"/>
            <w:noWrap/>
            <w:vAlign w:val="center"/>
            <w:hideMark/>
          </w:tcPr>
          <w:p w14:paraId="55448C40"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24.8</w:t>
            </w:r>
          </w:p>
        </w:tc>
        <w:tc>
          <w:tcPr>
            <w:tcW w:w="918" w:type="dxa"/>
            <w:noWrap/>
            <w:vAlign w:val="center"/>
            <w:hideMark/>
          </w:tcPr>
          <w:p w14:paraId="41C55E7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20.1</w:t>
            </w:r>
          </w:p>
        </w:tc>
        <w:tc>
          <w:tcPr>
            <w:tcW w:w="449" w:type="dxa"/>
            <w:noWrap/>
            <w:vAlign w:val="center"/>
            <w:hideMark/>
          </w:tcPr>
          <w:p w14:paraId="4BC61F0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2.3</w:t>
            </w:r>
          </w:p>
        </w:tc>
        <w:tc>
          <w:tcPr>
            <w:tcW w:w="536" w:type="dxa"/>
            <w:noWrap/>
            <w:vAlign w:val="center"/>
            <w:hideMark/>
          </w:tcPr>
          <w:p w14:paraId="0AA10592"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4.7</w:t>
            </w:r>
          </w:p>
        </w:tc>
        <w:tc>
          <w:tcPr>
            <w:tcW w:w="670" w:type="dxa"/>
            <w:noWrap/>
            <w:vAlign w:val="center"/>
            <w:hideMark/>
          </w:tcPr>
          <w:p w14:paraId="5E5F641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0.5</w:t>
            </w:r>
          </w:p>
        </w:tc>
        <w:tc>
          <w:tcPr>
            <w:tcW w:w="985" w:type="dxa"/>
            <w:noWrap/>
            <w:vAlign w:val="center"/>
            <w:hideMark/>
          </w:tcPr>
          <w:p w14:paraId="0C8FAD1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993" w:type="dxa"/>
            <w:noWrap/>
            <w:vAlign w:val="center"/>
            <w:hideMark/>
          </w:tcPr>
          <w:p w14:paraId="7EEFD99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8.9</w:t>
            </w:r>
          </w:p>
        </w:tc>
        <w:tc>
          <w:tcPr>
            <w:tcW w:w="850" w:type="dxa"/>
            <w:noWrap/>
            <w:vAlign w:val="center"/>
            <w:hideMark/>
          </w:tcPr>
          <w:p w14:paraId="527B6353"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0.0</w:t>
            </w:r>
          </w:p>
        </w:tc>
        <w:tc>
          <w:tcPr>
            <w:tcW w:w="851" w:type="dxa"/>
            <w:noWrap/>
            <w:vAlign w:val="center"/>
            <w:hideMark/>
          </w:tcPr>
          <w:p w14:paraId="629E4F8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3.1</w:t>
            </w:r>
          </w:p>
        </w:tc>
      </w:tr>
      <w:tr w:rsidR="00735765" w:rsidRPr="00CD304F" w14:paraId="048202F1" w14:textId="77777777" w:rsidTr="00CD334D">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1EEF5918"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U</w:t>
            </w:r>
          </w:p>
        </w:tc>
        <w:tc>
          <w:tcPr>
            <w:tcW w:w="1304" w:type="dxa"/>
            <w:noWrap/>
            <w:vAlign w:val="center"/>
            <w:hideMark/>
          </w:tcPr>
          <w:p w14:paraId="5F39B7F9"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4.9</w:t>
            </w:r>
          </w:p>
        </w:tc>
        <w:tc>
          <w:tcPr>
            <w:tcW w:w="1033" w:type="dxa"/>
            <w:noWrap/>
            <w:vAlign w:val="center"/>
            <w:hideMark/>
          </w:tcPr>
          <w:p w14:paraId="4453A58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7.9</w:t>
            </w:r>
          </w:p>
        </w:tc>
        <w:tc>
          <w:tcPr>
            <w:tcW w:w="449" w:type="dxa"/>
            <w:noWrap/>
            <w:vAlign w:val="center"/>
            <w:hideMark/>
          </w:tcPr>
          <w:p w14:paraId="5801C5E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1030" w:type="dxa"/>
            <w:noWrap/>
            <w:vAlign w:val="center"/>
            <w:hideMark/>
          </w:tcPr>
          <w:p w14:paraId="5711AF37"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11.5</w:t>
            </w:r>
          </w:p>
        </w:tc>
        <w:tc>
          <w:tcPr>
            <w:tcW w:w="918" w:type="dxa"/>
            <w:noWrap/>
            <w:vAlign w:val="center"/>
            <w:hideMark/>
          </w:tcPr>
          <w:p w14:paraId="5C7BC6B1"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16.5</w:t>
            </w:r>
          </w:p>
        </w:tc>
        <w:tc>
          <w:tcPr>
            <w:tcW w:w="449" w:type="dxa"/>
            <w:noWrap/>
            <w:vAlign w:val="center"/>
            <w:hideMark/>
          </w:tcPr>
          <w:p w14:paraId="13825BD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w:t>
            </w:r>
          </w:p>
        </w:tc>
        <w:tc>
          <w:tcPr>
            <w:tcW w:w="536" w:type="dxa"/>
            <w:noWrap/>
            <w:vAlign w:val="center"/>
            <w:hideMark/>
          </w:tcPr>
          <w:p w14:paraId="0B0A951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w:t>
            </w:r>
          </w:p>
        </w:tc>
        <w:tc>
          <w:tcPr>
            <w:tcW w:w="670" w:type="dxa"/>
            <w:noWrap/>
            <w:vAlign w:val="center"/>
            <w:hideMark/>
          </w:tcPr>
          <w:p w14:paraId="30062D22"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w:t>
            </w:r>
          </w:p>
        </w:tc>
        <w:tc>
          <w:tcPr>
            <w:tcW w:w="985" w:type="dxa"/>
            <w:noWrap/>
            <w:vAlign w:val="center"/>
            <w:hideMark/>
          </w:tcPr>
          <w:p w14:paraId="77FE376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0.6</w:t>
            </w:r>
          </w:p>
        </w:tc>
        <w:tc>
          <w:tcPr>
            <w:tcW w:w="993" w:type="dxa"/>
            <w:noWrap/>
            <w:vAlign w:val="center"/>
            <w:hideMark/>
          </w:tcPr>
          <w:p w14:paraId="6EA08A9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7.1</w:t>
            </w:r>
          </w:p>
        </w:tc>
        <w:tc>
          <w:tcPr>
            <w:tcW w:w="850" w:type="dxa"/>
            <w:noWrap/>
            <w:vAlign w:val="center"/>
            <w:hideMark/>
          </w:tcPr>
          <w:p w14:paraId="1FF2905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0.8</w:t>
            </w:r>
          </w:p>
        </w:tc>
        <w:tc>
          <w:tcPr>
            <w:tcW w:w="851" w:type="dxa"/>
            <w:noWrap/>
            <w:vAlign w:val="center"/>
            <w:hideMark/>
          </w:tcPr>
          <w:p w14:paraId="379905D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r>
      <w:tr w:rsidR="00735765" w:rsidRPr="00CD304F" w14:paraId="405D0632" w14:textId="77777777" w:rsidTr="0073576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0AB7985E" w14:textId="77777777" w:rsidR="00735765" w:rsidRPr="00CD304F" w:rsidRDefault="00735765"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Muscle Gene Coexpression</w:t>
            </w:r>
          </w:p>
        </w:tc>
      </w:tr>
      <w:tr w:rsidR="00735765" w:rsidRPr="00CD304F" w14:paraId="3378CD98" w14:textId="77777777" w:rsidTr="00735765">
        <w:trPr>
          <w:trHeight w:val="288"/>
        </w:trPr>
        <w:tc>
          <w:tcPr>
            <w:cnfStyle w:val="001000000000" w:firstRow="0" w:lastRow="0" w:firstColumn="1" w:lastColumn="0" w:oddVBand="0" w:evenVBand="0" w:oddHBand="0" w:evenHBand="0" w:firstRowFirstColumn="0" w:firstRowLastColumn="0" w:lastRowFirstColumn="0" w:lastRowLastColumn="0"/>
            <w:tcW w:w="2832" w:type="dxa"/>
            <w:tcBorders>
              <w:bottom w:val="single" w:sz="12" w:space="0" w:color="auto"/>
            </w:tcBorders>
            <w:noWrap/>
            <w:hideMark/>
          </w:tcPr>
          <w:p w14:paraId="4BC380E8" w14:textId="77777777" w:rsidR="00735765" w:rsidRPr="00CD304F" w:rsidRDefault="00735765"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MyoMiner Cell U</w:t>
            </w:r>
          </w:p>
        </w:tc>
        <w:tc>
          <w:tcPr>
            <w:tcW w:w="1304" w:type="dxa"/>
            <w:tcBorders>
              <w:bottom w:val="single" w:sz="12" w:space="0" w:color="auto"/>
            </w:tcBorders>
            <w:noWrap/>
            <w:vAlign w:val="center"/>
            <w:hideMark/>
          </w:tcPr>
          <w:p w14:paraId="26352ED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2.9</w:t>
            </w:r>
          </w:p>
        </w:tc>
        <w:tc>
          <w:tcPr>
            <w:tcW w:w="1033" w:type="dxa"/>
            <w:tcBorders>
              <w:bottom w:val="single" w:sz="12" w:space="0" w:color="auto"/>
            </w:tcBorders>
            <w:noWrap/>
            <w:vAlign w:val="center"/>
            <w:hideMark/>
          </w:tcPr>
          <w:p w14:paraId="6152601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3.4</w:t>
            </w:r>
          </w:p>
        </w:tc>
        <w:tc>
          <w:tcPr>
            <w:tcW w:w="449" w:type="dxa"/>
            <w:tcBorders>
              <w:bottom w:val="single" w:sz="12" w:space="0" w:color="auto"/>
            </w:tcBorders>
            <w:noWrap/>
            <w:vAlign w:val="center"/>
            <w:hideMark/>
          </w:tcPr>
          <w:p w14:paraId="303D53D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w:t>
            </w:r>
          </w:p>
        </w:tc>
        <w:tc>
          <w:tcPr>
            <w:tcW w:w="1030" w:type="dxa"/>
            <w:tcBorders>
              <w:bottom w:val="single" w:sz="12" w:space="0" w:color="auto"/>
            </w:tcBorders>
            <w:noWrap/>
            <w:vAlign w:val="center"/>
            <w:hideMark/>
          </w:tcPr>
          <w:p w14:paraId="3BC5E76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7.2</w:t>
            </w:r>
          </w:p>
        </w:tc>
        <w:tc>
          <w:tcPr>
            <w:tcW w:w="918" w:type="dxa"/>
            <w:tcBorders>
              <w:bottom w:val="single" w:sz="12" w:space="0" w:color="auto"/>
            </w:tcBorders>
            <w:noWrap/>
            <w:vAlign w:val="center"/>
            <w:hideMark/>
          </w:tcPr>
          <w:p w14:paraId="324BFA4B"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8.9</w:t>
            </w:r>
          </w:p>
        </w:tc>
        <w:tc>
          <w:tcPr>
            <w:tcW w:w="449" w:type="dxa"/>
            <w:tcBorders>
              <w:bottom w:val="single" w:sz="12" w:space="0" w:color="auto"/>
            </w:tcBorders>
            <w:noWrap/>
            <w:vAlign w:val="center"/>
            <w:hideMark/>
          </w:tcPr>
          <w:p w14:paraId="27CDE3D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0.8</w:t>
            </w:r>
          </w:p>
        </w:tc>
        <w:tc>
          <w:tcPr>
            <w:tcW w:w="536" w:type="dxa"/>
            <w:tcBorders>
              <w:bottom w:val="single" w:sz="12" w:space="0" w:color="auto"/>
            </w:tcBorders>
            <w:noWrap/>
            <w:vAlign w:val="center"/>
            <w:hideMark/>
          </w:tcPr>
          <w:p w14:paraId="20AA8BB8"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w:t>
            </w:r>
          </w:p>
        </w:tc>
        <w:tc>
          <w:tcPr>
            <w:tcW w:w="670" w:type="dxa"/>
            <w:tcBorders>
              <w:bottom w:val="single" w:sz="12" w:space="0" w:color="auto"/>
            </w:tcBorders>
            <w:noWrap/>
            <w:vAlign w:val="center"/>
            <w:hideMark/>
          </w:tcPr>
          <w:p w14:paraId="49BED8CD"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985" w:type="dxa"/>
            <w:tcBorders>
              <w:bottom w:val="single" w:sz="12" w:space="0" w:color="auto"/>
            </w:tcBorders>
            <w:noWrap/>
            <w:vAlign w:val="center"/>
            <w:hideMark/>
          </w:tcPr>
          <w:p w14:paraId="39900AD6"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6.5</w:t>
            </w:r>
          </w:p>
        </w:tc>
        <w:tc>
          <w:tcPr>
            <w:tcW w:w="993" w:type="dxa"/>
            <w:tcBorders>
              <w:bottom w:val="single" w:sz="12" w:space="0" w:color="auto"/>
            </w:tcBorders>
            <w:noWrap/>
            <w:vAlign w:val="center"/>
            <w:hideMark/>
          </w:tcPr>
          <w:p w14:paraId="65FC8FD4"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5.2</w:t>
            </w:r>
          </w:p>
        </w:tc>
        <w:tc>
          <w:tcPr>
            <w:tcW w:w="850" w:type="dxa"/>
            <w:tcBorders>
              <w:bottom w:val="single" w:sz="12" w:space="0" w:color="auto"/>
            </w:tcBorders>
            <w:noWrap/>
            <w:vAlign w:val="center"/>
            <w:hideMark/>
          </w:tcPr>
          <w:p w14:paraId="25269AEC"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0.0</w:t>
            </w:r>
          </w:p>
        </w:tc>
        <w:tc>
          <w:tcPr>
            <w:tcW w:w="851" w:type="dxa"/>
            <w:tcBorders>
              <w:bottom w:val="single" w:sz="12" w:space="0" w:color="auto"/>
            </w:tcBorders>
            <w:noWrap/>
            <w:vAlign w:val="center"/>
            <w:hideMark/>
          </w:tcPr>
          <w:p w14:paraId="55122095" w14:textId="77777777" w:rsidR="00735765" w:rsidRPr="00CD304F" w:rsidRDefault="00735765"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2.8</w:t>
            </w:r>
          </w:p>
        </w:tc>
      </w:tr>
    </w:tbl>
    <w:p w14:paraId="5FDA0697" w14:textId="77777777" w:rsidR="00735765" w:rsidRDefault="00735765" w:rsidP="00735765">
      <w:pPr>
        <w:spacing w:line="240" w:lineRule="auto"/>
        <w:jc w:val="both"/>
        <w:rPr>
          <w:b/>
          <w:sz w:val="18"/>
          <w:szCs w:val="18"/>
        </w:rPr>
      </w:pPr>
    </w:p>
    <w:p w14:paraId="1CBEC787" w14:textId="4E52DB83" w:rsidR="00735765" w:rsidRPr="00735765" w:rsidRDefault="00735765" w:rsidP="00735765">
      <w:pPr>
        <w:spacing w:line="240" w:lineRule="auto"/>
        <w:jc w:val="both"/>
        <w:rPr>
          <w:b/>
          <w:sz w:val="18"/>
          <w:szCs w:val="18"/>
        </w:rPr>
      </w:pPr>
      <w:r w:rsidRPr="00735765">
        <w:rPr>
          <w:b/>
          <w:sz w:val="18"/>
          <w:szCs w:val="18"/>
        </w:rPr>
        <w:t xml:space="preserve">Table 3. DSD enrichment Q-value (-log10) of combined networks. </w:t>
      </w:r>
      <w:r>
        <w:rPr>
          <w:b/>
          <w:sz w:val="18"/>
          <w:szCs w:val="18"/>
        </w:rPr>
        <w:t>The m</w:t>
      </w:r>
      <w:r w:rsidRPr="00735765">
        <w:rPr>
          <w:b/>
          <w:sz w:val="18"/>
          <w:szCs w:val="18"/>
        </w:rPr>
        <w:t>edian enrichment value across all selected muscle GO terms is given, then the enrichment value for each individual GO term.</w:t>
      </w:r>
    </w:p>
    <w:p w14:paraId="4187424B" w14:textId="77777777" w:rsidR="00735765" w:rsidRDefault="00735765" w:rsidP="00066430">
      <w:pPr>
        <w:jc w:val="both"/>
        <w:rPr>
          <w:b/>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554"/>
        <w:gridCol w:w="992"/>
        <w:gridCol w:w="709"/>
        <w:gridCol w:w="851"/>
        <w:gridCol w:w="850"/>
        <w:gridCol w:w="567"/>
        <w:gridCol w:w="567"/>
        <w:gridCol w:w="709"/>
        <w:gridCol w:w="850"/>
        <w:gridCol w:w="993"/>
        <w:gridCol w:w="708"/>
        <w:gridCol w:w="993"/>
      </w:tblGrid>
      <w:tr w:rsidR="006E494E" w:rsidRPr="00CD304F" w14:paraId="22F889D4" w14:textId="77777777" w:rsidTr="006E49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2" w:space="0" w:color="auto"/>
              <w:bottom w:val="none" w:sz="0" w:space="0" w:color="auto"/>
            </w:tcBorders>
            <w:noWrap/>
            <w:vAlign w:val="center"/>
            <w:hideMark/>
          </w:tcPr>
          <w:p w14:paraId="2764178A" w14:textId="77777777" w:rsidR="006E494E" w:rsidRPr="00CD304F" w:rsidRDefault="006E494E" w:rsidP="00CD334D">
            <w:pPr>
              <w:jc w:val="center"/>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Network Variant</w:t>
            </w:r>
          </w:p>
        </w:tc>
        <w:tc>
          <w:tcPr>
            <w:tcW w:w="1554" w:type="dxa"/>
            <w:vMerge w:val="restart"/>
            <w:tcBorders>
              <w:top w:val="single" w:sz="12" w:space="0" w:color="auto"/>
              <w:bottom w:val="none" w:sz="0" w:space="0" w:color="auto"/>
            </w:tcBorders>
            <w:noWrap/>
            <w:vAlign w:val="center"/>
            <w:hideMark/>
          </w:tcPr>
          <w:p w14:paraId="45E7C5E6" w14:textId="7099ECFB" w:rsidR="006E494E" w:rsidRPr="00CD304F" w:rsidRDefault="006E494E" w:rsidP="00CD33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 xml:space="preserve">Median </w:t>
            </w:r>
            <w:r>
              <w:rPr>
                <w:rFonts w:ascii="Calibri" w:eastAsia="Times New Roman" w:hAnsi="Calibri" w:cs="Calibri"/>
                <w:color w:val="000000"/>
                <w:sz w:val="18"/>
                <w:szCs w:val="18"/>
                <w:lang w:eastAsia="en-GB"/>
              </w:rPr>
              <w:t>DIAMOnD recall percentage across all muscle GO terms</w:t>
            </w:r>
          </w:p>
        </w:tc>
        <w:tc>
          <w:tcPr>
            <w:tcW w:w="2552" w:type="dxa"/>
            <w:gridSpan w:val="3"/>
            <w:tcBorders>
              <w:top w:val="single" w:sz="12" w:space="0" w:color="auto"/>
              <w:bottom w:val="none" w:sz="0" w:space="0" w:color="auto"/>
            </w:tcBorders>
            <w:noWrap/>
            <w:vAlign w:val="center"/>
            <w:hideMark/>
          </w:tcPr>
          <w:p w14:paraId="679FEE4E" w14:textId="77777777" w:rsidR="006E494E" w:rsidRPr="00CD304F" w:rsidRDefault="006E494E"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Contraction</w:t>
            </w:r>
          </w:p>
        </w:tc>
        <w:tc>
          <w:tcPr>
            <w:tcW w:w="1984" w:type="dxa"/>
            <w:gridSpan w:val="3"/>
            <w:tcBorders>
              <w:top w:val="single" w:sz="12" w:space="0" w:color="auto"/>
              <w:bottom w:val="none" w:sz="0" w:space="0" w:color="auto"/>
            </w:tcBorders>
            <w:noWrap/>
            <w:vAlign w:val="center"/>
            <w:hideMark/>
          </w:tcPr>
          <w:p w14:paraId="7D8619CC" w14:textId="77777777" w:rsidR="006E494E" w:rsidRPr="00CD304F" w:rsidRDefault="006E494E"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Membrane</w:t>
            </w:r>
          </w:p>
        </w:tc>
        <w:tc>
          <w:tcPr>
            <w:tcW w:w="2552" w:type="dxa"/>
            <w:gridSpan w:val="3"/>
            <w:tcBorders>
              <w:top w:val="single" w:sz="12" w:space="0" w:color="auto"/>
              <w:bottom w:val="none" w:sz="0" w:space="0" w:color="auto"/>
            </w:tcBorders>
            <w:noWrap/>
            <w:vAlign w:val="center"/>
            <w:hideMark/>
          </w:tcPr>
          <w:p w14:paraId="1C98A3CB" w14:textId="77777777" w:rsidR="006E494E" w:rsidRPr="00CD304F" w:rsidRDefault="006E494E"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Regeneration</w:t>
            </w:r>
          </w:p>
        </w:tc>
        <w:tc>
          <w:tcPr>
            <w:tcW w:w="1701" w:type="dxa"/>
            <w:gridSpan w:val="2"/>
            <w:tcBorders>
              <w:top w:val="single" w:sz="12" w:space="0" w:color="auto"/>
              <w:bottom w:val="none" w:sz="0" w:space="0" w:color="auto"/>
            </w:tcBorders>
            <w:noWrap/>
            <w:vAlign w:val="center"/>
            <w:hideMark/>
          </w:tcPr>
          <w:p w14:paraId="26D05FD1" w14:textId="77777777" w:rsidR="006E494E" w:rsidRPr="00CD304F" w:rsidRDefault="006E494E" w:rsidP="00CD33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Other</w:t>
            </w:r>
          </w:p>
        </w:tc>
      </w:tr>
      <w:tr w:rsidR="006E494E" w:rsidRPr="00CD304F" w14:paraId="4B4A12DE" w14:textId="77777777" w:rsidTr="006E494E">
        <w:trPr>
          <w:cantSplit/>
          <w:trHeight w:val="1377"/>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tcBorders>
            <w:noWrap/>
            <w:vAlign w:val="center"/>
            <w:hideMark/>
          </w:tcPr>
          <w:p w14:paraId="33CC46A2" w14:textId="77777777" w:rsidR="006E494E" w:rsidRPr="00CD304F" w:rsidRDefault="006E494E" w:rsidP="00CD334D">
            <w:pPr>
              <w:jc w:val="center"/>
              <w:rPr>
                <w:rFonts w:ascii="Calibri" w:eastAsia="Times New Roman" w:hAnsi="Calibri" w:cs="Calibri"/>
                <w:color w:val="000000"/>
                <w:sz w:val="18"/>
                <w:szCs w:val="18"/>
                <w:lang w:eastAsia="en-GB"/>
              </w:rPr>
            </w:pPr>
          </w:p>
        </w:tc>
        <w:tc>
          <w:tcPr>
            <w:tcW w:w="1554" w:type="dxa"/>
            <w:vMerge/>
            <w:tcBorders>
              <w:bottom w:val="single" w:sz="4" w:space="0" w:color="auto"/>
            </w:tcBorders>
            <w:noWrap/>
            <w:vAlign w:val="center"/>
            <w:hideMark/>
          </w:tcPr>
          <w:p w14:paraId="3EBE8CAB"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992" w:type="dxa"/>
            <w:tcBorders>
              <w:bottom w:val="single" w:sz="4" w:space="0" w:color="auto"/>
            </w:tcBorders>
            <w:noWrap/>
            <w:textDirection w:val="btLr"/>
            <w:vAlign w:val="center"/>
            <w:hideMark/>
          </w:tcPr>
          <w:p w14:paraId="2F275177"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Fiber Development</w:t>
            </w:r>
          </w:p>
        </w:tc>
        <w:tc>
          <w:tcPr>
            <w:tcW w:w="709" w:type="dxa"/>
            <w:tcBorders>
              <w:bottom w:val="single" w:sz="4" w:space="0" w:color="auto"/>
            </w:tcBorders>
            <w:noWrap/>
            <w:textDirection w:val="btLr"/>
            <w:vAlign w:val="center"/>
            <w:hideMark/>
          </w:tcPr>
          <w:p w14:paraId="126D17CD"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Myofilament</w:t>
            </w:r>
          </w:p>
        </w:tc>
        <w:tc>
          <w:tcPr>
            <w:tcW w:w="851" w:type="dxa"/>
            <w:tcBorders>
              <w:bottom w:val="single" w:sz="4" w:space="0" w:color="auto"/>
              <w:right w:val="single" w:sz="4" w:space="0" w:color="auto"/>
            </w:tcBorders>
            <w:noWrap/>
            <w:textDirection w:val="btLr"/>
            <w:vAlign w:val="center"/>
            <w:hideMark/>
          </w:tcPr>
          <w:p w14:paraId="7E36D794"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Contraction</w:t>
            </w:r>
          </w:p>
        </w:tc>
        <w:tc>
          <w:tcPr>
            <w:tcW w:w="850" w:type="dxa"/>
            <w:tcBorders>
              <w:left w:val="single" w:sz="4" w:space="0" w:color="auto"/>
              <w:bottom w:val="single" w:sz="4" w:space="0" w:color="auto"/>
            </w:tcBorders>
            <w:noWrap/>
            <w:textDirection w:val="btLr"/>
            <w:vAlign w:val="center"/>
            <w:hideMark/>
          </w:tcPr>
          <w:p w14:paraId="18F94D3E"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Neuromuscular Junction</w:t>
            </w:r>
          </w:p>
        </w:tc>
        <w:tc>
          <w:tcPr>
            <w:tcW w:w="567" w:type="dxa"/>
            <w:tcBorders>
              <w:bottom w:val="single" w:sz="4" w:space="0" w:color="auto"/>
            </w:tcBorders>
            <w:noWrap/>
            <w:textDirection w:val="btLr"/>
            <w:vAlign w:val="center"/>
            <w:hideMark/>
          </w:tcPr>
          <w:p w14:paraId="2F14FC65"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Sarcolemma</w:t>
            </w:r>
          </w:p>
        </w:tc>
        <w:tc>
          <w:tcPr>
            <w:tcW w:w="567" w:type="dxa"/>
            <w:tcBorders>
              <w:bottom w:val="single" w:sz="4" w:space="0" w:color="auto"/>
              <w:right w:val="single" w:sz="4" w:space="0" w:color="auto"/>
            </w:tcBorders>
            <w:noWrap/>
            <w:textDirection w:val="btLr"/>
            <w:vAlign w:val="center"/>
            <w:hideMark/>
          </w:tcPr>
          <w:p w14:paraId="5323835C"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T-Tubule</w:t>
            </w:r>
          </w:p>
        </w:tc>
        <w:tc>
          <w:tcPr>
            <w:tcW w:w="709" w:type="dxa"/>
            <w:tcBorders>
              <w:left w:val="single" w:sz="4" w:space="0" w:color="auto"/>
              <w:bottom w:val="single" w:sz="4" w:space="0" w:color="auto"/>
            </w:tcBorders>
            <w:noWrap/>
            <w:textDirection w:val="btLr"/>
            <w:vAlign w:val="center"/>
            <w:hideMark/>
          </w:tcPr>
          <w:p w14:paraId="14734401"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Hypertrophy</w:t>
            </w:r>
          </w:p>
        </w:tc>
        <w:tc>
          <w:tcPr>
            <w:tcW w:w="850" w:type="dxa"/>
            <w:tcBorders>
              <w:bottom w:val="single" w:sz="4" w:space="0" w:color="auto"/>
            </w:tcBorders>
            <w:noWrap/>
            <w:textDirection w:val="btLr"/>
            <w:vAlign w:val="center"/>
            <w:hideMark/>
          </w:tcPr>
          <w:p w14:paraId="25049D34"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Tissue Regeneration</w:t>
            </w:r>
          </w:p>
        </w:tc>
        <w:tc>
          <w:tcPr>
            <w:tcW w:w="993" w:type="dxa"/>
            <w:tcBorders>
              <w:bottom w:val="single" w:sz="4" w:space="0" w:color="auto"/>
              <w:right w:val="single" w:sz="4" w:space="0" w:color="auto"/>
            </w:tcBorders>
            <w:noWrap/>
            <w:textDirection w:val="btLr"/>
            <w:vAlign w:val="center"/>
            <w:hideMark/>
          </w:tcPr>
          <w:p w14:paraId="3D0F8844"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Striated Muscle Cell Proliferation</w:t>
            </w:r>
          </w:p>
        </w:tc>
        <w:tc>
          <w:tcPr>
            <w:tcW w:w="708" w:type="dxa"/>
            <w:tcBorders>
              <w:left w:val="single" w:sz="4" w:space="0" w:color="auto"/>
              <w:bottom w:val="single" w:sz="4" w:space="0" w:color="auto"/>
            </w:tcBorders>
            <w:noWrap/>
            <w:textDirection w:val="btLr"/>
            <w:vAlign w:val="center"/>
            <w:hideMark/>
          </w:tcPr>
          <w:p w14:paraId="17EB7145"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Myoblast Fusion</w:t>
            </w:r>
          </w:p>
        </w:tc>
        <w:tc>
          <w:tcPr>
            <w:tcW w:w="993" w:type="dxa"/>
            <w:tcBorders>
              <w:bottom w:val="single" w:sz="4" w:space="0" w:color="auto"/>
            </w:tcBorders>
            <w:noWrap/>
            <w:textDirection w:val="btLr"/>
            <w:vAlign w:val="center"/>
            <w:hideMark/>
          </w:tcPr>
          <w:p w14:paraId="3E65325E" w14:textId="77777777" w:rsidR="006E494E" w:rsidRPr="00CD304F" w:rsidRDefault="006E494E" w:rsidP="00CD334D">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Cell Differentiation</w:t>
            </w:r>
          </w:p>
        </w:tc>
      </w:tr>
      <w:tr w:rsidR="006E494E" w:rsidRPr="00CD304F" w14:paraId="10D471E9"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single" w:sz="4" w:space="0" w:color="auto"/>
              <w:left w:val="nil"/>
              <w:bottom w:val="nil"/>
              <w:right w:val="nil"/>
            </w:tcBorders>
            <w:noWrap/>
            <w:vAlign w:val="center"/>
            <w:hideMark/>
          </w:tcPr>
          <w:p w14:paraId="73C2BCDD"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w:t>
            </w:r>
          </w:p>
        </w:tc>
      </w:tr>
      <w:tr w:rsidR="006E494E" w:rsidRPr="00CD304F" w14:paraId="26958EEB"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122A26E"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5mil</w:t>
            </w:r>
          </w:p>
        </w:tc>
        <w:tc>
          <w:tcPr>
            <w:tcW w:w="1554" w:type="dxa"/>
            <w:noWrap/>
            <w:vAlign w:val="center"/>
            <w:hideMark/>
          </w:tcPr>
          <w:p w14:paraId="68BE24E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39.2</w:t>
            </w:r>
          </w:p>
        </w:tc>
        <w:tc>
          <w:tcPr>
            <w:tcW w:w="992" w:type="dxa"/>
            <w:noWrap/>
            <w:vAlign w:val="center"/>
            <w:hideMark/>
          </w:tcPr>
          <w:p w14:paraId="619BCFE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35.2</w:t>
            </w:r>
          </w:p>
        </w:tc>
        <w:tc>
          <w:tcPr>
            <w:tcW w:w="709" w:type="dxa"/>
            <w:noWrap/>
            <w:vAlign w:val="center"/>
            <w:hideMark/>
          </w:tcPr>
          <w:p w14:paraId="318373B0"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83.5</w:t>
            </w:r>
          </w:p>
        </w:tc>
        <w:tc>
          <w:tcPr>
            <w:tcW w:w="851" w:type="dxa"/>
            <w:noWrap/>
            <w:vAlign w:val="center"/>
            <w:hideMark/>
          </w:tcPr>
          <w:p w14:paraId="1AF9E53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48.4</w:t>
            </w:r>
          </w:p>
        </w:tc>
        <w:tc>
          <w:tcPr>
            <w:tcW w:w="850" w:type="dxa"/>
            <w:noWrap/>
            <w:vAlign w:val="center"/>
            <w:hideMark/>
          </w:tcPr>
          <w:p w14:paraId="7FDAD38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14.4</w:t>
            </w:r>
          </w:p>
        </w:tc>
        <w:tc>
          <w:tcPr>
            <w:tcW w:w="567" w:type="dxa"/>
            <w:noWrap/>
            <w:vAlign w:val="center"/>
            <w:hideMark/>
          </w:tcPr>
          <w:p w14:paraId="08F2DC5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25.9</w:t>
            </w:r>
          </w:p>
        </w:tc>
        <w:tc>
          <w:tcPr>
            <w:tcW w:w="567" w:type="dxa"/>
            <w:noWrap/>
            <w:vAlign w:val="center"/>
            <w:hideMark/>
          </w:tcPr>
          <w:p w14:paraId="67FC6CF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43.5</w:t>
            </w:r>
          </w:p>
        </w:tc>
        <w:tc>
          <w:tcPr>
            <w:tcW w:w="709" w:type="dxa"/>
            <w:noWrap/>
            <w:vAlign w:val="center"/>
            <w:hideMark/>
          </w:tcPr>
          <w:p w14:paraId="59EC4A3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17.1</w:t>
            </w:r>
          </w:p>
        </w:tc>
        <w:tc>
          <w:tcPr>
            <w:tcW w:w="850" w:type="dxa"/>
            <w:noWrap/>
            <w:vAlign w:val="center"/>
            <w:hideMark/>
          </w:tcPr>
          <w:p w14:paraId="58E90D8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22.1</w:t>
            </w:r>
          </w:p>
        </w:tc>
        <w:tc>
          <w:tcPr>
            <w:tcW w:w="993" w:type="dxa"/>
            <w:noWrap/>
            <w:vAlign w:val="center"/>
            <w:hideMark/>
          </w:tcPr>
          <w:p w14:paraId="7FB9E30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34.4</w:t>
            </w:r>
          </w:p>
        </w:tc>
        <w:tc>
          <w:tcPr>
            <w:tcW w:w="708" w:type="dxa"/>
            <w:noWrap/>
            <w:vAlign w:val="center"/>
            <w:hideMark/>
          </w:tcPr>
          <w:p w14:paraId="1947EA66"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993" w:type="dxa"/>
            <w:noWrap/>
            <w:vAlign w:val="center"/>
            <w:hideMark/>
          </w:tcPr>
          <w:p w14:paraId="76F816F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16.1</w:t>
            </w:r>
          </w:p>
        </w:tc>
      </w:tr>
      <w:tr w:rsidR="006E494E" w:rsidRPr="00CD304F" w14:paraId="4525965C"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5298A603"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w:t>
            </w:r>
          </w:p>
        </w:tc>
      </w:tr>
      <w:tr w:rsidR="006E494E" w:rsidRPr="00CD304F" w14:paraId="7752E544"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E061605"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SM 0.6mil</w:t>
            </w:r>
          </w:p>
        </w:tc>
        <w:tc>
          <w:tcPr>
            <w:tcW w:w="1554" w:type="dxa"/>
            <w:noWrap/>
            <w:vAlign w:val="center"/>
            <w:hideMark/>
          </w:tcPr>
          <w:p w14:paraId="5A87AC6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24.3</w:t>
            </w:r>
          </w:p>
        </w:tc>
        <w:tc>
          <w:tcPr>
            <w:tcW w:w="992" w:type="dxa"/>
            <w:noWrap/>
            <w:vAlign w:val="center"/>
            <w:hideMark/>
          </w:tcPr>
          <w:p w14:paraId="21EE15E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22.3</w:t>
            </w:r>
          </w:p>
        </w:tc>
        <w:tc>
          <w:tcPr>
            <w:tcW w:w="709" w:type="dxa"/>
            <w:noWrap/>
            <w:vAlign w:val="center"/>
            <w:hideMark/>
          </w:tcPr>
          <w:p w14:paraId="45CA3B7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70.3</w:t>
            </w:r>
          </w:p>
        </w:tc>
        <w:tc>
          <w:tcPr>
            <w:tcW w:w="851" w:type="dxa"/>
            <w:noWrap/>
            <w:vAlign w:val="center"/>
            <w:hideMark/>
          </w:tcPr>
          <w:p w14:paraId="7A593A0B"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37.8</w:t>
            </w:r>
          </w:p>
        </w:tc>
        <w:tc>
          <w:tcPr>
            <w:tcW w:w="850" w:type="dxa"/>
            <w:noWrap/>
            <w:vAlign w:val="center"/>
            <w:hideMark/>
          </w:tcPr>
          <w:p w14:paraId="4C14C01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9.4</w:t>
            </w:r>
          </w:p>
        </w:tc>
        <w:tc>
          <w:tcPr>
            <w:tcW w:w="567" w:type="dxa"/>
            <w:noWrap/>
            <w:vAlign w:val="center"/>
            <w:hideMark/>
          </w:tcPr>
          <w:p w14:paraId="5319209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w:t>
            </w:r>
          </w:p>
        </w:tc>
        <w:tc>
          <w:tcPr>
            <w:tcW w:w="567" w:type="dxa"/>
            <w:noWrap/>
            <w:vAlign w:val="center"/>
            <w:hideMark/>
          </w:tcPr>
          <w:p w14:paraId="0605427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26.7</w:t>
            </w:r>
          </w:p>
        </w:tc>
        <w:tc>
          <w:tcPr>
            <w:tcW w:w="709" w:type="dxa"/>
            <w:noWrap/>
            <w:vAlign w:val="center"/>
            <w:hideMark/>
          </w:tcPr>
          <w:p w14:paraId="12D291E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10.2</w:t>
            </w:r>
          </w:p>
        </w:tc>
        <w:tc>
          <w:tcPr>
            <w:tcW w:w="850" w:type="dxa"/>
            <w:noWrap/>
            <w:vAlign w:val="center"/>
            <w:hideMark/>
          </w:tcPr>
          <w:p w14:paraId="33338B1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9.2</w:t>
            </w:r>
          </w:p>
        </w:tc>
        <w:tc>
          <w:tcPr>
            <w:tcW w:w="993" w:type="dxa"/>
            <w:noWrap/>
            <w:vAlign w:val="center"/>
            <w:hideMark/>
          </w:tcPr>
          <w:p w14:paraId="5B6B616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24.6</w:t>
            </w:r>
          </w:p>
        </w:tc>
        <w:tc>
          <w:tcPr>
            <w:tcW w:w="708" w:type="dxa"/>
            <w:noWrap/>
            <w:vAlign w:val="center"/>
            <w:hideMark/>
          </w:tcPr>
          <w:p w14:paraId="4184457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6.2</w:t>
            </w:r>
          </w:p>
        </w:tc>
        <w:tc>
          <w:tcPr>
            <w:tcW w:w="993" w:type="dxa"/>
            <w:noWrap/>
            <w:vAlign w:val="center"/>
            <w:hideMark/>
          </w:tcPr>
          <w:p w14:paraId="0A68F38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19.8</w:t>
            </w:r>
          </w:p>
        </w:tc>
      </w:tr>
      <w:tr w:rsidR="006E494E" w:rsidRPr="00CD304F" w14:paraId="2352C27A"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42326B7F"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Gene Coexpression</w:t>
            </w:r>
          </w:p>
        </w:tc>
      </w:tr>
      <w:tr w:rsidR="006E494E" w:rsidRPr="00CD304F" w14:paraId="7D5CA653"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8FB85E8"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COXPRESdb 5.5mil</w:t>
            </w:r>
          </w:p>
        </w:tc>
        <w:tc>
          <w:tcPr>
            <w:tcW w:w="1554" w:type="dxa"/>
            <w:noWrap/>
            <w:vAlign w:val="center"/>
            <w:hideMark/>
          </w:tcPr>
          <w:p w14:paraId="244CE8F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21.9</w:t>
            </w:r>
          </w:p>
        </w:tc>
        <w:tc>
          <w:tcPr>
            <w:tcW w:w="992" w:type="dxa"/>
            <w:noWrap/>
            <w:vAlign w:val="center"/>
            <w:hideMark/>
          </w:tcPr>
          <w:p w14:paraId="3592948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29.9</w:t>
            </w:r>
          </w:p>
        </w:tc>
        <w:tc>
          <w:tcPr>
            <w:tcW w:w="709" w:type="dxa"/>
            <w:noWrap/>
            <w:vAlign w:val="center"/>
            <w:hideMark/>
          </w:tcPr>
          <w:p w14:paraId="5359442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48.3</w:t>
            </w:r>
          </w:p>
        </w:tc>
        <w:tc>
          <w:tcPr>
            <w:tcW w:w="851" w:type="dxa"/>
            <w:noWrap/>
            <w:vAlign w:val="center"/>
            <w:hideMark/>
          </w:tcPr>
          <w:p w14:paraId="22996E9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46.5</w:t>
            </w:r>
          </w:p>
        </w:tc>
        <w:tc>
          <w:tcPr>
            <w:tcW w:w="850" w:type="dxa"/>
            <w:noWrap/>
            <w:vAlign w:val="center"/>
            <w:hideMark/>
          </w:tcPr>
          <w:p w14:paraId="733403B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w:t>
            </w:r>
          </w:p>
        </w:tc>
        <w:tc>
          <w:tcPr>
            <w:tcW w:w="567" w:type="dxa"/>
            <w:noWrap/>
            <w:vAlign w:val="center"/>
            <w:hideMark/>
          </w:tcPr>
          <w:p w14:paraId="2D80AA6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567" w:type="dxa"/>
            <w:noWrap/>
            <w:vAlign w:val="center"/>
            <w:hideMark/>
          </w:tcPr>
          <w:p w14:paraId="3C15059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13.3</w:t>
            </w:r>
          </w:p>
        </w:tc>
        <w:tc>
          <w:tcPr>
            <w:tcW w:w="709" w:type="dxa"/>
            <w:noWrap/>
            <w:vAlign w:val="center"/>
            <w:hideMark/>
          </w:tcPr>
          <w:p w14:paraId="0D84F84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13.1</w:t>
            </w:r>
          </w:p>
        </w:tc>
        <w:tc>
          <w:tcPr>
            <w:tcW w:w="850" w:type="dxa"/>
            <w:noWrap/>
            <w:vAlign w:val="center"/>
            <w:hideMark/>
          </w:tcPr>
          <w:p w14:paraId="4134B380"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18.8</w:t>
            </w:r>
          </w:p>
        </w:tc>
        <w:tc>
          <w:tcPr>
            <w:tcW w:w="993" w:type="dxa"/>
            <w:noWrap/>
            <w:vAlign w:val="center"/>
            <w:hideMark/>
          </w:tcPr>
          <w:p w14:paraId="1DD6FFD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w:t>
            </w:r>
          </w:p>
        </w:tc>
        <w:tc>
          <w:tcPr>
            <w:tcW w:w="708" w:type="dxa"/>
            <w:noWrap/>
            <w:vAlign w:val="center"/>
            <w:hideMark/>
          </w:tcPr>
          <w:p w14:paraId="5C21490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w:t>
            </w:r>
          </w:p>
        </w:tc>
        <w:tc>
          <w:tcPr>
            <w:tcW w:w="993" w:type="dxa"/>
            <w:noWrap/>
            <w:vAlign w:val="center"/>
            <w:hideMark/>
          </w:tcPr>
          <w:p w14:paraId="03FC33D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17.8</w:t>
            </w:r>
          </w:p>
        </w:tc>
      </w:tr>
      <w:tr w:rsidR="006E494E" w:rsidRPr="00CD304F" w14:paraId="662AF2EA"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6665B057"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Gene Coexpression</w:t>
            </w:r>
          </w:p>
        </w:tc>
      </w:tr>
      <w:tr w:rsidR="006E494E" w:rsidRPr="00CD304F" w14:paraId="329DAD6E"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8B5D7C6"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MyoMiner Cell r&gt;= 0.6 +</w:t>
            </w:r>
          </w:p>
        </w:tc>
        <w:tc>
          <w:tcPr>
            <w:tcW w:w="1554" w:type="dxa"/>
            <w:noWrap/>
            <w:vAlign w:val="center"/>
            <w:hideMark/>
          </w:tcPr>
          <w:p w14:paraId="1323757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16.5</w:t>
            </w:r>
          </w:p>
        </w:tc>
        <w:tc>
          <w:tcPr>
            <w:tcW w:w="992" w:type="dxa"/>
            <w:noWrap/>
            <w:vAlign w:val="center"/>
            <w:hideMark/>
          </w:tcPr>
          <w:p w14:paraId="525E01F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w:t>
            </w:r>
          </w:p>
        </w:tc>
        <w:tc>
          <w:tcPr>
            <w:tcW w:w="709" w:type="dxa"/>
            <w:noWrap/>
            <w:vAlign w:val="center"/>
            <w:hideMark/>
          </w:tcPr>
          <w:p w14:paraId="7B7F23B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39.8</w:t>
            </w:r>
          </w:p>
        </w:tc>
        <w:tc>
          <w:tcPr>
            <w:tcW w:w="851" w:type="dxa"/>
            <w:noWrap/>
            <w:vAlign w:val="center"/>
            <w:hideMark/>
          </w:tcPr>
          <w:p w14:paraId="578B323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34.6</w:t>
            </w:r>
          </w:p>
        </w:tc>
        <w:tc>
          <w:tcPr>
            <w:tcW w:w="850" w:type="dxa"/>
            <w:noWrap/>
            <w:vAlign w:val="center"/>
            <w:hideMark/>
          </w:tcPr>
          <w:p w14:paraId="12138F6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12.9</w:t>
            </w:r>
          </w:p>
        </w:tc>
        <w:tc>
          <w:tcPr>
            <w:tcW w:w="567" w:type="dxa"/>
            <w:noWrap/>
            <w:vAlign w:val="center"/>
            <w:hideMark/>
          </w:tcPr>
          <w:p w14:paraId="1371273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12.3</w:t>
            </w:r>
          </w:p>
        </w:tc>
        <w:tc>
          <w:tcPr>
            <w:tcW w:w="567" w:type="dxa"/>
            <w:noWrap/>
            <w:vAlign w:val="center"/>
            <w:hideMark/>
          </w:tcPr>
          <w:p w14:paraId="76F9C5F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10.9</w:t>
            </w:r>
          </w:p>
        </w:tc>
        <w:tc>
          <w:tcPr>
            <w:tcW w:w="709" w:type="dxa"/>
            <w:noWrap/>
            <w:vAlign w:val="center"/>
            <w:hideMark/>
          </w:tcPr>
          <w:p w14:paraId="672D5B6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13.6</w:t>
            </w:r>
          </w:p>
        </w:tc>
        <w:tc>
          <w:tcPr>
            <w:tcW w:w="850" w:type="dxa"/>
            <w:noWrap/>
            <w:vAlign w:val="center"/>
            <w:hideMark/>
          </w:tcPr>
          <w:p w14:paraId="5218EFE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13.4</w:t>
            </w:r>
          </w:p>
        </w:tc>
        <w:tc>
          <w:tcPr>
            <w:tcW w:w="993" w:type="dxa"/>
            <w:noWrap/>
            <w:vAlign w:val="center"/>
            <w:hideMark/>
          </w:tcPr>
          <w:p w14:paraId="21B8A7E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4.7</w:t>
            </w:r>
          </w:p>
        </w:tc>
        <w:tc>
          <w:tcPr>
            <w:tcW w:w="708" w:type="dxa"/>
            <w:noWrap/>
            <w:vAlign w:val="center"/>
            <w:hideMark/>
          </w:tcPr>
          <w:p w14:paraId="440DC56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5.2</w:t>
            </w:r>
          </w:p>
        </w:tc>
        <w:tc>
          <w:tcPr>
            <w:tcW w:w="993" w:type="dxa"/>
            <w:noWrap/>
            <w:vAlign w:val="center"/>
            <w:hideMark/>
          </w:tcPr>
          <w:p w14:paraId="5F5A9F4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19.3</w:t>
            </w:r>
          </w:p>
        </w:tc>
      </w:tr>
      <w:tr w:rsidR="006E494E" w:rsidRPr="00CD304F" w14:paraId="06427F51"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66131CBE"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Gene Coexpression</w:t>
            </w:r>
          </w:p>
        </w:tc>
      </w:tr>
      <w:tr w:rsidR="006E494E" w:rsidRPr="00CD304F" w14:paraId="0A181C1A"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01AF52E"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NF</w:t>
            </w:r>
          </w:p>
        </w:tc>
        <w:tc>
          <w:tcPr>
            <w:tcW w:w="1554" w:type="dxa"/>
            <w:noWrap/>
            <w:vAlign w:val="center"/>
            <w:hideMark/>
          </w:tcPr>
          <w:p w14:paraId="653CCCB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40.3</w:t>
            </w:r>
          </w:p>
        </w:tc>
        <w:tc>
          <w:tcPr>
            <w:tcW w:w="992" w:type="dxa"/>
            <w:noWrap/>
            <w:vAlign w:val="center"/>
            <w:hideMark/>
          </w:tcPr>
          <w:p w14:paraId="68873F2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35.3</w:t>
            </w:r>
          </w:p>
        </w:tc>
        <w:tc>
          <w:tcPr>
            <w:tcW w:w="709" w:type="dxa"/>
            <w:noWrap/>
            <w:vAlign w:val="center"/>
            <w:hideMark/>
          </w:tcPr>
          <w:p w14:paraId="278DD85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84</w:t>
            </w:r>
          </w:p>
        </w:tc>
        <w:tc>
          <w:tcPr>
            <w:tcW w:w="851" w:type="dxa"/>
            <w:noWrap/>
            <w:vAlign w:val="center"/>
            <w:hideMark/>
          </w:tcPr>
          <w:p w14:paraId="07B1450B"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48.7</w:t>
            </w:r>
          </w:p>
        </w:tc>
        <w:tc>
          <w:tcPr>
            <w:tcW w:w="850" w:type="dxa"/>
            <w:noWrap/>
            <w:vAlign w:val="center"/>
            <w:hideMark/>
          </w:tcPr>
          <w:p w14:paraId="36B27CC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14.7</w:t>
            </w:r>
          </w:p>
        </w:tc>
        <w:tc>
          <w:tcPr>
            <w:tcW w:w="567" w:type="dxa"/>
            <w:noWrap/>
            <w:vAlign w:val="center"/>
            <w:hideMark/>
          </w:tcPr>
          <w:p w14:paraId="7868D61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26.5</w:t>
            </w:r>
          </w:p>
        </w:tc>
        <w:tc>
          <w:tcPr>
            <w:tcW w:w="567" w:type="dxa"/>
            <w:noWrap/>
            <w:vAlign w:val="center"/>
            <w:hideMark/>
          </w:tcPr>
          <w:p w14:paraId="68E9683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45.4</w:t>
            </w:r>
          </w:p>
        </w:tc>
        <w:tc>
          <w:tcPr>
            <w:tcW w:w="709" w:type="dxa"/>
            <w:noWrap/>
            <w:vAlign w:val="center"/>
            <w:hideMark/>
          </w:tcPr>
          <w:p w14:paraId="5D4F498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17.8</w:t>
            </w:r>
          </w:p>
        </w:tc>
        <w:tc>
          <w:tcPr>
            <w:tcW w:w="850" w:type="dxa"/>
            <w:noWrap/>
            <w:vAlign w:val="center"/>
            <w:hideMark/>
          </w:tcPr>
          <w:p w14:paraId="45C4106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22.8</w:t>
            </w:r>
          </w:p>
        </w:tc>
        <w:tc>
          <w:tcPr>
            <w:tcW w:w="993" w:type="dxa"/>
            <w:noWrap/>
            <w:vAlign w:val="center"/>
            <w:hideMark/>
          </w:tcPr>
          <w:p w14:paraId="0DB5921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w:t>
            </w:r>
          </w:p>
        </w:tc>
        <w:tc>
          <w:tcPr>
            <w:tcW w:w="708" w:type="dxa"/>
            <w:noWrap/>
            <w:vAlign w:val="center"/>
            <w:hideMark/>
          </w:tcPr>
          <w:p w14:paraId="09B233F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10.9</w:t>
            </w:r>
          </w:p>
        </w:tc>
        <w:tc>
          <w:tcPr>
            <w:tcW w:w="993" w:type="dxa"/>
            <w:noWrap/>
            <w:vAlign w:val="center"/>
            <w:hideMark/>
          </w:tcPr>
          <w:p w14:paraId="147FE8F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15.9</w:t>
            </w:r>
          </w:p>
        </w:tc>
      </w:tr>
      <w:tr w:rsidR="006E494E" w:rsidRPr="00CD304F" w14:paraId="517FC949"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9FACDE9"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U</w:t>
            </w:r>
          </w:p>
        </w:tc>
        <w:tc>
          <w:tcPr>
            <w:tcW w:w="1554" w:type="dxa"/>
            <w:noWrap/>
            <w:vAlign w:val="center"/>
            <w:hideMark/>
          </w:tcPr>
          <w:p w14:paraId="05BA53E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35.8</w:t>
            </w:r>
          </w:p>
        </w:tc>
        <w:tc>
          <w:tcPr>
            <w:tcW w:w="992" w:type="dxa"/>
            <w:noWrap/>
            <w:vAlign w:val="center"/>
            <w:hideMark/>
          </w:tcPr>
          <w:p w14:paraId="5831090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33.3</w:t>
            </w:r>
          </w:p>
        </w:tc>
        <w:tc>
          <w:tcPr>
            <w:tcW w:w="709" w:type="dxa"/>
            <w:noWrap/>
            <w:vAlign w:val="center"/>
            <w:hideMark/>
          </w:tcPr>
          <w:p w14:paraId="6C350C8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69.1</w:t>
            </w:r>
          </w:p>
        </w:tc>
        <w:tc>
          <w:tcPr>
            <w:tcW w:w="851" w:type="dxa"/>
            <w:noWrap/>
            <w:vAlign w:val="center"/>
            <w:hideMark/>
          </w:tcPr>
          <w:p w14:paraId="4A2EFBA6"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55.2</w:t>
            </w:r>
          </w:p>
        </w:tc>
        <w:tc>
          <w:tcPr>
            <w:tcW w:w="850" w:type="dxa"/>
            <w:noWrap/>
            <w:vAlign w:val="center"/>
            <w:hideMark/>
          </w:tcPr>
          <w:p w14:paraId="0778F05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567" w:type="dxa"/>
            <w:noWrap/>
            <w:vAlign w:val="center"/>
            <w:hideMark/>
          </w:tcPr>
          <w:p w14:paraId="45A8F5B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24.9</w:t>
            </w:r>
          </w:p>
        </w:tc>
        <w:tc>
          <w:tcPr>
            <w:tcW w:w="567" w:type="dxa"/>
            <w:noWrap/>
            <w:vAlign w:val="center"/>
            <w:hideMark/>
          </w:tcPr>
          <w:p w14:paraId="7DE6A16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39.1</w:t>
            </w:r>
          </w:p>
        </w:tc>
        <w:tc>
          <w:tcPr>
            <w:tcW w:w="709" w:type="dxa"/>
            <w:noWrap/>
            <w:vAlign w:val="center"/>
            <w:hideMark/>
          </w:tcPr>
          <w:p w14:paraId="13CBC4CB"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14.2</w:t>
            </w:r>
          </w:p>
        </w:tc>
        <w:tc>
          <w:tcPr>
            <w:tcW w:w="850" w:type="dxa"/>
            <w:noWrap/>
            <w:vAlign w:val="center"/>
            <w:hideMark/>
          </w:tcPr>
          <w:p w14:paraId="0B494C5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23.4</w:t>
            </w:r>
          </w:p>
        </w:tc>
        <w:tc>
          <w:tcPr>
            <w:tcW w:w="993" w:type="dxa"/>
            <w:noWrap/>
            <w:vAlign w:val="center"/>
            <w:hideMark/>
          </w:tcPr>
          <w:p w14:paraId="16020F48"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31.4</w:t>
            </w:r>
          </w:p>
        </w:tc>
        <w:tc>
          <w:tcPr>
            <w:tcW w:w="708" w:type="dxa"/>
            <w:noWrap/>
            <w:vAlign w:val="center"/>
            <w:hideMark/>
          </w:tcPr>
          <w:p w14:paraId="6810EBA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6.1</w:t>
            </w:r>
          </w:p>
        </w:tc>
        <w:tc>
          <w:tcPr>
            <w:tcW w:w="993" w:type="dxa"/>
            <w:noWrap/>
            <w:vAlign w:val="center"/>
            <w:hideMark/>
          </w:tcPr>
          <w:p w14:paraId="6C2E910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14.7</w:t>
            </w:r>
          </w:p>
        </w:tc>
      </w:tr>
      <w:tr w:rsidR="006E494E" w:rsidRPr="00CD304F" w14:paraId="46C54A79"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2E59D175"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Muscle Gene Coexpression</w:t>
            </w:r>
          </w:p>
        </w:tc>
      </w:tr>
      <w:tr w:rsidR="006E494E" w:rsidRPr="00CD304F" w14:paraId="5D3BBFE0"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9C6DD0D"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NF</w:t>
            </w:r>
          </w:p>
        </w:tc>
        <w:tc>
          <w:tcPr>
            <w:tcW w:w="1554" w:type="dxa"/>
            <w:noWrap/>
            <w:vAlign w:val="center"/>
            <w:hideMark/>
          </w:tcPr>
          <w:p w14:paraId="7D1AEE12"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45.6</w:t>
            </w:r>
          </w:p>
        </w:tc>
        <w:tc>
          <w:tcPr>
            <w:tcW w:w="992" w:type="dxa"/>
            <w:noWrap/>
            <w:vAlign w:val="center"/>
            <w:hideMark/>
          </w:tcPr>
          <w:p w14:paraId="0D2C2B2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38.6</w:t>
            </w:r>
          </w:p>
        </w:tc>
        <w:tc>
          <w:tcPr>
            <w:tcW w:w="709" w:type="dxa"/>
            <w:noWrap/>
            <w:vAlign w:val="center"/>
            <w:hideMark/>
          </w:tcPr>
          <w:p w14:paraId="727FCEA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87.4</w:t>
            </w:r>
          </w:p>
        </w:tc>
        <w:tc>
          <w:tcPr>
            <w:tcW w:w="851" w:type="dxa"/>
            <w:noWrap/>
            <w:vAlign w:val="center"/>
            <w:hideMark/>
          </w:tcPr>
          <w:p w14:paraId="2C26EC6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48.8</w:t>
            </w:r>
          </w:p>
        </w:tc>
        <w:tc>
          <w:tcPr>
            <w:tcW w:w="850" w:type="dxa"/>
            <w:noWrap/>
            <w:vAlign w:val="center"/>
            <w:hideMark/>
          </w:tcPr>
          <w:p w14:paraId="6C48E7D6"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15.9</w:t>
            </w:r>
          </w:p>
        </w:tc>
        <w:tc>
          <w:tcPr>
            <w:tcW w:w="567" w:type="dxa"/>
            <w:noWrap/>
            <w:vAlign w:val="center"/>
            <w:hideMark/>
          </w:tcPr>
          <w:p w14:paraId="43F2FF9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28</w:t>
            </w:r>
          </w:p>
        </w:tc>
        <w:tc>
          <w:tcPr>
            <w:tcW w:w="567" w:type="dxa"/>
            <w:noWrap/>
            <w:vAlign w:val="center"/>
            <w:hideMark/>
          </w:tcPr>
          <w:p w14:paraId="5C433D3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53.5</w:t>
            </w:r>
          </w:p>
        </w:tc>
        <w:tc>
          <w:tcPr>
            <w:tcW w:w="709" w:type="dxa"/>
            <w:noWrap/>
            <w:vAlign w:val="center"/>
            <w:hideMark/>
          </w:tcPr>
          <w:p w14:paraId="1A900AC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20.8</w:t>
            </w:r>
          </w:p>
        </w:tc>
        <w:tc>
          <w:tcPr>
            <w:tcW w:w="850" w:type="dxa"/>
            <w:noWrap/>
            <w:vAlign w:val="center"/>
            <w:hideMark/>
          </w:tcPr>
          <w:p w14:paraId="22FB073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19.4</w:t>
            </w:r>
          </w:p>
        </w:tc>
        <w:tc>
          <w:tcPr>
            <w:tcW w:w="993" w:type="dxa"/>
            <w:noWrap/>
            <w:vAlign w:val="center"/>
            <w:hideMark/>
          </w:tcPr>
          <w:p w14:paraId="1350409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37.2</w:t>
            </w:r>
          </w:p>
        </w:tc>
        <w:tc>
          <w:tcPr>
            <w:tcW w:w="708" w:type="dxa"/>
            <w:noWrap/>
            <w:vAlign w:val="center"/>
            <w:hideMark/>
          </w:tcPr>
          <w:p w14:paraId="08CAAD8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993" w:type="dxa"/>
            <w:noWrap/>
            <w:vAlign w:val="center"/>
            <w:hideMark/>
          </w:tcPr>
          <w:p w14:paraId="626F2718"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17.2</w:t>
            </w:r>
          </w:p>
        </w:tc>
      </w:tr>
      <w:tr w:rsidR="006E494E" w:rsidRPr="00CD304F" w14:paraId="03ED9C6B"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83CCD63"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U</w:t>
            </w:r>
          </w:p>
        </w:tc>
        <w:tc>
          <w:tcPr>
            <w:tcW w:w="1554" w:type="dxa"/>
            <w:noWrap/>
            <w:vAlign w:val="center"/>
            <w:hideMark/>
          </w:tcPr>
          <w:p w14:paraId="2FA0471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32.7</w:t>
            </w:r>
          </w:p>
        </w:tc>
        <w:tc>
          <w:tcPr>
            <w:tcW w:w="992" w:type="dxa"/>
            <w:noWrap/>
            <w:vAlign w:val="center"/>
            <w:hideMark/>
          </w:tcPr>
          <w:p w14:paraId="32D3844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24.2</w:t>
            </w:r>
          </w:p>
        </w:tc>
        <w:tc>
          <w:tcPr>
            <w:tcW w:w="709" w:type="dxa"/>
            <w:noWrap/>
            <w:vAlign w:val="center"/>
            <w:hideMark/>
          </w:tcPr>
          <w:p w14:paraId="7785C87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68.2</w:t>
            </w:r>
          </w:p>
        </w:tc>
        <w:tc>
          <w:tcPr>
            <w:tcW w:w="851" w:type="dxa"/>
            <w:noWrap/>
            <w:vAlign w:val="center"/>
            <w:hideMark/>
          </w:tcPr>
          <w:p w14:paraId="6267898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38.7</w:t>
            </w:r>
          </w:p>
        </w:tc>
        <w:tc>
          <w:tcPr>
            <w:tcW w:w="850" w:type="dxa"/>
            <w:noWrap/>
            <w:vAlign w:val="center"/>
            <w:hideMark/>
          </w:tcPr>
          <w:p w14:paraId="391461F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12.6</w:t>
            </w:r>
          </w:p>
        </w:tc>
        <w:tc>
          <w:tcPr>
            <w:tcW w:w="567" w:type="dxa"/>
            <w:noWrap/>
            <w:vAlign w:val="center"/>
            <w:hideMark/>
          </w:tcPr>
          <w:p w14:paraId="5DFE99EB"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w:t>
            </w:r>
          </w:p>
        </w:tc>
        <w:tc>
          <w:tcPr>
            <w:tcW w:w="567" w:type="dxa"/>
            <w:noWrap/>
            <w:vAlign w:val="center"/>
            <w:hideMark/>
          </w:tcPr>
          <w:p w14:paraId="0B63A2C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41.6</w:t>
            </w:r>
          </w:p>
        </w:tc>
        <w:tc>
          <w:tcPr>
            <w:tcW w:w="709" w:type="dxa"/>
            <w:noWrap/>
            <w:vAlign w:val="center"/>
            <w:hideMark/>
          </w:tcPr>
          <w:p w14:paraId="0867FD3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16.5</w:t>
            </w:r>
          </w:p>
        </w:tc>
        <w:tc>
          <w:tcPr>
            <w:tcW w:w="850" w:type="dxa"/>
            <w:noWrap/>
            <w:vAlign w:val="center"/>
            <w:hideMark/>
          </w:tcPr>
          <w:p w14:paraId="186AE44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20.8</w:t>
            </w:r>
          </w:p>
        </w:tc>
        <w:tc>
          <w:tcPr>
            <w:tcW w:w="993" w:type="dxa"/>
            <w:noWrap/>
            <w:vAlign w:val="center"/>
            <w:hideMark/>
          </w:tcPr>
          <w:p w14:paraId="57C5415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33.2</w:t>
            </w:r>
          </w:p>
        </w:tc>
        <w:tc>
          <w:tcPr>
            <w:tcW w:w="708" w:type="dxa"/>
            <w:noWrap/>
            <w:vAlign w:val="center"/>
            <w:hideMark/>
          </w:tcPr>
          <w:p w14:paraId="456807C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9.4</w:t>
            </w:r>
          </w:p>
        </w:tc>
        <w:tc>
          <w:tcPr>
            <w:tcW w:w="993" w:type="dxa"/>
            <w:noWrap/>
            <w:vAlign w:val="center"/>
            <w:hideMark/>
          </w:tcPr>
          <w:p w14:paraId="4300774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15.5</w:t>
            </w:r>
          </w:p>
        </w:tc>
      </w:tr>
      <w:tr w:rsidR="006E494E" w:rsidRPr="00CD304F" w14:paraId="1E0891B0"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4D96675F"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Gene Coexpression</w:t>
            </w:r>
          </w:p>
        </w:tc>
      </w:tr>
      <w:tr w:rsidR="006E494E" w:rsidRPr="00CD304F" w14:paraId="52EDE38C"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9C9CF2D"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NF</w:t>
            </w:r>
          </w:p>
        </w:tc>
        <w:tc>
          <w:tcPr>
            <w:tcW w:w="1554" w:type="dxa"/>
            <w:noWrap/>
            <w:vAlign w:val="center"/>
            <w:hideMark/>
          </w:tcPr>
          <w:p w14:paraId="5E1DBAB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24.9</w:t>
            </w:r>
          </w:p>
        </w:tc>
        <w:tc>
          <w:tcPr>
            <w:tcW w:w="992" w:type="dxa"/>
            <w:noWrap/>
            <w:vAlign w:val="center"/>
            <w:hideMark/>
          </w:tcPr>
          <w:p w14:paraId="35905E90"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19.9</w:t>
            </w:r>
          </w:p>
        </w:tc>
        <w:tc>
          <w:tcPr>
            <w:tcW w:w="709" w:type="dxa"/>
            <w:noWrap/>
            <w:vAlign w:val="center"/>
            <w:hideMark/>
          </w:tcPr>
          <w:p w14:paraId="7E88859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72.1</w:t>
            </w:r>
          </w:p>
        </w:tc>
        <w:tc>
          <w:tcPr>
            <w:tcW w:w="851" w:type="dxa"/>
            <w:noWrap/>
            <w:vAlign w:val="center"/>
            <w:hideMark/>
          </w:tcPr>
          <w:p w14:paraId="567AC6E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37.5</w:t>
            </w:r>
          </w:p>
        </w:tc>
        <w:tc>
          <w:tcPr>
            <w:tcW w:w="850" w:type="dxa"/>
            <w:noWrap/>
            <w:vAlign w:val="center"/>
            <w:hideMark/>
          </w:tcPr>
          <w:p w14:paraId="3F2E6BB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9.2</w:t>
            </w:r>
          </w:p>
        </w:tc>
        <w:tc>
          <w:tcPr>
            <w:tcW w:w="567" w:type="dxa"/>
            <w:noWrap/>
            <w:vAlign w:val="center"/>
            <w:hideMark/>
          </w:tcPr>
          <w:p w14:paraId="72E6D106"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27.7</w:t>
            </w:r>
          </w:p>
        </w:tc>
        <w:tc>
          <w:tcPr>
            <w:tcW w:w="567" w:type="dxa"/>
            <w:noWrap/>
            <w:vAlign w:val="center"/>
            <w:hideMark/>
          </w:tcPr>
          <w:p w14:paraId="1BEDBDF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30</w:t>
            </w:r>
          </w:p>
        </w:tc>
        <w:tc>
          <w:tcPr>
            <w:tcW w:w="709" w:type="dxa"/>
            <w:noWrap/>
            <w:vAlign w:val="center"/>
            <w:hideMark/>
          </w:tcPr>
          <w:p w14:paraId="0A9D0D5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10.2</w:t>
            </w:r>
          </w:p>
        </w:tc>
        <w:tc>
          <w:tcPr>
            <w:tcW w:w="850" w:type="dxa"/>
            <w:noWrap/>
            <w:vAlign w:val="center"/>
            <w:hideMark/>
          </w:tcPr>
          <w:p w14:paraId="461571F6"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6.8</w:t>
            </w:r>
          </w:p>
        </w:tc>
        <w:tc>
          <w:tcPr>
            <w:tcW w:w="993" w:type="dxa"/>
            <w:noWrap/>
            <w:vAlign w:val="center"/>
            <w:hideMark/>
          </w:tcPr>
          <w:p w14:paraId="3FC1BC6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25.8</w:t>
            </w:r>
          </w:p>
        </w:tc>
        <w:tc>
          <w:tcPr>
            <w:tcW w:w="708" w:type="dxa"/>
            <w:noWrap/>
            <w:vAlign w:val="center"/>
            <w:hideMark/>
          </w:tcPr>
          <w:p w14:paraId="0666046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5.8</w:t>
            </w:r>
          </w:p>
        </w:tc>
        <w:tc>
          <w:tcPr>
            <w:tcW w:w="993" w:type="dxa"/>
            <w:noWrap/>
            <w:vAlign w:val="center"/>
            <w:hideMark/>
          </w:tcPr>
          <w:p w14:paraId="12C2B6D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19.8</w:t>
            </w:r>
          </w:p>
        </w:tc>
      </w:tr>
      <w:tr w:rsidR="006E494E" w:rsidRPr="00CD304F" w14:paraId="2F683607"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B3F5298"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U</w:t>
            </w:r>
          </w:p>
        </w:tc>
        <w:tc>
          <w:tcPr>
            <w:tcW w:w="1554" w:type="dxa"/>
            <w:noWrap/>
            <w:vAlign w:val="center"/>
            <w:hideMark/>
          </w:tcPr>
          <w:p w14:paraId="175057C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21.8</w:t>
            </w:r>
          </w:p>
        </w:tc>
        <w:tc>
          <w:tcPr>
            <w:tcW w:w="992" w:type="dxa"/>
            <w:noWrap/>
            <w:vAlign w:val="center"/>
            <w:hideMark/>
          </w:tcPr>
          <w:p w14:paraId="0045315D"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29.3</w:t>
            </w:r>
          </w:p>
        </w:tc>
        <w:tc>
          <w:tcPr>
            <w:tcW w:w="709" w:type="dxa"/>
            <w:noWrap/>
            <w:vAlign w:val="center"/>
            <w:hideMark/>
          </w:tcPr>
          <w:p w14:paraId="798360B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56.2</w:t>
            </w:r>
          </w:p>
        </w:tc>
        <w:tc>
          <w:tcPr>
            <w:tcW w:w="851" w:type="dxa"/>
            <w:noWrap/>
            <w:vAlign w:val="center"/>
            <w:hideMark/>
          </w:tcPr>
          <w:p w14:paraId="402386C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46.7</w:t>
            </w:r>
          </w:p>
        </w:tc>
        <w:tc>
          <w:tcPr>
            <w:tcW w:w="850" w:type="dxa"/>
            <w:noWrap/>
            <w:vAlign w:val="center"/>
            <w:hideMark/>
          </w:tcPr>
          <w:p w14:paraId="2DF69793"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3.6</w:t>
            </w:r>
          </w:p>
        </w:tc>
        <w:tc>
          <w:tcPr>
            <w:tcW w:w="567" w:type="dxa"/>
            <w:noWrap/>
            <w:vAlign w:val="center"/>
            <w:hideMark/>
          </w:tcPr>
          <w:p w14:paraId="6821B1F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19.3</w:t>
            </w:r>
          </w:p>
        </w:tc>
        <w:tc>
          <w:tcPr>
            <w:tcW w:w="567" w:type="dxa"/>
            <w:noWrap/>
            <w:vAlign w:val="center"/>
            <w:hideMark/>
          </w:tcPr>
          <w:p w14:paraId="6FB599E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13.7</w:t>
            </w:r>
          </w:p>
        </w:tc>
        <w:tc>
          <w:tcPr>
            <w:tcW w:w="709" w:type="dxa"/>
            <w:noWrap/>
            <w:vAlign w:val="center"/>
            <w:hideMark/>
          </w:tcPr>
          <w:p w14:paraId="24DE748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12.5</w:t>
            </w:r>
          </w:p>
        </w:tc>
        <w:tc>
          <w:tcPr>
            <w:tcW w:w="850" w:type="dxa"/>
            <w:noWrap/>
            <w:vAlign w:val="center"/>
            <w:hideMark/>
          </w:tcPr>
          <w:p w14:paraId="05296D09"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19.1</w:t>
            </w:r>
          </w:p>
        </w:tc>
        <w:tc>
          <w:tcPr>
            <w:tcW w:w="993" w:type="dxa"/>
            <w:noWrap/>
            <w:vAlign w:val="center"/>
            <w:hideMark/>
          </w:tcPr>
          <w:p w14:paraId="2148ADC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708" w:type="dxa"/>
            <w:noWrap/>
            <w:vAlign w:val="center"/>
            <w:hideMark/>
          </w:tcPr>
          <w:p w14:paraId="7C3EF438"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8.6</w:t>
            </w:r>
          </w:p>
        </w:tc>
        <w:tc>
          <w:tcPr>
            <w:tcW w:w="993" w:type="dxa"/>
            <w:noWrap/>
            <w:vAlign w:val="center"/>
            <w:hideMark/>
          </w:tcPr>
          <w:p w14:paraId="162BF524"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12.7</w:t>
            </w:r>
          </w:p>
        </w:tc>
      </w:tr>
      <w:tr w:rsidR="006E494E" w:rsidRPr="00CD304F" w14:paraId="70E5A1D1" w14:textId="77777777" w:rsidTr="006E494E">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4BED7D1D" w14:textId="77777777" w:rsidR="006E494E" w:rsidRPr="00CD304F" w:rsidRDefault="006E494E" w:rsidP="00CD334D">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Muscle Gene Coexpression</w:t>
            </w:r>
          </w:p>
        </w:tc>
      </w:tr>
      <w:tr w:rsidR="006E494E" w:rsidRPr="00CD304F" w14:paraId="426174E8" w14:textId="77777777" w:rsidTr="006E494E">
        <w:trPr>
          <w:trHeight w:val="288"/>
        </w:trPr>
        <w:tc>
          <w:tcPr>
            <w:cnfStyle w:val="001000000000" w:firstRow="0" w:lastRow="0" w:firstColumn="1" w:lastColumn="0" w:oddVBand="0" w:evenVBand="0" w:oddHBand="0" w:evenHBand="0" w:firstRowFirstColumn="0" w:firstRowLastColumn="0" w:lastRowFirstColumn="0" w:lastRowLastColumn="0"/>
            <w:tcW w:w="2552" w:type="dxa"/>
            <w:tcBorders>
              <w:bottom w:val="single" w:sz="12" w:space="0" w:color="auto"/>
            </w:tcBorders>
            <w:noWrap/>
            <w:vAlign w:val="center"/>
            <w:hideMark/>
          </w:tcPr>
          <w:p w14:paraId="347DB86D" w14:textId="77777777" w:rsidR="006E494E" w:rsidRPr="00CD304F" w:rsidRDefault="006E494E" w:rsidP="00CD334D">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MyoMiner Cell U</w:t>
            </w:r>
          </w:p>
        </w:tc>
        <w:tc>
          <w:tcPr>
            <w:tcW w:w="1554" w:type="dxa"/>
            <w:tcBorders>
              <w:bottom w:val="single" w:sz="12" w:space="0" w:color="auto"/>
            </w:tcBorders>
            <w:noWrap/>
            <w:vAlign w:val="center"/>
            <w:hideMark/>
          </w:tcPr>
          <w:p w14:paraId="5618FDD8"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25.4</w:t>
            </w:r>
          </w:p>
        </w:tc>
        <w:tc>
          <w:tcPr>
            <w:tcW w:w="992" w:type="dxa"/>
            <w:tcBorders>
              <w:bottom w:val="single" w:sz="12" w:space="0" w:color="auto"/>
            </w:tcBorders>
            <w:noWrap/>
            <w:vAlign w:val="center"/>
            <w:hideMark/>
          </w:tcPr>
          <w:p w14:paraId="17CF35E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25.4</w:t>
            </w:r>
          </w:p>
        </w:tc>
        <w:tc>
          <w:tcPr>
            <w:tcW w:w="709" w:type="dxa"/>
            <w:tcBorders>
              <w:bottom w:val="single" w:sz="12" w:space="0" w:color="auto"/>
            </w:tcBorders>
            <w:noWrap/>
            <w:vAlign w:val="center"/>
            <w:hideMark/>
          </w:tcPr>
          <w:p w14:paraId="035421CF"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59.3</w:t>
            </w:r>
          </w:p>
        </w:tc>
        <w:tc>
          <w:tcPr>
            <w:tcW w:w="851" w:type="dxa"/>
            <w:tcBorders>
              <w:bottom w:val="single" w:sz="12" w:space="0" w:color="auto"/>
            </w:tcBorders>
            <w:noWrap/>
            <w:vAlign w:val="center"/>
            <w:hideMark/>
          </w:tcPr>
          <w:p w14:paraId="4DA1C6D5"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41.6</w:t>
            </w:r>
          </w:p>
        </w:tc>
        <w:tc>
          <w:tcPr>
            <w:tcW w:w="850" w:type="dxa"/>
            <w:tcBorders>
              <w:bottom w:val="single" w:sz="12" w:space="0" w:color="auto"/>
            </w:tcBorders>
            <w:noWrap/>
            <w:vAlign w:val="center"/>
            <w:hideMark/>
          </w:tcPr>
          <w:p w14:paraId="5255C1E8"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11.6</w:t>
            </w:r>
          </w:p>
        </w:tc>
        <w:tc>
          <w:tcPr>
            <w:tcW w:w="567" w:type="dxa"/>
            <w:tcBorders>
              <w:bottom w:val="single" w:sz="12" w:space="0" w:color="auto"/>
            </w:tcBorders>
            <w:noWrap/>
            <w:vAlign w:val="center"/>
            <w:hideMark/>
          </w:tcPr>
          <w:p w14:paraId="3EFCBAAC"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14.9</w:t>
            </w:r>
          </w:p>
        </w:tc>
        <w:tc>
          <w:tcPr>
            <w:tcW w:w="567" w:type="dxa"/>
            <w:tcBorders>
              <w:bottom w:val="single" w:sz="12" w:space="0" w:color="auto"/>
            </w:tcBorders>
            <w:noWrap/>
            <w:vAlign w:val="center"/>
            <w:hideMark/>
          </w:tcPr>
          <w:p w14:paraId="009226B7"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25.8</w:t>
            </w:r>
          </w:p>
        </w:tc>
        <w:tc>
          <w:tcPr>
            <w:tcW w:w="709" w:type="dxa"/>
            <w:tcBorders>
              <w:bottom w:val="single" w:sz="12" w:space="0" w:color="auto"/>
            </w:tcBorders>
            <w:noWrap/>
            <w:vAlign w:val="center"/>
            <w:hideMark/>
          </w:tcPr>
          <w:p w14:paraId="01E3DFE0"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8.3</w:t>
            </w:r>
          </w:p>
        </w:tc>
        <w:tc>
          <w:tcPr>
            <w:tcW w:w="850" w:type="dxa"/>
            <w:tcBorders>
              <w:bottom w:val="single" w:sz="12" w:space="0" w:color="auto"/>
            </w:tcBorders>
            <w:noWrap/>
            <w:vAlign w:val="center"/>
            <w:hideMark/>
          </w:tcPr>
          <w:p w14:paraId="1E1039FE"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9.2</w:t>
            </w:r>
          </w:p>
        </w:tc>
        <w:tc>
          <w:tcPr>
            <w:tcW w:w="993" w:type="dxa"/>
            <w:tcBorders>
              <w:bottom w:val="single" w:sz="12" w:space="0" w:color="auto"/>
            </w:tcBorders>
            <w:noWrap/>
            <w:vAlign w:val="center"/>
            <w:hideMark/>
          </w:tcPr>
          <w:p w14:paraId="6F8D8B4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w:t>
            </w:r>
          </w:p>
        </w:tc>
        <w:tc>
          <w:tcPr>
            <w:tcW w:w="708" w:type="dxa"/>
            <w:tcBorders>
              <w:bottom w:val="single" w:sz="12" w:space="0" w:color="auto"/>
            </w:tcBorders>
            <w:noWrap/>
            <w:vAlign w:val="center"/>
            <w:hideMark/>
          </w:tcPr>
          <w:p w14:paraId="2425886A"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5.5</w:t>
            </w:r>
          </w:p>
        </w:tc>
        <w:tc>
          <w:tcPr>
            <w:tcW w:w="993" w:type="dxa"/>
            <w:tcBorders>
              <w:bottom w:val="single" w:sz="12" w:space="0" w:color="auto"/>
            </w:tcBorders>
            <w:noWrap/>
            <w:vAlign w:val="center"/>
            <w:hideMark/>
          </w:tcPr>
          <w:p w14:paraId="4EEF0361" w14:textId="77777777" w:rsidR="006E494E" w:rsidRPr="00CD304F" w:rsidRDefault="006E494E" w:rsidP="00CD33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14.6</w:t>
            </w:r>
          </w:p>
        </w:tc>
      </w:tr>
    </w:tbl>
    <w:p w14:paraId="636BA6A7" w14:textId="77777777" w:rsidR="006E494E" w:rsidRDefault="006E494E" w:rsidP="006E494E">
      <w:pPr>
        <w:spacing w:line="240" w:lineRule="auto"/>
        <w:jc w:val="both"/>
        <w:rPr>
          <w:b/>
          <w:sz w:val="18"/>
          <w:szCs w:val="18"/>
        </w:rPr>
      </w:pPr>
    </w:p>
    <w:p w14:paraId="33E53374" w14:textId="3CE11FD3" w:rsidR="006E494E" w:rsidRPr="00735765" w:rsidRDefault="006E494E" w:rsidP="006E494E">
      <w:pPr>
        <w:spacing w:line="240" w:lineRule="auto"/>
        <w:jc w:val="both"/>
        <w:rPr>
          <w:b/>
          <w:sz w:val="18"/>
          <w:szCs w:val="18"/>
        </w:rPr>
      </w:pPr>
      <w:r w:rsidRPr="00735765">
        <w:rPr>
          <w:b/>
          <w:sz w:val="18"/>
          <w:szCs w:val="18"/>
        </w:rPr>
        <w:t xml:space="preserve">Table </w:t>
      </w:r>
      <w:r>
        <w:rPr>
          <w:b/>
          <w:sz w:val="18"/>
          <w:szCs w:val="18"/>
        </w:rPr>
        <w:t>4</w:t>
      </w:r>
      <w:r w:rsidRPr="00735765">
        <w:rPr>
          <w:b/>
          <w:sz w:val="18"/>
          <w:szCs w:val="18"/>
        </w:rPr>
        <w:t xml:space="preserve">. </w:t>
      </w:r>
      <w:r w:rsidRPr="006E494E">
        <w:rPr>
          <w:b/>
          <w:sz w:val="18"/>
          <w:szCs w:val="18"/>
        </w:rPr>
        <w:t xml:space="preserve">DIAMOnD recall percentage </w:t>
      </w:r>
      <w:r w:rsidRPr="00735765">
        <w:rPr>
          <w:b/>
          <w:sz w:val="18"/>
          <w:szCs w:val="18"/>
        </w:rPr>
        <w:t xml:space="preserve">of combined networks. </w:t>
      </w:r>
      <w:r>
        <w:rPr>
          <w:b/>
          <w:sz w:val="18"/>
          <w:szCs w:val="18"/>
        </w:rPr>
        <w:t>The m</w:t>
      </w:r>
      <w:r w:rsidRPr="00735765">
        <w:rPr>
          <w:b/>
          <w:sz w:val="18"/>
          <w:szCs w:val="18"/>
        </w:rPr>
        <w:t xml:space="preserve">edian </w:t>
      </w:r>
      <w:r>
        <w:rPr>
          <w:b/>
          <w:sz w:val="18"/>
          <w:szCs w:val="18"/>
        </w:rPr>
        <w:t>recall percentage</w:t>
      </w:r>
      <w:r w:rsidRPr="00735765">
        <w:rPr>
          <w:b/>
          <w:sz w:val="18"/>
          <w:szCs w:val="18"/>
        </w:rPr>
        <w:t xml:space="preserve"> across all selected muscle GO terms is given, then the </w:t>
      </w:r>
      <w:r>
        <w:rPr>
          <w:b/>
          <w:sz w:val="18"/>
          <w:szCs w:val="18"/>
        </w:rPr>
        <w:t>recall percentage</w:t>
      </w:r>
      <w:r w:rsidRPr="00735765">
        <w:rPr>
          <w:b/>
          <w:sz w:val="18"/>
          <w:szCs w:val="18"/>
        </w:rPr>
        <w:t xml:space="preserve"> for each individual GO term.</w:t>
      </w:r>
    </w:p>
    <w:p w14:paraId="5FEB7EB9" w14:textId="77777777" w:rsidR="00071D11" w:rsidRDefault="00071D11">
      <w:pPr>
        <w:rPr>
          <w:lang w:val="en"/>
        </w:rPr>
      </w:pPr>
      <w:r>
        <w:rPr>
          <w:lang w:val="en"/>
        </w:rPr>
        <w:br w:type="page"/>
      </w:r>
    </w:p>
    <w:p w14:paraId="5906B5E4" w14:textId="77777777" w:rsidR="00071D11" w:rsidRDefault="00071D11" w:rsidP="00066430">
      <w:pPr>
        <w:jc w:val="both"/>
        <w:rPr>
          <w:lang w:val="en"/>
        </w:rPr>
        <w:sectPr w:rsidR="00071D11" w:rsidSect="00071D11">
          <w:type w:val="continuous"/>
          <w:pgSz w:w="16838" w:h="11906" w:orient="landscape"/>
          <w:pgMar w:top="1440" w:right="1440" w:bottom="1440" w:left="1440" w:header="709" w:footer="709" w:gutter="0"/>
          <w:cols w:space="708"/>
          <w:docGrid w:linePitch="360"/>
        </w:sectPr>
      </w:pPr>
    </w:p>
    <w:p w14:paraId="01702B56" w14:textId="50AE7D4F" w:rsidR="00127AB8" w:rsidRDefault="00E40AE0" w:rsidP="00066430">
      <w:pPr>
        <w:jc w:val="both"/>
        <w:rPr>
          <w:lang w:val="en"/>
        </w:rPr>
      </w:pPr>
      <w:r>
        <w:rPr>
          <w:lang w:val="en"/>
        </w:rPr>
        <w:t xml:space="preserve">As an example of the additional biological information that </w:t>
      </w:r>
      <w:r w:rsidR="00AD71ED">
        <w:rPr>
          <w:lang w:val="en"/>
        </w:rPr>
        <w:t>may</w:t>
      </w:r>
      <w:r>
        <w:rPr>
          <w:lang w:val="en"/>
        </w:rPr>
        <w:t xml:space="preserve"> be retrieved by the DSD clustering algorithm when applied to the combined networks as opposed to their separate constituent networks, we compared the clusters that were enriched in genes of the T-tubule GO term (</w:t>
      </w:r>
      <w:r w:rsidR="000B1C4F">
        <w:rPr>
          <w:lang w:val="en"/>
        </w:rPr>
        <w:t>F</w:t>
      </w:r>
      <w:r>
        <w:rPr>
          <w:lang w:val="en"/>
        </w:rPr>
        <w:t xml:space="preserve">igure </w:t>
      </w:r>
      <w:r w:rsidR="00A85B7B">
        <w:rPr>
          <w:lang w:val="en"/>
        </w:rPr>
        <w:t>4</w:t>
      </w:r>
      <w:r w:rsidR="00C80487">
        <w:rPr>
          <w:lang w:val="en"/>
        </w:rPr>
        <w:t xml:space="preserve">, and downloadable as a Cytoscape session file from </w:t>
      </w:r>
      <w:hyperlink r:id="rId25" w:history="1">
        <w:r w:rsidR="00413B6B" w:rsidRPr="003C5E37">
          <w:rPr>
            <w:rStyle w:val="Hyperlink"/>
          </w:rPr>
          <w:t>https://www.sys-myo.com/myominer/</w:t>
        </w:r>
        <w:r w:rsidR="00413B6B" w:rsidRPr="009739D4">
          <w:rPr>
            <w:rStyle w:val="Hyperlink"/>
          </w:rPr>
          <w:t>download.php</w:t>
        </w:r>
      </w:hyperlink>
      <w:r>
        <w:rPr>
          <w:lang w:val="en"/>
        </w:rPr>
        <w:t>). For each constituent network, the cluster having the greatest enrichment of T-tubule genes contained T-tubule genes numbering 12 for STRING</w:t>
      </w:r>
      <w:r w:rsidR="00AD71ED">
        <w:rPr>
          <w:lang w:val="en"/>
        </w:rPr>
        <w:t xml:space="preserve"> (q-value 16.3)</w:t>
      </w:r>
      <w:r>
        <w:rPr>
          <w:lang w:val="en"/>
        </w:rPr>
        <w:t>, 5 for COXPRESdb</w:t>
      </w:r>
      <w:r w:rsidR="00AD71ED">
        <w:rPr>
          <w:lang w:val="en"/>
        </w:rPr>
        <w:t xml:space="preserve"> (q-value 2.2)</w:t>
      </w:r>
      <w:r>
        <w:rPr>
          <w:lang w:val="en"/>
        </w:rPr>
        <w:t>, and 5 for MyoMiner</w:t>
      </w:r>
      <w:r w:rsidR="00AD71ED">
        <w:rPr>
          <w:lang w:val="en"/>
        </w:rPr>
        <w:t xml:space="preserve"> (q-value 3.3)</w:t>
      </w:r>
      <w:r>
        <w:rPr>
          <w:lang w:val="en"/>
        </w:rPr>
        <w:t xml:space="preserve">. The combined networks produced </w:t>
      </w:r>
      <w:r w:rsidR="00AD71ED">
        <w:rPr>
          <w:lang w:val="en"/>
        </w:rPr>
        <w:t xml:space="preserve">top-hit T-tubule clusters which were larger but had proportionately better representation of T-tubule genes: 22 for STRING + CoXPRESdb NF (q-value 27.7), and 21 for STRING + MyoMiner Cell NF (q-value 25.3). </w:t>
      </w:r>
      <w:bookmarkStart w:id="4" w:name="_Hlk73623015"/>
      <w:r w:rsidR="00CD50BF">
        <w:rPr>
          <w:lang w:val="en"/>
        </w:rPr>
        <w:t>We note that t</w:t>
      </w:r>
      <w:r w:rsidR="00F20BC4">
        <w:rPr>
          <w:lang w:val="en"/>
        </w:rPr>
        <w:t xml:space="preserve">his trend was not observed for all of the selected muscle GO terms, and we provide </w:t>
      </w:r>
      <w:r w:rsidR="00C80487">
        <w:rPr>
          <w:lang w:val="en"/>
        </w:rPr>
        <w:t xml:space="preserve">a </w:t>
      </w:r>
      <w:r w:rsidR="00F20BC4">
        <w:rPr>
          <w:lang w:val="en"/>
        </w:rPr>
        <w:t xml:space="preserve">similar </w:t>
      </w:r>
      <w:r w:rsidR="00866830">
        <w:rPr>
          <w:lang w:val="en"/>
        </w:rPr>
        <w:t xml:space="preserve">network </w:t>
      </w:r>
      <w:r w:rsidR="00F20BC4">
        <w:rPr>
          <w:lang w:val="en"/>
        </w:rPr>
        <w:t xml:space="preserve">cluster </w:t>
      </w:r>
      <w:r w:rsidR="00866830">
        <w:rPr>
          <w:lang w:val="en"/>
        </w:rPr>
        <w:t xml:space="preserve">graph </w:t>
      </w:r>
      <w:r w:rsidR="00F20BC4">
        <w:rPr>
          <w:lang w:val="en"/>
        </w:rPr>
        <w:t xml:space="preserve">for the GO term ‘Skeletal Muscle Cell Differentiation’ as </w:t>
      </w:r>
      <w:r w:rsidR="00CD50BF">
        <w:rPr>
          <w:lang w:val="en"/>
        </w:rPr>
        <w:t>a counter-</w:t>
      </w:r>
      <w:r w:rsidR="00F20BC4">
        <w:rPr>
          <w:lang w:val="en"/>
        </w:rPr>
        <w:t>example (</w:t>
      </w:r>
      <w:r w:rsidR="00C80487">
        <w:rPr>
          <w:lang w:val="en"/>
        </w:rPr>
        <w:t xml:space="preserve">downloadable from </w:t>
      </w:r>
      <w:r w:rsidR="008E14A2" w:rsidRPr="003C5E37">
        <w:rPr>
          <w:color w:val="00B050"/>
        </w:rPr>
        <w:t>https://www.sys-myo.com/myominer/</w:t>
      </w:r>
      <w:r w:rsidR="008E14A2">
        <w:rPr>
          <w:color w:val="00B050"/>
        </w:rPr>
        <w:t>download.php</w:t>
      </w:r>
      <w:r w:rsidR="001E26BA">
        <w:rPr>
          <w:lang w:val="en"/>
        </w:rPr>
        <w:t>)</w:t>
      </w:r>
      <w:bookmarkEnd w:id="4"/>
      <w:r w:rsidR="00F20BC4">
        <w:rPr>
          <w:lang w:val="en"/>
        </w:rPr>
        <w:t xml:space="preserve">. </w:t>
      </w:r>
      <w:r w:rsidR="00AD71ED">
        <w:rPr>
          <w:lang w:val="en"/>
        </w:rPr>
        <w:t xml:space="preserve">Examination of the genes involved </w:t>
      </w:r>
      <w:r w:rsidR="00CD50BF">
        <w:rPr>
          <w:lang w:val="en"/>
        </w:rPr>
        <w:t xml:space="preserve">in the T-tubule clusters </w:t>
      </w:r>
      <w:r w:rsidR="00AD71ED">
        <w:rPr>
          <w:lang w:val="en"/>
        </w:rPr>
        <w:t xml:space="preserve">suggests that STRING by itself yielded a cluster that was rich in </w:t>
      </w:r>
      <w:r w:rsidR="0050472A">
        <w:rPr>
          <w:lang w:val="en"/>
        </w:rPr>
        <w:t>calcium channel subunit</w:t>
      </w:r>
      <w:r w:rsidR="000D0669">
        <w:rPr>
          <w:lang w:val="en"/>
        </w:rPr>
        <w:t xml:space="preserve"> encoding genes</w:t>
      </w:r>
      <w:r w:rsidR="0050472A">
        <w:rPr>
          <w:lang w:val="en"/>
        </w:rPr>
        <w:t xml:space="preserve">, such as </w:t>
      </w:r>
      <w:r w:rsidR="0050472A" w:rsidRPr="0050472A">
        <w:rPr>
          <w:lang w:val="en"/>
        </w:rPr>
        <w:t>CACNB3</w:t>
      </w:r>
      <w:r w:rsidR="0050472A">
        <w:rPr>
          <w:lang w:val="en"/>
        </w:rPr>
        <w:t xml:space="preserve">, </w:t>
      </w:r>
      <w:r w:rsidR="0050472A" w:rsidRPr="0050472A">
        <w:rPr>
          <w:lang w:val="en"/>
        </w:rPr>
        <w:t>CACNA1C</w:t>
      </w:r>
      <w:r w:rsidR="0050472A">
        <w:rPr>
          <w:lang w:val="en"/>
        </w:rPr>
        <w:t xml:space="preserve">, and </w:t>
      </w:r>
      <w:r w:rsidR="0050472A" w:rsidRPr="0050472A">
        <w:rPr>
          <w:lang w:val="en"/>
        </w:rPr>
        <w:t>CACNA1D</w:t>
      </w:r>
      <w:r w:rsidR="0050472A">
        <w:rPr>
          <w:lang w:val="en"/>
        </w:rPr>
        <w:t xml:space="preserve">, </w:t>
      </w:r>
      <w:r w:rsidR="00D01B98">
        <w:rPr>
          <w:lang w:val="en"/>
        </w:rPr>
        <w:t xml:space="preserve">the proteins of </w:t>
      </w:r>
      <w:r w:rsidR="0050472A">
        <w:rPr>
          <w:lang w:val="en"/>
        </w:rPr>
        <w:t>which physically bind with each other to form voltage-dependent L-type calcium channel</w:t>
      </w:r>
      <w:r w:rsidR="00D01B98">
        <w:rPr>
          <w:lang w:val="en"/>
        </w:rPr>
        <w:t>s</w:t>
      </w:r>
      <w:r w:rsidR="0050472A">
        <w:rPr>
          <w:lang w:val="en"/>
        </w:rPr>
        <w:t xml:space="preserve"> </w:t>
      </w:r>
      <w:r w:rsidR="000D0669">
        <w:rPr>
          <w:lang w:val="en"/>
        </w:rPr>
        <w:t>which are found at high concentrations in the T-tubules of skeletal muscle</w:t>
      </w:r>
      <w:r w:rsidR="0050472A">
        <w:rPr>
          <w:lang w:val="en"/>
        </w:rPr>
        <w:t>.</w:t>
      </w:r>
      <w:r w:rsidR="006B655B">
        <w:rPr>
          <w:lang w:val="en"/>
        </w:rPr>
        <w:t xml:space="preserve"> The co-expression networks, MyoMiner and CoXPRES, individually yielded clusters containing </w:t>
      </w:r>
      <w:r w:rsidR="00D01B98">
        <w:rPr>
          <w:lang w:val="en"/>
        </w:rPr>
        <w:t xml:space="preserve">other key T-tubule elements that did not necessarily bind directly, such as </w:t>
      </w:r>
      <w:r w:rsidR="006B655B">
        <w:rPr>
          <w:lang w:val="en"/>
        </w:rPr>
        <w:t xml:space="preserve">the ryanodine receptor </w:t>
      </w:r>
      <w:r w:rsidR="00D01B98">
        <w:rPr>
          <w:lang w:val="en"/>
        </w:rPr>
        <w:t>(RYR1), caveolin 3 (CAV3), or calsequestrin-1 calcium-storage protein (CASQ1).</w:t>
      </w:r>
      <w:r w:rsidR="000D0669">
        <w:rPr>
          <w:lang w:val="en"/>
        </w:rPr>
        <w:t xml:space="preserve"> The combined network yielded a cluster drawing in not only the L-type calcium channel</w:t>
      </w:r>
      <w:r w:rsidR="003923B3">
        <w:rPr>
          <w:lang w:val="en"/>
        </w:rPr>
        <w:t xml:space="preserve"> subunits</w:t>
      </w:r>
      <w:r w:rsidR="000D0669">
        <w:rPr>
          <w:lang w:val="en"/>
        </w:rPr>
        <w:t xml:space="preserve">, but also other structures and functions, such as </w:t>
      </w:r>
      <w:r w:rsidR="003923B3">
        <w:rPr>
          <w:lang w:val="en"/>
        </w:rPr>
        <w:t xml:space="preserve">calsequestrin, </w:t>
      </w:r>
      <w:r w:rsidR="000D0669">
        <w:rPr>
          <w:lang w:val="en"/>
        </w:rPr>
        <w:t>potassium channels (KCN3, KCN5, KCN11)</w:t>
      </w:r>
      <w:r w:rsidR="003923B3">
        <w:rPr>
          <w:lang w:val="en"/>
        </w:rPr>
        <w:t>, sodium channels (SCN1B, SCN2A, SCN5A), and sodium/calcium exchanger (SLC8A1).</w:t>
      </w:r>
    </w:p>
    <w:p w14:paraId="25EDE0D5" w14:textId="0EAF577C" w:rsidR="00D65ADF" w:rsidRDefault="00CF72E8" w:rsidP="00066430">
      <w:pPr>
        <w:jc w:val="both"/>
        <w:rPr>
          <w:lang w:val="en"/>
        </w:rPr>
      </w:pPr>
      <w:r>
        <w:rPr>
          <w:noProof/>
          <w:lang w:val="en"/>
        </w:rPr>
        <w:drawing>
          <wp:inline distT="0" distB="0" distL="0" distR="0" wp14:anchorId="77BBDC7A" wp14:editId="14858D73">
            <wp:extent cx="5731510" cy="3618230"/>
            <wp:effectExtent l="0" t="0" r="2540" b="1270"/>
            <wp:docPr id="18" name="Picture 1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ubbl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p>
    <w:p w14:paraId="225FEE23" w14:textId="510A1D49" w:rsidR="00D65ADF" w:rsidRDefault="00D65ADF" w:rsidP="00066430">
      <w:pPr>
        <w:jc w:val="both"/>
        <w:rPr>
          <w:b/>
          <w:sz w:val="18"/>
          <w:lang w:val="en"/>
        </w:rPr>
      </w:pPr>
      <w:r>
        <w:rPr>
          <w:b/>
          <w:sz w:val="18"/>
          <w:lang w:val="en"/>
        </w:rPr>
        <w:t xml:space="preserve">Figure </w:t>
      </w:r>
      <w:r w:rsidR="00A85B7B">
        <w:rPr>
          <w:b/>
          <w:sz w:val="18"/>
          <w:lang w:val="en"/>
        </w:rPr>
        <w:t>4</w:t>
      </w:r>
      <w:r>
        <w:rPr>
          <w:b/>
          <w:sz w:val="18"/>
          <w:lang w:val="en"/>
        </w:rPr>
        <w:t xml:space="preserve">: DSD kernel clusters with the highest enrichment </w:t>
      </w:r>
      <w:r w:rsidR="001452A9">
        <w:rPr>
          <w:b/>
          <w:sz w:val="18"/>
          <w:lang w:val="en"/>
        </w:rPr>
        <w:t>of</w:t>
      </w:r>
      <w:r>
        <w:rPr>
          <w:b/>
          <w:sz w:val="18"/>
          <w:lang w:val="en"/>
        </w:rPr>
        <w:t xml:space="preserve"> T-Tubule gene</w:t>
      </w:r>
      <w:r w:rsidR="001452A9">
        <w:rPr>
          <w:b/>
          <w:sz w:val="18"/>
          <w:lang w:val="en"/>
        </w:rPr>
        <w:t>s</w:t>
      </w:r>
      <w:r>
        <w:rPr>
          <w:b/>
          <w:sz w:val="18"/>
          <w:lang w:val="en"/>
        </w:rPr>
        <w:t xml:space="preserve"> for </w:t>
      </w:r>
      <w:r w:rsidR="001452A9">
        <w:rPr>
          <w:b/>
          <w:sz w:val="18"/>
          <w:lang w:val="en"/>
        </w:rPr>
        <w:t xml:space="preserve">different MINs. Clusters are shown for the top performing combined MINs ranked by capture of muscle GO terms (STRING + MyoMiner NF, and STRING + CoEXPRESdb NF; lower two clusters) as well as their constituent networks (upper three clusters). </w:t>
      </w:r>
      <w:r w:rsidR="000C2204">
        <w:rPr>
          <w:b/>
          <w:sz w:val="18"/>
          <w:lang w:val="en"/>
        </w:rPr>
        <w:t>The nodes colored in red represent genes</w:t>
      </w:r>
      <w:r w:rsidR="001452A9">
        <w:rPr>
          <w:b/>
          <w:sz w:val="18"/>
          <w:lang w:val="en"/>
        </w:rPr>
        <w:t xml:space="preserve"> that are annotated to the T-tubule GO term, and these nodes are labeled with their gene symbols</w:t>
      </w:r>
      <w:r w:rsidR="000C2204">
        <w:rPr>
          <w:b/>
          <w:sz w:val="18"/>
          <w:lang w:val="en"/>
        </w:rPr>
        <w:t xml:space="preserve">. Blue </w:t>
      </w:r>
      <w:r w:rsidR="001452A9">
        <w:rPr>
          <w:b/>
          <w:sz w:val="18"/>
          <w:lang w:val="en"/>
        </w:rPr>
        <w:t xml:space="preserve">unlabeled </w:t>
      </w:r>
      <w:r w:rsidR="000C2204">
        <w:rPr>
          <w:b/>
          <w:sz w:val="18"/>
          <w:lang w:val="en"/>
        </w:rPr>
        <w:t xml:space="preserve">nodes represent </w:t>
      </w:r>
      <w:r w:rsidR="001452A9">
        <w:rPr>
          <w:b/>
          <w:sz w:val="18"/>
          <w:lang w:val="en"/>
        </w:rPr>
        <w:t>the remaining genes of each cluster, which are</w:t>
      </w:r>
      <w:r w:rsidR="000C2204">
        <w:rPr>
          <w:b/>
          <w:sz w:val="18"/>
          <w:lang w:val="en"/>
        </w:rPr>
        <w:t xml:space="preserve"> not </w:t>
      </w:r>
      <w:r w:rsidR="001452A9">
        <w:rPr>
          <w:b/>
          <w:sz w:val="18"/>
          <w:lang w:val="en"/>
        </w:rPr>
        <w:t>annotated to</w:t>
      </w:r>
      <w:r w:rsidR="000C2204">
        <w:rPr>
          <w:b/>
          <w:sz w:val="18"/>
          <w:lang w:val="en"/>
        </w:rPr>
        <w:t xml:space="preserve"> the T-Tubule </w:t>
      </w:r>
      <w:r w:rsidR="001452A9">
        <w:rPr>
          <w:b/>
          <w:sz w:val="18"/>
          <w:lang w:val="en"/>
        </w:rPr>
        <w:t>GO term</w:t>
      </w:r>
      <w:r w:rsidR="000C2204">
        <w:rPr>
          <w:b/>
          <w:sz w:val="18"/>
          <w:lang w:val="en"/>
        </w:rPr>
        <w:t xml:space="preserve">. </w:t>
      </w:r>
      <w:r w:rsidR="001452A9">
        <w:rPr>
          <w:b/>
          <w:sz w:val="18"/>
          <w:lang w:val="en"/>
        </w:rPr>
        <w:t>Although containing more nodes, the clusters from the combined networks have proportionately greater representation of T-tubule genes</w:t>
      </w:r>
      <w:r>
        <w:rPr>
          <w:b/>
          <w:sz w:val="18"/>
          <w:lang w:val="en"/>
        </w:rPr>
        <w:t>.</w:t>
      </w:r>
    </w:p>
    <w:p w14:paraId="754D7A26" w14:textId="77777777" w:rsidR="0040214E" w:rsidRDefault="0040214E" w:rsidP="00066430">
      <w:pPr>
        <w:jc w:val="both"/>
        <w:rPr>
          <w:b/>
        </w:rPr>
      </w:pPr>
    </w:p>
    <w:p w14:paraId="75C17FFF" w14:textId="3A05E793" w:rsidR="006D657C" w:rsidRPr="00AC4916" w:rsidRDefault="006523A5" w:rsidP="006523A5">
      <w:pPr>
        <w:pStyle w:val="Heading1"/>
        <w:jc w:val="both"/>
        <w:rPr>
          <w:b/>
        </w:rPr>
      </w:pPr>
      <w:r>
        <w:t>Discussion</w:t>
      </w:r>
    </w:p>
    <w:p w14:paraId="372EC409" w14:textId="69ECE738" w:rsidR="000E5640" w:rsidRDefault="00433A2B" w:rsidP="00EC5F70">
      <w:pPr>
        <w:spacing w:after="0"/>
        <w:jc w:val="both"/>
      </w:pPr>
      <w:r>
        <w:t xml:space="preserve">The present study considered 28 different Molecular Interaction Networks generated from 6 public sources of functional association data, and a further 8 combined MINs created by the fusion of data from </w:t>
      </w:r>
      <w:r w:rsidR="00306706">
        <w:t>pairs</w:t>
      </w:r>
      <w:r>
        <w:t xml:space="preserve"> of those sources, </w:t>
      </w:r>
      <w:r w:rsidR="00440A85">
        <w:t xml:space="preserve">each </w:t>
      </w:r>
      <w:r w:rsidR="00306706">
        <w:t>pair</w:t>
      </w:r>
      <w:r w:rsidR="00440A85">
        <w:t xml:space="preserve"> </w:t>
      </w:r>
      <w:r w:rsidR="007B33A8">
        <w:t>derived from</w:t>
      </w:r>
      <w:r w:rsidR="00306706">
        <w:t xml:space="preserve"> </w:t>
      </w:r>
      <w:r>
        <w:t>one source of protein-protein interactions and one of gene co-expression</w:t>
      </w:r>
      <w:r w:rsidR="00AD0B41">
        <w:t>, the aim being to establish whether a combined MIN from different sources could outperform its constituent MINs</w:t>
      </w:r>
      <w:r>
        <w:t>.</w:t>
      </w:r>
      <w:r w:rsidR="00440A85">
        <w:t xml:space="preserve"> </w:t>
      </w:r>
      <w:r w:rsidR="00F36B87">
        <w:t xml:space="preserve">Two performance metrics were defined to compare </w:t>
      </w:r>
      <w:r w:rsidR="00440A85">
        <w:t xml:space="preserve">MINs based on the </w:t>
      </w:r>
      <w:r w:rsidR="008B60E6">
        <w:t>outcomes of</w:t>
      </w:r>
      <w:r w:rsidR="00440A85">
        <w:t xml:space="preserve"> </w:t>
      </w:r>
      <w:r w:rsidR="00F36B87">
        <w:t xml:space="preserve">different </w:t>
      </w:r>
      <w:r w:rsidR="00440A85">
        <w:t>clustering algorithm</w:t>
      </w:r>
      <w:r w:rsidR="008B60E6">
        <w:t>s</w:t>
      </w:r>
      <w:r w:rsidR="00F36B87">
        <w:t xml:space="preserve"> (DSD and DIAMOnD)</w:t>
      </w:r>
      <w:r w:rsidR="008B60E6">
        <w:t>, testing the extent to which the resultant clusters captured muscle-related GO terms.</w:t>
      </w:r>
      <w:r w:rsidR="00F36B87">
        <w:t xml:space="preserve"> </w:t>
      </w:r>
      <w:r w:rsidR="00D554BE">
        <w:t xml:space="preserve">In </w:t>
      </w:r>
      <w:r w:rsidR="00C20272">
        <w:t xml:space="preserve">this way, </w:t>
      </w:r>
      <w:r w:rsidR="00F36B87">
        <w:t xml:space="preserve">the MINs </w:t>
      </w:r>
      <w:r w:rsidR="00C20272">
        <w:t>most suitable for the capture of muscle-related biological processes and cell compartments were identified from among those tested</w:t>
      </w:r>
      <w:r w:rsidR="00AD0B41">
        <w:t xml:space="preserve">. Among the single-source MINs, STRING was consistently the best performing. </w:t>
      </w:r>
      <w:r w:rsidR="00EC5F70">
        <w:t xml:space="preserve">The combination of STRING with MyoMiner was the only combined network that notably outperformed STRING alone when compared under the DIAMOnD clustering approach, and the STRING plus MyoMiner combination was the second-top performer under DSD. </w:t>
      </w:r>
      <w:r w:rsidR="000E5640">
        <w:t>T</w:t>
      </w:r>
      <w:r w:rsidR="00EC5F70">
        <w:t>he combination of STRING with the tissue-generic gene co-expression network CoXPRESSdb also performed very well under both clustering approaches</w:t>
      </w:r>
      <w:r w:rsidR="00AD0B41">
        <w:t>. Th</w:t>
      </w:r>
      <w:r w:rsidR="000E5640">
        <w:t>is</w:t>
      </w:r>
      <w:r w:rsidR="00AD0B41">
        <w:t xml:space="preserve"> study establishes that </w:t>
      </w:r>
      <w:r w:rsidR="000E5640">
        <w:t>the combination of multiple</w:t>
      </w:r>
      <w:r w:rsidR="00AD0B41">
        <w:t xml:space="preserve"> types of functional association </w:t>
      </w:r>
      <w:r w:rsidR="000E5640">
        <w:t xml:space="preserve">can improve </w:t>
      </w:r>
      <w:r w:rsidR="00AD0B41">
        <w:t xml:space="preserve">the capacity </w:t>
      </w:r>
      <w:r w:rsidR="00692BD2">
        <w:t xml:space="preserve">of </w:t>
      </w:r>
      <w:r w:rsidR="000E5640">
        <w:t>MINs</w:t>
      </w:r>
      <w:r w:rsidR="00692BD2">
        <w:t xml:space="preserve"> </w:t>
      </w:r>
      <w:r w:rsidR="00AD0B41">
        <w:t>to represent muscle-related biological processes.</w:t>
      </w:r>
      <w:r w:rsidR="00FE6619">
        <w:t xml:space="preserve"> Optimized combined networks are available for download from </w:t>
      </w:r>
      <w:r w:rsidR="008E14A2" w:rsidRPr="003C5E37">
        <w:rPr>
          <w:color w:val="00B050"/>
        </w:rPr>
        <w:t>https://www.sys-myo.com/myominer/</w:t>
      </w:r>
      <w:r w:rsidR="008E14A2">
        <w:rPr>
          <w:color w:val="00B050"/>
        </w:rPr>
        <w:t>download.php</w:t>
      </w:r>
      <w:r w:rsidR="00FE6619">
        <w:t>.</w:t>
      </w:r>
    </w:p>
    <w:p w14:paraId="7DC86381" w14:textId="4C09F498" w:rsidR="00531158" w:rsidRDefault="008B6798" w:rsidP="00066430">
      <w:pPr>
        <w:spacing w:after="0"/>
        <w:jc w:val="both"/>
      </w:pPr>
      <w:r>
        <w:t xml:space="preserve">Many </w:t>
      </w:r>
      <w:r w:rsidR="00C20272">
        <w:t>metrics could be used to compare the biological relevance of</w:t>
      </w:r>
      <w:r>
        <w:t xml:space="preserve"> </w:t>
      </w:r>
      <w:r w:rsidR="00EB092B">
        <w:t xml:space="preserve">different </w:t>
      </w:r>
      <w:r>
        <w:t>network</w:t>
      </w:r>
      <w:r w:rsidR="00EB092B">
        <w:t>s</w:t>
      </w:r>
      <w:r w:rsidR="00C20272">
        <w:t xml:space="preserve">. The approach </w:t>
      </w:r>
      <w:r w:rsidR="000E5640">
        <w:t>chosen here</w:t>
      </w:r>
      <w:r w:rsidR="00C20272">
        <w:t xml:space="preserve"> was inspired by that used in the DREAM Disease Module </w:t>
      </w:r>
      <w:r w:rsidR="006523A5">
        <w:t>Identifica</w:t>
      </w:r>
      <w:r w:rsidR="00C20272">
        <w:t>tion challenge</w:t>
      </w:r>
      <w:r w:rsidR="006523A5">
        <w:t xml:space="preserve"> </w:t>
      </w:r>
      <w:r w:rsidR="006523A5">
        <w:fldChar w:fldCharType="begin" w:fldLock="1"/>
      </w:r>
      <w:r w:rsidR="006523A5">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mendeley":{"formattedCitation":"(47)","plainTextFormattedCitation":"(47)","previouslyFormattedCitation":"(47)"},"properties":{"noteIndex":0},"schema":"https://github.com/citation-style-language/schema/raw/master/csl-citation.json"}</w:instrText>
      </w:r>
      <w:r w:rsidR="006523A5">
        <w:fldChar w:fldCharType="separate"/>
      </w:r>
      <w:r w:rsidR="006523A5" w:rsidRPr="006523A5">
        <w:rPr>
          <w:noProof/>
        </w:rPr>
        <w:t>(47)</w:t>
      </w:r>
      <w:r w:rsidR="006523A5">
        <w:fldChar w:fldCharType="end"/>
      </w:r>
      <w:r w:rsidR="00EB092B">
        <w:t xml:space="preserve">, where clustering algorithms </w:t>
      </w:r>
      <w:r w:rsidR="002F2064">
        <w:t xml:space="preserve">and networks </w:t>
      </w:r>
      <w:r w:rsidR="00EB092B">
        <w:t xml:space="preserve">were compared against each other for their capacity to generate clusters enriched for </w:t>
      </w:r>
      <w:r w:rsidR="002F2064">
        <w:t>disease-associated genes (from GWAS studies</w:t>
      </w:r>
      <w:r w:rsidR="00F6478E">
        <w:t xml:space="preserve">). The </w:t>
      </w:r>
      <w:r w:rsidR="00276AB2">
        <w:t xml:space="preserve">DSD </w:t>
      </w:r>
      <w:r w:rsidR="00F6478E">
        <w:t xml:space="preserve">clustering </w:t>
      </w:r>
      <w:r w:rsidR="00276AB2">
        <w:t>approach</w:t>
      </w:r>
      <w:r w:rsidR="00F6478E">
        <w:t xml:space="preserve"> was chosen in the present study because it was the top-performing method identified by the DREAM challenge. </w:t>
      </w:r>
      <w:bookmarkStart w:id="5" w:name="_Hlk73641233"/>
      <w:r w:rsidR="00531158">
        <w:t xml:space="preserve">A second algorithm, DIAMOnD, was chosen because the connectivity significance measure on which it is based represents a quite distinct approach, and the </w:t>
      </w:r>
      <w:r w:rsidR="00C043F3">
        <w:t>manner</w:t>
      </w:r>
      <w:r w:rsidR="00531158">
        <w:t xml:space="preserve"> in which DIAMOnD builds a single cluster</w:t>
      </w:r>
      <w:r w:rsidR="00C043F3">
        <w:t xml:space="preserve"> for a given network and seed list</w:t>
      </w:r>
      <w:r w:rsidR="00531158">
        <w:t>, using iterative growth from seed nodes, offered a similarly distinct, recall-based, scoring mechanism</w:t>
      </w:r>
      <w:r w:rsidR="00C043F3">
        <w:t xml:space="preserve"> (as opposed to multiple clusters per network and enrichment-based scoring that we applied for the DSD algorithm)</w:t>
      </w:r>
      <w:r w:rsidR="00531158">
        <w:t>.</w:t>
      </w:r>
      <w:bookmarkEnd w:id="5"/>
      <w:r w:rsidR="00C043F3">
        <w:t xml:space="preserve"> We note that </w:t>
      </w:r>
      <w:r w:rsidR="009E4629">
        <w:t xml:space="preserve">it could be of interest in future to extend our analysis to all three top-performing methods from the DREAM </w:t>
      </w:r>
      <w:r w:rsidR="009E4629" w:rsidRPr="009E4629">
        <w:t>Disease Module Identification</w:t>
      </w:r>
      <w:r w:rsidR="009E4629">
        <w:t xml:space="preserve"> challenge, which are now implemented in the </w:t>
      </w:r>
      <w:r w:rsidR="00C043F3">
        <w:t>MONET tool</w:t>
      </w:r>
      <w:r w:rsidR="009E4629">
        <w:t xml:space="preserve">box </w:t>
      </w:r>
      <w:r w:rsidR="009E4629">
        <w:fldChar w:fldCharType="begin" w:fldLock="1"/>
      </w:r>
      <w:r w:rsidR="009E4629">
        <w:instrText>ADDIN CSL_CITATION {"citationItems":[{"id":"ITEM-1","itemData":{"DOI":"10.1093/bioinformatics/btaa236","ISSN":"1367-4803","author":[{"dropping-particle":"","family":"Tomasoni","given":"Mattia","non-dropping-particle":"","parse-names":false,"suffix":""},{"dropping-particle":"","family":"Gómez","given":"Sergio","non-dropping-particle":"","parse-names":false,"suffix":""},{"dropping-particle":"","family":"Crawford","given":"Jake","non-dropping-particle":"","parse-names":false,"suffix":""},{"dropping-particle":"","family":"Zhang","given":"Weijia","non-dropping-particle":"","parse-names":false,"suffix":""},{"dropping-particle":"","family":"Choobdar","given":"Sarvenaz","non-dropping-particle":"","parse-names":false,"suffix":""},{"dropping-particle":"","family":"Marbach","given":"Daniel","non-dropping-particle":"","parse-names":false,"suffix":""},{"dropping-particle":"","family":"Bergmann","given":"Sven","non-dropping-particle":"","parse-names":false,"suffix":""}],"container-title":"Bioinformatics","editor":[{"dropping-particle":"","family":"Luigi Martelli","given":"Pier","non-dropping-particle":"","parse-names":false,"suffix":""}],"id":"ITEM-1","issue":"12","issued":{"date-parts":[["2020","6","1"]]},"page":"3920-3921","title":"MONET: a toolbox integrating top-performing methods for network modularization","type":"article-journal","volume":"36"},"uris":["http://www.mendeley.com/documents/?uuid=a2395778-eec8-4169-a1f0-83fe3538f7e0"]}],"mendeley":{"formattedCitation":"(48)","plainTextFormattedCitation":"(48)"},"properties":{"noteIndex":0},"schema":"https://github.com/citation-style-language/schema/raw/master/csl-citation.json"}</w:instrText>
      </w:r>
      <w:r w:rsidR="009E4629">
        <w:fldChar w:fldCharType="separate"/>
      </w:r>
      <w:r w:rsidR="009E4629" w:rsidRPr="009E4629">
        <w:rPr>
          <w:noProof/>
        </w:rPr>
        <w:t>(48)</w:t>
      </w:r>
      <w:r w:rsidR="009E4629">
        <w:fldChar w:fldCharType="end"/>
      </w:r>
      <w:r w:rsidR="009E4629">
        <w:t>.</w:t>
      </w:r>
    </w:p>
    <w:p w14:paraId="499FF06A" w14:textId="3A6EEE6D" w:rsidR="00F6478E" w:rsidRDefault="00F6478E" w:rsidP="00066430">
      <w:pPr>
        <w:spacing w:after="0"/>
        <w:jc w:val="both"/>
      </w:pPr>
      <w:r>
        <w:t xml:space="preserve">Whereas the DREAM challenge tested for enrichment of disease-associated genes from GWAS studies, we tested against muscle-related GO terms. This choice was made because neuromuscular diseases tend to be monogenic, with a single genetic locus being responsible for the disease in each patient, </w:t>
      </w:r>
      <w:r w:rsidR="000E5640">
        <w:t>so GWAS studies of muscle disease are less common compared</w:t>
      </w:r>
      <w:r>
        <w:t xml:space="preserve"> to the majority of human disease for which the genetic contribution is polygenic (and </w:t>
      </w:r>
      <w:r w:rsidR="007B33A8">
        <w:t xml:space="preserve">for which </w:t>
      </w:r>
      <w:r>
        <w:t>it is therefore more useful to study genome-wide association</w:t>
      </w:r>
      <w:r w:rsidR="000E5640">
        <w:t>s</w:t>
      </w:r>
      <w:r>
        <w:t xml:space="preserve">). The advantage of GWAS data in this context, and the reason it was chosen by the authors of the DREAM challenge, is that it is independent of the experimental evidence base on which functional association databases are constructed. Gene Ontology annotations are based on </w:t>
      </w:r>
      <w:r w:rsidR="00E63B87">
        <w:t>a variety of evidence types</w:t>
      </w:r>
      <w:r w:rsidR="005B34ED">
        <w:t>,</w:t>
      </w:r>
      <w:r w:rsidR="00E63B87">
        <w:t xml:space="preserve"> and are sometimes transferred across genes or between species based on sequence homology, but are always supported by at least one publication establishing the basic relationship of a gene to a process, function, or cell compartment</w:t>
      </w:r>
      <w:r w:rsidR="00FB4C8A">
        <w:t xml:space="preserve"> </w:t>
      </w:r>
      <w:r w:rsidR="00FB4C8A">
        <w:fldChar w:fldCharType="begin" w:fldLock="1"/>
      </w:r>
      <w:r w:rsidR="009E4629">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diseases.","type":"article-journal","volume":"16"},"uris":["http://www.mendeley.com/documents/?uuid=773d1801-d285-4f69-8118-da29c31cf2b1"]},{"id":"ITEM-2","itemData":{"DOI":"10.1093/nar/gkaa1113","ISSN":"0305-1048","abstract":"The Gene Ontology Consortium (GOC) provides the most comprehensive resource currently available for computable knowledge regarding the functions of genes and gene products. Here, we report the advances of the consortium over the past two years. The new GO-CAM annotation framework was notably improved, and we formalized the model with a computational schema to check and validate the rapidly increasing repository of 2838 GO-CAMs. In addition, we describe the impacts of several collaborations to refine GO and report a 10% increase in the number of GO annotations, a 25% increase in annotated gene products, and over 9,400 new scientific articles annotated. As the project matures, we continue our efforts to review older annotations in light of newer findings, and, to maintain consistency with other ontologies. As a result, 20 000 annotations derived from experimental data were reviewed, corresponding to 2.5% of experimental GO annotations. The website (http://geneontology.org) was redesigned for quick access to documentation, downloads and tools. To maintain an accurate resource and support traceability and reproducibility, we have made available a historical archive covering the past 15 years of GO data with a consistent format and file structure for both the ontology and annotations.","author":[{"dropping-particle":"","family":"Carbon","given":"Seth","non-dropping-particle":"","parse-names":false,"suffix":""},{"dropping-particle":"","family":"Douglass","given":"Eric","non-dropping-particle":"","parse-names":false,"suffix":""},{"dropping-particle":"","family":"Good","given":"Benjamin M","non-dropping-particle":"","parse-names":false,"suffix":""},{"dropping-particle":"","family":"Unni","given":"Deepak R","non-dropping-particle":"","parse-names":false,"suffix":""},{"dropping-particle":"","family":"Harris","given":"Nomi L","non-dropping-particle":"","parse-names":false,"suffix":""},{"dropping-particle":"","family":"Mungall","given":"Christopher J","non-dropping-particle":"","parse-names":false,"suffix":""},{"dropping-particle":"","family":"Basu","given":"Siddartha","non-dropping-particle":"","parse-names":false,"suffix":""},{"dropping-particle":"","family":"Chisholm","given":"Rex L","non-dropping-particle":"","parse-names":false,"suffix":""},{"dropping-particle":"","family":"Dodson","given":"Robert J","non-dropping-particle":"","parse-names":false,"suffix":""},{"dropping-particle":"","family":"Hartline","given":"Eric","non-dropping-particle":"","parse-names":false,"suffix":""},{"dropping-particle":"","family":"Fey","given":"Petra","non-dropping-particle":"","parse-names":false,"suffix":""},{"dropping-particle":"","family":"Thomas","given":"Paul D","non-dropping-particle":"","parse-names":false,"suffix":""},{"dropping-particle":"","family":"Albou","given":"Laurent-Philippe","non-dropping-particle":"","parse-names":false,"suffix":""},{"dropping-particle":"","family":"Ebert","given":"Dustin","non-dropping-particle":"","parse-names":false,"suffix":""},{"dropping-particle":"","family":"Kesling","given":"Michael J","non-dropping-particle":"","parse-names":false,"suffix":""},{"dropping-particle":"","family":"Mi","given":"Huaiyu","non-dropping-particle":"","parse-names":false,"suffix":""},{"dropping-particle":"","family":"Muruganujan","given":"Anushya","non-dropping-particle":"","parse-names":false,"suffix":""},{"dropping-particle":"","family":"Huang","given":"Xiaosong","non-dropping-particle":"","parse-names":false,"suffix":""},{"dropping-particle":"","family":"Mushayahama","given":"Tremayne","non-dropping-particle":"","parse-names":false,"suffix":""},{"dropping-particle":"","family":"LaBonte","given":"Sandra A","non-dropping-particle":"","parse-names":false,"suffix":""},{"dropping-particle":"","family":"Siegele","given":"Deborah A","non-dropping-particle":"","parse-names":false,"suffix":""},{"dropping-particle":"","family":"Antonazzo","given":"Giulia","non-dropping-particle":"","parse-names":false,"suffix":""},{"dropping-particle":"","family":"Attrill","given":"Helen","non-dropping-particle":"","parse-names":false,"suffix":""},{"dropping-particle":"","family":"Brown","given":"Nick H","non-dropping-particle":"","parse-names":false,"suffix":""},{"dropping-particle":"","family":"Garapati","given":"Phani","non-dropping-particle":"","parse-names":false,"suffix":""},{"dropping-particle":"","family":"Marygold","given":"Steven J","non-dropping-particle":"","parse-names":false,"suffix":""},{"dropping-particle":"","family":"Trovisco","given":"Vitor","non-dropping-particle":"","parse-names":false,"suffix":""},{"dropping-particle":"","family":"Santos","given":"Gil","non-dropping-particle":"dos","parse-names":false,"suffix":""},{"dropping-particle":"","family":"Falls","given":"Kathleen","non-dropping-particle":"","parse-names":false,"suffix":""},{"dropping-particle":"","family":"Tabone","given":"Christopher","non-dropping-particle":"","parse-names":false,"suffix":""},{"dropping-particle":"","family":"Zhou","given":"Pinglei","non-dropping-particle":"","parse-names":false,"suffix":""},{"dropping-particle":"","family":"Goodman","given":"Joshua L","non-dropping-particle":"","parse-names":false,"suffix":""},{"dropping-particle":"","family":"Strelets","given":"Victor B","non-dropping-particle":"","parse-names":false,"suffix":""},{"dropping-particle":"","family":"Thurmond","given":"Jim","non-dropping-particle":"","parse-names":false,"suffix":""},{"dropping-particle":"","family":"Garmiri","given":"Penelope","non-dropping-particle":"","parse-names":false,"suffix":""},{"dropping-particle":"","family":"Ishtiaq","given":"Rizwan","non-dropping-particle":"","parse-names":false,"suffix":""},{"dropping-particle":"","family":"Rodríguez-López","given":"Milagros","non-dropping-particle":"","parse-names":false,"suffix":""},{"dropping-particle":"","family":"Acencio","given":"Marcio L","non-dropping-particle":"","parse-names":false,"suffix":""},{"dropping-particle":"","family":"Kuiper","given":"Martin","non-dropping-particle":"","parse-names":false,"suffix":""},{"dropping-particle":"","family":"Lægreid","given":"Astrid","non-dropping-particle":"","parse-names":false,"suffix":""},{"dropping-particle":"","family":"Logie","given":"Colin","non-dropping-particle":"","parse-names":false,"suffix":""},{"dropping-particle":"","family":"Lovering","given":"Ruth C","non-dropping-particle":"","parse-names":false,"suffix":""},{"dropping-particle":"","family":"Kramarz","given":"Barbara","non-dropping-particle":"","parse-names":false,"suffix":""},{"dropping-particle":"","family":"Saverimuttu","given":"Shirin C C","non-dropping-particle":"","parse-names":false,"suffix":""},{"dropping-particle":"","family":"Pinheiro","given":"Sandra M","non-dropping-particle":"","parse-names":false,"suffix":""},{"dropping-particle":"","family":"Gunn","given":"Heather","non-dropping-particle":"","parse-names":false,"suffix":""},{"dropping-particle":"","family":"Su","given":"Renzhi","non-dropping-particle":"","parse-names":false,"suffix":""},{"dropping-particle":"","family":"Thurlow","given":"Katherine E","non-dropping-particle":"","parse-names":false,"suffix":""},{"dropping-particle":"","family":"Chibucos","given":"Marcus","non-dropping-particle":"","parse-names":false,"suffix":""},{"dropping-particle":"","family":"Giglio","given":"Michelle","non-dropping-particle":"","parse-names":false,"suffix":""},{"dropping-particle":"","family":"Nadendla","given":"Suvarna","non-dropping-particle":"","parse-names":false,"suffix":""},{"dropping-particle":"","family":"Munro","given":"James","non-dropping-particle":"","parse-names":false,"suffix":""},{"dropping-particle":"","family":"Jackson","given":"Rebecca","non-dropping-particle":"","parse-names":false,"suffix":""},{"dropping-particle":"","family":"Duesbury","given":"Margaret J","non-dropping-particle":"","parse-names":false,"suffix":""},{"dropping-particle":"","family":"Del-Toro","given":"Noemi","non-dropping-particle":"","parse-names":false,"suffix":""},{"dropping-particle":"","family":"Meldal","given":"Birgit H M","non-dropping-particle":"","parse-names":false,"suffix":""},{"dropping-particle":"","family":"Paneerselvam","given":"Kalpana","non-dropping-particle":"","parse-names":false,"suffix":""},{"dropping-particle":"","family":"Perfetto","given":"Livia","non-dropping-particle":"","parse-names":false,"suffix":""},{"dropping-particle":"","family":"Porras","given":"Pablo","non-dropping-particle":"","parse-names":false,"suffix":""},{"dropping-particle":"","family":"Orchard","given":"Sandra","non-dropping-particle":"","parse-names":false,"suffix":""},{"dropping-particle":"","family":"Shrivastava","given":"Anjali","non-dropping-particle":"","parse-names":false,"suffix":""},{"dropping-particle":"","family":"Chang","given":"Hsin-Yu","non-dropping-particle":"","parse-names":false,"suffix":""},{"dropping-particle":"","family":"Finn","given":"Robert Daniel","non-dropping-particle":"","parse-names":false,"suffix":""},{"dropping-particle":"","family":"Mitchell","given":"Alexander Lawson","non-dropping-particle":"","parse-names":false,"suffix":""},{"dropping-particle":"","family":"Rawlings","given":"Neil David","non-dropping-particle":"","parse-names":false,"suffix":""},{"dropping-particle":"","family":"Richardson","given":"Lorna","non-dropping-particle":"","parse-names":false,"suffix":""},{"dropping-particle":"","family":"Sangrador-Vegas","given":"Amaia","non-dropping-particle":"","parse-names":false,"suffix":""},{"dropping-particle":"","family":"Blake","given":"Judith A","non-dropping-particle":"","parse-names":false,"suffix":""},{"dropping-particle":"","family":"Christie","given":"Karen R","non-dropping-particle":"","parse-names":false,"suffix":""},{"dropping-particle":"","family":"Dolan","given":"Mary E","non-dropping-particle":"","parse-names":false,"suffix":""},{"dropping-particle":"","family":"Drabkin","given":"Harold J","non-dropping-particle":"","parse-names":false,"suffix":""},{"dropping-particle":"","family":"Hill","given":"David P","non-dropping-particle":"","parse-names":false,"suffix":""},{"dropping-particle":"","family":"Ni","given":"Li","non-dropping-particle":"","parse-names":false,"suffix":""},{"dropping-particle":"","family":"Sitnikov","given":"Dmitry M","non-dropping-particle":"","parse-names":false,"suffix":""},{"dropping-particle":"","family":"Harris","given":"Midori A","non-dropping-particle":"","parse-names":false,"suffix":""},{"dropping-particle":"","family":"Oliver","given":"Stephen G","non-dropping-particle":"","parse-names":false,"suffix":""},{"dropping-particle":"","family":"Rutherford","given":"Kim","non-dropping-particle":"","parse-names":false,"suffix":""},{"dropping-particle":"","family":"Wood","given":"Valerie","non-dropping-particle":"","parse-names":false,"suffix":""},{"dropping-particle":"","family":"Hayles","given":"Jaqueline","non-dropping-particle":"","parse-names":false,"suffix":""},{"dropping-particle":"","family":"Bähler","given":"Jürg","non-dropping-particle":"","parse-names":false,"suffix":""},{"dropping-particle":"","family":"Bolton","given":"Elizabeth R","non-dropping-particle":"","parse-names":false,"suffix":""},{"dropping-particle":"","family":"Pons","given":"Jeffery L","non-dropping-particle":"De","parse-names":false,"suffix":""},{"dropping-particle":"","family":"Dwinell","given":"Melinda R","non-dropping-particle":"","parse-names":false,"suffix":""},{"dropping-particle":"","family":"Hayman","given":"G Thomas","non-dropping-particle":"","parse-names":false,"suffix":""},{"dropping-particle":"","family":"Kaldunski","given":"Mary L","non-dropping-particle":"","parse-names":false,"suffix":""},{"dropping-particle":"","family":"Kwitek","given":"Anne E","non-dropping-particle":"","parse-names":false,"suffix":""},{"dropping-particle":"","family":"Laulederkind","given":"Stanley J F","non-dropping-particle":"","parse-names":false,"suffix":""},{"dropping-particle":"","family":"Plasterer","given":"Cody","non-dropping-particle":"","parse-names":false,"suffix":""},{"dropping-particle":"","family":"Tutaj","given":"Marek A","non-dropping-particle":"","parse-names":false,"suffix":""},{"dropping-particle":"","family":"Vedi","given":"Mahima","non-dropping-particle":"","parse-names":false,"suffix":""},{"dropping-particle":"","family":"Wang","given":"Shur-Jen","non-dropping-particle":"","parse-names":false,"suffix":""},{"dropping-particle":"","family":"D’Eustachio","given":"Peter","non-dropping-particle":"","parse-names":false,"suffix":""},{"dropping-particle":"","family":"Matthews","given":"Lisa","non-dropping-particle":"","parse-names":false,"suffix":""},{"dropping-particle":"","family":"Balhoff","given":"James P","non-dropping-particle":"","parse-names":false,"suffix":""},{"dropping-particle":"","family":"Aleksander","given":"Suzi A","non-dropping-particle":"","parse-names":false,"suffix":""},{"dropping-particle":"","family":"Alexander","given":"Michael J","non-dropping-particle":"","parse-names":false,"suffix":""},{"dropping-particle":"","family":"Cherry","given":"J Michael","non-dropping-particle":"","parse-names":false,"suffix":""},{"dropping-particle":"","family":"Engel","given":"Stacia R","non-dropping-particle":"","parse-names":false,"suffix":""},{"dropping-particle":"","family":"Gondwe","given":"Felix","non-dropping-particle":"","parse-names":false,"suffix":""},{"dropping-particle":"","family":"Karra","given":"Kalpana","non-dropping-particle":"","parse-names":false,"suffix":""},{"dropping-particle":"","family":"Miyasato","given":"Stuart R","non-dropping-particle":"","parse-names":false,"suffix":""},{"dropping-particle":"","family":"Nash","given":"Robert S","non-dropping-particle":"","parse-names":false,"suffix":""},{"dropping-particle":"","family":"Simison","given":"Matt","non-dropping-particle":"","parse-names":false,"suffix":""},{"dropping-particle":"","family":"Skrzypek","given":"Marek S","non-dropping-particle":"","parse-names":false,"suffix":""},{"dropping-particle":"","family":"Weng","given":"Shuai","non-dropping-particle":"","parse-names":false,"suffix":""},{"dropping-particle":"","family":"Wong","given":"Edith D","non-dropping-particle":"","parse-names":false,"suffix":""},{"dropping-particle":"","family":"Feuermann","given":"Marc","non-dropping-particle":"","parse-names":false,"suffix":""},{"dropping-particle":"","family":"Gaudet","given":"Pascale","non-dropping-particle":"","parse-names":false,"suffix":""},{"dropping-particle":"","family":"Morgat","given":"Anne","non-dropping-particle":"","parse-names":false,"suffix":""},{"dropping-particle":"","family":"Bakker","given":"Erica","non-dropping-particle":"","parse-names":false,"suffix":""},{"dropping-particle":"","family":"Berardini","given":"Tanya Z","non-dropping-particle":"","parse-names":false,"suffix":""},{"dropping-particle":"","family":"Reiser","given":"Leonore","non-dropping-particle":"","parse-names":false,"suffix":""},{"dropping-particle":"","family":"Subramaniam","given":"Shabari","non-dropping-particle":"","parse-names":false,"suffix":""},{"dropping-particle":"","family":"Huala","given":"Eva","non-dropping-particle":"","parse-names":false,"suffix":""},{"dropping-particle":"","family":"Arighi","given":"Cecilia N","non-dropping-particle":"","parse-names":false,"suffix":""},{"dropping-particle":"","family":"Auchincloss","given":"Andrea","non-dropping-particle":"","parse-names":false,"suffix":""},{"dropping-particle":"","family":"Axelsen","given":"Kristian","non-dropping-particle":"","parse-names":false,"suffix":""},{"dropping-particle":"","family":"Argoud-Puy","given":"Ghislaine","non-dropping-particle":"","parse-names":false,"suffix":""},{"dropping-particle":"","family":"Bateman","given":"Alex","non-dropping-particle":"","parse-names":false,"suffix":""},{"dropping-particle":"","family":"Blatter","given":"Marie-Claude","non-dropping-particle":"","parse-names":false,"suffix":""},{"dropping-particle":"","family":"Boutet","given":"Emmanuel","non-dropping-particle":"","parse-names":false,"suffix":""},{"dropping-particle":"","family":"Bowler","given":"Emily","non-dropping-particle":"","parse-names":false,"suffix":""},{"dropping-particle":"","family":"Breuza","given":"Lionel","non-dropping-particle":"","parse-names":false,"suffix":""},{"dropping-particle":"","family":"Bridge","given":"Alan","non-dropping-particle":"","parse-names":false,"suffix":""},{"dropping-particle":"","family":"Britto","given":"Ramona","non-dropping-particle":"","parse-names":false,"suffix":""},{"dropping-particle":"","family":"Bye-A-Jee","given":"Hema","non-dropping-particle":"","parse-names":false,"suffix":""},{"dropping-particle":"","family":"Casas","given":"Cristina Casals","non-dropping-particle":"","parse-names":false,"suffix":""},{"dropping-particle":"","family":"Coudert","given":"Elisabeth","non-dropping-particle":"","parse-names":false,"suffix":""},{"dropping-particle":"","family":"Denny","given":"Paul","non-dropping-particle":"","parse-names":false,"suffix":""},{"dropping-particle":"","family":"Estreicher","given":"Anne","non-dropping-particle":"","parse-names":false,"suffix":""},{"dropping-particle":"","family":"Famiglietti","given":"Maria Livia","non-dropping-particle":"","parse-names":false,"suffix":""},{"dropping-particle":"","family":"Georghiou","given":"George","non-dropping-particle":"","parse-names":false,"suffix":""},{"dropping-particle":"","family":"Gos","given":"Arnaud","non-dropping-particle":"","parse-names":false,"suffix":""},{"dropping-particle":"","family":"Gruaz-Gumowski","given":"Nadine","non-dropping-particle":"","parse-names":false,"suffix":""},{"dropping-particle":"","family":"Hatton-Ellis","given":"Emma","non-dropping-particle":"","parse-names":false,"suffix":""},{"dropping-particle":"","family":"Hulo","given":"Chantal","non-dropping-particle":"","parse-names":false,"suffix":""},{"dropping-particle":"","family":"Ignatchenko","given":"Alexandr","non-dropping-particle":"","parse-names":false,"suffix":""},{"dropping-particle":"","family":"Jungo","given":"Florence","non-dropping-particle":"","parse-names":false,"suffix":""},{"dropping-particle":"","family":"Laiho","given":"Kati","non-dropping-particle":"","parse-names":false,"suffix":""},{"dropping-particle":"","family":"Mercier","given":"Philippe","non-dropping-particle":"Le","parse-names":false,"suffix":""},{"dropping-particle":"","family":"Lieberherr","given":"Damien","non-dropping-particle":"","parse-names":false,"suffix":""},{"dropping-particle":"","family":"Lock","given":"Antonia","non-dropping-particle":"","parse-names":false,"suffix":""},{"dropping-particle":"","family":"Lussi","given":"Yvonne","non-dropping-particle":"","parse-names":false,"suffix":""},{"dropping-particle":"","family":"MacDougall","given":"Alistair","non-dropping-particle":"","parse-names":false,"suffix":""},{"dropping-particle":"","family":"Magrane","given":"Michele","non-dropping-particle":"","parse-names":false,"suffix":""},{"dropping-particle":"","family":"Martin","given":"Maria J","non-dropping-particle":"","parse-names":false,"suffix":""},{"dropping-particle":"","family":"Masson","given":"Patrick","non-dropping-particle":"","parse-names":false,"suffix":""},{"dropping-particle":"","family":"Natale","given":"Darren A","non-dropping-particle":"","parse-names":false,"suffix":""},{"dropping-particle":"","family":"Hyka-Nouspikel","given":"Nevila","non-dropping-particle":"","parse-names":false,"suffix":""},{"dropping-particle":"","family":"Orchard","given":"Sandra","non-dropping-particle":"","parse-names":false,"suffix":""},{"dropping-particle":"","family":"Pedruzzi","given":"Ivo","non-dropping-particle":"","parse-names":false,"suffix":""},{"dropping-particle":"","family":"Pourcel","given":"Lucille","non-dropping-particle":"","parse-names":false,"suffix":""},{"dropping-particle":"","family":"Poux","given":"Sylvain","non-dropping-particle":"","parse-names":false,"suffix":""},{"dropping-particle":"","family":"Pundir","given":"Sangya","non-dropping-particle":"","parse-names":false,"suffix":""},{"dropping-particle":"","family":"Rivoire","given":"Catherine","non-dropping-particle":"","parse-names":false,"suffix":""},{"dropping-particle":"","family":"Speretta","given":"Elena","non-dropping-particle":"","parse-names":false,"suffix":""},{"dropping-particle":"","family":"Sundaram","given":"Shyamala","non-dropping-particle":"","parse-names":false,"suffix":""},{"dropping-particle":"","family":"Tyagi","given":"Nidhi","non-dropping-particle":"","parse-names":false,"suffix":""},{"dropping-particle":"","family":"Warner","given":"Kate","non-dropping-particle":"","parse-names":false,"suffix":""},{"dropping-particle":"","family":"Zaru","given":"Rossana","non-dropping-particle":"","parse-names":false,"suffix":""},{"dropping-particle":"","family":"Wu","given":"Cathy H","non-dropping-particle":"","parse-names":false,"suffix":""},{"dropping-particle":"","family":"Diehl","given":"Alexander D","non-dropping-particle":"","parse-names":false,"suffix":""},{"dropping-particle":"","family":"Chan","given":"Juancarlos N","non-dropping-particle":"","parse-names":false,"suffix":""},{"dropping-particle":"","family":"Grove","given":"Christian","non-dropping-particle":"","parse-names":false,"suffix":""},{"dropping-particle":"","family":"Lee","given":"Raymond Y N","non-dropping-particle":"","parse-names":false,"suffix":""},{"dropping-particle":"","family":"Muller","given":"Hans-Michael","non-dropping-particle":"","parse-names":false,"suffix":""},{"dropping-particle":"","family":"Raciti","given":"Daniela","non-dropping-particle":"","parse-names":false,"suffix":""},{"dropping-particle":"","family":"Auken","given":"Kimberly","non-dropping-particle":"Van","parse-names":false,"suffix":""},{"dropping-particle":"","family":"Sternberg","given":"Paul W","non-dropping-particle":"","parse-names":false,"suffix":""},{"dropping-particle":"","family":"Berriman","given":"Matthew","non-dropping-particle":"","parse-names":false,"suffix":""},{"dropping-particle":"","family":"Paulini","given":"Michael","non-dropping-particle":"","parse-names":false,"suffix":""},{"dropping-particle":"","family":"Howe","given":"Kevin","non-dropping-particle":"","parse-names":false,"suffix":""},{"dropping-particle":"","family":"Gao","given":"Sibyl","non-dropping-particle":"","parse-names":false,"suffix":""},{"dropping-particle":"","family":"Wright","given":"Adam","non-dropping-particle":"","parse-names":false,"suffix":""},{"dropping-particle":"","family":"Stein","given":"Lincoln","non-dropping-particle":"","parse-names":false,"suffix":""},{"dropping-particle":"","family":"Howe","given":"Douglas G","non-dropping-particle":"","parse-names":false,"suffix":""},{"dropping-particle":"","family":"Toro","given":"Sabrina","non-dropping-particle":"","parse-names":false,"suffix":""},{"dropping-particle":"","family":"Westerfield","given":"Monte","non-dropping-particle":"","parse-names":false,"suffix":""},{"dropping-particle":"","family":"Jaiswal","given":"Pankaj","non-dropping-particle":"","parse-names":false,"suffix":""},{"dropping-particle":"","family":"Cooper","given":"Laurel","non-dropping-particle":"","parse-names":false,"suffix":""},{"dropping-particle":"","family":"Elser","given":"Justin","non-dropping-particle":"","parse-names":false,"suffix":""}],"container-title":"Nucleic Acids Research","id":"ITEM-2","issue":"D1","issued":{"date-parts":[["2021","1","8"]]},"page":"D325-D334","title":"The Gene Ontology resource: enriching a GOld mine","type":"article-journal","volume":"49"},"uris":["http://www.mendeley.com/documents/?uuid=8307c825-fb53-4a2f-88b7-fa4b1bae1436"]}],"mendeley":{"formattedCitation":"(47,49)","plainTextFormattedCitation":"(47,49)","previouslyFormattedCitation":"(47,48)"},"properties":{"noteIndex":0},"schema":"https://github.com/citation-style-language/schema/raw/master/csl-citation.json"}</w:instrText>
      </w:r>
      <w:r w:rsidR="00FB4C8A">
        <w:fldChar w:fldCharType="separate"/>
      </w:r>
      <w:r w:rsidR="009E4629" w:rsidRPr="009E4629">
        <w:rPr>
          <w:noProof/>
        </w:rPr>
        <w:t>(47,49)</w:t>
      </w:r>
      <w:r w:rsidR="00FB4C8A">
        <w:fldChar w:fldCharType="end"/>
      </w:r>
      <w:r w:rsidR="00FB4C8A">
        <w:t xml:space="preserve">. </w:t>
      </w:r>
      <w:r w:rsidR="009422AA">
        <w:t>Since a protein</w:t>
      </w:r>
      <w:r w:rsidR="007B33A8">
        <w:t>-</w:t>
      </w:r>
      <w:r w:rsidR="009422AA">
        <w:t xml:space="preserve">binding interaction or </w:t>
      </w:r>
      <w:r w:rsidR="006173AE">
        <w:t xml:space="preserve">a </w:t>
      </w:r>
      <w:r w:rsidR="009422AA">
        <w:t>gene co-expression relationship would generally not be sufficient to confer annotation to a given GO term, we can consider that GO terms are also broadly independent of functional associations</w:t>
      </w:r>
      <w:r w:rsidR="006173AE">
        <w:t>. However,</w:t>
      </w:r>
      <w:r w:rsidR="009422AA">
        <w:t xml:space="preserve"> w</w:t>
      </w:r>
      <w:r w:rsidR="005B34ED">
        <w:t xml:space="preserve">e cannot rule out that functional associations sometimes </w:t>
      </w:r>
      <w:r w:rsidR="006173AE">
        <w:t>influence the</w:t>
      </w:r>
      <w:r w:rsidR="005B34ED">
        <w:t xml:space="preserve"> supporting evidence for an annotation (such as for </w:t>
      </w:r>
      <w:r w:rsidR="006173AE">
        <w:t>the occasionally used</w:t>
      </w:r>
      <w:r w:rsidR="005B34ED">
        <w:t xml:space="preserve"> ‘author statement’ evidence type, where the curator draws directly from a published statement)</w:t>
      </w:r>
      <w:r w:rsidR="009422AA">
        <w:t>.</w:t>
      </w:r>
    </w:p>
    <w:p w14:paraId="10363D11" w14:textId="5FF6AC76" w:rsidR="00516850" w:rsidRDefault="00003BB2" w:rsidP="00066430">
      <w:pPr>
        <w:spacing w:after="0"/>
        <w:jc w:val="both"/>
      </w:pPr>
      <w:r>
        <w:t>Although scores from the DSD algorithm correlated</w:t>
      </w:r>
      <w:r w:rsidR="004845CC">
        <w:t xml:space="preserve"> moderately </w:t>
      </w:r>
      <w:r>
        <w:t xml:space="preserve">with those from DIAMOnD </w:t>
      </w:r>
      <w:r w:rsidR="004845CC">
        <w:t xml:space="preserve">across GO terms </w:t>
      </w:r>
      <w:r>
        <w:t>(</w:t>
      </w:r>
      <w:r w:rsidRPr="00AF317B">
        <w:rPr>
          <w:i/>
          <w:iCs/>
        </w:rPr>
        <w:t>R</w:t>
      </w:r>
      <w:r>
        <w:t xml:space="preserve"> = 0.3; </w:t>
      </w:r>
      <w:r w:rsidR="000B1C4F">
        <w:t>F</w:t>
      </w:r>
      <w:r>
        <w:t xml:space="preserve">igure S2), there was variation in which GO terms performed better using each clustering approach. </w:t>
      </w:r>
      <w:r w:rsidR="00C95A07">
        <w:t xml:space="preserve">For example, </w:t>
      </w:r>
      <w:r w:rsidR="004845CC">
        <w:t>percentage</w:t>
      </w:r>
      <w:r w:rsidR="00C95A07">
        <w:t xml:space="preserve"> recall of ‘Myofilament’ genes was as high as 87.4% under DIAMOnD (using the STRING + MyoMiner Cell NF network; table 4), but this term had at best a middling performance for any network under DSD (table 3). In the present study, we did not set out to compare the clustering approaches </w:t>
      </w:r>
      <w:r w:rsidR="005C1BA8">
        <w:t>against each other or in relation to</w:t>
      </w:r>
      <w:r w:rsidR="00C95A07">
        <w:t xml:space="preserve"> different GO terms, and our observations do not seem to suggest any obvious rules </w:t>
      </w:r>
      <w:r w:rsidR="007B33A8">
        <w:t>to predict</w:t>
      </w:r>
      <w:r w:rsidR="00C95A07">
        <w:t xml:space="preserve"> which clustering algorithm will perform best for which GO term, but this may be an interesting topic for further </w:t>
      </w:r>
      <w:r w:rsidR="00F60A15">
        <w:t>research</w:t>
      </w:r>
      <w:r w:rsidR="00C95A07">
        <w:t>, as it may give insights into the best choice of clustering algorithm for a given functional genomics study, or to address a given biological question.</w:t>
      </w:r>
    </w:p>
    <w:p w14:paraId="34A797CE" w14:textId="75F3496C" w:rsidR="00692BD2" w:rsidRDefault="00692BD2" w:rsidP="00692BD2">
      <w:pPr>
        <w:spacing w:after="0"/>
        <w:jc w:val="both"/>
      </w:pPr>
      <w:r>
        <w:t xml:space="preserve">Although we did not set out to comprehensively compare tissue generic against muscle tissue-specific networks, in general we observed </w:t>
      </w:r>
      <w:r w:rsidR="003B6265">
        <w:t xml:space="preserve">that </w:t>
      </w:r>
      <w:r>
        <w:t xml:space="preserve">there did not appear to be a major benefit of muscle tissue-specific networks, neither when compared as individual networks nor in combined networks. It would be conceivable that certain muscle-related GO terms would have greater specificity to muscle tissue, and we might have expected to see variation in the performance of individual GO terms or categories of GO term (the ‘contraction’, ‘membrane’, ‘regeneration’, and ‘other’, categories to which we assigned them; Tables 3 and 4) when comparing tissue-specific to tissue-generic networks. However, this was not the case, and no particular trend could be observed in that respect: with only a few exceptions, GO terms which showed strong recall relative to other GO terms (e.g. ‘Myofilament’ with DIAMOnD, ‘Muscle Cell Proliferation’ or ‘T-tubule’ with DSD) on tissue-specific networks generally showed strong recall on tissue-generic networks, and, </w:t>
      </w:r>
      <w:r w:rsidR="007B33A8">
        <w:t>conversely</w:t>
      </w:r>
      <w:r>
        <w:t>, poorly performing GO terms (e.g. ‘Myoblast fusion’ or ‘Muscle hypertrophy’) generally performed poorly regardless of tissue-specificity.</w:t>
      </w:r>
      <w:r w:rsidR="008155AB">
        <w:t xml:space="preserve"> This may not be surprising, as it has been suggested that there is extensive communication between universally expressed proteins and those with tissue-specific expression </w:t>
      </w:r>
      <w:r w:rsidR="008155AB">
        <w:fldChar w:fldCharType="begin" w:fldLock="1"/>
      </w:r>
      <w:r w:rsidR="00276AB2">
        <w:instrText>ADDIN CSL_CITATION {"citationItems":[{"id":"ITEM-1","itemData":{"DOI":"10.1038/msb.2009.17","ISSN":"1744-4292","PMID":"19357639","abstract":"A protein interaction network describes a set of physical associations that can occur between proteins. However, within any particular cell or tissue only a subset of proteins is expressed and so only a subset of interactions can occur. Integrating interaction and expression data, we analyze here this interplay between protein expression and physical interactions in humans. Proteins only expressed in restricted cell types, like recently evolved proteins, make few physical interactions. Most tissue-specific proteins do, however, bind to universally expressed proteins, and so can function by recruiting or modifying core cellular processes. Conversely, most 'housekeeping' proteins that are expressed in all cells also make highly tissue-specific protein interactions. These results suggest a model for the evolution of tissue-specific biology, and show that most, and possibly all, 'housekeeping' proteins actually have important tissue-specific molecular interactions.","author":[{"dropping-particle":"","family":"Bossi","given":"Alice","non-dropping-particle":"","parse-names":false,"suffix":""},{"dropping-particle":"","family":"Lehner","given":"Ben","non-dropping-particle":"","parse-names":false,"suffix":""}],"container-title":"Molecular systems biology","id":"ITEM-1","issued":{"date-parts":[["2009"]]},"page":"260","title":"Tissue specificity and the human protein interaction network.","type":"article-journal","volume":"5"},"uris":["http://www.mendeley.com/documents/?uuid=fb69dfbc-474b-443a-977e-be3af6ff0588","http://www.mendeley.com/documents/?uuid=92536ffe-6c96-4d68-aa3e-d9b3c1012300"]}],"mendeley":{"formattedCitation":"(25)","plainTextFormattedCitation":"(25)","previouslyFormattedCitation":"(25)"},"properties":{"noteIndex":0},"schema":"https://github.com/citation-style-language/schema/raw/master/csl-citation.json"}</w:instrText>
      </w:r>
      <w:r w:rsidR="008155AB">
        <w:fldChar w:fldCharType="separate"/>
      </w:r>
      <w:r w:rsidR="008155AB" w:rsidRPr="00620042">
        <w:rPr>
          <w:noProof/>
        </w:rPr>
        <w:t>(25)</w:t>
      </w:r>
      <w:r w:rsidR="008155AB">
        <w:fldChar w:fldCharType="end"/>
      </w:r>
      <w:r w:rsidR="008155AB">
        <w:t>.</w:t>
      </w:r>
      <w:r>
        <w:t xml:space="preserve"> </w:t>
      </w:r>
      <w:r w:rsidR="008155AB">
        <w:t>Nevertheless, i</w:t>
      </w:r>
      <w:r>
        <w:t xml:space="preserve">t may be interesting in future work to carry out a </w:t>
      </w:r>
      <w:r w:rsidR="00BD23B9">
        <w:t>systematic</w:t>
      </w:r>
      <w:r>
        <w:t xml:space="preserve"> comparison to determine the effects of tissue-specificity: for example, to include both generic and tissue-specific MINs from similar sources (such as from GTEx or CoXPRESdb, which each have both complete and muscle-specific subsets).</w:t>
      </w:r>
    </w:p>
    <w:p w14:paraId="3CDAA942" w14:textId="437BDB43" w:rsidR="00D828E9" w:rsidRDefault="00692BD2" w:rsidP="00066430">
      <w:pPr>
        <w:spacing w:after="0"/>
        <w:jc w:val="both"/>
      </w:pPr>
      <w:r>
        <w:t>O</w:t>
      </w:r>
      <w:r w:rsidR="00F15666">
        <w:t>ur analysis to some extent incorporated other types of functional association (</w:t>
      </w:r>
      <w:r w:rsidR="000A67CF">
        <w:t>STRING association evidence is supported by multiple types of functional association</w:t>
      </w:r>
      <w:r w:rsidR="007B33A8">
        <w:t>,</w:t>
      </w:r>
      <w:r w:rsidR="000A67CF">
        <w:t xml:space="preserve"> and HumanBase is derived from multiple types of functional association</w:t>
      </w:r>
      <w:r w:rsidR="00F15666">
        <w:t>)</w:t>
      </w:r>
      <w:r w:rsidR="000A67CF">
        <w:t>,</w:t>
      </w:r>
      <w:r>
        <w:t xml:space="preserve"> but</w:t>
      </w:r>
      <w:r w:rsidR="000A67CF">
        <w:t xml:space="preserve"> </w:t>
      </w:r>
      <w:r w:rsidR="00F15666">
        <w:t>it was</w:t>
      </w:r>
      <w:r w:rsidR="000A67CF">
        <w:t xml:space="preserve"> focused chiefly on</w:t>
      </w:r>
      <w:r w:rsidR="00F15666">
        <w:t xml:space="preserve"> the</w:t>
      </w:r>
      <w:r w:rsidR="000A67CF">
        <w:t xml:space="preserve"> two types of functional association, protein-protein interactions and gene co-expression, </w:t>
      </w:r>
      <w:r w:rsidR="00F15666">
        <w:t xml:space="preserve">that performed best in the DREAM Disease Module challenge. </w:t>
      </w:r>
      <w:r>
        <w:t>I</w:t>
      </w:r>
      <w:r w:rsidR="000A67CF">
        <w:t xml:space="preserve">t may be interesting in future work to attempt to improve muscle gene recall performance by a more explicit incorporation of other types of functional association, such as protein colocalization or sequence homology, </w:t>
      </w:r>
      <w:r w:rsidR="00984DD6">
        <w:t xml:space="preserve">signalling relationships, </w:t>
      </w:r>
      <w:r w:rsidR="000A67CF">
        <w:t>or gene expression regulatory interactions of DNA and RNA (e.g. transcription factors and microRNAs)</w:t>
      </w:r>
      <w:r w:rsidR="00147549">
        <w:t>.</w:t>
      </w:r>
      <w:r w:rsidR="00516850" w:rsidRPr="00516850">
        <w:t xml:space="preserve"> </w:t>
      </w:r>
      <w:r w:rsidR="00533C0F">
        <w:t>Similarly</w:t>
      </w:r>
      <w:r w:rsidR="00516850">
        <w:t xml:space="preserve">, we focused the present study on muscle-related terms in two branches of the Gene Ontology, but it may be interesting in future to test recall of other muscle-related functional relationships, such as </w:t>
      </w:r>
      <w:r w:rsidR="00907A6E">
        <w:t xml:space="preserve">shared pathways (e.g. Reactome </w:t>
      </w:r>
      <w:r w:rsidR="00907A6E">
        <w:fldChar w:fldCharType="begin" w:fldLock="1"/>
      </w:r>
      <w:r w:rsidR="009E4629">
        <w:instrText>ADDIN CSL_CITATION {"citationItems":[{"id":"ITEM-1","itemData":{"DOI":"10.1093/nar/gkz1031","ISSN":"0305-1048","abstract":"The Reactome Knowledgebase (https://reactome.org) provides molecular details of signal transduction, transport, DNA replication, metabolism and other cellular processes as an ordered network of molecular transformations in a single consistent data model, an extended version of a classic metabolic map. Reactome functions both as an archive of biological processes and as a tool for discovering functional relationships in data such as gene expression profiles or somatic mutation catalogs from tumor cells. To extend our ability to annotate human disease processes, we have implemented a new drug class and have used it initially to annotate drugs relevant to cardiovascular disease. Our annotation model depends on external domain experts to identify new areas for annotation and to review new content. New web pages facilitate recruitment of community experts and allow those who have contributed to Reactome to identify their contributions and link them to their ORCID records. To improve visualization of our content, we have implemented a new tool to automatically lay out the components of individual reactions with multiple options for downloading the reaction diagrams and associated data, and a new display of our event hierarchy that will facilitate visual interpretation of pathway analysis results.","author":[{"dropping-particle":"","family":"Jassal","given":"Bijay","non-dropping-particle":"","parse-names":false,"suffix":""},{"dropping-particle":"","family":"Matthews","given":"Lisa","non-dropping-particle":"","parse-names":false,"suffix":""},{"dropping-particle":"","family":"Viteri","given":"Guilherme","non-dropping-particle":"","parse-names":false,"suffix":""},{"dropping-particle":"","family":"Gong","given":"Chuqiao","non-dropping-particle":"","parse-names":false,"suffix":""},{"dropping-particle":"","family":"Lorente","given":"Pascual","non-dropping-particle":"","parse-names":false,"suffix":""},{"dropping-particle":"","family":"Fabregat","given":"Antonio","non-dropping-particle":"","parse-names":false,"suffix":""},{"dropping-particle":"","family":"Sidiropoulos","given":"Konstantinos","non-dropping-particle":"","parse-names":false,"suffix":""},{"dropping-particle":"","family":"Cook","given":"Justin","non-dropping-particle":"","parse-names":false,"suffix":""},{"dropping-particle":"","family":"Gillespie","given":"Marc","non-dropping-particle":"","parse-names":false,"suffix":""},{"dropping-particle":"","family":"Haw","given":"Robin","non-dropping-particle":"","parse-names":false,"suffix":""},{"dropping-particle":"","family":"Loney","given":"Fred","non-dropping-particle":"","parse-names":false,"suffix":""},{"dropping-particle":"","family":"May","given":"Bruce","non-dropping-particle":"","parse-names":false,"suffix":""},{"dropping-particle":"","family":"Milacic","given":"Marija","non-dropping-particle":"","parse-names":false,"suffix":""},{"dropping-particle":"","family":"Rothfels","given":"Karen","non-dropping-particle":"","parse-names":false,"suffix":""},{"dropping-particle":"","family":"Sevilla","given":"Cristoffer","non-dropping-particle":"","parse-names":false,"suffix":""},{"dropping-particle":"","family":"Shamovsky","given":"Veronica","non-dropping-particle":"","parse-names":false,"suffix":""},{"dropping-particle":"","family":"Shorser","given":"Solomon","non-dropping-particle":"","parse-names":false,"suffix":""},{"dropping-particle":"","family":"Varusai","given":"Thawfeek","non-dropping-particle":"","parse-names":false,"suffix":""},{"dropping-particle":"","family":"Weiser","given":"Joel","non-dropping-particle":"","parse-names":false,"suffix":""},{"dropping-particle":"","family":"Wu","given":"Guanming","non-dropping-particle":"","parse-names":false,"suffix":""},{"dropping-particle":"","family":"Stein","given":"Lincoln","non-dropping-particle":"","parse-names":false,"suffix":""},{"dropping-particle":"","family":"Hermjakob","given":"Henning","non-dropping-particle":"","parse-names":false,"suffix":""},{"dropping-particle":"","family":"D’Eustachio","given":"Peter","non-dropping-particle":"","parse-names":false,"suffix":""}],"container-title":"Nucleic Acids Research","id":"ITEM-1","issued":{"date-parts":[["2019","11","6"]]},"title":"The reactome pathway knowledgebase","type":"article-journal"},"uris":["http://www.mendeley.com/documents/?uuid=893a5f7e-ab54-4a3f-ac9b-c5d994861471"]}],"mendeley":{"formattedCitation":"(50)","plainTextFormattedCitation":"(50)","previouslyFormattedCitation":"(49)"},"properties":{"noteIndex":0},"schema":"https://github.com/citation-style-language/schema/raw/master/csl-citation.json"}</w:instrText>
      </w:r>
      <w:r w:rsidR="00907A6E">
        <w:fldChar w:fldCharType="separate"/>
      </w:r>
      <w:r w:rsidR="009E4629" w:rsidRPr="009E4629">
        <w:rPr>
          <w:noProof/>
        </w:rPr>
        <w:t>(50)</w:t>
      </w:r>
      <w:r w:rsidR="00907A6E">
        <w:fldChar w:fldCharType="end"/>
      </w:r>
      <w:r w:rsidR="00907A6E">
        <w:t xml:space="preserve">, Wikipathways </w:t>
      </w:r>
      <w:r w:rsidR="00907A6E">
        <w:fldChar w:fldCharType="begin" w:fldLock="1"/>
      </w:r>
      <w:r w:rsidR="009E4629">
        <w:instrText>ADDIN CSL_CITATION {"citationItems":[{"id":"ITEM-1","itemData":{"DOI":"10.1093/nar/gkaa1024","ISSN":"0305-1048","abstract":"WikiPathways (https://www.wikipathways.org) is a biological pathway database known for its collaborative nature and open science approaches. With the core idea of the scientific community developing and curating biological knowledge in pathway models, WikiPathways lowers all barriers for accessing and using its content. Increasingly more content creators, initiatives, projects and tools have started using WikiPathways. Central in this growth and increased use of WikiPathways are the various communities that focus on particular subsets of molecular pathways such as for rare diseases and lipid metabolism. Knowledge from published pathway figures helps prioritize pathway development, using optical character and named entity recognition. We show the growth of WikiPathways over the last three years, highlight the new communities and collaborations of pathway authors and curators, and describe various technologies to connect to external resources and initiatives. The road toward a sustainable, community-driven pathway database goes through integration with other resources such as Wikidata and allowing more use, curation and redistribution of WikiPathways content.","author":[{"dropping-particle":"","family":"Martens","given":"Marvin","non-dropping-particle":"","parse-names":false,"suffix":""},{"dropping-particle":"","family":"Ammar","given":"Ammar","non-dropping-particle":"","parse-names":false,"suffix":""},{"dropping-particle":"","family":"Riutta","given":"Anders","non-dropping-particle":"","parse-names":false,"suffix":""},{"dropping-particle":"","family":"Waagmeester","given":"Andra","non-dropping-particle":"","parse-names":false,"suffix":""},{"dropping-particle":"","family":"Slenter","given":"Denise N","non-dropping-particle":"","parse-names":false,"suffix":""},{"dropping-particle":"","family":"Hanspers","given":"Kristina","non-dropping-particle":"","parse-names":false,"suffix":""},{"dropping-particle":"","family":"A. Miller","given":"Ryan","non-dropping-particle":"","parse-names":false,"suffix":""},{"dropping-particle":"","family":"Digles","given":"Daniela","non-dropping-particle":"","parse-names":false,"suffix":""},{"dropping-particle":"","family":"Lopes","given":"Elisson N","non-dropping-particle":"","parse-names":false,"suffix":""},{"dropping-particle":"","family":"Ehrhart","given":"Friederike","non-dropping-particle":"","parse-names":false,"suffix":""},{"dropping-particle":"","family":"Dupuis","given":"Lauren J","non-dropping-particle":"","parse-names":false,"suffix":""},{"dropping-particle":"","family":"Winckers","given":"Laurent A","non-dropping-particle":"","parse-names":false,"suffix":""},{"dropping-particle":"","family":"Coort","given":"Susan L","non-dropping-particle":"","parse-names":false,"suffix":""},{"dropping-particle":"","family":"Willighagen","given":"Egon L","non-dropping-particle":"","parse-names":false,"suffix":""},{"dropping-particle":"","family":"Evelo","given":"Chris T","non-dropping-particle":"","parse-names":false,"suffix":""},{"dropping-particle":"","family":"Pico","given":"Alexander R","non-dropping-particle":"","parse-names":false,"suffix":""},{"dropping-particle":"","family":"Kutmon","given":"Martina","non-dropping-particle":"","parse-names":false,"suffix":""}],"container-title":"Nucleic Acids Research","id":"ITEM-1","issue":"D1","issued":{"date-parts":[["2021","1","8"]]},"page":"D613-D621","title":"WikiPathways: connecting communities","type":"article-journal","volume":"49"},"uris":["http://www.mendeley.com/documents/?uuid=60cf458b-875c-4213-82ce-80900cd771d1"]}],"mendeley":{"formattedCitation":"(51)","plainTextFormattedCitation":"(51)","previouslyFormattedCitation":"(50)"},"properties":{"noteIndex":0},"schema":"https://github.com/citation-style-language/schema/raw/master/csl-citation.json"}</w:instrText>
      </w:r>
      <w:r w:rsidR="00907A6E">
        <w:fldChar w:fldCharType="separate"/>
      </w:r>
      <w:r w:rsidR="009E4629" w:rsidRPr="009E4629">
        <w:rPr>
          <w:noProof/>
        </w:rPr>
        <w:t>(51)</w:t>
      </w:r>
      <w:r w:rsidR="00907A6E">
        <w:fldChar w:fldCharType="end"/>
      </w:r>
      <w:r w:rsidR="00907A6E">
        <w:t>)</w:t>
      </w:r>
      <w:r w:rsidR="00516850">
        <w:t xml:space="preserve">, </w:t>
      </w:r>
      <w:r w:rsidR="00907A6E">
        <w:t>or</w:t>
      </w:r>
      <w:r w:rsidR="00516850">
        <w:t xml:space="preserve"> the Muscle Gene Sets</w:t>
      </w:r>
      <w:r w:rsidR="00907A6E">
        <w:t xml:space="preserve"> </w:t>
      </w:r>
      <w:r w:rsidR="00907A6E">
        <w:fldChar w:fldCharType="begin" w:fldLock="1"/>
      </w:r>
      <w:r w:rsidR="009E4629">
        <w:instrText>ADDIN CSL_CITATION {"citationItems":[{"id":"ITEM-1","itemData":{"DOI":"10.1186/s13395-019-0196-z","ISSN":"2044-5040","author":[{"dropping-particle":"","family":"Malatras","given":"Apostolos","non-dropping-particle":"","parse-names":false,"suffix":""},{"dropping-particle":"","family":"Duguez","given":"Stephanie","non-dropping-particle":"","parse-names":false,"suffix":""},{"dropping-particle":"","family":"Duddy","given":"William","non-dropping-particle":"","parse-names":false,"suffix":""}],"container-title":"Skeletal Muscle","id":"ITEM-1","issue":"1","issued":{"date-parts":[["2019","12","3"]]},"page":"10","title":"Muscle Gene Sets: a versatile methodological aid to functional genomics in the neuromuscular field","type":"article-journal","volume":"9"},"uris":["http://www.mendeley.com/documents/?uuid=7c121049-079f-4fdb-b75e-6e94625b5400"]}],"mendeley":{"formattedCitation":"(52)","plainTextFormattedCitation":"(52)","previouslyFormattedCitation":"(51)"},"properties":{"noteIndex":0},"schema":"https://github.com/citation-style-language/schema/raw/master/csl-citation.json"}</w:instrText>
      </w:r>
      <w:r w:rsidR="00907A6E">
        <w:fldChar w:fldCharType="separate"/>
      </w:r>
      <w:r w:rsidR="009E4629" w:rsidRPr="009E4629">
        <w:rPr>
          <w:noProof/>
        </w:rPr>
        <w:t>(52)</w:t>
      </w:r>
      <w:r w:rsidR="00907A6E">
        <w:fldChar w:fldCharType="end"/>
      </w:r>
      <w:r w:rsidR="00516850">
        <w:t>.</w:t>
      </w:r>
    </w:p>
    <w:p w14:paraId="104FA3B8" w14:textId="6B429F87" w:rsidR="00EB092B" w:rsidRDefault="00EB092B" w:rsidP="00066430">
      <w:pPr>
        <w:spacing w:after="0"/>
        <w:jc w:val="both"/>
      </w:pPr>
      <w:r>
        <w:t xml:space="preserve">Our aim was to identify optimal single networks for capture of muscle functions, but we note that certain analytical approaches can make use of multiple networks </w:t>
      </w:r>
      <w:r w:rsidR="007B33A8">
        <w:t>simultaneously</w:t>
      </w:r>
      <w:r w:rsidR="006523A5">
        <w:t xml:space="preserve"> </w:t>
      </w:r>
      <w:r w:rsidR="006523A5">
        <w:fldChar w:fldCharType="begin" w:fldLock="1"/>
      </w:r>
      <w:r w:rsidR="00FB4C8A">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mendeley":{"formattedCitation":"(47)","plainTextFormattedCitation":"(47)","previouslyFormattedCitation":"(47)"},"properties":{"noteIndex":0},"schema":"https://github.com/citation-style-language/schema/raw/master/csl-citation.json"}</w:instrText>
      </w:r>
      <w:r w:rsidR="006523A5">
        <w:fldChar w:fldCharType="separate"/>
      </w:r>
      <w:r w:rsidR="006523A5" w:rsidRPr="006523A5">
        <w:rPr>
          <w:noProof/>
        </w:rPr>
        <w:t>(47)</w:t>
      </w:r>
      <w:r w:rsidR="006523A5">
        <w:fldChar w:fldCharType="end"/>
      </w:r>
      <w:r>
        <w:t>, and in those cases it may be beneficial to use the top performing single-source networks from the present study as input.</w:t>
      </w:r>
    </w:p>
    <w:p w14:paraId="356BEF25" w14:textId="730715A5" w:rsidR="008155AB" w:rsidRDefault="008155AB" w:rsidP="00066430">
      <w:pPr>
        <w:spacing w:after="0"/>
        <w:jc w:val="both"/>
      </w:pPr>
      <w:r>
        <w:t xml:space="preserve">We note the relatively poor performance of the muscle tissue gene co-expression network derived from GTEx, despite that this </w:t>
      </w:r>
      <w:r w:rsidR="000F09DA">
        <w:t xml:space="preserve">was </w:t>
      </w:r>
      <w:r>
        <w:t>based on RNA-Seq data, unlike the other two co-expression sources (MyoMiner and Co</w:t>
      </w:r>
      <w:r w:rsidR="007B33A8">
        <w:t>X</w:t>
      </w:r>
      <w:r>
        <w:t>PRESdb), which use microarray data. One possible explanation is that neither MyoMiner nor Co</w:t>
      </w:r>
      <w:r w:rsidR="007B33A8">
        <w:t>X</w:t>
      </w:r>
      <w:r>
        <w:t xml:space="preserve">PRESdb are specific to healthy tissue of a single muscle group. It is conceivable that </w:t>
      </w:r>
      <w:r w:rsidR="000F09DA">
        <w:t xml:space="preserve">the relatively rich </w:t>
      </w:r>
      <w:r>
        <w:t xml:space="preserve">variability in gene expression across different muscles, diseases, and experimental perturbations, may favour the discovery of </w:t>
      </w:r>
      <w:r w:rsidR="000F09DA">
        <w:t>biologically</w:t>
      </w:r>
      <w:r>
        <w:t xml:space="preserve"> meaningful co-expression patterns, whereas variation within the same muscle of healthy individuals </w:t>
      </w:r>
      <w:r w:rsidR="000F09DA">
        <w:t>may be less useful in this context</w:t>
      </w:r>
      <w:r>
        <w:t>.</w:t>
      </w:r>
      <w:r w:rsidR="000F09DA">
        <w:t xml:space="preserve"> However, other differences may also be responsible, such as the use of post-mortem tissue in GTEx (whereas most microarray data are from cells or biopsies): a study of post-mortem gene expression changes in the GTEx dataset found that skeletal muscle exhibited </w:t>
      </w:r>
      <w:r w:rsidR="006C2E5E">
        <w:t xml:space="preserve">changes at </w:t>
      </w:r>
      <w:r w:rsidR="000F09DA">
        <w:t xml:space="preserve">the earliest post-mortem </w:t>
      </w:r>
      <w:r w:rsidR="006C2E5E">
        <w:t>time-point compared to the other 35 tissues tested</w:t>
      </w:r>
      <w:r w:rsidR="000F09DA">
        <w:t xml:space="preserve"> </w:t>
      </w:r>
      <w:r w:rsidR="000F09DA">
        <w:fldChar w:fldCharType="begin" w:fldLock="1"/>
      </w:r>
      <w:r w:rsidR="009E4629">
        <w:instrText>ADDIN CSL_CITATION {"citationItems":[{"id":"ITEM-1","itemData":{"DOI":"10.1038/s41467-017-02772-x","ISSN":"2041-1723","PMID":"29440659","abstract":"Post-mortem tissues samples are a key resource for investigating patterns of gene expression. However, the processes triggered by death and the post-mortem interval (PMI) can significantly alter physiologically normal RNA levels. We investigate the impact of PMI on gene expression using data from multiple tissues of post-mortem donors obtained from the GTEx project. We find that many genes change expression over relatively short PMIs in a tissue-specific manner, but this potentially confounding effect in a biological analysis can be minimized by taking into account appropriate covariates. By comparing ante- and post-mortem blood samples, we identify the cascade of transcriptional events triggered by death of the organism. These events do not appear to simply reflect stochastic variation resulting from mRNA degradation, but active and ongoing regulation of transcription. Finally, we develop a model to predict the time since death from the analysis of the transcriptome of a few readily accessible tissues.","author":[{"dropping-particle":"","family":"Ferreira","given":"Pedro G","non-dropping-particle":"","parse-names":false,"suffix":""},{"dropping-particle":"","family":"Muñoz-Aguirre","given":"Manuel","non-dropping-particle":"","parse-names":false,"suffix":""},{"dropping-particle":"","family":"Reverter","given":"Ferran","non-dropping-particle":"","parse-names":false,"suffix":""},{"dropping-particle":"","family":"Sá Godinho","given":"Caio P","non-dropping-particle":"","parse-names":false,"suffix":""},{"dropping-particle":"","family":"Sousa","given":"Abel","non-dropping-particle":"","parse-names":false,"suffix":""},{"dropping-particle":"","family":"Amadoz","given":"Alicia","non-dropping-particle":"","parse-names":false,"suffix":""},{"dropping-particle":"","family":"Sodaei","given":"Reza","non-dropping-particle":"","parse-names":false,"suffix":""},{"dropping-particle":"","family":"Hidalgo","given":"Marta R","non-dropping-particle":"","parse-names":false,"suffix":""},{"dropping-particle":"","family":"Pervouchine","given":"Dmitri","non-dropping-particle":"","parse-names":false,"suffix":""},{"dropping-particle":"","family":"Carbonell-Caballero","given":"Jose","non-dropping-particle":"","parse-names":false,"suffix":""},{"dropping-particle":"","family":"Nurtdinov","given":"Ramil","non-dropping-particle":"","parse-names":false,"suffix":""},{"dropping-particle":"","family":"Breschi","given":"Alessandra","non-dropping-particle":"","parse-names":false,"suffix":""},{"dropping-particle":"","family":"Amador","given":"Raziel","non-dropping-particle":"","parse-names":false,"suffix":""},{"dropping-particle":"","family":"Oliveira","given":"Patrícia","non-dropping-particle":"","parse-names":false,"suffix":""},{"dropping-particle":"","family":"Çubuk","given":"Cankut","non-dropping-particle":"","parse-names":false,"suffix":""},{"dropping-particle":"","family":"Curado","given":"João","non-dropping-particle":"","parse-names":false,"suffix":""},{"dropping-particle":"","family":"Aguet","given":"François","non-dropping-particle":"","parse-names":false,"suffix":""},{"dropping-particle":"","family":"Oliveira","given":"Carla","non-dropping-particle":"","parse-names":false,"suffix":""},{"dropping-particle":"","family":"Dopazo","given":"Joaquin","non-dropping-particle":"","parse-names":false,"suffix":""},{"dropping-particle":"","family":"Sammeth","given":"Michael","non-dropping-particle":"","parse-names":false,"suffix":""},{"dropping-particle":"","family":"Ardlie","given":"Kristin G","non-dropping-particle":"","parse-names":false,"suffix":""},{"dropping-particle":"","family":"Guigó","given":"Roderic","non-dropping-particle":"","parse-names":false,"suffix":""}],"container-title":"Nature communications","id":"ITEM-1","issue":"1","issued":{"date-parts":[["2018"]]},"page":"490","title":"The effects of death and post-mortem cold ischemia on human tissue transcriptomes.","type":"article-journal","volume":"9"},"uris":["http://www.mendeley.com/documents/?uuid=d76148cd-b31a-4007-9b79-fce31f35fc0d","http://www.mendeley.com/documents/?uuid=5adc9d7f-5a7c-497e-b585-c5e936f52240"]}],"mendeley":{"formattedCitation":"(53)","plainTextFormattedCitation":"(53)","previouslyFormattedCitation":"(52)"},"properties":{"noteIndex":0},"schema":"https://github.com/citation-style-language/schema/raw/master/csl-citation.json"}</w:instrText>
      </w:r>
      <w:r w:rsidR="000F09DA">
        <w:fldChar w:fldCharType="separate"/>
      </w:r>
      <w:r w:rsidR="009E4629" w:rsidRPr="009E4629">
        <w:rPr>
          <w:noProof/>
        </w:rPr>
        <w:t>(53)</w:t>
      </w:r>
      <w:r w:rsidR="000F09DA">
        <w:fldChar w:fldCharType="end"/>
      </w:r>
      <w:r w:rsidR="000F09DA">
        <w:t>.</w:t>
      </w:r>
    </w:p>
    <w:p w14:paraId="32BF23CD" w14:textId="0B83BED1" w:rsidR="00C95A07" w:rsidRDefault="00311BA3" w:rsidP="00066430">
      <w:pPr>
        <w:spacing w:after="0"/>
        <w:jc w:val="both"/>
      </w:pPr>
      <w:r>
        <w:t>A</w:t>
      </w:r>
      <w:r w:rsidR="00AE6558">
        <w:t xml:space="preserve"> functional genomics analyst may wish to choose which network to use </w:t>
      </w:r>
      <w:r w:rsidR="00322E23">
        <w:t xml:space="preserve">for network-based analyses </w:t>
      </w:r>
      <w:r w:rsidR="00AE6558">
        <w:t xml:space="preserve">based on </w:t>
      </w:r>
      <w:r w:rsidR="00533C0F">
        <w:t xml:space="preserve">the </w:t>
      </w:r>
      <w:r w:rsidR="00AE6558">
        <w:t xml:space="preserve">performance </w:t>
      </w:r>
      <w:r w:rsidR="00533C0F">
        <w:t xml:space="preserve">of that network </w:t>
      </w:r>
      <w:r w:rsidR="00AE6558">
        <w:t>for a given biological process or cell compartment (chosen based on the relevance of that process or compartment to whichever research question the analyst seeks to address)</w:t>
      </w:r>
      <w:r>
        <w:t>. However,</w:t>
      </w:r>
      <w:r w:rsidR="00AE6558">
        <w:t xml:space="preserve"> we note that</w:t>
      </w:r>
      <w:r w:rsidR="001342D6">
        <w:t>, relative to the other networks in the study,</w:t>
      </w:r>
      <w:r w:rsidR="00AE6558">
        <w:t xml:space="preserve"> the two top combined networks (STRING + MyoMiner Cell NF, and STRING + CoXPRESdb NF) generally performed well across all or most </w:t>
      </w:r>
      <w:r w:rsidR="00655DD4">
        <w:t xml:space="preserve">of the muscle-related </w:t>
      </w:r>
      <w:r w:rsidR="00AE6558">
        <w:t>GO terms</w:t>
      </w:r>
      <w:r w:rsidR="00655DD4">
        <w:t xml:space="preserve"> that we</w:t>
      </w:r>
      <w:r w:rsidR="005D6F58">
        <w:t>re</w:t>
      </w:r>
      <w:r w:rsidR="00655DD4">
        <w:t xml:space="preserve"> tested</w:t>
      </w:r>
      <w:r w:rsidR="00AE6558">
        <w:t>.</w:t>
      </w:r>
      <w:r w:rsidR="00457B14">
        <w:t xml:space="preserve"> </w:t>
      </w:r>
      <w:r w:rsidR="007A5AE1">
        <w:t>Thus, for network a</w:t>
      </w:r>
      <w:r w:rsidR="00457B14">
        <w:t>nalysis of muscle</w:t>
      </w:r>
      <w:r w:rsidR="007A5AE1">
        <w:t xml:space="preserve"> omics data</w:t>
      </w:r>
      <w:r w:rsidR="00457B14">
        <w:t xml:space="preserve"> </w:t>
      </w:r>
      <w:r w:rsidR="007A5AE1">
        <w:t xml:space="preserve">in a </w:t>
      </w:r>
      <w:r w:rsidR="006A14B9">
        <w:t>broad</w:t>
      </w:r>
      <w:r w:rsidR="007A5AE1">
        <w:t xml:space="preserve"> sense</w:t>
      </w:r>
      <w:r w:rsidR="00457B14">
        <w:t xml:space="preserve">, such as </w:t>
      </w:r>
      <w:r w:rsidR="007A5AE1">
        <w:t xml:space="preserve">to </w:t>
      </w:r>
      <w:r w:rsidR="006A14B9">
        <w:t>explore</w:t>
      </w:r>
      <w:r w:rsidR="007A5AE1">
        <w:t xml:space="preserve"> potential new biomarkers or disease-implicated genes</w:t>
      </w:r>
      <w:r w:rsidR="006A14B9">
        <w:t xml:space="preserve"> (i.e. ‘guilt-by-association’ </w:t>
      </w:r>
      <w:r w:rsidR="006A14B9">
        <w:fldChar w:fldCharType="begin" w:fldLock="1"/>
      </w:r>
      <w:r w:rsidR="009E4629">
        <w:instrText>ADDIN CSL_CITATION {"citationItems":[{"id":"ITEM-1","itemData":{"DOI":"10.1371/journal.pcbi.1002444","ISSN":"1553-7358","author":[{"dropping-particle":"","family":"Gillis","given":"Jesse","non-dropping-particle":"","parse-names":false,"suffix":""},{"dropping-particle":"","family":"Pavlidis","given":"Paul","non-dropping-particle":"","parse-names":false,"suffix":""}],"container-title":"PLoS Computational Biology","editor":[{"dropping-particle":"","family":"Rzhetsky","given":"Andrey","non-dropping-particle":"","parse-names":false,"suffix":""}],"id":"ITEM-1","issue":"3","issued":{"date-parts":[["2012","3","29"]]},"page":"e1002444","title":"“Guilt by Association” Is the Exception Rather Than the Rule in Gene Networks","type":"article-journal","volume":"8"},"uris":["http://www.mendeley.com/documents/?uuid=1d43516b-7727-440b-99c6-a164e22e058a"]}],"mendeley":{"formattedCitation":"(54)","plainTextFormattedCitation":"(54)","previouslyFormattedCitation":"(53)"},"properties":{"noteIndex":0},"schema":"https://github.com/citation-style-language/schema/raw/master/csl-citation.json"}</w:instrText>
      </w:r>
      <w:r w:rsidR="006A14B9">
        <w:fldChar w:fldCharType="separate"/>
      </w:r>
      <w:r w:rsidR="009E4629" w:rsidRPr="009E4629">
        <w:rPr>
          <w:noProof/>
        </w:rPr>
        <w:t>(54)</w:t>
      </w:r>
      <w:r w:rsidR="006A14B9">
        <w:fldChar w:fldCharType="end"/>
      </w:r>
      <w:r w:rsidR="006A14B9">
        <w:t>)</w:t>
      </w:r>
      <w:r w:rsidR="00457B14">
        <w:t xml:space="preserve">, </w:t>
      </w:r>
      <w:r w:rsidR="006A14B9">
        <w:t xml:space="preserve">or to derive gene sets for functional enrichment testing </w:t>
      </w:r>
      <w:r w:rsidR="003229A8">
        <w:fldChar w:fldCharType="begin" w:fldLock="1"/>
      </w:r>
      <w:r w:rsidR="009E4629">
        <w:instrText>ADDIN CSL_CITATION {"citationItems":[{"id":"ITEM-1","itemData":{"DOI":"10.1186/s13395-019-0196-z","ISSN":"2044-5040","author":[{"dropping-particle":"","family":"Malatras","given":"Apostolos","non-dropping-particle":"","parse-names":false,"suffix":""},{"dropping-particle":"","family":"Duguez","given":"Stephanie","non-dropping-particle":"","parse-names":false,"suffix":""},{"dropping-particle":"","family":"Duddy","given":"William","non-dropping-particle":"","parse-names":false,"suffix":""}],"container-title":"Skeletal Muscle","id":"ITEM-1","issue":"1","issued":{"date-parts":[["2019","12","3"]]},"page":"10","title":"Muscle Gene Sets: a versatile methodological aid to functional genomics in the neuromuscular field","type":"article-journal","volume":"9"},"uris":["http://www.mendeley.com/documents/?uuid=7c121049-079f-4fdb-b75e-6e94625b5400"]},{"id":"ITEM-2","itemData":{"DOI":"10.1186/s13395-016-0115-5","ISSN":"2044-5040","author":[{"dropping-particle":"","family":"Thorley","given":"Matthew","non-dropping-particle":"","parse-names":false,"suffix":""},{"dropping-particle":"","family":"Duguez","given":"Stéphanie","non-dropping-particle":"","parse-names":false,"suffix":""},{"dropping-particle":"","family":"Mazza","given":"Emilia Maria Cristina","non-dropping-particle":"","parse-names":false,"suffix":""},{"dropping-particle":"","family":"Valsoni","given":"Sara","non-dropping-particle":"","parse-names":false,"suffix":""},{"dropping-particle":"","family":"Bigot","given":"Anne","non-dropping-particle":"","parse-names":false,"suffix":""},{"dropping-particle":"","family":"Mamchaoui","given":"Kamel","non-dropping-particle":"","parse-names":false,"suffix":""},{"dropping-particle":"","family":"Harmon","given":"Brennan","non-dropping-particle":"","parse-names":false,"suffix":""},{"dropping-particle":"","family":"Voit","given":"Thomas","non-dropping-particle":"","parse-names":false,"suffix":""},{"dropping-particle":"","family":"Mouly","given":"Vincent","non-dropping-particle":"","parse-names":false,"suffix":""},{"dropping-particle":"","family":"Duddy","given":"William","non-dropping-particle":"","parse-names":false,"suffix":""}],"container-title":"Skeletal Muscle","id":"ITEM-2","issue":"1","issued":{"date-parts":[["2016","12","8"]]},"page":"43","title":"Skeletal muscle characteristics are preserved in hTERT/cdk4 human myogenic cell lines","type":"article-journal","volume":"6"},"uris":["http://www.mendeley.com/documents/?uuid=8c62e4f0-bc60-4e69-aa09-5474b77d24de"]}],"mendeley":{"formattedCitation":"(52,55)","plainTextFormattedCitation":"(52,55)","previouslyFormattedCitation":"(51,54)"},"properties":{"noteIndex":0},"schema":"https://github.com/citation-style-language/schema/raw/master/csl-citation.json"}</w:instrText>
      </w:r>
      <w:r w:rsidR="003229A8">
        <w:fldChar w:fldCharType="separate"/>
      </w:r>
      <w:r w:rsidR="009E4629" w:rsidRPr="009E4629">
        <w:rPr>
          <w:noProof/>
        </w:rPr>
        <w:t>(52,55)</w:t>
      </w:r>
      <w:r w:rsidR="003229A8">
        <w:fldChar w:fldCharType="end"/>
      </w:r>
      <w:r w:rsidR="003229A8">
        <w:t xml:space="preserve"> </w:t>
      </w:r>
      <w:r w:rsidR="006A14B9">
        <w:t xml:space="preserve">or genomic association studies </w:t>
      </w:r>
      <w:r w:rsidR="003229A8">
        <w:fldChar w:fldCharType="begin" w:fldLock="1"/>
      </w:r>
      <w:r w:rsidR="009E4629">
        <w:instrText>ADDIN CSL_CITATION {"citationItems":[{"id":"ITEM-1","itemData":{"DOI":"10.3390/jpm8040044","ISSN":"2075-4426","abstract":"Multiple genes and mechanisms of pathophysiology have been implicated in amyotrophic lateral sclerosis (ALS), suggesting it is a complex systemic disease. With this in mind, applying personalized medicine (PM) approaches to tailor treatment pipelines for ALS patients may be necessary. The modelling and analysis of molecular interaction networks could represent valuable resources in defining ALS-associated pathways and discovering novel therapeutic targets. Here we review existing omics datasets and analytical approaches, in order to consider how molecular interaction networks could improve our understanding of the molecular pathophysiology of this fatal neuromuscular disorder.","author":[{"dropping-particle":"","family":"Morgan","given":"Stephen","non-dropping-particle":"","parse-names":false,"suffix":""},{"dropping-particle":"","family":"Duguez","given":"Stephanie","non-dropping-particle":"","parse-names":false,"suffix":""},{"dropping-particle":"","family":"Duddy","given":"William","non-dropping-particle":"","parse-names":false,"suffix":""}],"container-title":"Journal of Personalized Medicine","id":"ITEM-1","issue":"4","issued":{"date-parts":[["2018","12","13"]]},"page":"44","title":"Personalized Medicine and Molecular Interaction Networks in Amyotrophic Lateral Sclerosis (ALS): Current Knowledge","type":"article-journal","volume":"8"},"uris":["http://www.mendeley.com/documents/?uuid=bde01f2e-d114-4a30-ae34-8df99bc295e3"]},{"id":"ITEM-2","itemData":{"DOI":"10.3390/jpm10040247","ISSN":"2075-4426","abstract":"Amyotrophic Lateral Sclerosis (ALS) is the most common late-onset motor neuron disorder, but our current knowledge of the molecular mechanisms and pathways underlying this disease remain elusive. This review (1) systematically identifies machine learning studies aimed at the understanding of the genetic architecture of ALS, (2) outlines the main challenges faced and compares the different approaches that have been used to confront them, and (3) compares the experimental designs and results produced by those approaches and describes their reproducibility in terms of biological results and the performances of the machine learning models. The majority of the collected studies incorporated prior knowledge of ALS into their feature selection approaches, and trained their machine learning models using genomic data combined with other types of mined knowledge including functional associations, protein-protein interactions, disease/tissue-specific information, epigenetic data, and known ALS phenotype-genotype associations. The importance of incorporating gene-gene interactions and cis-regulatory elements into the experimental design of future ALS machine learning studies is highlighted. Lastly, it is suggested that future advances in the genomic and machine learning fields will bring about a better understanding of ALS genetic architecture, and enable improved personalized approaches to this and other devastating and complex diseases.","author":[{"dropping-particle":"","family":"Vasilopoulou","given":"Christina","non-dropping-particle":"","parse-names":false,"suffix":""},{"dropping-particle":"","family":"Morris","given":"Andrew P.","non-dropping-particle":"","parse-names":false,"suffix":""},{"dropping-particle":"","family":"Giannakopoulos","given":"George","non-dropping-particle":"","parse-names":false,"suffix":""},{"dropping-particle":"","family":"Duguez","given":"Stephanie","non-dropping-particle":"","parse-names":false,"suffix":""},{"dropping-particle":"","family":"Duddy","given":"William","non-dropping-particle":"","parse-names":false,"suffix":""}],"container-title":"Journal of Personalized Medicine","id":"ITEM-2","issue":"4","issued":{"date-parts":[["2020","11","26"]]},"page":"247","title":"What Can Machine Learning Approaches in Genomics Tell Us about the Molecular Basis of Amyotrophic Lateral Sclerosis?","type":"article-journal","volume":"10"},"uris":["http://www.mendeley.com/documents/?uuid=672489f7-e121-4aed-b0f7-7436d258b764"]}],"mendeley":{"formattedCitation":"(5,6)","plainTextFormattedCitation":"(5,6)","previouslyFormattedCitation":"(5,6)"},"properties":{"noteIndex":0},"schema":"https://github.com/citation-style-language/schema/raw/master/csl-citation.json"}</w:instrText>
      </w:r>
      <w:r w:rsidR="003229A8">
        <w:fldChar w:fldCharType="separate"/>
      </w:r>
      <w:r w:rsidR="003229A8" w:rsidRPr="003229A8">
        <w:rPr>
          <w:noProof/>
        </w:rPr>
        <w:t>(5,6)</w:t>
      </w:r>
      <w:r w:rsidR="003229A8">
        <w:fldChar w:fldCharType="end"/>
      </w:r>
      <w:r w:rsidR="006A14B9">
        <w:t xml:space="preserve">, </w:t>
      </w:r>
      <w:r w:rsidR="00457B14">
        <w:t>we suggest that analysts use one of these two</w:t>
      </w:r>
      <w:r w:rsidR="006A14B9">
        <w:t xml:space="preserve"> top</w:t>
      </w:r>
      <w:r w:rsidR="00457B14">
        <w:t xml:space="preserve">-performing combined networks. We have made these networks available for download from </w:t>
      </w:r>
      <w:r w:rsidR="008E14A2" w:rsidRPr="003C5E37">
        <w:rPr>
          <w:color w:val="00B050"/>
        </w:rPr>
        <w:t>https://www.sys-myo.com/myominer/</w:t>
      </w:r>
      <w:r w:rsidR="008E14A2">
        <w:rPr>
          <w:color w:val="00B050"/>
        </w:rPr>
        <w:t>download.php</w:t>
      </w:r>
      <w:r w:rsidR="00457B14">
        <w:t>.</w:t>
      </w:r>
    </w:p>
    <w:p w14:paraId="294AD6E9" w14:textId="77777777" w:rsidR="00FE6619" w:rsidRDefault="00B715BA" w:rsidP="00066430">
      <w:pPr>
        <w:spacing w:after="0"/>
        <w:jc w:val="both"/>
      </w:pPr>
      <w:r>
        <w:t xml:space="preserve">Finally, we note that the method of applying clustering approaches to muscle-related GO terms in the manner of the present study may be of direct interest for the study of muscle functions, similar to some of the intended applications for which these algorithms were developed: the clusters generated by DSD or by DIAMOnD contain the seed genes of a given </w:t>
      </w:r>
      <w:r w:rsidR="00EC5F70">
        <w:t>process (or compartment)</w:t>
      </w:r>
      <w:r>
        <w:t xml:space="preserve">, but also genes that are functionally associated despite not being annotated to that </w:t>
      </w:r>
      <w:r w:rsidR="00EC5F70">
        <w:t>process</w:t>
      </w:r>
      <w:r>
        <w:t xml:space="preserve">. These genes may </w:t>
      </w:r>
      <w:r w:rsidR="001342D6">
        <w:t xml:space="preserve">be </w:t>
      </w:r>
      <w:r>
        <w:t xml:space="preserve">of interest for the study of the </w:t>
      </w:r>
      <w:r w:rsidR="00EC5F70">
        <w:t xml:space="preserve">process </w:t>
      </w:r>
      <w:r>
        <w:t>in question.</w:t>
      </w:r>
    </w:p>
    <w:p w14:paraId="2FF23B84" w14:textId="77777777" w:rsidR="001F1569" w:rsidRDefault="001F1569" w:rsidP="001F1569">
      <w:pPr>
        <w:spacing w:after="0"/>
        <w:jc w:val="both"/>
      </w:pPr>
      <w:r>
        <w:t xml:space="preserve">All of the networks and results that were used or produced in the study, along with gene lists of the members of the selected muscle GO terms, and analysis scripts, are available for download from </w:t>
      </w:r>
      <w:hyperlink r:id="rId27" w:history="1">
        <w:r w:rsidRPr="00E04B7B">
          <w:rPr>
            <w:rStyle w:val="Hyperlink"/>
          </w:rPr>
          <w:t>https://www.sys-myo.com/myominer/download.php</w:t>
        </w:r>
      </w:hyperlink>
      <w:r>
        <w:t>.</w:t>
      </w:r>
    </w:p>
    <w:p w14:paraId="48098039" w14:textId="179D1716" w:rsidR="00D828E9" w:rsidRDefault="00D828E9" w:rsidP="00066430">
      <w:pPr>
        <w:spacing w:after="0"/>
        <w:jc w:val="both"/>
      </w:pPr>
    </w:p>
    <w:p w14:paraId="26F16510" w14:textId="71600D83" w:rsidR="00D13662" w:rsidRDefault="00D13662" w:rsidP="001A3648">
      <w:pPr>
        <w:spacing w:after="0"/>
      </w:pPr>
    </w:p>
    <w:p w14:paraId="1AAADDFC" w14:textId="2812D1B5" w:rsidR="00AC4916" w:rsidRDefault="00AC4916" w:rsidP="001A3648">
      <w:pPr>
        <w:spacing w:after="0"/>
      </w:pPr>
    </w:p>
    <w:p w14:paraId="7503D954" w14:textId="1DD73DAE" w:rsidR="00AC4916" w:rsidRDefault="00AC4916" w:rsidP="001A3648">
      <w:pPr>
        <w:spacing w:after="0"/>
      </w:pPr>
      <w:r w:rsidRPr="00AC4916">
        <w:rPr>
          <w:b/>
        </w:rPr>
        <w:t xml:space="preserve">Author Contributions: </w:t>
      </w:r>
      <w:r>
        <w:t xml:space="preserve">Conceptualization, WD and SD; </w:t>
      </w:r>
      <w:r w:rsidR="008103E0">
        <w:t xml:space="preserve">source data manipulation, scripting, data analysis and interpretation, SM, AM, and WD; </w:t>
      </w:r>
      <w:r>
        <w:t xml:space="preserve">writing – original draft preparation, SM; writing – review and editing, </w:t>
      </w:r>
      <w:r w:rsidR="0035328C">
        <w:t>WD, SM</w:t>
      </w:r>
      <w:r w:rsidR="00FE1841">
        <w:t>, and SD; supervision, WD and SD.</w:t>
      </w:r>
    </w:p>
    <w:p w14:paraId="05F4D369" w14:textId="1C5F2010" w:rsidR="00FE1841" w:rsidRDefault="00FE1841" w:rsidP="001A3648">
      <w:pPr>
        <w:spacing w:after="0"/>
      </w:pPr>
    </w:p>
    <w:p w14:paraId="6DD20E32" w14:textId="33A921E0" w:rsidR="00703596" w:rsidRDefault="00FE1841" w:rsidP="00703596">
      <w:pPr>
        <w:spacing w:after="0"/>
      </w:pPr>
      <w:r w:rsidRPr="00FE1841">
        <w:rPr>
          <w:b/>
        </w:rPr>
        <w:t xml:space="preserve">Funding: </w:t>
      </w:r>
      <w:r>
        <w:t xml:space="preserve">SM was supported by a studentship from the Department for Employment and Learning Northern Ireland. The </w:t>
      </w:r>
      <w:r w:rsidR="00703596">
        <w:t xml:space="preserve">work </w:t>
      </w:r>
      <w:r>
        <w:t xml:space="preserve">was also supported by the Target-ALS Foundation, and </w:t>
      </w:r>
      <w:r w:rsidR="00703596" w:rsidRPr="00703596">
        <w:t>by a programme grant jointly from the European Union Regional Development Fund (ERDF) EU Sustainable Competitiveness Programme for N. Ireland/NI Public Health Agency (HSC R&amp;D) and Ulster University</w:t>
      </w:r>
      <w:r w:rsidR="00703596">
        <w:t>.</w:t>
      </w:r>
    </w:p>
    <w:p w14:paraId="721849FC" w14:textId="7F5D6140" w:rsidR="00FE1841" w:rsidRDefault="00FE1841" w:rsidP="001A3648">
      <w:pPr>
        <w:spacing w:after="0"/>
      </w:pPr>
    </w:p>
    <w:p w14:paraId="3C68CACA" w14:textId="198814D6" w:rsidR="00FE1841" w:rsidRDefault="00FE1841" w:rsidP="001A3648">
      <w:pPr>
        <w:spacing w:after="0"/>
      </w:pPr>
      <w:r w:rsidRPr="00FE1841">
        <w:rPr>
          <w:b/>
        </w:rPr>
        <w:t>Acknowledgements:</w:t>
      </w:r>
      <w:r>
        <w:t xml:space="preserve"> </w:t>
      </w:r>
      <w:bookmarkStart w:id="6" w:name="_Hlk67950948"/>
      <w:bookmarkStart w:id="7" w:name="_Hlk67952266"/>
      <w:r>
        <w:t xml:space="preserve">We thank </w:t>
      </w:r>
      <w:r w:rsidR="00703596">
        <w:t xml:space="preserve">the other </w:t>
      </w:r>
      <w:r>
        <w:t xml:space="preserve">members of the </w:t>
      </w:r>
      <w:r w:rsidR="00703596">
        <w:t>Ulster University</w:t>
      </w:r>
      <w:r>
        <w:t xml:space="preserve"> </w:t>
      </w:r>
      <w:r w:rsidR="00703596">
        <w:t>n</w:t>
      </w:r>
      <w:r>
        <w:t xml:space="preserve">euromuscular team for </w:t>
      </w:r>
      <w:r w:rsidR="00703596">
        <w:t xml:space="preserve">lots of dynamic </w:t>
      </w:r>
      <w:r>
        <w:t>discussion</w:t>
      </w:r>
      <w:bookmarkEnd w:id="6"/>
      <w:r w:rsidR="00703D2B">
        <w:t xml:space="preserve"> and good craic</w:t>
      </w:r>
      <w:r>
        <w:t>.</w:t>
      </w:r>
      <w:r w:rsidR="00703D2B">
        <w:t xml:space="preserve"> WD and SD wish to thank </w:t>
      </w:r>
      <w:r w:rsidR="00703D2B" w:rsidRPr="00703D2B">
        <w:t>Prof. Terence Partridge</w:t>
      </w:r>
      <w:r w:rsidR="00703D2B">
        <w:t xml:space="preserve"> for his kind mentorship and rich teachings on a great many things.</w:t>
      </w:r>
      <w:bookmarkEnd w:id="7"/>
    </w:p>
    <w:p w14:paraId="0198CACD" w14:textId="5DA8C2A2" w:rsidR="00FE1841" w:rsidRDefault="00FE1841" w:rsidP="001A3648">
      <w:pPr>
        <w:spacing w:after="0"/>
      </w:pPr>
    </w:p>
    <w:p w14:paraId="2E3FA87B" w14:textId="51F475FB" w:rsidR="00FE1841" w:rsidRDefault="00FE1841" w:rsidP="001A3648">
      <w:pPr>
        <w:spacing w:after="0"/>
      </w:pPr>
      <w:r w:rsidRPr="00FE1841">
        <w:rPr>
          <w:b/>
        </w:rPr>
        <w:t>Conflicts of Interest:</w:t>
      </w:r>
      <w:r>
        <w:t xml:space="preserve"> </w:t>
      </w:r>
      <w:r w:rsidR="0035328C" w:rsidRPr="0035328C">
        <w:t>The authors have no conflict of interest to report</w:t>
      </w:r>
      <w:r>
        <w:t>.</w:t>
      </w:r>
    </w:p>
    <w:p w14:paraId="661A0071" w14:textId="0E8FDFD2" w:rsidR="00FE1841" w:rsidRDefault="00FE1841" w:rsidP="001A3648">
      <w:pPr>
        <w:spacing w:after="0"/>
      </w:pPr>
    </w:p>
    <w:p w14:paraId="5D7A78E9" w14:textId="77777777" w:rsidR="00700C72" w:rsidRDefault="00700C72" w:rsidP="001A3648">
      <w:pPr>
        <w:spacing w:after="0"/>
        <w:rPr>
          <w:b/>
        </w:rPr>
      </w:pPr>
      <w:r>
        <w:rPr>
          <w:b/>
        </w:rPr>
        <w:t>References</w:t>
      </w:r>
    </w:p>
    <w:p w14:paraId="5A3247DD" w14:textId="194DE947" w:rsidR="009E4629" w:rsidRPr="009E4629" w:rsidRDefault="001B29BA" w:rsidP="009E4629">
      <w:pPr>
        <w:widowControl w:val="0"/>
        <w:autoSpaceDE w:val="0"/>
        <w:autoSpaceDN w:val="0"/>
        <w:adjustRightInd w:val="0"/>
        <w:spacing w:after="0"/>
        <w:ind w:left="640" w:hanging="64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009E4629" w:rsidRPr="009E4629">
        <w:rPr>
          <w:rFonts w:ascii="Calibri" w:hAnsi="Calibri" w:cs="Calibri"/>
          <w:noProof/>
          <w:szCs w:val="24"/>
        </w:rPr>
        <w:t xml:space="preserve">1. </w:t>
      </w:r>
      <w:r w:rsidR="009E4629" w:rsidRPr="009E4629">
        <w:rPr>
          <w:rFonts w:ascii="Calibri" w:hAnsi="Calibri" w:cs="Calibri"/>
          <w:noProof/>
          <w:szCs w:val="24"/>
        </w:rPr>
        <w:tab/>
        <w:t xml:space="preserve">Barabási A-L, Gulbahce N, Loscalzo J. Network medicine: a network-based approach to human disease. Nat Rev Genet. 2011 Jan;12(1):56–68. </w:t>
      </w:r>
    </w:p>
    <w:p w14:paraId="55FBD4BB"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 </w:t>
      </w:r>
      <w:r w:rsidRPr="009E4629">
        <w:rPr>
          <w:rFonts w:ascii="Calibri" w:hAnsi="Calibri" w:cs="Calibri"/>
          <w:noProof/>
          <w:szCs w:val="24"/>
        </w:rPr>
        <w:tab/>
        <w:t xml:space="preserve">Fiscon G, Conte F, Farina L, Paci P. Network-Based Approaches to Explore Complex Biological Systems towards Network Medicine. Genes (Basel). 2018 Aug;9(9). </w:t>
      </w:r>
    </w:p>
    <w:p w14:paraId="391CF5E8"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 </w:t>
      </w:r>
      <w:r w:rsidRPr="009E4629">
        <w:rPr>
          <w:rFonts w:ascii="Calibri" w:hAnsi="Calibri" w:cs="Calibri"/>
          <w:noProof/>
          <w:szCs w:val="24"/>
        </w:rPr>
        <w:tab/>
        <w:t xml:space="preserve">del Sol A, Balling R, Hood L, Galas D. Diseases as network perturbations. Curr Opin Biotechnol. 2010 Aug;21(4):566–71. </w:t>
      </w:r>
    </w:p>
    <w:p w14:paraId="2712954E"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 </w:t>
      </w:r>
      <w:r w:rsidRPr="009E4629">
        <w:rPr>
          <w:rFonts w:ascii="Calibri" w:hAnsi="Calibri" w:cs="Calibri"/>
          <w:noProof/>
          <w:szCs w:val="24"/>
        </w:rPr>
        <w:tab/>
        <w:t xml:space="preserve">Berger SI, Iyengar R. Network analyses in systems pharmacology. Bioinformatics. 2009 Oct;25(19):2466–72. </w:t>
      </w:r>
    </w:p>
    <w:p w14:paraId="0EF6AAE1"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 </w:t>
      </w:r>
      <w:r w:rsidRPr="009E4629">
        <w:rPr>
          <w:rFonts w:ascii="Calibri" w:hAnsi="Calibri" w:cs="Calibri"/>
          <w:noProof/>
          <w:szCs w:val="24"/>
        </w:rPr>
        <w:tab/>
        <w:t>Morgan S, Duguez S, Duddy W. Personalized Medicine and Molecular Interaction Networks in Amyotrophic Lateral Sclerosis (ALS): Current Knowledge. J Pers Med [Internet]. 2018 Dec 13;8(4):44. Available from: http://www.mdpi.com/2075-4426/8/4/44</w:t>
      </w:r>
    </w:p>
    <w:p w14:paraId="28062F8A"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6. </w:t>
      </w:r>
      <w:r w:rsidRPr="009E4629">
        <w:rPr>
          <w:rFonts w:ascii="Calibri" w:hAnsi="Calibri" w:cs="Calibri"/>
          <w:noProof/>
          <w:szCs w:val="24"/>
        </w:rPr>
        <w:tab/>
        <w:t>Vasilopoulou C, Morris AP, Giannakopoulos G, Duguez S, Duddy W. What Can Machine Learning Approaches in Genomics Tell Us about the Molecular Basis of Amyotrophic Lateral Sclerosis? J Pers Med [Internet]. 2020 Nov 26;10(4):247. Available from: https://www.mdpi.com/2075-4426/10/4/247</w:t>
      </w:r>
    </w:p>
    <w:p w14:paraId="105A84A5"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3C5E37">
        <w:rPr>
          <w:rFonts w:ascii="Calibri" w:hAnsi="Calibri" w:cs="Calibri"/>
          <w:noProof/>
          <w:szCs w:val="24"/>
          <w:lang w:val="fr-FR"/>
        </w:rPr>
        <w:t xml:space="preserve">7. </w:t>
      </w:r>
      <w:r w:rsidRPr="003C5E37">
        <w:rPr>
          <w:rFonts w:ascii="Calibri" w:hAnsi="Calibri" w:cs="Calibri"/>
          <w:noProof/>
          <w:szCs w:val="24"/>
          <w:lang w:val="fr-FR"/>
        </w:rPr>
        <w:tab/>
        <w:t xml:space="preserve">Cho D-Y, Kim Y-A, Przytycka TM. </w:t>
      </w:r>
      <w:r w:rsidRPr="009E4629">
        <w:rPr>
          <w:rFonts w:ascii="Calibri" w:hAnsi="Calibri" w:cs="Calibri"/>
          <w:noProof/>
          <w:szCs w:val="24"/>
        </w:rPr>
        <w:t xml:space="preserve">Chapter 5: Network biology approach to complex diseases. PLoS Comput Biol. 2012;8(12):e1002820. </w:t>
      </w:r>
    </w:p>
    <w:p w14:paraId="7B9F7AAA"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8. </w:t>
      </w:r>
      <w:r w:rsidRPr="009E4629">
        <w:rPr>
          <w:rFonts w:ascii="Calibri" w:hAnsi="Calibri" w:cs="Calibri"/>
          <w:noProof/>
          <w:szCs w:val="24"/>
        </w:rPr>
        <w:tab/>
        <w:t>Guala D, Ogris C, Müller N, Sonnhammer ELL. Genome-wide functional association networks: background, data &amp;amp; state-of-the-art resources. Brief Bioinform [Internet]. 2020 Jul 15;21(4):1224–37. Available from: https://academic.oup.com/bib/article/21/4/1224/5522018</w:t>
      </w:r>
    </w:p>
    <w:p w14:paraId="3031CBF6"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9. </w:t>
      </w:r>
      <w:r w:rsidRPr="009E4629">
        <w:rPr>
          <w:rFonts w:ascii="Calibri" w:hAnsi="Calibri" w:cs="Calibri"/>
          <w:noProof/>
          <w:szCs w:val="24"/>
        </w:rPr>
        <w:tab/>
        <w:t xml:space="preserve">Taylor IW, Wrana JL. Protein interaction networks in medicine and disease. Proteomics. 2012 May;12(10):1706–16. </w:t>
      </w:r>
    </w:p>
    <w:p w14:paraId="016A6E1E"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10. </w:t>
      </w:r>
      <w:r w:rsidRPr="009E4629">
        <w:rPr>
          <w:rFonts w:ascii="Calibri" w:hAnsi="Calibri" w:cs="Calibri"/>
          <w:noProof/>
          <w:szCs w:val="24"/>
        </w:rPr>
        <w:tab/>
        <w:t xml:space="preserve">Shoemaker BA, Panchenko AR. Deciphering protein-protein interactions. Part II. Computational methods to predict protein and domain interaction partners. PLoS Comput Biol. 2007 Apr;3(4):e43. </w:t>
      </w:r>
    </w:p>
    <w:p w14:paraId="6B0F2EE4"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11. </w:t>
      </w:r>
      <w:r w:rsidRPr="009E4629">
        <w:rPr>
          <w:rFonts w:ascii="Calibri" w:hAnsi="Calibri" w:cs="Calibri"/>
          <w:noProof/>
          <w:szCs w:val="24"/>
        </w:rPr>
        <w:tab/>
        <w:t xml:space="preserve">Berggård T, Linse S, James P. Methods for the detection and analysis of protein-protein interactions. Proteomics. 2007 Aug;7(16):2833–42. </w:t>
      </w:r>
    </w:p>
    <w:p w14:paraId="4086D14C"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12. </w:t>
      </w:r>
      <w:r w:rsidRPr="009E4629">
        <w:rPr>
          <w:rFonts w:ascii="Calibri" w:hAnsi="Calibri" w:cs="Calibri"/>
          <w:noProof/>
          <w:szCs w:val="24"/>
        </w:rPr>
        <w:tab/>
        <w:t xml:space="preserve">Gandhi TKB, Zhong J, Mathivanan S, Karthick L, Chandrika KN, Mohan SS, et al. Analysis of the human protein interactome and comparison with yeast, worm and fly interaction datasets. Nat Genet. 2006 Mar;38(3):285–93. </w:t>
      </w:r>
    </w:p>
    <w:p w14:paraId="0F18285B"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13. </w:t>
      </w:r>
      <w:r w:rsidRPr="009E4629">
        <w:rPr>
          <w:rFonts w:ascii="Calibri" w:hAnsi="Calibri" w:cs="Calibri"/>
          <w:noProof/>
          <w:szCs w:val="24"/>
        </w:rPr>
        <w:tab/>
        <w:t>Goh K-I, Cusick ME, Valle D, Childs B, Vidal M, Barabási A-L. The human disease network. Proc Natl Acad Sci U S A [Internet]. 2007 May 22;104(21):8685–90. Available from: http://www.ncbi.nlm.nih.gov/pubmed/17502601</w:t>
      </w:r>
    </w:p>
    <w:p w14:paraId="2CD0D312"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3C5E37">
        <w:rPr>
          <w:rFonts w:ascii="Calibri" w:hAnsi="Calibri" w:cs="Calibri"/>
          <w:noProof/>
          <w:szCs w:val="24"/>
          <w:lang w:val="fr-FR"/>
        </w:rPr>
        <w:t xml:space="preserve">14. </w:t>
      </w:r>
      <w:r w:rsidRPr="003C5E37">
        <w:rPr>
          <w:rFonts w:ascii="Calibri" w:hAnsi="Calibri" w:cs="Calibri"/>
          <w:noProof/>
          <w:szCs w:val="24"/>
          <w:lang w:val="fr-FR"/>
        </w:rPr>
        <w:tab/>
        <w:t xml:space="preserve">Oti M, Snel B, Huynen MA, Brunner HG. </w:t>
      </w:r>
      <w:r w:rsidRPr="009E4629">
        <w:rPr>
          <w:rFonts w:ascii="Calibri" w:hAnsi="Calibri" w:cs="Calibri"/>
          <w:noProof/>
          <w:szCs w:val="24"/>
        </w:rPr>
        <w:t xml:space="preserve">Predicting disease genes using protein-protein interactions. J Med Genet. 2006 Aug;43(8):691–8. </w:t>
      </w:r>
    </w:p>
    <w:p w14:paraId="623E333A"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15. </w:t>
      </w:r>
      <w:r w:rsidRPr="009E4629">
        <w:rPr>
          <w:rFonts w:ascii="Calibri" w:hAnsi="Calibri" w:cs="Calibri"/>
          <w:noProof/>
          <w:szCs w:val="24"/>
        </w:rPr>
        <w:tab/>
        <w:t xml:space="preserve">Xu J, Li Y. Discovering disease-genes by topological features in human protein-protein interaction network. Bioinformatics. 2006 Nov;22(22):2800–5. </w:t>
      </w:r>
    </w:p>
    <w:p w14:paraId="0740222C"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16. </w:t>
      </w:r>
      <w:r w:rsidRPr="009E4629">
        <w:rPr>
          <w:rFonts w:ascii="Calibri" w:hAnsi="Calibri" w:cs="Calibri"/>
          <w:noProof/>
          <w:szCs w:val="24"/>
        </w:rPr>
        <w:tab/>
        <w:t xml:space="preserve">Kanhaiya K, Czeizler E, Gratie C, Petre I. Controlling Directed Protein Interaction Networks in Cancer. Sci Rep. 2017;7(1):10327. </w:t>
      </w:r>
    </w:p>
    <w:p w14:paraId="426BAD41"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17. </w:t>
      </w:r>
      <w:r w:rsidRPr="009E4629">
        <w:rPr>
          <w:rFonts w:ascii="Calibri" w:hAnsi="Calibri" w:cs="Calibri"/>
          <w:noProof/>
          <w:szCs w:val="24"/>
        </w:rPr>
        <w:tab/>
        <w:t xml:space="preserve">van Dam S, Võsa U, van der Graaf A, Franke L, de Magalhães JP. Gene co-expression analysis for functional classification and gene-disease predictions. Brief Bioinform. 2018 Jan;19(4):575–92. </w:t>
      </w:r>
    </w:p>
    <w:p w14:paraId="37E26417"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18. </w:t>
      </w:r>
      <w:r w:rsidRPr="009E4629">
        <w:rPr>
          <w:rFonts w:ascii="Calibri" w:hAnsi="Calibri" w:cs="Calibri"/>
          <w:noProof/>
          <w:szCs w:val="24"/>
        </w:rPr>
        <w:tab/>
        <w:t xml:space="preserve">Eisen MB, Spellman PT, Brown PO, Botstein D. Cluster analysis and display of genome-wide expression patterns. Proc Natl Acad Sci U S A. 1998 Dec;95(25):14863–8. </w:t>
      </w:r>
    </w:p>
    <w:p w14:paraId="03269928"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19. </w:t>
      </w:r>
      <w:r w:rsidRPr="009E4629">
        <w:rPr>
          <w:rFonts w:ascii="Calibri" w:hAnsi="Calibri" w:cs="Calibri"/>
          <w:noProof/>
          <w:szCs w:val="24"/>
        </w:rPr>
        <w:tab/>
        <w:t xml:space="preserve">Athar A, Füllgrabe A, George N, Iqbal H, Huerta L, Ali A, et al. ArrayExpress update - from bulk to single-cell expression data. Nucleic Acids Res. 2019;47(D1):D711–5. </w:t>
      </w:r>
    </w:p>
    <w:p w14:paraId="7ACE3BFD"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20. </w:t>
      </w:r>
      <w:r w:rsidRPr="009E4629">
        <w:rPr>
          <w:rFonts w:ascii="Calibri" w:hAnsi="Calibri" w:cs="Calibri"/>
          <w:noProof/>
          <w:szCs w:val="24"/>
        </w:rPr>
        <w:tab/>
        <w:t xml:space="preserve">Clough E, Barrett T. The Gene Expression Omnibus database. In: Methods in Molecular Biology. 2016. p. 93–110. </w:t>
      </w:r>
    </w:p>
    <w:p w14:paraId="54E05C69"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21. </w:t>
      </w:r>
      <w:r w:rsidRPr="009E4629">
        <w:rPr>
          <w:rFonts w:ascii="Calibri" w:hAnsi="Calibri" w:cs="Calibri"/>
          <w:noProof/>
          <w:szCs w:val="24"/>
        </w:rPr>
        <w:tab/>
        <w:t xml:space="preserve">Ma C, Lv Q, Teng S, Yu Y, Niu K, Yi C. Identifying key genes in rheumatoid arthritis by weighted gene co-expression network analysis. Int J Rheum Dis. 2017 Aug;20(8):971–9. </w:t>
      </w:r>
    </w:p>
    <w:p w14:paraId="3E461085"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22. </w:t>
      </w:r>
      <w:r w:rsidRPr="009E4629">
        <w:rPr>
          <w:rFonts w:ascii="Calibri" w:hAnsi="Calibri" w:cs="Calibri"/>
          <w:noProof/>
          <w:szCs w:val="24"/>
        </w:rPr>
        <w:tab/>
        <w:t xml:space="preserve">Ni J, Koyuturk M, Tong H, Haines J, Xu R, Zhang X. Disease gene prioritization by integrating tissue-specific molecular networks using a robust multi-network model. BMC Bioinformatics. 2016 Nov;17(1):453. </w:t>
      </w:r>
    </w:p>
    <w:p w14:paraId="20F49922"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23. </w:t>
      </w:r>
      <w:r w:rsidRPr="009E4629">
        <w:rPr>
          <w:rFonts w:ascii="Calibri" w:hAnsi="Calibri" w:cs="Calibri"/>
          <w:noProof/>
          <w:szCs w:val="24"/>
        </w:rPr>
        <w:tab/>
        <w:t xml:space="preserve">Magger O, Waldman YY, Ruppin E, Sharan R. Enhancing the prioritization of disease-causing genes through tissue specific protein interaction networks. PLoS Comput Biol. 2012;8(9):e1002690. </w:t>
      </w:r>
    </w:p>
    <w:p w14:paraId="62A36685"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24. </w:t>
      </w:r>
      <w:r w:rsidRPr="009E4629">
        <w:rPr>
          <w:rFonts w:ascii="Calibri" w:hAnsi="Calibri" w:cs="Calibri"/>
          <w:noProof/>
          <w:szCs w:val="24"/>
        </w:rPr>
        <w:tab/>
        <w:t>Bornigen D, Pers TH, Thorrez L, Huttenhower C, Moreau Y, Brunak S. Concordance of gene expression in human protein complexes reveals tissue specificity and pathology. Nucleic Acids Res [Internet]. 2013 Oct 1;41(18):e171–e171. Available from: https://academic.oup.com/nar/article-lookup/doi/10.1093/nar/gkt661</w:t>
      </w:r>
    </w:p>
    <w:p w14:paraId="31A0ECDC"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25. </w:t>
      </w:r>
      <w:r w:rsidRPr="009E4629">
        <w:rPr>
          <w:rFonts w:ascii="Calibri" w:hAnsi="Calibri" w:cs="Calibri"/>
          <w:noProof/>
          <w:szCs w:val="24"/>
        </w:rPr>
        <w:tab/>
        <w:t xml:space="preserve">Bossi A, Lehner B. Tissue specificity and the human protein interaction network. Mol Syst Biol. 2009;5:260. </w:t>
      </w:r>
    </w:p>
    <w:p w14:paraId="05AB8705"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26. </w:t>
      </w:r>
      <w:r w:rsidRPr="009E4629">
        <w:rPr>
          <w:rFonts w:ascii="Calibri" w:hAnsi="Calibri" w:cs="Calibri"/>
          <w:noProof/>
          <w:szCs w:val="24"/>
        </w:rPr>
        <w:tab/>
        <w:t xml:space="preserve">Guan Y, Gorenshteyn D, Burmeister M, Wong AK, Schimenti JC, Handel MA, et al. Tissue-specific functional networks for prioritizing phenotype and disease genes. PLoS Comput Biol. 2012;8(9):e1002694. </w:t>
      </w:r>
    </w:p>
    <w:p w14:paraId="20678F27"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27. </w:t>
      </w:r>
      <w:r w:rsidRPr="009E4629">
        <w:rPr>
          <w:rFonts w:ascii="Calibri" w:hAnsi="Calibri" w:cs="Calibri"/>
          <w:noProof/>
          <w:szCs w:val="24"/>
        </w:rPr>
        <w:tab/>
        <w:t xml:space="preserve">Greene CS, Krishnan A, Wong AK, Ricciotti E, Zelaya RA, Himmelstein DS, et al. Understanding multicellular function and disease with human tissue-specific networks. Nat Genet. 2015 Jun;47(6):569–76. </w:t>
      </w:r>
    </w:p>
    <w:p w14:paraId="3FEB97D2"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28. </w:t>
      </w:r>
      <w:r w:rsidRPr="009E4629">
        <w:rPr>
          <w:rFonts w:ascii="Calibri" w:hAnsi="Calibri" w:cs="Calibri"/>
          <w:noProof/>
          <w:szCs w:val="24"/>
        </w:rPr>
        <w:tab/>
        <w:t>Ghiassian SD, Menche J, Barab?si A-L. A DIseAse MOdule Detection (DIAMOnD) Algorithm Derived from a Systematic Analysis of Connectivity Patterns of Disease Proteins in the Human Interactome. Rzhetsky A, editor. PLOS Comput Biol [Internet]. 2015 Apr 8;11(4):e1004120. Available from: http://dx.plos.org/10.1371/journal.pcbi.1004120</w:t>
      </w:r>
    </w:p>
    <w:p w14:paraId="4C2C2629"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3C5E37">
        <w:rPr>
          <w:rFonts w:ascii="Calibri" w:hAnsi="Calibri" w:cs="Calibri"/>
          <w:noProof/>
          <w:szCs w:val="24"/>
          <w:lang w:val="fr-FR"/>
        </w:rPr>
        <w:t xml:space="preserve">29. </w:t>
      </w:r>
      <w:r w:rsidRPr="003C5E37">
        <w:rPr>
          <w:rFonts w:ascii="Calibri" w:hAnsi="Calibri" w:cs="Calibri"/>
          <w:noProof/>
          <w:szCs w:val="24"/>
          <w:lang w:val="fr-FR"/>
        </w:rPr>
        <w:tab/>
        <w:t xml:space="preserve">Cao M, Zhang H, Park J, Daniels NM, Crovella ME, Cowen LJ, et al. </w:t>
      </w:r>
      <w:r w:rsidRPr="009E4629">
        <w:rPr>
          <w:rFonts w:ascii="Calibri" w:hAnsi="Calibri" w:cs="Calibri"/>
          <w:noProof/>
          <w:szCs w:val="24"/>
        </w:rPr>
        <w:t xml:space="preserve">Going the distance for protein function prediction: a new distance metric for protein interaction networks. PLoS One. 2013;8(10):e76339. </w:t>
      </w:r>
    </w:p>
    <w:p w14:paraId="54C0C8B0"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30. </w:t>
      </w:r>
      <w:r w:rsidRPr="009E4629">
        <w:rPr>
          <w:rFonts w:ascii="Calibri" w:hAnsi="Calibri" w:cs="Calibri"/>
          <w:noProof/>
          <w:szCs w:val="24"/>
        </w:rPr>
        <w:tab/>
        <w:t xml:space="preserve">Cao M, Pietras CM, Feng X, Doroschak KJ, Schaffner T, Park J, et al. New directions for diffusion-based network prediction of protein function: incorporating pathways with confidence. Bioinformatics. 2014 Jun;30(12):i219-27. </w:t>
      </w:r>
    </w:p>
    <w:p w14:paraId="02DFE0F5"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31. </w:t>
      </w:r>
      <w:r w:rsidRPr="009E4629">
        <w:rPr>
          <w:rFonts w:ascii="Calibri" w:hAnsi="Calibri" w:cs="Calibri"/>
          <w:noProof/>
          <w:szCs w:val="24"/>
        </w:rPr>
        <w:tab/>
        <w:t xml:space="preserve">Szklarczyk D, Franceschini A, Wyder S, Forslund K, Heller D, Huerta-Cepas J, et al. STRING v10: protein-protein interaction networks, integrated over the tree of life. Nucleic Acids Res. 2015 Jan;43(Database issue):D447-52. </w:t>
      </w:r>
    </w:p>
    <w:p w14:paraId="61C5C263"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32. </w:t>
      </w:r>
      <w:r w:rsidRPr="009E4629">
        <w:rPr>
          <w:rFonts w:ascii="Calibri" w:hAnsi="Calibri" w:cs="Calibri"/>
          <w:noProof/>
          <w:szCs w:val="24"/>
        </w:rPr>
        <w:tab/>
        <w:t xml:space="preserve">Szklarczyk D, Morris JH, Cook H, Kuhn M, Wyder S, Simonovic M, et al. The STRING database in 2017: quality-controlled protein-protein association networks, made broadly accessible. Nucleic Acids Res. 2017;45(D1):D362–8. </w:t>
      </w:r>
    </w:p>
    <w:p w14:paraId="7ABF3052"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33. </w:t>
      </w:r>
      <w:r w:rsidRPr="009E4629">
        <w:rPr>
          <w:rFonts w:ascii="Calibri" w:hAnsi="Calibri" w:cs="Calibri"/>
          <w:noProof/>
          <w:szCs w:val="24"/>
        </w:rPr>
        <w:tab/>
        <w:t xml:space="preserve">Smedley D, Haider S, Durinck S, Pandini L, Provero P, Allen J, et al. The BioMart community portal: an innovative alternative to large, centralized data repositories. Nucleic Acids Res. 2015 Jul;43(W1):W589-98. </w:t>
      </w:r>
    </w:p>
    <w:p w14:paraId="13ADC143"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34. </w:t>
      </w:r>
      <w:r w:rsidRPr="009E4629">
        <w:rPr>
          <w:rFonts w:ascii="Calibri" w:hAnsi="Calibri" w:cs="Calibri"/>
          <w:noProof/>
          <w:szCs w:val="24"/>
        </w:rPr>
        <w:tab/>
        <w:t xml:space="preserve">Kotlyar M, Pastrello C, Malik Z, Jurisica I. IID 2018 update: context-specific physical protein-protein interactions in human, model organisms and domesticated species. Nucleic Acids Res. 2019;47(D1):D581–9. </w:t>
      </w:r>
    </w:p>
    <w:p w14:paraId="0BDBEA67"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35. </w:t>
      </w:r>
      <w:r w:rsidRPr="009E4629">
        <w:rPr>
          <w:rFonts w:ascii="Calibri" w:hAnsi="Calibri" w:cs="Calibri"/>
          <w:noProof/>
          <w:szCs w:val="24"/>
        </w:rPr>
        <w:tab/>
        <w:t>Irizarry RA, Hobbs B, Collin F, Beazer-Barclay YD, Antonellis KJ, Scherf U, et al. Exploration, normalization, and summaries of high density oligonucleotide array probe level data. Biostatistics [Internet]. 2003 Apr;4(2):249–64. Available from: http://www.ncbi.nlm.nih.gov/pubmed/12925520</w:t>
      </w:r>
    </w:p>
    <w:p w14:paraId="0EBC3AB4"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36. </w:t>
      </w:r>
      <w:r w:rsidRPr="009E4629">
        <w:rPr>
          <w:rFonts w:ascii="Calibri" w:hAnsi="Calibri" w:cs="Calibri"/>
          <w:noProof/>
          <w:szCs w:val="24"/>
        </w:rPr>
        <w:tab/>
        <w:t>Menon R, Otto EA, Sealfon R, Nair V, Wong AK, Theesfeld CL, et al. SARS-CoV-2 receptor networks in diabetic and COVID-19–associated kidney disease. Kidney Int [Internet]. 2020 Dec;98(6):1502–18. Available from: https://linkinghub.elsevier.com/retrieve/pii/S0085253820311133</w:t>
      </w:r>
    </w:p>
    <w:p w14:paraId="6624B13A"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37. </w:t>
      </w:r>
      <w:r w:rsidRPr="009E4629">
        <w:rPr>
          <w:rFonts w:ascii="Calibri" w:hAnsi="Calibri" w:cs="Calibri"/>
          <w:noProof/>
          <w:szCs w:val="24"/>
        </w:rPr>
        <w:tab/>
        <w:t xml:space="preserve">Obayashi T, Hayashi S, Shibaoka M, Saeki M, Ohta H, Kinoshita K. COXPRESdb: a database of coexpressed gene networks in mammals. Nucleic Acids Res. 2008 Jan;36(Database issue):D77-82. </w:t>
      </w:r>
    </w:p>
    <w:p w14:paraId="28AFF3DC"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38. </w:t>
      </w:r>
      <w:r w:rsidRPr="009E4629">
        <w:rPr>
          <w:rFonts w:ascii="Calibri" w:hAnsi="Calibri" w:cs="Calibri"/>
          <w:noProof/>
          <w:szCs w:val="24"/>
        </w:rPr>
        <w:tab/>
        <w:t xml:space="preserve">Obayashi T, Kagaya Y, Aoki Y, Tadaka S, Kinoshita K. COXPRESdb v7: A gene coexpression database for 11 animal species supported by 23 coexpression platforms for technical evaluation and evolutionary inference. Nucleic Acids Res. 2019 Jan;47(D1):D55–62. </w:t>
      </w:r>
    </w:p>
    <w:p w14:paraId="012B0715"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39. </w:t>
      </w:r>
      <w:r w:rsidRPr="009E4629">
        <w:rPr>
          <w:rFonts w:ascii="Calibri" w:hAnsi="Calibri" w:cs="Calibri"/>
          <w:noProof/>
          <w:szCs w:val="24"/>
        </w:rPr>
        <w:tab/>
        <w:t xml:space="preserve">Okamura Y, Aoki Y, Obayashi T, Tadaka S, Ito S, Narise T, et al. COXPRESdb in 2015: Coexpression database for animal species by DNA-microarray and RNAseq-based expression data with multiple quality assessment systems. Nucleic Acids Res. 2015 Jan;43(D1):D82–6. </w:t>
      </w:r>
    </w:p>
    <w:p w14:paraId="6ABB6108"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40. </w:t>
      </w:r>
      <w:r w:rsidRPr="009E4629">
        <w:rPr>
          <w:rFonts w:ascii="Calibri" w:hAnsi="Calibri" w:cs="Calibri"/>
          <w:noProof/>
          <w:szCs w:val="24"/>
        </w:rPr>
        <w:tab/>
        <w:t xml:space="preserve">Obayashi T, Kinoshita K. Rank of correlation coefficient as a comparable measure for biological significance of gene coexpression. DNA Res. 2009 Oct;16(5):249–60. </w:t>
      </w:r>
    </w:p>
    <w:p w14:paraId="318656C9"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41. </w:t>
      </w:r>
      <w:r w:rsidRPr="009E4629">
        <w:rPr>
          <w:rFonts w:ascii="Calibri" w:hAnsi="Calibri" w:cs="Calibri"/>
          <w:noProof/>
          <w:szCs w:val="24"/>
        </w:rPr>
        <w:tab/>
        <w:t xml:space="preserve">Carithers LJ, Moore HM. The Genotype-Tissue Expression (GTEx) Project. Biopreserv Biobank. 2015 Oct;13(5):307–8. </w:t>
      </w:r>
    </w:p>
    <w:p w14:paraId="09BC2B06"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42. </w:t>
      </w:r>
      <w:r w:rsidRPr="009E4629">
        <w:rPr>
          <w:rFonts w:ascii="Calibri" w:hAnsi="Calibri" w:cs="Calibri"/>
          <w:noProof/>
          <w:szCs w:val="24"/>
        </w:rPr>
        <w:tab/>
        <w:t xml:space="preserve">Carithers LJ, Ardlie K, Barcus M, Branton PA, Britton A, Buia SA, et al. A Novel Approach to High-Quality Postmortem Tissue Procurement: The GTEx Project. Biopreserv Biobank. 2015 Oct;13(5):311–9. </w:t>
      </w:r>
    </w:p>
    <w:p w14:paraId="12CB3C08" w14:textId="77777777" w:rsidR="009E4629" w:rsidRPr="003C5E37" w:rsidRDefault="009E4629" w:rsidP="009E4629">
      <w:pPr>
        <w:widowControl w:val="0"/>
        <w:autoSpaceDE w:val="0"/>
        <w:autoSpaceDN w:val="0"/>
        <w:adjustRightInd w:val="0"/>
        <w:spacing w:after="0"/>
        <w:ind w:left="640" w:hanging="640"/>
        <w:rPr>
          <w:rFonts w:ascii="Calibri" w:hAnsi="Calibri" w:cs="Calibri"/>
          <w:noProof/>
          <w:szCs w:val="24"/>
          <w:lang w:val="fr-FR"/>
        </w:rPr>
      </w:pPr>
      <w:r w:rsidRPr="009E4629">
        <w:rPr>
          <w:rFonts w:ascii="Calibri" w:hAnsi="Calibri" w:cs="Calibri"/>
          <w:noProof/>
          <w:szCs w:val="24"/>
        </w:rPr>
        <w:t xml:space="preserve">43. </w:t>
      </w:r>
      <w:r w:rsidRPr="009E4629">
        <w:rPr>
          <w:rFonts w:ascii="Calibri" w:hAnsi="Calibri" w:cs="Calibri"/>
          <w:noProof/>
          <w:szCs w:val="24"/>
        </w:rPr>
        <w:tab/>
        <w:t xml:space="preserve">Revelle W. psych: Procedures for Psychological, Psychometric, and Personality Research. </w:t>
      </w:r>
      <w:r w:rsidRPr="003C5E37">
        <w:rPr>
          <w:rFonts w:ascii="Calibri" w:hAnsi="Calibri" w:cs="Calibri"/>
          <w:noProof/>
          <w:szCs w:val="24"/>
          <w:lang w:val="fr-FR"/>
        </w:rPr>
        <w:t xml:space="preserve">Evanston, Illinois; 2019. </w:t>
      </w:r>
    </w:p>
    <w:p w14:paraId="19CAB0E3"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3C5E37">
        <w:rPr>
          <w:rFonts w:ascii="Calibri" w:hAnsi="Calibri" w:cs="Calibri"/>
          <w:noProof/>
          <w:szCs w:val="24"/>
          <w:lang w:val="fr-FR"/>
        </w:rPr>
        <w:t xml:space="preserve">44. </w:t>
      </w:r>
      <w:r w:rsidRPr="003C5E37">
        <w:rPr>
          <w:rFonts w:ascii="Calibri" w:hAnsi="Calibri" w:cs="Calibri"/>
          <w:noProof/>
          <w:szCs w:val="24"/>
          <w:lang w:val="fr-FR"/>
        </w:rPr>
        <w:tab/>
        <w:t xml:space="preserve">Contreras-López O, Moyano TC, Soto DC, Gutiérrez RA. </w:t>
      </w:r>
      <w:r w:rsidRPr="009E4629">
        <w:rPr>
          <w:rFonts w:ascii="Calibri" w:hAnsi="Calibri" w:cs="Calibri"/>
          <w:noProof/>
          <w:szCs w:val="24"/>
        </w:rPr>
        <w:t xml:space="preserve">Step-by-Step Construction of Gene Co-expression Networks from High-Throughput Arabidopsis RNA Sequencing Data. Methods Mol Biol. 2018;1761:275–301. </w:t>
      </w:r>
    </w:p>
    <w:p w14:paraId="0FF0ADDD"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45. </w:t>
      </w:r>
      <w:r w:rsidRPr="009E4629">
        <w:rPr>
          <w:rFonts w:ascii="Calibri" w:hAnsi="Calibri" w:cs="Calibri"/>
          <w:noProof/>
          <w:szCs w:val="24"/>
        </w:rPr>
        <w:tab/>
        <w:t xml:space="preserve">Malatras A, Michalopoulos I, Duguez S, Butler-Browne G, Spuler S, Duddy WJ. MyoMiner: explore gene co-expression in normal and pathological muscle. BMC Med Genomics. 2020;13(1):67. </w:t>
      </w:r>
    </w:p>
    <w:p w14:paraId="1F4AB002"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46. </w:t>
      </w:r>
      <w:r w:rsidRPr="009E4629">
        <w:rPr>
          <w:rFonts w:ascii="Calibri" w:hAnsi="Calibri" w:cs="Calibri"/>
          <w:noProof/>
          <w:szCs w:val="24"/>
        </w:rPr>
        <w:tab/>
        <w:t xml:space="preserve">Liberzon A, Birger C, Thorvaldsdóttir H, Ghandi M, Mesirov JP, Tamayo P. The Molecular Signatures Database (MSigDB) hallmark gene set collection. Cell Syst. 2015 Dec;1(6):417–25. </w:t>
      </w:r>
    </w:p>
    <w:p w14:paraId="0F4F0376"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47. </w:t>
      </w:r>
      <w:r w:rsidRPr="009E4629">
        <w:rPr>
          <w:rFonts w:ascii="Calibri" w:hAnsi="Calibri" w:cs="Calibri"/>
          <w:noProof/>
          <w:szCs w:val="24"/>
        </w:rPr>
        <w:tab/>
        <w:t xml:space="preserve">Choobdar S, Ahsen ME, Crawford J, Tomasoni M, Fang T, Lamparter D, et al. Assessment of network module identification across complex diseases. Nat Methods. 2019;16(9):843–52. </w:t>
      </w:r>
    </w:p>
    <w:p w14:paraId="65448B53"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48. </w:t>
      </w:r>
      <w:r w:rsidRPr="009E4629">
        <w:rPr>
          <w:rFonts w:ascii="Calibri" w:hAnsi="Calibri" w:cs="Calibri"/>
          <w:noProof/>
          <w:szCs w:val="24"/>
        </w:rPr>
        <w:tab/>
        <w:t>Tomasoni M, Gómez S, Crawford J, Zhang W, Choobdar S, Marbach D, et al. MONET: a toolbox integrating top-performing methods for network modularization. Luigi Martelli P, editor. Bioinformatics [Internet]. 2020 Jun 1;36(12):3920–1. Available from: https://academic.oup.com/bioinformatics/article/36/12/3920/5818484</w:t>
      </w:r>
    </w:p>
    <w:p w14:paraId="11A1D79B"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49. </w:t>
      </w:r>
      <w:r w:rsidRPr="009E4629">
        <w:rPr>
          <w:rFonts w:ascii="Calibri" w:hAnsi="Calibri" w:cs="Calibri"/>
          <w:noProof/>
          <w:szCs w:val="24"/>
        </w:rPr>
        <w:tab/>
        <w:t>Carbon S, Douglass E, Good BM, Unni DR, Harris NL, Mungall CJ, et al. The Gene Ontology resource: enriching a GOld mine. Nucleic Acids Res [Internet]. 2021 Jan 8;49(D1):D325–34. Available from: https://academic.oup.com/nar/article/49/D1/D325/6027811</w:t>
      </w:r>
    </w:p>
    <w:p w14:paraId="08D910BB"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50. </w:t>
      </w:r>
      <w:r w:rsidRPr="009E4629">
        <w:rPr>
          <w:rFonts w:ascii="Calibri" w:hAnsi="Calibri" w:cs="Calibri"/>
          <w:noProof/>
          <w:szCs w:val="24"/>
        </w:rPr>
        <w:tab/>
        <w:t>Jassal B, Matthews L, Viteri G, Gong C, Lorente P, Fabregat A, et al. The reactome pathway knowledgebase. Nucleic Acids Res [Internet]. 2019 Nov 6; Available from: https://academic.oup.com/nar/advance-article/doi/10.1093/nar/gkz1031/5613674</w:t>
      </w:r>
    </w:p>
    <w:p w14:paraId="0A638AFD"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51. </w:t>
      </w:r>
      <w:r w:rsidRPr="009E4629">
        <w:rPr>
          <w:rFonts w:ascii="Calibri" w:hAnsi="Calibri" w:cs="Calibri"/>
          <w:noProof/>
          <w:szCs w:val="24"/>
        </w:rPr>
        <w:tab/>
        <w:t>Martens M, Ammar A, Riutta A, Waagmeester A, Slenter DN, Hanspers K, et al. WikiPathways: connecting communities. Nucleic Acids Res [Internet]. 2021 Jan 8;49(D1):D613–21. Available from: https://academic.oup.com/nar/article/49/D1/D613/5992285</w:t>
      </w:r>
    </w:p>
    <w:p w14:paraId="27D7B01A"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52. </w:t>
      </w:r>
      <w:r w:rsidRPr="009E4629">
        <w:rPr>
          <w:rFonts w:ascii="Calibri" w:hAnsi="Calibri" w:cs="Calibri"/>
          <w:noProof/>
          <w:szCs w:val="24"/>
        </w:rPr>
        <w:tab/>
        <w:t>Malatras A, Duguez S, Duddy W. Muscle Gene Sets: a versatile methodological aid to functional genomics in the neuromuscular field. Skelet Muscle [Internet]. 2019 Dec 3;9(1):10. Available from: https://skeletalmusclejournal.biomedcentral.com/articles/10.1186/s13395-019-0196-z</w:t>
      </w:r>
    </w:p>
    <w:p w14:paraId="188BA506"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53. </w:t>
      </w:r>
      <w:r w:rsidRPr="009E4629">
        <w:rPr>
          <w:rFonts w:ascii="Calibri" w:hAnsi="Calibri" w:cs="Calibri"/>
          <w:noProof/>
          <w:szCs w:val="24"/>
        </w:rPr>
        <w:tab/>
        <w:t xml:space="preserve">Ferreira PG, Muñoz-Aguirre M, Reverter F, Sá Godinho CP, Sousa A, Amadoz A, et al. The effects of death and post-mortem cold ischemia on human tissue transcriptomes. Nat Commun. 2018;9(1):490. </w:t>
      </w:r>
    </w:p>
    <w:p w14:paraId="404686E9" w14:textId="77777777" w:rsidR="009E4629" w:rsidRPr="009E4629" w:rsidRDefault="009E4629" w:rsidP="009E4629">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54. </w:t>
      </w:r>
      <w:r w:rsidRPr="009E4629">
        <w:rPr>
          <w:rFonts w:ascii="Calibri" w:hAnsi="Calibri" w:cs="Calibri"/>
          <w:noProof/>
          <w:szCs w:val="24"/>
        </w:rPr>
        <w:tab/>
        <w:t>Gillis J, Pavlidis P. “Guilt by Association” Is the Exception Rather Than the Rule in Gene Networks. Rzhetsky A, editor. PLoS Comput Biol [Internet]. 2012 Mar 29;8(3):e1002444. Available from: https://dx.plos.org/10.1371/journal.pcbi.1002444</w:t>
      </w:r>
    </w:p>
    <w:p w14:paraId="6CB2672B" w14:textId="77777777" w:rsidR="009E4629" w:rsidRPr="009E4629" w:rsidRDefault="009E4629" w:rsidP="009E4629">
      <w:pPr>
        <w:widowControl w:val="0"/>
        <w:autoSpaceDE w:val="0"/>
        <w:autoSpaceDN w:val="0"/>
        <w:adjustRightInd w:val="0"/>
        <w:spacing w:after="0"/>
        <w:ind w:left="640" w:hanging="640"/>
        <w:rPr>
          <w:rFonts w:ascii="Calibri" w:hAnsi="Calibri" w:cs="Calibri"/>
          <w:noProof/>
        </w:rPr>
      </w:pPr>
      <w:r w:rsidRPr="009E4629">
        <w:rPr>
          <w:rFonts w:ascii="Calibri" w:hAnsi="Calibri" w:cs="Calibri"/>
          <w:noProof/>
          <w:szCs w:val="24"/>
        </w:rPr>
        <w:t xml:space="preserve">55. </w:t>
      </w:r>
      <w:r w:rsidRPr="009E4629">
        <w:rPr>
          <w:rFonts w:ascii="Calibri" w:hAnsi="Calibri" w:cs="Calibri"/>
          <w:noProof/>
          <w:szCs w:val="24"/>
        </w:rPr>
        <w:tab/>
        <w:t>Thorley M, Duguez S, Mazza EMC, Valsoni S, Bigot A, Mamchaoui K, et al. Skeletal muscle characteristics are preserved in hTERT/cdk4 human myogenic cell lines. Skelet Muscle [Internet]. 2016 Dec 8;6(1):43. Available from: http://skeletalmusclejournal.biomedcentral.com/articles/10.1186/s13395-016-0115-5</w:t>
      </w:r>
    </w:p>
    <w:p w14:paraId="6CD5B5BF" w14:textId="7B2DB7A8" w:rsidR="00700C72" w:rsidRDefault="001B29BA" w:rsidP="001A3648">
      <w:pPr>
        <w:spacing w:after="0"/>
        <w:rPr>
          <w:b/>
        </w:rPr>
      </w:pPr>
      <w:r>
        <w:rPr>
          <w:b/>
        </w:rPr>
        <w:fldChar w:fldCharType="end"/>
      </w:r>
    </w:p>
    <w:p w14:paraId="276F283E" w14:textId="5E95C673" w:rsidR="00700C72" w:rsidRDefault="00700C72">
      <w:pPr>
        <w:rPr>
          <w:b/>
        </w:rPr>
      </w:pPr>
    </w:p>
    <w:p w14:paraId="064187AB" w14:textId="77777777" w:rsidR="0002037F" w:rsidRDefault="0002037F">
      <w:pPr>
        <w:rPr>
          <w:b/>
        </w:rPr>
        <w:sectPr w:rsidR="0002037F" w:rsidSect="003C5E37">
          <w:type w:val="continuous"/>
          <w:pgSz w:w="11906" w:h="16838"/>
          <w:pgMar w:top="1440" w:right="1440" w:bottom="1440" w:left="1440" w:header="709" w:footer="709" w:gutter="0"/>
          <w:cols w:space="708"/>
          <w:docGrid w:linePitch="360"/>
        </w:sectPr>
      </w:pPr>
    </w:p>
    <w:p w14:paraId="65816435" w14:textId="5CF8C1FC" w:rsidR="00AF317B" w:rsidRDefault="00AF317B">
      <w:pPr>
        <w:rPr>
          <w:b/>
        </w:rPr>
      </w:pPr>
      <w:bookmarkStart w:id="8" w:name="_Hlk67571722"/>
    </w:p>
    <w:p w14:paraId="60AB966F" w14:textId="513E7E55" w:rsidR="00FE1841" w:rsidRDefault="00FE1841" w:rsidP="00700C72">
      <w:pPr>
        <w:rPr>
          <w:b/>
        </w:rPr>
      </w:pPr>
      <w:r>
        <w:rPr>
          <w:b/>
        </w:rPr>
        <w:t>Supplementary Materials</w:t>
      </w: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tblBorders>
        <w:tblLook w:val="04A0" w:firstRow="1" w:lastRow="0" w:firstColumn="1" w:lastColumn="0" w:noHBand="0" w:noVBand="1"/>
      </w:tblPr>
      <w:tblGrid>
        <w:gridCol w:w="4569"/>
        <w:gridCol w:w="2329"/>
        <w:gridCol w:w="1059"/>
        <w:gridCol w:w="1059"/>
      </w:tblGrid>
      <w:tr w:rsidR="007469BA" w:rsidRPr="0002037F" w14:paraId="1B069FE1" w14:textId="77777777" w:rsidTr="00E6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bottom w:val="none" w:sz="0" w:space="0" w:color="auto"/>
            </w:tcBorders>
          </w:tcPr>
          <w:p w14:paraId="4F0F6926" w14:textId="77777777" w:rsidR="007469BA" w:rsidRPr="0002037F" w:rsidRDefault="007469BA" w:rsidP="00E627A6">
            <w:pPr>
              <w:spacing w:line="480" w:lineRule="auto"/>
              <w:rPr>
                <w:b w:val="0"/>
                <w:sz w:val="18"/>
              </w:rPr>
            </w:pPr>
            <w:r w:rsidRPr="0002037F">
              <w:rPr>
                <w:sz w:val="18"/>
              </w:rPr>
              <w:t>Standard Name</w:t>
            </w:r>
          </w:p>
        </w:tc>
        <w:tc>
          <w:tcPr>
            <w:tcW w:w="2329" w:type="dxa"/>
            <w:tcBorders>
              <w:bottom w:val="none" w:sz="0" w:space="0" w:color="auto"/>
            </w:tcBorders>
          </w:tcPr>
          <w:p w14:paraId="1D41AE06" w14:textId="77777777" w:rsidR="007469BA" w:rsidRPr="0002037F" w:rsidRDefault="007469BA" w:rsidP="00E627A6">
            <w:pPr>
              <w:spacing w:line="480" w:lineRule="auto"/>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Exact source</w:t>
            </w:r>
          </w:p>
        </w:tc>
        <w:tc>
          <w:tcPr>
            <w:tcW w:w="1059" w:type="dxa"/>
            <w:tcBorders>
              <w:bottom w:val="none" w:sz="0" w:space="0" w:color="auto"/>
            </w:tcBorders>
          </w:tcPr>
          <w:p w14:paraId="7BBDE023" w14:textId="77777777" w:rsidR="007469BA" w:rsidRPr="0002037F" w:rsidRDefault="007469BA" w:rsidP="00E627A6">
            <w:pPr>
              <w:spacing w:line="480" w:lineRule="auto"/>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Subset of GO</w:t>
            </w:r>
          </w:p>
        </w:tc>
        <w:tc>
          <w:tcPr>
            <w:tcW w:w="1059" w:type="dxa"/>
            <w:tcBorders>
              <w:bottom w:val="none" w:sz="0" w:space="0" w:color="auto"/>
            </w:tcBorders>
          </w:tcPr>
          <w:p w14:paraId="3E4C9540" w14:textId="77777777" w:rsidR="007469BA" w:rsidRPr="0002037F" w:rsidRDefault="007469BA" w:rsidP="00E627A6">
            <w:pPr>
              <w:spacing w:line="480" w:lineRule="auto"/>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No. Genes</w:t>
            </w:r>
          </w:p>
        </w:tc>
      </w:tr>
      <w:tr w:rsidR="007469BA" w:rsidRPr="0002037F" w14:paraId="61DC2F15" w14:textId="77777777" w:rsidTr="00E6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6830363B" w14:textId="77777777" w:rsidR="007469BA" w:rsidRPr="0002037F" w:rsidRDefault="007469BA" w:rsidP="00E627A6">
            <w:pPr>
              <w:spacing w:line="480" w:lineRule="auto"/>
              <w:rPr>
                <w:sz w:val="18"/>
              </w:rPr>
            </w:pPr>
            <w:r w:rsidRPr="0002037F">
              <w:rPr>
                <w:sz w:val="18"/>
              </w:rPr>
              <w:t>GO_MUSCLE_FIBER_DEVELOPMENT</w:t>
            </w:r>
          </w:p>
        </w:tc>
        <w:tc>
          <w:tcPr>
            <w:tcW w:w="2329" w:type="dxa"/>
            <w:tcBorders>
              <w:top w:val="none" w:sz="0" w:space="0" w:color="auto"/>
              <w:bottom w:val="none" w:sz="0" w:space="0" w:color="auto"/>
            </w:tcBorders>
          </w:tcPr>
          <w:p w14:paraId="1C9D57D1"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GO:0048747</w:t>
            </w:r>
          </w:p>
        </w:tc>
        <w:tc>
          <w:tcPr>
            <w:tcW w:w="1059" w:type="dxa"/>
            <w:tcBorders>
              <w:top w:val="none" w:sz="0" w:space="0" w:color="auto"/>
              <w:bottom w:val="none" w:sz="0" w:space="0" w:color="auto"/>
            </w:tcBorders>
          </w:tcPr>
          <w:p w14:paraId="5B3EB35B"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0F73A060"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60</w:t>
            </w:r>
          </w:p>
        </w:tc>
      </w:tr>
      <w:tr w:rsidR="007469BA" w:rsidRPr="0002037F" w14:paraId="0A910467" w14:textId="77777777" w:rsidTr="00E627A6">
        <w:tc>
          <w:tcPr>
            <w:cnfStyle w:val="001000000000" w:firstRow="0" w:lastRow="0" w:firstColumn="1" w:lastColumn="0" w:oddVBand="0" w:evenVBand="0" w:oddHBand="0" w:evenHBand="0" w:firstRowFirstColumn="0" w:firstRowLastColumn="0" w:lastRowFirstColumn="0" w:lastRowLastColumn="0"/>
            <w:tcW w:w="4569" w:type="dxa"/>
          </w:tcPr>
          <w:p w14:paraId="570718E9" w14:textId="77777777" w:rsidR="007469BA" w:rsidRPr="0002037F" w:rsidRDefault="007469BA" w:rsidP="00E627A6">
            <w:pPr>
              <w:spacing w:line="480" w:lineRule="auto"/>
              <w:rPr>
                <w:sz w:val="18"/>
              </w:rPr>
            </w:pPr>
            <w:r w:rsidRPr="0002037F">
              <w:rPr>
                <w:sz w:val="18"/>
              </w:rPr>
              <w:t>GO_MUSCLE HYPERTROPHY</w:t>
            </w:r>
          </w:p>
        </w:tc>
        <w:tc>
          <w:tcPr>
            <w:tcW w:w="2329" w:type="dxa"/>
          </w:tcPr>
          <w:p w14:paraId="46538C25"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GO:0014896</w:t>
            </w:r>
          </w:p>
        </w:tc>
        <w:tc>
          <w:tcPr>
            <w:tcW w:w="1059" w:type="dxa"/>
          </w:tcPr>
          <w:p w14:paraId="0E3437B1"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BP</w:t>
            </w:r>
          </w:p>
        </w:tc>
        <w:tc>
          <w:tcPr>
            <w:tcW w:w="1059" w:type="dxa"/>
          </w:tcPr>
          <w:p w14:paraId="04494963"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109</w:t>
            </w:r>
          </w:p>
        </w:tc>
      </w:tr>
      <w:tr w:rsidR="007469BA" w:rsidRPr="0002037F" w14:paraId="36D193EB" w14:textId="77777777" w:rsidTr="00E6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7862A80D" w14:textId="77777777" w:rsidR="007469BA" w:rsidRPr="0002037F" w:rsidRDefault="007469BA" w:rsidP="00E627A6">
            <w:pPr>
              <w:spacing w:line="480" w:lineRule="auto"/>
              <w:rPr>
                <w:sz w:val="18"/>
              </w:rPr>
            </w:pPr>
            <w:r w:rsidRPr="0002037F">
              <w:rPr>
                <w:sz w:val="18"/>
              </w:rPr>
              <w:t>GO_MYOBLAST_FUSION</w:t>
            </w:r>
          </w:p>
        </w:tc>
        <w:tc>
          <w:tcPr>
            <w:tcW w:w="2329" w:type="dxa"/>
            <w:tcBorders>
              <w:top w:val="none" w:sz="0" w:space="0" w:color="auto"/>
              <w:bottom w:val="none" w:sz="0" w:space="0" w:color="auto"/>
            </w:tcBorders>
          </w:tcPr>
          <w:p w14:paraId="7BD5E33F"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GO:0007520</w:t>
            </w:r>
          </w:p>
        </w:tc>
        <w:tc>
          <w:tcPr>
            <w:tcW w:w="1059" w:type="dxa"/>
            <w:tcBorders>
              <w:top w:val="none" w:sz="0" w:space="0" w:color="auto"/>
              <w:bottom w:val="none" w:sz="0" w:space="0" w:color="auto"/>
            </w:tcBorders>
          </w:tcPr>
          <w:p w14:paraId="577BD0B6"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4402B474"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45</w:t>
            </w:r>
          </w:p>
        </w:tc>
      </w:tr>
      <w:tr w:rsidR="007469BA" w:rsidRPr="0002037F" w14:paraId="7E33506F" w14:textId="77777777" w:rsidTr="00E627A6">
        <w:tc>
          <w:tcPr>
            <w:cnfStyle w:val="001000000000" w:firstRow="0" w:lastRow="0" w:firstColumn="1" w:lastColumn="0" w:oddVBand="0" w:evenVBand="0" w:oddHBand="0" w:evenHBand="0" w:firstRowFirstColumn="0" w:firstRowLastColumn="0" w:lastRowFirstColumn="0" w:lastRowLastColumn="0"/>
            <w:tcW w:w="4569" w:type="dxa"/>
          </w:tcPr>
          <w:p w14:paraId="212466AE" w14:textId="77777777" w:rsidR="007469BA" w:rsidRPr="0002037F" w:rsidRDefault="007469BA" w:rsidP="00E627A6">
            <w:pPr>
              <w:spacing w:line="480" w:lineRule="auto"/>
              <w:rPr>
                <w:sz w:val="18"/>
              </w:rPr>
            </w:pPr>
            <w:r w:rsidRPr="0002037F">
              <w:rPr>
                <w:sz w:val="18"/>
              </w:rPr>
              <w:t>GO_SKELETAL_MUSCLE_CELL_DIFFERENTIATION</w:t>
            </w:r>
          </w:p>
        </w:tc>
        <w:tc>
          <w:tcPr>
            <w:tcW w:w="2329" w:type="dxa"/>
          </w:tcPr>
          <w:p w14:paraId="0C83DF8E"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GO:0035914</w:t>
            </w:r>
          </w:p>
        </w:tc>
        <w:tc>
          <w:tcPr>
            <w:tcW w:w="1059" w:type="dxa"/>
          </w:tcPr>
          <w:p w14:paraId="3A2402DC"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BP</w:t>
            </w:r>
          </w:p>
        </w:tc>
        <w:tc>
          <w:tcPr>
            <w:tcW w:w="1059" w:type="dxa"/>
          </w:tcPr>
          <w:p w14:paraId="128E7536"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69</w:t>
            </w:r>
          </w:p>
        </w:tc>
      </w:tr>
      <w:tr w:rsidR="007469BA" w:rsidRPr="0002037F" w14:paraId="16362FE0" w14:textId="77777777" w:rsidTr="00E6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11A1BEE5" w14:textId="77777777" w:rsidR="007469BA" w:rsidRPr="0002037F" w:rsidRDefault="007469BA" w:rsidP="00E627A6">
            <w:pPr>
              <w:spacing w:line="480" w:lineRule="auto"/>
              <w:rPr>
                <w:sz w:val="18"/>
              </w:rPr>
            </w:pPr>
            <w:r w:rsidRPr="0002037F">
              <w:rPr>
                <w:sz w:val="18"/>
              </w:rPr>
              <w:t>GO_SKELETAL_MUSCLE_CONTRACTION</w:t>
            </w:r>
          </w:p>
        </w:tc>
        <w:tc>
          <w:tcPr>
            <w:tcW w:w="2329" w:type="dxa"/>
            <w:tcBorders>
              <w:top w:val="none" w:sz="0" w:space="0" w:color="auto"/>
              <w:bottom w:val="none" w:sz="0" w:space="0" w:color="auto"/>
            </w:tcBorders>
          </w:tcPr>
          <w:p w14:paraId="05250161"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GO:0003009</w:t>
            </w:r>
          </w:p>
        </w:tc>
        <w:tc>
          <w:tcPr>
            <w:tcW w:w="1059" w:type="dxa"/>
            <w:tcBorders>
              <w:top w:val="none" w:sz="0" w:space="0" w:color="auto"/>
              <w:bottom w:val="none" w:sz="0" w:space="0" w:color="auto"/>
            </w:tcBorders>
          </w:tcPr>
          <w:p w14:paraId="77B2A3D4"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1B43E1B2"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43</w:t>
            </w:r>
          </w:p>
        </w:tc>
      </w:tr>
      <w:tr w:rsidR="007469BA" w:rsidRPr="0002037F" w14:paraId="5130B604" w14:textId="77777777" w:rsidTr="00E627A6">
        <w:tc>
          <w:tcPr>
            <w:cnfStyle w:val="001000000000" w:firstRow="0" w:lastRow="0" w:firstColumn="1" w:lastColumn="0" w:oddVBand="0" w:evenVBand="0" w:oddHBand="0" w:evenHBand="0" w:firstRowFirstColumn="0" w:firstRowLastColumn="0" w:lastRowFirstColumn="0" w:lastRowLastColumn="0"/>
            <w:tcW w:w="4569" w:type="dxa"/>
          </w:tcPr>
          <w:p w14:paraId="37D75F6B" w14:textId="77777777" w:rsidR="007469BA" w:rsidRPr="0002037F" w:rsidRDefault="007469BA" w:rsidP="00E627A6">
            <w:pPr>
              <w:spacing w:line="480" w:lineRule="auto"/>
              <w:rPr>
                <w:sz w:val="18"/>
              </w:rPr>
            </w:pPr>
            <w:r w:rsidRPr="0002037F">
              <w:rPr>
                <w:sz w:val="18"/>
              </w:rPr>
              <w:t>GO_SKELETAL_MUSCLE_TISSUE_REGENERATION</w:t>
            </w:r>
          </w:p>
        </w:tc>
        <w:tc>
          <w:tcPr>
            <w:tcW w:w="2329" w:type="dxa"/>
          </w:tcPr>
          <w:p w14:paraId="5C746ACE"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GO:0043403</w:t>
            </w:r>
          </w:p>
        </w:tc>
        <w:tc>
          <w:tcPr>
            <w:tcW w:w="1059" w:type="dxa"/>
          </w:tcPr>
          <w:p w14:paraId="79323FFE"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BP</w:t>
            </w:r>
          </w:p>
        </w:tc>
        <w:tc>
          <w:tcPr>
            <w:tcW w:w="1059" w:type="dxa"/>
          </w:tcPr>
          <w:p w14:paraId="17CDE757"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40</w:t>
            </w:r>
          </w:p>
        </w:tc>
      </w:tr>
      <w:tr w:rsidR="007469BA" w:rsidRPr="0002037F" w14:paraId="706F58C8" w14:textId="77777777" w:rsidTr="00E6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54C3A73F" w14:textId="77777777" w:rsidR="007469BA" w:rsidRPr="0002037F" w:rsidRDefault="007469BA" w:rsidP="00E627A6">
            <w:pPr>
              <w:spacing w:line="480" w:lineRule="auto"/>
              <w:rPr>
                <w:sz w:val="18"/>
              </w:rPr>
            </w:pPr>
            <w:r w:rsidRPr="0002037F">
              <w:rPr>
                <w:sz w:val="18"/>
              </w:rPr>
              <w:t>GO_STRIATED_MUSCLE_CELL_PROLIFERATION</w:t>
            </w:r>
          </w:p>
        </w:tc>
        <w:tc>
          <w:tcPr>
            <w:tcW w:w="2329" w:type="dxa"/>
            <w:tcBorders>
              <w:top w:val="none" w:sz="0" w:space="0" w:color="auto"/>
              <w:bottom w:val="none" w:sz="0" w:space="0" w:color="auto"/>
            </w:tcBorders>
          </w:tcPr>
          <w:p w14:paraId="70F3F606"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GO:0014855</w:t>
            </w:r>
          </w:p>
        </w:tc>
        <w:tc>
          <w:tcPr>
            <w:tcW w:w="1059" w:type="dxa"/>
            <w:tcBorders>
              <w:top w:val="none" w:sz="0" w:space="0" w:color="auto"/>
              <w:bottom w:val="none" w:sz="0" w:space="0" w:color="auto"/>
            </w:tcBorders>
          </w:tcPr>
          <w:p w14:paraId="5A3231B9"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52AA75A0"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83</w:t>
            </w:r>
          </w:p>
        </w:tc>
      </w:tr>
      <w:tr w:rsidR="007469BA" w:rsidRPr="0002037F" w14:paraId="0BA9EFDE" w14:textId="77777777" w:rsidTr="00E627A6">
        <w:tc>
          <w:tcPr>
            <w:cnfStyle w:val="001000000000" w:firstRow="0" w:lastRow="0" w:firstColumn="1" w:lastColumn="0" w:oddVBand="0" w:evenVBand="0" w:oddHBand="0" w:evenHBand="0" w:firstRowFirstColumn="0" w:firstRowLastColumn="0" w:lastRowFirstColumn="0" w:lastRowLastColumn="0"/>
            <w:tcW w:w="4569" w:type="dxa"/>
          </w:tcPr>
          <w:p w14:paraId="7AADF2CE" w14:textId="77777777" w:rsidR="007469BA" w:rsidRPr="0002037F" w:rsidRDefault="007469BA" w:rsidP="00E627A6">
            <w:pPr>
              <w:spacing w:line="480" w:lineRule="auto"/>
              <w:rPr>
                <w:sz w:val="18"/>
              </w:rPr>
            </w:pPr>
            <w:r w:rsidRPr="0002037F">
              <w:rPr>
                <w:sz w:val="18"/>
              </w:rPr>
              <w:t>GO_NEUROMUSCULAR_JUNCTION</w:t>
            </w:r>
          </w:p>
        </w:tc>
        <w:tc>
          <w:tcPr>
            <w:tcW w:w="2329" w:type="dxa"/>
          </w:tcPr>
          <w:p w14:paraId="7E48B64D"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GO:0031594</w:t>
            </w:r>
          </w:p>
        </w:tc>
        <w:tc>
          <w:tcPr>
            <w:tcW w:w="1059" w:type="dxa"/>
          </w:tcPr>
          <w:p w14:paraId="4686B6B6"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CC</w:t>
            </w:r>
          </w:p>
        </w:tc>
        <w:tc>
          <w:tcPr>
            <w:tcW w:w="1059" w:type="dxa"/>
          </w:tcPr>
          <w:p w14:paraId="391C3F02"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76</w:t>
            </w:r>
          </w:p>
        </w:tc>
      </w:tr>
      <w:tr w:rsidR="007469BA" w:rsidRPr="0002037F" w14:paraId="5957A755" w14:textId="77777777" w:rsidTr="00E6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1163DDB6" w14:textId="77777777" w:rsidR="007469BA" w:rsidRPr="0002037F" w:rsidRDefault="007469BA" w:rsidP="00E627A6">
            <w:pPr>
              <w:spacing w:line="480" w:lineRule="auto"/>
              <w:rPr>
                <w:sz w:val="18"/>
              </w:rPr>
            </w:pPr>
            <w:r w:rsidRPr="0002037F">
              <w:rPr>
                <w:sz w:val="18"/>
              </w:rPr>
              <w:t>GO_MYOFILAMENT</w:t>
            </w:r>
          </w:p>
        </w:tc>
        <w:tc>
          <w:tcPr>
            <w:tcW w:w="2329" w:type="dxa"/>
            <w:tcBorders>
              <w:top w:val="none" w:sz="0" w:space="0" w:color="auto"/>
              <w:bottom w:val="none" w:sz="0" w:space="0" w:color="auto"/>
            </w:tcBorders>
          </w:tcPr>
          <w:p w14:paraId="3F3D3C39"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GO:0036379</w:t>
            </w:r>
          </w:p>
        </w:tc>
        <w:tc>
          <w:tcPr>
            <w:tcW w:w="1059" w:type="dxa"/>
            <w:tcBorders>
              <w:top w:val="none" w:sz="0" w:space="0" w:color="auto"/>
              <w:bottom w:val="none" w:sz="0" w:space="0" w:color="auto"/>
            </w:tcBorders>
          </w:tcPr>
          <w:p w14:paraId="2B3C3DE3"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CC</w:t>
            </w:r>
          </w:p>
        </w:tc>
        <w:tc>
          <w:tcPr>
            <w:tcW w:w="1059" w:type="dxa"/>
            <w:tcBorders>
              <w:top w:val="none" w:sz="0" w:space="0" w:color="auto"/>
              <w:bottom w:val="none" w:sz="0" w:space="0" w:color="auto"/>
            </w:tcBorders>
          </w:tcPr>
          <w:p w14:paraId="411EE583"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26</w:t>
            </w:r>
          </w:p>
        </w:tc>
      </w:tr>
      <w:tr w:rsidR="007469BA" w:rsidRPr="0002037F" w14:paraId="5BC19947" w14:textId="77777777" w:rsidTr="00E627A6">
        <w:tc>
          <w:tcPr>
            <w:cnfStyle w:val="001000000000" w:firstRow="0" w:lastRow="0" w:firstColumn="1" w:lastColumn="0" w:oddVBand="0" w:evenVBand="0" w:oddHBand="0" w:evenHBand="0" w:firstRowFirstColumn="0" w:firstRowLastColumn="0" w:lastRowFirstColumn="0" w:lastRowLastColumn="0"/>
            <w:tcW w:w="4569" w:type="dxa"/>
          </w:tcPr>
          <w:p w14:paraId="12BB526E" w14:textId="77777777" w:rsidR="007469BA" w:rsidRPr="0002037F" w:rsidRDefault="007469BA" w:rsidP="00E627A6">
            <w:pPr>
              <w:spacing w:line="480" w:lineRule="auto"/>
              <w:rPr>
                <w:sz w:val="18"/>
              </w:rPr>
            </w:pPr>
            <w:r w:rsidRPr="0002037F">
              <w:rPr>
                <w:sz w:val="18"/>
              </w:rPr>
              <w:t>GO_T_TUBULE</w:t>
            </w:r>
          </w:p>
        </w:tc>
        <w:tc>
          <w:tcPr>
            <w:tcW w:w="2329" w:type="dxa"/>
          </w:tcPr>
          <w:p w14:paraId="375604AD"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GO:0030315</w:t>
            </w:r>
          </w:p>
        </w:tc>
        <w:tc>
          <w:tcPr>
            <w:tcW w:w="1059" w:type="dxa"/>
          </w:tcPr>
          <w:p w14:paraId="79FE3BF5"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CC</w:t>
            </w:r>
          </w:p>
        </w:tc>
        <w:tc>
          <w:tcPr>
            <w:tcW w:w="1059" w:type="dxa"/>
          </w:tcPr>
          <w:p w14:paraId="294F216A" w14:textId="77777777" w:rsidR="007469BA" w:rsidRPr="0002037F" w:rsidRDefault="007469BA" w:rsidP="00E627A6">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54</w:t>
            </w:r>
          </w:p>
        </w:tc>
      </w:tr>
      <w:tr w:rsidR="007469BA" w:rsidRPr="0002037F" w14:paraId="1C580C72" w14:textId="77777777" w:rsidTr="00E6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2D22145B" w14:textId="77777777" w:rsidR="007469BA" w:rsidRPr="0002037F" w:rsidRDefault="007469BA" w:rsidP="00E627A6">
            <w:pPr>
              <w:spacing w:line="480" w:lineRule="auto"/>
              <w:rPr>
                <w:sz w:val="18"/>
              </w:rPr>
            </w:pPr>
            <w:r w:rsidRPr="0002037F">
              <w:rPr>
                <w:sz w:val="18"/>
              </w:rPr>
              <w:t>GO_SARCOLEMMA</w:t>
            </w:r>
          </w:p>
        </w:tc>
        <w:tc>
          <w:tcPr>
            <w:tcW w:w="2329" w:type="dxa"/>
            <w:tcBorders>
              <w:top w:val="none" w:sz="0" w:space="0" w:color="auto"/>
              <w:bottom w:val="none" w:sz="0" w:space="0" w:color="auto"/>
            </w:tcBorders>
          </w:tcPr>
          <w:p w14:paraId="0F73BF8D"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GO:0042383</w:t>
            </w:r>
          </w:p>
        </w:tc>
        <w:tc>
          <w:tcPr>
            <w:tcW w:w="1059" w:type="dxa"/>
            <w:tcBorders>
              <w:top w:val="none" w:sz="0" w:space="0" w:color="auto"/>
              <w:bottom w:val="none" w:sz="0" w:space="0" w:color="auto"/>
            </w:tcBorders>
          </w:tcPr>
          <w:p w14:paraId="66884B8D"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CC</w:t>
            </w:r>
          </w:p>
        </w:tc>
        <w:tc>
          <w:tcPr>
            <w:tcW w:w="1059" w:type="dxa"/>
            <w:tcBorders>
              <w:top w:val="none" w:sz="0" w:space="0" w:color="auto"/>
              <w:bottom w:val="none" w:sz="0" w:space="0" w:color="auto"/>
            </w:tcBorders>
          </w:tcPr>
          <w:p w14:paraId="15C75D6E" w14:textId="77777777" w:rsidR="007469BA" w:rsidRPr="0002037F" w:rsidRDefault="007469BA" w:rsidP="00E627A6">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135</w:t>
            </w:r>
          </w:p>
        </w:tc>
      </w:tr>
    </w:tbl>
    <w:p w14:paraId="78E22FD4" w14:textId="16C5351C" w:rsidR="007469BA" w:rsidRPr="00AB0422" w:rsidRDefault="00703596" w:rsidP="007469BA">
      <w:pPr>
        <w:rPr>
          <w:b/>
          <w:sz w:val="16"/>
        </w:rPr>
      </w:pPr>
      <w:r>
        <w:rPr>
          <w:b/>
          <w:sz w:val="16"/>
        </w:rPr>
        <w:t>Supplementary t</w:t>
      </w:r>
      <w:r w:rsidR="007469BA" w:rsidRPr="00AB0422">
        <w:rPr>
          <w:b/>
          <w:sz w:val="16"/>
        </w:rPr>
        <w:t xml:space="preserve">able </w:t>
      </w:r>
      <w:r w:rsidR="007469BA">
        <w:rPr>
          <w:b/>
          <w:sz w:val="16"/>
        </w:rPr>
        <w:t>S1</w:t>
      </w:r>
      <w:r w:rsidR="007469BA" w:rsidRPr="00AB0422">
        <w:rPr>
          <w:b/>
          <w:sz w:val="16"/>
        </w:rPr>
        <w:t>: This table contains the name</w:t>
      </w:r>
      <w:r w:rsidR="007469BA">
        <w:rPr>
          <w:b/>
          <w:sz w:val="16"/>
        </w:rPr>
        <w:t>, GO ID</w:t>
      </w:r>
      <w:r w:rsidR="007469BA" w:rsidRPr="00AB0422">
        <w:rPr>
          <w:b/>
          <w:sz w:val="16"/>
        </w:rPr>
        <w:t xml:space="preserve"> and number of genes of </w:t>
      </w:r>
      <w:r w:rsidR="007469BA">
        <w:rPr>
          <w:b/>
          <w:sz w:val="16"/>
        </w:rPr>
        <w:t>SM</w:t>
      </w:r>
      <w:r w:rsidR="007469BA" w:rsidRPr="00AB0422">
        <w:rPr>
          <w:b/>
          <w:sz w:val="16"/>
        </w:rPr>
        <w:t xml:space="preserve"> GO terms chosen as gene sets for this study</w:t>
      </w:r>
      <w:r w:rsidR="007469BA">
        <w:rPr>
          <w:b/>
          <w:sz w:val="16"/>
        </w:rPr>
        <w:t>, taken from the MSigDB. GO terms were selected to represent a range of key muscle biological processes and cell components.</w:t>
      </w:r>
    </w:p>
    <w:bookmarkEnd w:id="8"/>
    <w:p w14:paraId="2E591BFD" w14:textId="77777777" w:rsidR="007469BA" w:rsidRDefault="007469BA" w:rsidP="00700C72">
      <w:pPr>
        <w:rPr>
          <w:b/>
        </w:rPr>
      </w:pPr>
    </w:p>
    <w:p w14:paraId="74C888BD" w14:textId="4C32B744" w:rsidR="005E58B4" w:rsidRDefault="005E58B4" w:rsidP="001A3648">
      <w:pPr>
        <w:spacing w:after="0"/>
        <w:rPr>
          <w:b/>
        </w:rPr>
      </w:pPr>
    </w:p>
    <w:p w14:paraId="2C507284" w14:textId="77777777" w:rsidR="005E58B4" w:rsidRDefault="005E58B4" w:rsidP="001A3648">
      <w:pPr>
        <w:rPr>
          <w:b/>
          <w:sz w:val="18"/>
          <w:lang w:val="en"/>
        </w:rPr>
      </w:pPr>
      <w:bookmarkStart w:id="9" w:name="_Hlk67571731"/>
      <w:r>
        <w:rPr>
          <w:b/>
          <w:noProof/>
          <w:sz w:val="18"/>
          <w:lang w:eastAsia="en-GB"/>
        </w:rPr>
        <w:drawing>
          <wp:inline distT="0" distB="0" distL="0" distR="0" wp14:anchorId="0631B69E" wp14:editId="3C378B76">
            <wp:extent cx="5731510" cy="41287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entage_Present.tiff"/>
                    <pic:cNvPicPr/>
                  </pic:nvPicPr>
                  <pic:blipFill>
                    <a:blip r:embed="rId28">
                      <a:extLst>
                        <a:ext uri="{28A0092B-C50C-407E-A947-70E740481C1C}">
                          <a14:useLocalDpi xmlns:a14="http://schemas.microsoft.com/office/drawing/2010/main" val="0"/>
                        </a:ext>
                      </a:extLst>
                    </a:blip>
                    <a:stretch>
                      <a:fillRect/>
                    </a:stretch>
                  </pic:blipFill>
                  <pic:spPr>
                    <a:xfrm>
                      <a:off x="0" y="0"/>
                      <a:ext cx="5731510" cy="4128770"/>
                    </a:xfrm>
                    <a:prstGeom prst="rect">
                      <a:avLst/>
                    </a:prstGeom>
                  </pic:spPr>
                </pic:pic>
              </a:graphicData>
            </a:graphic>
          </wp:inline>
        </w:drawing>
      </w:r>
    </w:p>
    <w:p w14:paraId="2545EA14" w14:textId="11045009" w:rsidR="005E58B4" w:rsidRDefault="005E58B4" w:rsidP="001A3648">
      <w:pPr>
        <w:rPr>
          <w:b/>
          <w:sz w:val="18"/>
          <w:lang w:val="en"/>
        </w:rPr>
      </w:pPr>
      <w:r>
        <w:rPr>
          <w:b/>
          <w:sz w:val="18"/>
          <w:lang w:val="en"/>
        </w:rPr>
        <w:t>Supplementary Figure</w:t>
      </w:r>
      <w:r w:rsidR="00BF591A">
        <w:rPr>
          <w:b/>
          <w:sz w:val="18"/>
          <w:lang w:val="en"/>
        </w:rPr>
        <w:t xml:space="preserve"> S</w:t>
      </w:r>
      <w:r>
        <w:rPr>
          <w:b/>
          <w:sz w:val="18"/>
          <w:lang w:val="en"/>
        </w:rPr>
        <w:t xml:space="preserve">1: </w:t>
      </w:r>
      <w:r w:rsidR="005C39C0">
        <w:rPr>
          <w:b/>
          <w:sz w:val="18"/>
          <w:lang w:val="en"/>
        </w:rPr>
        <w:t>A</w:t>
      </w:r>
      <w:r>
        <w:rPr>
          <w:b/>
          <w:sz w:val="18"/>
          <w:lang w:val="en"/>
        </w:rPr>
        <w:t xml:space="preserve">verage percentage coverage </w:t>
      </w:r>
      <w:r w:rsidR="005C39C0">
        <w:rPr>
          <w:b/>
          <w:sz w:val="18"/>
          <w:lang w:val="en"/>
        </w:rPr>
        <w:t xml:space="preserve">(percentage of genes included in the network) </w:t>
      </w:r>
      <w:r>
        <w:rPr>
          <w:b/>
          <w:sz w:val="18"/>
          <w:lang w:val="en"/>
        </w:rPr>
        <w:t xml:space="preserve">of the 11 </w:t>
      </w:r>
      <w:r w:rsidR="005C39C0">
        <w:rPr>
          <w:b/>
          <w:sz w:val="18"/>
          <w:lang w:val="en"/>
        </w:rPr>
        <w:t xml:space="preserve">selected muscle-related </w:t>
      </w:r>
      <w:r>
        <w:rPr>
          <w:b/>
          <w:sz w:val="18"/>
          <w:lang w:val="en"/>
        </w:rPr>
        <w:t xml:space="preserve">GO terms </w:t>
      </w:r>
      <w:r w:rsidR="005C39C0">
        <w:rPr>
          <w:b/>
          <w:sz w:val="18"/>
          <w:lang w:val="en"/>
        </w:rPr>
        <w:t>for</w:t>
      </w:r>
      <w:r>
        <w:rPr>
          <w:b/>
          <w:sz w:val="18"/>
          <w:lang w:val="en"/>
        </w:rPr>
        <w:t xml:space="preserve"> each MIN. </w:t>
      </w:r>
      <w:r w:rsidR="005C39C0">
        <w:rPr>
          <w:b/>
          <w:sz w:val="18"/>
          <w:lang w:val="en"/>
        </w:rPr>
        <w:t>A</w:t>
      </w:r>
      <w:r>
        <w:rPr>
          <w:b/>
          <w:sz w:val="18"/>
          <w:lang w:val="en"/>
        </w:rPr>
        <w:t>n arbitrary cut</w:t>
      </w:r>
      <w:r w:rsidR="002F73F7">
        <w:rPr>
          <w:b/>
          <w:sz w:val="18"/>
          <w:lang w:val="en"/>
        </w:rPr>
        <w:t>-off</w:t>
      </w:r>
      <w:r>
        <w:rPr>
          <w:b/>
          <w:sz w:val="18"/>
          <w:lang w:val="en"/>
        </w:rPr>
        <w:t xml:space="preserve"> of &gt;= 75% </w:t>
      </w:r>
      <w:r w:rsidR="005C39C0">
        <w:rPr>
          <w:b/>
          <w:sz w:val="18"/>
          <w:lang w:val="en"/>
        </w:rPr>
        <w:t xml:space="preserve">average </w:t>
      </w:r>
      <w:r>
        <w:rPr>
          <w:b/>
          <w:sz w:val="18"/>
          <w:lang w:val="en"/>
        </w:rPr>
        <w:t>percentage coverage</w:t>
      </w:r>
      <w:r w:rsidR="005C39C0">
        <w:rPr>
          <w:b/>
          <w:sz w:val="18"/>
          <w:lang w:val="en"/>
        </w:rPr>
        <w:t xml:space="preserve"> was applied</w:t>
      </w:r>
      <w:r>
        <w:rPr>
          <w:b/>
          <w:sz w:val="18"/>
          <w:lang w:val="en"/>
        </w:rPr>
        <w:t xml:space="preserve"> to filter out networks that </w:t>
      </w:r>
      <w:r w:rsidR="005C39C0">
        <w:rPr>
          <w:b/>
          <w:sz w:val="18"/>
          <w:lang w:val="en"/>
        </w:rPr>
        <w:t>had poor representation of muscle-relevant genes</w:t>
      </w:r>
      <w:r>
        <w:rPr>
          <w:b/>
          <w:sz w:val="18"/>
          <w:lang w:val="en"/>
        </w:rPr>
        <w:t>.</w:t>
      </w:r>
    </w:p>
    <w:p w14:paraId="22336C06" w14:textId="28CEFA2A" w:rsidR="00BF591A" w:rsidRDefault="00BF591A" w:rsidP="001A3648">
      <w:pPr>
        <w:rPr>
          <w:b/>
          <w:sz w:val="18"/>
          <w:lang w:val="en"/>
        </w:rPr>
      </w:pPr>
    </w:p>
    <w:p w14:paraId="50AD883D" w14:textId="3F65C0BA" w:rsidR="005E58B4" w:rsidRDefault="00761B1F" w:rsidP="001A3648">
      <w:pPr>
        <w:spacing w:after="0"/>
        <w:rPr>
          <w:b/>
        </w:rPr>
      </w:pPr>
      <w:bookmarkStart w:id="10" w:name="_Hlk67571746"/>
      <w:bookmarkEnd w:id="9"/>
      <w:r>
        <w:rPr>
          <w:b/>
          <w:noProof/>
          <w:lang w:eastAsia="en-GB"/>
        </w:rPr>
        <w:drawing>
          <wp:inline distT="0" distB="0" distL="0" distR="0" wp14:anchorId="049323D9" wp14:editId="64E1A437">
            <wp:extent cx="5731510" cy="41109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edPercentage.tiff"/>
                    <pic:cNvPicPr/>
                  </pic:nvPicPr>
                  <pic:blipFill>
                    <a:blip r:embed="rId29">
                      <a:extLst>
                        <a:ext uri="{28A0092B-C50C-407E-A947-70E740481C1C}">
                          <a14:useLocalDpi xmlns:a14="http://schemas.microsoft.com/office/drawing/2010/main" val="0"/>
                        </a:ext>
                      </a:extLst>
                    </a:blip>
                    <a:stretch>
                      <a:fillRect/>
                    </a:stretch>
                  </pic:blipFill>
                  <pic:spPr>
                    <a:xfrm>
                      <a:off x="0" y="0"/>
                      <a:ext cx="5731510" cy="4110990"/>
                    </a:xfrm>
                    <a:prstGeom prst="rect">
                      <a:avLst/>
                    </a:prstGeom>
                  </pic:spPr>
                </pic:pic>
              </a:graphicData>
            </a:graphic>
          </wp:inline>
        </w:drawing>
      </w:r>
    </w:p>
    <w:p w14:paraId="3D9F64E1" w14:textId="41338433" w:rsidR="00761B1F" w:rsidRPr="00761B1F" w:rsidRDefault="00761B1F" w:rsidP="001A3648">
      <w:pPr>
        <w:spacing w:after="0"/>
        <w:rPr>
          <w:b/>
          <w:sz w:val="18"/>
        </w:rPr>
      </w:pPr>
      <w:r>
        <w:rPr>
          <w:b/>
          <w:sz w:val="18"/>
          <w:lang w:val="en"/>
        </w:rPr>
        <w:t xml:space="preserve">Supplementary Figure </w:t>
      </w:r>
      <w:r w:rsidR="00AF317B">
        <w:rPr>
          <w:b/>
          <w:sz w:val="18"/>
          <w:lang w:val="en"/>
        </w:rPr>
        <w:t>S</w:t>
      </w:r>
      <w:r w:rsidR="00F20BC4">
        <w:rPr>
          <w:b/>
          <w:sz w:val="18"/>
          <w:lang w:val="en"/>
        </w:rPr>
        <w:t>2</w:t>
      </w:r>
      <w:r>
        <w:rPr>
          <w:b/>
          <w:sz w:val="18"/>
          <w:lang w:val="en"/>
        </w:rPr>
        <w:t xml:space="preserve">: This figure represents the mean average percentage coverage of the 11 </w:t>
      </w:r>
      <w:r w:rsidR="00ED54C8">
        <w:rPr>
          <w:b/>
          <w:sz w:val="18"/>
          <w:lang w:val="en"/>
        </w:rPr>
        <w:t>SM</w:t>
      </w:r>
      <w:r>
        <w:rPr>
          <w:b/>
          <w:sz w:val="18"/>
          <w:lang w:val="en"/>
        </w:rPr>
        <w:t xml:space="preserve"> GO terms gene sets present in each of the combined MIN variants defined for this study. We applied an arbitrary cut of &gt;= 75% percentage coverage to filter out combined networks that do not contain enough </w:t>
      </w:r>
      <w:r w:rsidR="00ED54C8">
        <w:rPr>
          <w:b/>
          <w:sz w:val="18"/>
          <w:lang w:val="en"/>
        </w:rPr>
        <w:t>SM</w:t>
      </w:r>
      <w:r>
        <w:rPr>
          <w:b/>
          <w:sz w:val="18"/>
          <w:lang w:val="en"/>
        </w:rPr>
        <w:t xml:space="preserve"> GO genes. Only one combined MIN combination, IID + MyoMiner Cell Node Filter, did not pass the threshold and this was removed from the analysis.</w:t>
      </w:r>
    </w:p>
    <w:bookmarkEnd w:id="10"/>
    <w:p w14:paraId="053DC7E7" w14:textId="77777777" w:rsidR="00FE1841" w:rsidRPr="00FE1841" w:rsidRDefault="00FE1841" w:rsidP="001A3648">
      <w:pPr>
        <w:spacing w:after="0"/>
        <w:rPr>
          <w:b/>
        </w:rPr>
      </w:pPr>
    </w:p>
    <w:p w14:paraId="3D13DA55" w14:textId="3DABB9E2" w:rsidR="00AC4916" w:rsidRDefault="00AC4916" w:rsidP="001A3648">
      <w:pPr>
        <w:spacing w:after="0"/>
      </w:pPr>
    </w:p>
    <w:p w14:paraId="0006E620" w14:textId="07DFD4BC" w:rsidR="00AC4916" w:rsidRDefault="00AC4916" w:rsidP="001A3648">
      <w:pPr>
        <w:pStyle w:val="Heading1"/>
      </w:pPr>
    </w:p>
    <w:p w14:paraId="2D41F25F" w14:textId="77777777" w:rsidR="00F20BC4" w:rsidRDefault="00F20BC4" w:rsidP="00F20BC4">
      <w:pPr>
        <w:rPr>
          <w:lang w:val="en"/>
        </w:rPr>
      </w:pPr>
      <w:r>
        <w:rPr>
          <w:noProof/>
          <w:lang w:eastAsia="en-GB"/>
        </w:rPr>
        <w:drawing>
          <wp:inline distT="0" distB="0" distL="0" distR="0" wp14:anchorId="3B1742E0" wp14:editId="066D55EF">
            <wp:extent cx="5731510" cy="4142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D_vs_DIAMOnD_correlation.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4142740"/>
                    </a:xfrm>
                    <a:prstGeom prst="rect">
                      <a:avLst/>
                    </a:prstGeom>
                  </pic:spPr>
                </pic:pic>
              </a:graphicData>
            </a:graphic>
          </wp:inline>
        </w:drawing>
      </w:r>
    </w:p>
    <w:p w14:paraId="55FBE1EE" w14:textId="69B69B90" w:rsidR="00F20BC4" w:rsidRDefault="00F20BC4" w:rsidP="00F20BC4">
      <w:pPr>
        <w:rPr>
          <w:b/>
          <w:sz w:val="18"/>
          <w:lang w:val="en"/>
        </w:rPr>
      </w:pPr>
      <w:r>
        <w:rPr>
          <w:b/>
          <w:sz w:val="18"/>
          <w:lang w:val="en"/>
        </w:rPr>
        <w:t>Supplementary Figure S3: A comparison of the performance scores produced for the 11 SM gene ontology terms for each MIN variant in the study.</w:t>
      </w:r>
    </w:p>
    <w:p w14:paraId="64358B49" w14:textId="77777777" w:rsidR="00AC4916" w:rsidRDefault="00AC4916" w:rsidP="001A3648">
      <w:pPr>
        <w:spacing w:after="0"/>
      </w:pPr>
    </w:p>
    <w:p w14:paraId="76EC3C74" w14:textId="539DF8DD" w:rsidR="00BC3E76" w:rsidRDefault="00BC3E76" w:rsidP="001A3648">
      <w:r>
        <w:t xml:space="preserve"> </w:t>
      </w:r>
    </w:p>
    <w:p w14:paraId="554354F5" w14:textId="0FF96C48" w:rsidR="002B3A3C" w:rsidRDefault="002B3A3C">
      <w:r>
        <w:br w:type="page"/>
      </w:r>
    </w:p>
    <w:p w14:paraId="4EBD5B4C" w14:textId="77777777" w:rsidR="002B3A3C" w:rsidRDefault="002B3A3C" w:rsidP="002B3A3C">
      <w:pPr>
        <w:pStyle w:val="Title"/>
        <w:spacing w:line="480" w:lineRule="auto"/>
        <w:rPr>
          <w:b/>
        </w:rPr>
      </w:pPr>
      <w:r w:rsidRPr="00D13662">
        <w:rPr>
          <w:b/>
        </w:rPr>
        <w:t>Optimiz</w:t>
      </w:r>
      <w:r>
        <w:rPr>
          <w:b/>
        </w:rPr>
        <w:t>ed</w:t>
      </w:r>
      <w:r w:rsidRPr="00D13662">
        <w:rPr>
          <w:b/>
        </w:rPr>
        <w:t xml:space="preserve"> Molecular </w:t>
      </w:r>
      <w:r>
        <w:rPr>
          <w:b/>
        </w:rPr>
        <w:t xml:space="preserve">Interaction </w:t>
      </w:r>
      <w:r w:rsidRPr="00D13662">
        <w:rPr>
          <w:b/>
        </w:rPr>
        <w:t>Networks</w:t>
      </w:r>
      <w:r>
        <w:rPr>
          <w:b/>
        </w:rPr>
        <w:t xml:space="preserve"> for the Study of Skeletal Muscle </w:t>
      </w:r>
      <w:r w:rsidDel="00E553EE">
        <w:rPr>
          <w:b/>
        </w:rPr>
        <w:t xml:space="preserve"> </w:t>
      </w:r>
    </w:p>
    <w:p w14:paraId="51645F8E" w14:textId="77777777" w:rsidR="002B3A3C" w:rsidRPr="00D13662" w:rsidRDefault="002B3A3C" w:rsidP="002B3A3C">
      <w:pPr>
        <w:spacing w:after="0"/>
        <w:jc w:val="both"/>
        <w:rPr>
          <w:b/>
          <w:vertAlign w:val="superscript"/>
        </w:rPr>
      </w:pPr>
      <w:r w:rsidRPr="00D13662">
        <w:rPr>
          <w:b/>
        </w:rPr>
        <w:t>Stephen Morgan</w:t>
      </w:r>
      <w:r w:rsidRPr="00D13662">
        <w:rPr>
          <w:b/>
          <w:vertAlign w:val="superscript"/>
        </w:rPr>
        <w:t>1</w:t>
      </w:r>
      <w:r w:rsidRPr="00D13662">
        <w:rPr>
          <w:b/>
        </w:rPr>
        <w:t xml:space="preserve">, </w:t>
      </w:r>
      <w:r>
        <w:rPr>
          <w:b/>
        </w:rPr>
        <w:t>Apostolos Malatras</w:t>
      </w:r>
      <w:r w:rsidRPr="00DF239C">
        <w:rPr>
          <w:b/>
          <w:vertAlign w:val="superscript"/>
        </w:rPr>
        <w:t>2</w:t>
      </w:r>
      <w:r>
        <w:rPr>
          <w:b/>
        </w:rPr>
        <w:t xml:space="preserve">, </w:t>
      </w:r>
      <w:r w:rsidRPr="00D13662">
        <w:rPr>
          <w:b/>
        </w:rPr>
        <w:t>Stephanie Duguez</w:t>
      </w:r>
      <w:r w:rsidRPr="00D13662">
        <w:rPr>
          <w:b/>
          <w:vertAlign w:val="superscript"/>
        </w:rPr>
        <w:t>1</w:t>
      </w:r>
      <w:r w:rsidRPr="00D13662">
        <w:rPr>
          <w:b/>
        </w:rPr>
        <w:t>, William Duddy</w:t>
      </w:r>
      <w:r w:rsidRPr="00D13662">
        <w:rPr>
          <w:b/>
          <w:vertAlign w:val="superscript"/>
        </w:rPr>
        <w:t>1</w:t>
      </w:r>
      <w:r>
        <w:rPr>
          <w:b/>
          <w:vertAlign w:val="superscript"/>
        </w:rPr>
        <w:t>*</w:t>
      </w:r>
    </w:p>
    <w:p w14:paraId="12B2A879" w14:textId="77777777" w:rsidR="002B3A3C" w:rsidRDefault="002B3A3C" w:rsidP="002B3A3C">
      <w:pPr>
        <w:spacing w:after="0"/>
        <w:jc w:val="both"/>
      </w:pPr>
      <w:r>
        <w:rPr>
          <w:vertAlign w:val="superscript"/>
        </w:rPr>
        <w:t xml:space="preserve">1 </w:t>
      </w:r>
      <w:r>
        <w:t>Northern Ireland Centre for Stratified Medicine, Altnagelvin Hospital Campus, Ulster University, Londonderry, Northern Ireland, UK</w:t>
      </w:r>
    </w:p>
    <w:p w14:paraId="6AF5F449" w14:textId="77777777" w:rsidR="002B3A3C" w:rsidRDefault="002B3A3C" w:rsidP="002B3A3C">
      <w:pPr>
        <w:spacing w:after="0"/>
        <w:jc w:val="both"/>
      </w:pPr>
      <w:r w:rsidRPr="00DF239C">
        <w:rPr>
          <w:vertAlign w:val="superscript"/>
        </w:rPr>
        <w:t>2</w:t>
      </w:r>
      <w:r>
        <w:t xml:space="preserve"> Department of Biological Sciences, Molecular Medicine Research Center, University of Cyprus, 1 University Avenue, 2109 Nicosia, Cyprus</w:t>
      </w:r>
    </w:p>
    <w:p w14:paraId="78A9758C" w14:textId="77777777" w:rsidR="002B3A3C" w:rsidRDefault="002B3A3C" w:rsidP="002B3A3C">
      <w:pPr>
        <w:spacing w:after="0"/>
        <w:jc w:val="both"/>
      </w:pPr>
      <w:r w:rsidRPr="00D13662">
        <w:rPr>
          <w:vertAlign w:val="superscript"/>
        </w:rPr>
        <w:t>*</w:t>
      </w:r>
      <w:r>
        <w:t xml:space="preserve"> Correspondence: </w:t>
      </w:r>
      <w:hyperlink r:id="rId31" w:history="1">
        <w:r w:rsidRPr="009140C2">
          <w:rPr>
            <w:rStyle w:val="Hyperlink"/>
          </w:rPr>
          <w:t>w.duddy@ulster.ac.uk</w:t>
        </w:r>
      </w:hyperlink>
      <w:r>
        <w:t>; Tel: +44-28-71-675-686</w:t>
      </w:r>
    </w:p>
    <w:p w14:paraId="180F84C2" w14:textId="77777777" w:rsidR="002B3A3C" w:rsidRDefault="002B3A3C" w:rsidP="002B3A3C">
      <w:pPr>
        <w:spacing w:after="0"/>
        <w:jc w:val="both"/>
      </w:pPr>
      <w:r w:rsidRPr="001B148D">
        <w:rPr>
          <w:b/>
          <w:bCs/>
        </w:rPr>
        <w:t>Running title:</w:t>
      </w:r>
      <w:r>
        <w:t xml:space="preserve"> Interaction Networks for Skeletal Muscle</w:t>
      </w:r>
    </w:p>
    <w:p w14:paraId="2664B48F" w14:textId="77777777" w:rsidR="002B3A3C" w:rsidRPr="001B148D" w:rsidRDefault="002B3A3C" w:rsidP="002B3A3C">
      <w:pPr>
        <w:spacing w:after="0"/>
        <w:jc w:val="both"/>
        <w:rPr>
          <w:b/>
          <w:bCs/>
        </w:rPr>
      </w:pPr>
      <w:r w:rsidRPr="001B148D">
        <w:rPr>
          <w:b/>
          <w:bCs/>
        </w:rPr>
        <w:t>Complete c</w:t>
      </w:r>
      <w:r>
        <w:rPr>
          <w:b/>
          <w:bCs/>
        </w:rPr>
        <w:t>o</w:t>
      </w:r>
      <w:r w:rsidRPr="001B148D">
        <w:rPr>
          <w:b/>
          <w:bCs/>
        </w:rPr>
        <w:t>rrespondence address:</w:t>
      </w:r>
    </w:p>
    <w:p w14:paraId="006FA0A1" w14:textId="77777777" w:rsidR="002B3A3C" w:rsidRDefault="002B3A3C" w:rsidP="002B3A3C">
      <w:pPr>
        <w:spacing w:after="0"/>
        <w:jc w:val="both"/>
      </w:pPr>
      <w:r>
        <w:t>William J Duddy PhD FHEA</w:t>
      </w:r>
    </w:p>
    <w:p w14:paraId="5571E953" w14:textId="77777777" w:rsidR="002B3A3C" w:rsidRDefault="002B3A3C" w:rsidP="002B3A3C">
      <w:pPr>
        <w:spacing w:after="0"/>
        <w:jc w:val="both"/>
      </w:pPr>
      <w:r>
        <w:t>Northern Ireland Center for Stratified Medicine, Biomedical Sciences Research Institute</w:t>
      </w:r>
    </w:p>
    <w:p w14:paraId="0E10EEC5" w14:textId="77777777" w:rsidR="002B3A3C" w:rsidRDefault="002B3A3C" w:rsidP="002B3A3C">
      <w:pPr>
        <w:spacing w:after="0"/>
        <w:jc w:val="both"/>
      </w:pPr>
      <w:r>
        <w:t>C-TRIC, Altnagelvin Hospital Campus, Glenshane Road, Derry/Londonderry, BT47 6SB</w:t>
      </w:r>
    </w:p>
    <w:p w14:paraId="3AA4C3CC" w14:textId="77777777" w:rsidR="002B3A3C" w:rsidRPr="00187886" w:rsidRDefault="002B3A3C" w:rsidP="002B3A3C">
      <w:pPr>
        <w:spacing w:after="0"/>
        <w:jc w:val="both"/>
        <w:rPr>
          <w:lang w:val="fr-FR"/>
        </w:rPr>
      </w:pPr>
      <w:r w:rsidRPr="00187886">
        <w:rPr>
          <w:lang w:val="fr-FR"/>
        </w:rPr>
        <w:t>T +44-28-71-675-686 / E w.duddy@ulster.ac.uk</w:t>
      </w:r>
    </w:p>
    <w:p w14:paraId="5DF846D8" w14:textId="77777777" w:rsidR="002B3A3C" w:rsidRPr="00187886" w:rsidRDefault="002B3A3C" w:rsidP="002B3A3C">
      <w:pPr>
        <w:jc w:val="both"/>
        <w:rPr>
          <w:b/>
          <w:lang w:val="fr-FR"/>
        </w:rPr>
      </w:pPr>
    </w:p>
    <w:p w14:paraId="18C2AF3A" w14:textId="77777777" w:rsidR="002B3A3C" w:rsidRDefault="002B3A3C" w:rsidP="002B3A3C">
      <w:pPr>
        <w:spacing w:after="0"/>
        <w:jc w:val="both"/>
      </w:pPr>
      <w:r w:rsidRPr="00FE59EE">
        <w:rPr>
          <w:b/>
        </w:rPr>
        <w:t>BACKGROUND:</w:t>
      </w:r>
      <w:r>
        <w:t xml:space="preserve"> Molecular interaction networks (MINs) aim to capture the complex relationships between interacting molecules within a biological system. MINs can be constructed from existing knowledge of molecular functional associations, such as protein-protein binding interactions (PPI) or gene co-expression, and these different sources may be combined into a single MIN. A given MIN may be more or less optimal in its representation of the important functional relationships of molecules in a tissue.</w:t>
      </w:r>
    </w:p>
    <w:p w14:paraId="7FC906FA" w14:textId="77777777" w:rsidR="002B3A3C" w:rsidRDefault="002B3A3C" w:rsidP="002B3A3C">
      <w:pPr>
        <w:spacing w:after="0"/>
        <w:jc w:val="both"/>
      </w:pPr>
      <w:r w:rsidRPr="00FE59EE">
        <w:rPr>
          <w:b/>
        </w:rPr>
        <w:t>OBJECTIVE:</w:t>
      </w:r>
      <w:r>
        <w:t xml:space="preserve"> The aim of this study was to establish whether a combined MIN derived from different types of functional association could better capture muscle-relevant biology compared to its constituent single-source MINs.</w:t>
      </w:r>
    </w:p>
    <w:p w14:paraId="5E1DACE3" w14:textId="77777777" w:rsidR="002B3A3C" w:rsidRDefault="002B3A3C" w:rsidP="002B3A3C">
      <w:pPr>
        <w:spacing w:after="0"/>
        <w:jc w:val="both"/>
      </w:pPr>
      <w:r w:rsidRPr="00FE59EE">
        <w:rPr>
          <w:b/>
        </w:rPr>
        <w:t>METHODS:</w:t>
      </w:r>
      <w:r>
        <w:t xml:space="preserve"> MINs were constructed from functional association databases for both protein-binding and gene co-expression. The networks were then compared based on the capture of muscle-relevant genes and gene ontology (GO) terms, tested in two different ways using established biological network clustering algorithms. The top performing MINs were combined to test whether an optimal MIN for skeletal muscle could be constructed.</w:t>
      </w:r>
    </w:p>
    <w:p w14:paraId="337E7B46" w14:textId="77777777" w:rsidR="002B3A3C" w:rsidRDefault="002B3A3C" w:rsidP="002B3A3C">
      <w:pPr>
        <w:spacing w:after="0"/>
        <w:jc w:val="both"/>
      </w:pPr>
      <w:r w:rsidRPr="00FE59EE">
        <w:rPr>
          <w:b/>
        </w:rPr>
        <w:t>RESULTS:</w:t>
      </w:r>
      <w:r>
        <w:rPr>
          <w:b/>
        </w:rPr>
        <w:t xml:space="preserve"> </w:t>
      </w:r>
      <w:r w:rsidRPr="008530E2">
        <w:rPr>
          <w:bCs/>
        </w:rPr>
        <w:t>The STRING PPI network was the best performing single-source MIN</w:t>
      </w:r>
      <w:r>
        <w:rPr>
          <w:bCs/>
        </w:rPr>
        <w:t xml:space="preserve"> among those tested</w:t>
      </w:r>
      <w:r w:rsidRPr="008530E2">
        <w:rPr>
          <w:bCs/>
        </w:rPr>
        <w:t>.</w:t>
      </w:r>
      <w:r>
        <w:rPr>
          <w:b/>
        </w:rPr>
        <w:t xml:space="preserve"> </w:t>
      </w:r>
      <w:r>
        <w:t>Combining STRING with interactions from either the MyoMiner or CoXPRESSdb gene co-expression sources resulted in a combined network with improved performance relative to its constituent networks.</w:t>
      </w:r>
    </w:p>
    <w:p w14:paraId="164BFB1B" w14:textId="77777777" w:rsidR="002B3A3C" w:rsidRDefault="002B3A3C" w:rsidP="002B3A3C">
      <w:pPr>
        <w:spacing w:after="0"/>
        <w:jc w:val="both"/>
      </w:pPr>
      <w:r w:rsidRPr="00FE59EE">
        <w:rPr>
          <w:b/>
        </w:rPr>
        <w:t>CONCLUSION:</w:t>
      </w:r>
      <w:r>
        <w:rPr>
          <w:b/>
        </w:rPr>
        <w:t xml:space="preserve"> </w:t>
      </w:r>
      <w:r>
        <w:t xml:space="preserve">MINs constructed from multiple types of functional association can better represent the functional relationships of molecules in a given tissue. Such networks may be used to improve the analysis and interpretation of functional genomics data in the study of skeletal muscle and neuromuscular diseases. Networks and clusters described by this study, including the combinations of STRING with MyoMiner or with CoXPRESSdb, are available for download from </w:t>
      </w:r>
      <w:r w:rsidRPr="00187886">
        <w:t>https://www.sys-myo.com/myominer/</w:t>
      </w:r>
      <w:r>
        <w:t>download.php.</w:t>
      </w:r>
    </w:p>
    <w:p w14:paraId="7BED0A01" w14:textId="77777777" w:rsidR="002B3A3C" w:rsidRDefault="002B3A3C" w:rsidP="002B3A3C">
      <w:pPr>
        <w:spacing w:after="0"/>
        <w:jc w:val="both"/>
      </w:pPr>
    </w:p>
    <w:p w14:paraId="4FA5C857" w14:textId="77777777" w:rsidR="002B3A3C" w:rsidRDefault="002B3A3C" w:rsidP="002B3A3C">
      <w:pPr>
        <w:spacing w:after="0"/>
        <w:jc w:val="both"/>
      </w:pPr>
      <w:r w:rsidRPr="008530E2">
        <w:rPr>
          <w:b/>
          <w:bCs/>
        </w:rPr>
        <w:t xml:space="preserve">Key words: </w:t>
      </w:r>
      <w:r w:rsidRPr="008530E2">
        <w:t xml:space="preserve">skeletal muscle; </w:t>
      </w:r>
      <w:r>
        <w:t xml:space="preserve">neuromuscular disease; molecular interaction networks; network medicine; </w:t>
      </w:r>
      <w:r w:rsidRPr="008530E2">
        <w:t>functional genomics; protein-protein interactions; gene co-expression</w:t>
      </w:r>
    </w:p>
    <w:p w14:paraId="260394BD" w14:textId="77777777" w:rsidR="002B3A3C" w:rsidRPr="00081454" w:rsidRDefault="002B3A3C" w:rsidP="002B3A3C">
      <w:pPr>
        <w:spacing w:after="0"/>
        <w:jc w:val="both"/>
      </w:pPr>
    </w:p>
    <w:p w14:paraId="726DD60C" w14:textId="77777777" w:rsidR="002B3A3C" w:rsidRPr="00FE59EE" w:rsidRDefault="002B3A3C" w:rsidP="002B3A3C">
      <w:pPr>
        <w:spacing w:after="0"/>
        <w:jc w:val="both"/>
      </w:pPr>
    </w:p>
    <w:p w14:paraId="7AB97DD2" w14:textId="77777777" w:rsidR="002B3A3C" w:rsidRDefault="002B3A3C" w:rsidP="002B3A3C">
      <w:pPr>
        <w:pStyle w:val="Heading1"/>
        <w:jc w:val="both"/>
      </w:pPr>
      <w:r>
        <w:t>Introduction</w:t>
      </w:r>
    </w:p>
    <w:p w14:paraId="391CDE0C" w14:textId="77777777" w:rsidR="002B3A3C" w:rsidRDefault="002B3A3C" w:rsidP="002B3A3C">
      <w:pPr>
        <w:pStyle w:val="p"/>
        <w:spacing w:after="0" w:afterAutospacing="0" w:line="480" w:lineRule="auto"/>
        <w:jc w:val="both"/>
        <w:rPr>
          <w:rFonts w:asciiTheme="minorHAnsi" w:hAnsiTheme="minorHAnsi" w:cstheme="minorHAnsi"/>
          <w:sz w:val="22"/>
        </w:rPr>
      </w:pPr>
      <w:r w:rsidRPr="006A3A46">
        <w:rPr>
          <w:rFonts w:asciiTheme="minorHAnsi" w:hAnsiTheme="minorHAnsi" w:cstheme="minorHAnsi"/>
          <w:sz w:val="22"/>
        </w:rPr>
        <w:t xml:space="preserve">The </w:t>
      </w:r>
      <w:r>
        <w:rPr>
          <w:rFonts w:asciiTheme="minorHAnsi" w:hAnsiTheme="minorHAnsi" w:cstheme="minorHAnsi"/>
          <w:sz w:val="22"/>
        </w:rPr>
        <w:t xml:space="preserve">implementation of functional genomics approaches that use molecular interaction networks (MINs), sometimes called ‘network medicine’, </w:t>
      </w:r>
      <w:r w:rsidRPr="006A3A46">
        <w:rPr>
          <w:rFonts w:asciiTheme="minorHAnsi" w:hAnsiTheme="minorHAnsi" w:cstheme="minorHAnsi"/>
          <w:sz w:val="22"/>
        </w:rPr>
        <w:t xml:space="preserve">can </w:t>
      </w:r>
      <w:r>
        <w:rPr>
          <w:rFonts w:asciiTheme="minorHAnsi" w:hAnsiTheme="minorHAnsi" w:cstheme="minorHAnsi"/>
          <w:sz w:val="22"/>
        </w:rPr>
        <w:t xml:space="preserve">help to </w:t>
      </w:r>
      <w:r w:rsidRPr="006A3A46">
        <w:rPr>
          <w:rFonts w:asciiTheme="minorHAnsi" w:hAnsiTheme="minorHAnsi" w:cstheme="minorHAnsi"/>
          <w:sz w:val="22"/>
        </w:rPr>
        <w:t>define disease</w:t>
      </w:r>
      <w:r>
        <w:rPr>
          <w:rFonts w:asciiTheme="minorHAnsi" w:hAnsiTheme="minorHAnsi" w:cstheme="minorHAnsi"/>
          <w:sz w:val="22"/>
        </w:rPr>
        <w:t>-</w:t>
      </w:r>
      <w:r w:rsidRPr="006A3A46">
        <w:rPr>
          <w:rFonts w:asciiTheme="minorHAnsi" w:hAnsiTheme="minorHAnsi" w:cstheme="minorHAnsi"/>
          <w:sz w:val="22"/>
        </w:rPr>
        <w:t xml:space="preserve">associated genes and </w:t>
      </w:r>
      <w:r w:rsidRPr="002219D7">
        <w:rPr>
          <w:rFonts w:asciiTheme="minorHAnsi" w:hAnsiTheme="minorHAnsi" w:cstheme="minorHAnsi"/>
          <w:sz w:val="22"/>
          <w:szCs w:val="22"/>
        </w:rPr>
        <w:t xml:space="preserve">pathways, and could contribute to the discovery of novel or improved biomarkers and drug targets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{"citationItems":[{"id":"ITEM-1","itemData":{"DOI":"10.1038/nrg2918","ISSN":"1471-0064","PMID":"21164525","abstract":"Given the functional interdependencies between the molecular components in a human cell, a disease is rarely a consequence of an abnormality in a single gene, but reflects the perturbations of the complex intracellular and intercellular network that links tissue and organ systems. The emerging tools of network medicine offer a platform to explore systematically not only the molecular complexity of a particular disease, leading to the identification of disease modules and pathways, but also the molecular relationships among apparently distinct (patho)phenotypes. Advances in this direction are essential for identifying new disease genes, for uncovering the biological significance of disease-associated mutations identified by genome-wide association studies and full-genome sequencing, and for identifying drug targets and biomarkers for complex diseases.","author":[{"dropping-particle":"","family":"Barabási","given":"Albert-László","non-dropping-particle":"","parse-names":false,"suffix":""},{"dropping-particle":"","family":"Gulbahce","given":"Natali","non-dropping-particle":"","parse-names":false,"suffix":""},{"dropping-particle":"","family":"Loscalzo","given":"Joseph","non-dropping-particle":"","parse-names":false,"suffix":""}],"container-title":"Nature reviews. Genetics","id":"ITEM-1","issue":"1","issued":{"date-parts":[["2011","1"]]},"page":"56-68","title":"Network medicine: a network-based approach to human disease.","type":"article-journal","volume":"12"},"uris":["http://www.mendeley.com/documents/?uuid=73ea8100-8f1a-4ec5-bfe1-341ec8b47bca"]},{"id":"ITEM-2","itemData":{"DOI":"10.3390/genes9090437","ISSN":"2073-4425","PMID":"30200360","abstract":"Network medicine relies on different types of networks: from the molecular level of protein⁻protein interactions to gene regulatory network and correlation studies of gene expression. Among network approaches based on the analysis of the topological properties of protein⁻protein interaction (PPI) networks, we discuss the widespread DIAMOnD (disease module detection) algorithm. Starting from the assumption that PPI networks can be viewed as maps where diseases can be identified with localized perturbation within a specific neighborhood (i.e., disease modules), DIAMOnD performs a systematic analysis of the human PPI network to uncover new disease-associated genes by exploiting the connectivity significance instead of connection density. The past few years have witnessed the increasing interest in understanding the molecular mechanism of post-transcriptional regulation with a special emphasis on non-coding RNAs since they are emerging as key regulators of many cellular processes in both physiological and pathological states. Recent findings show that coding genes are not the only targets that microRNAs interact with. In fact, there is a pool of different RNAs-including long non-coding RNAs (lncRNAs) -competing with each other to attract microRNAs for interactions, thus acting as competing endogenous RNAs (ceRNAs). The framework of regulatory networks provides a powerful tool to gather new insights into ceRNA regulatory mechanisms. Here, we describe a data-driven model recently developed to explore the lncRNA-associated ceRNA activity in breast invasive carcinoma. On the other hand, a very promising example of the co-expression network is the one implemented by the software SWIM (switch miner), which combines topological properties of correlation networks with gene expression data in order to identify a small pool of genes-called switch genes-critically associated with drastic changes in cell phenotype. Here, we describe SWIM tool along with its applications to cancer research and compare its predictions with DIAMOnD disease genes.","author":[{"dropping-particle":"","family":"Fiscon","given":"Giulia","non-dropping-particle":"","parse-names":false,"suffix":""},{"dropping-particle":"","family":"Conte","given":"Federica","non-dropping-particle":"","parse-names":false,"suffix":""},{"dropping-particle":"","family":"Farina","given":"Lorenzo","non-dropping-particle":"","parse-names":false,"suffix":""},{"dropping-particle":"","family":"Paci","given":"Paola","non-dropping-particle":"","parse-names":false,"suffix":""}],"container-title":"Genes","id":"ITEM-2","issue":"9","issued":{"date-parts":[["2018","8"]]},"title":"Network-Based Approaches to Explore Complex Biological Systems towards Network Medicine.","type":"article-journal","volume":"9"},"uris":["http://www.mendeley.com/documents/?uuid=14f5639c-f892-4a82-b529-f340301aef7a","http://www.mendeley.com/documents/?uuid=8dfa5171-cfef-4ce7-bbda-9350f97e74d5"]},{"id":"ITEM-3","itemData":{"DOI":"10.1016/j.copbio.2010.07.010","ISSN":"1879-0429","PMID":"20709523","abstract":"The tremendous amount of the data obtained from the study of complex biological systems changes our view on the pathogenesis of human diseases. Instead of looking at individual components of biological processes, we focus our attention more on the interaction and dynamics of biological systems. A network representation and analysis of the physiology and pathophysiology of biological systems is an effective way to study their complex behavior. Specific perturbations can trigger cascades of failures, which lead to the malfunctioning of cellular networks and as a result to the development of specific diseases. In this review we discuss recent developments in the field of disease network analysis and highlight some of the topics and views that we think are important for understanding network-based disease mechanisms.","author":[{"dropping-particle":"","family":"Sol","given":"Antonio","non-dropping-particle":"del","parse-names":false,"suffix":""},{"dropping-particle":"","family":"Balling","given":"Rudi","non-dropping-particle":"","parse-names":false,"suffix":""},{"dropping-particle":"","family":"Hood","given":"Lee","non-dropping-particle":"","parse-names":false,"suffix":""},{"dropping-particle":"","family":"Galas","given":"David","non-dropping-particle":"","parse-names":false,"suffix":""}],"container-title":"Current opinion in biotechnology","id":"ITEM-3","issue":"4","issued":{"date-parts":[["2010","8"]]},"page":"566-71","title":"Diseases as network perturbations.","type":"article-journal","volume":"21"},"uris":["http://www.mendeley.com/documents/?uuid=88ea95d2-4097-458f-b9ab-da98b6c2bc46","http://www.mendeley.com/documents/?uuid=97758e96-90dd-43d6-8d7b-1d8eb524ee0b"]},{"id":"ITEM-4","itemData":{"DOI":"10.1093/bioinformatics/btp465","ISSN":"1367-4811","PMID":"19648136","abstract":"Systems pharmacology is an emerging area of pharmacology which utilizes network analysis of drug action as one of its approaches. By considering drug actions and side effects in the context of the regulatory networks within which the drug targets and disease gene products function, network analysis promises to greatly increase our knowledge of the mechanisms underlying the multiple actions of drugs. Systems pharmacology can provide new approaches for drug discovery for complex diseases. The integrated approach used in systems pharmacology can allow for drug action to be considered in the context of the whole genome. Network-based studies are becoming an increasingly important tool in understanding the relationships between drug action and disease susceptibility genes. This review discusses how analysis of biological networks has contributed to the genesis of systems pharmacology and how these studies have improved global understanding of drug targets, suggested new targets and approaches for therapeutics, and provided a deeper understanding of the effects of drugs. Taken together, these types of analyses can lead to new therapeutic options while improving the safety and efficacy of existing medications.","author":[{"dropping-particle":"","family":"Berger","given":"Seth I","non-dropping-particle":"","parse-names":false,"suffix":""},{"dropping-particle":"","family":"Iyengar","given":"Ravi","non-dropping-particle":"","parse-names":false,"suffix":""}],"container-title":"Bioinformatics (Oxford, England)","id":"ITEM-4","issue":"19","issued":{"date-parts":[["2009","10"]]},"page":"2466-72","title":"Network analyses in systems pharmacology.","type":"article-journal","volume":"25"},"uris":["http://www.mendeley.com/documents/?uuid=70fea494-408e-4d07-9cc2-5d0c78ac8cdd","http://www.mendeley.com/documents/?uuid=bcf70e8a-6f22-4e99-8e90-462762d04213"]},{"id":"ITEM-5","itemData":{"DOI":"10.3390/jpm8040044","ISSN":"2075-4426","abstract":"Multiple genes and mechanisms of pathophysiology have been implicated in amyotrophic lateral sclerosis (ALS), suggesting it is a complex systemic disease. With this in mind, applying personalized medicine (PM) approaches to tailor treatment pipelines for ALS patients may be necessary. The modelling and analysis of molecular interaction networks could represent valuable resources in defining ALS-associated pathways and discovering novel therapeutic targets. Here we review existing omics datasets and analytical approaches, in order to consider how molecular interaction networks could improve our understanding of the molecular pathophysiology of this fatal neuromuscular disorder.","author":[{"dropping-particle":"","family":"Morgan","given":"Stephen","non-dropping-particle":"","parse-names":false,"suffix":""},{"dropping-particle":"","family":"Duguez","given":"Stephanie","non-dropping-particle":"","parse-names":false,"suffix":""},{"dropping-particle":"","family":"Duddy","given":"William","non-dropping-particle":"","parse-names":false,"suffix":""}],"container-title":"Journal of Personalized Medicine","id":"ITEM-5","issue":"4","issued":{"date-parts":[["2018","12","13"]]},"page":"44","title":"Personalized Medicine and Molecular Interaction Networks in Amyotrophic Lateral Sclerosis (ALS): Current Knowledge","type":"article-journal","volume":"8"},"uris":["http://www.mendeley.com/documents/?uuid=bde01f2e-d114-4a30-ae34-8df99bc295e3"]},{"id":"ITEM-6","itemData":{"DOI":"10.3390/jpm10040247","ISSN":"2075-4426","abstract":"Amyotrophic Lateral Sclerosis (ALS) is the most common late-onset motor neuron disorder, but our current knowledge of the molecular mechanisms and pathways underlying this disease remain elusive. This review (1) systematically identifies machine learning studies aimed at the understanding of the genetic architecture of ALS, (2) outlines the main challenges faced and compares the different approaches that have been used to confront them, and (3) compares the experimental designs and results produced by those approaches and describes their reproducibility in terms of biological results and the performances of the machine learning models. The majority of the collected studies incorporated prior knowledge of ALS into their feature selection approaches, and trained their machine learning models using genomic data combined with other types of mined knowledge including functional associations, protein-protein interactions, disease/tissue-specific information, epigenetic data, and known ALS phenotype-genotype associations. The importance of incorporating gene-gene interactions and cis-regulatory elements into the experimental design of future ALS machine learning studies is highlighted. Lastly, it is suggested that future advances in the genomic and machine learning fields will bring about a better understanding of ALS genetic architecture, and enable improved personalized approaches to this and other devastating and complex diseases.","author":[{"dropping-particle":"","family":"Vasilopoulou","given":"Christina","non-dropping-particle":"","parse-names":false,"suffix":""},{"dropping-particle":"","family":"Morris","given":"Andrew P.","non-dropping-particle":"","parse-names":false,"suffix":""},{"dropping-particle":"","family":"Giannakopoulos","given":"George","non-dropping-particle":"","parse-names":false,"suffix":""},{"dropping-particle":"","family":"Duguez","given":"Stephanie","non-dropping-particle":"","parse-names":false,"suffix":""},{"dropping-particle":"","family":"Duddy","given":"William","non-dropping-particle":"","parse-names":false,"suffix":""}],"container-title":"Journal of Personalized Medicine","id":"ITEM-6","issue":"4","issued":{"date-parts":[["2020","11","26"]]},"page":"247","title":"What Can Machine Learning Approaches in Genomics Tell Us about the Molecular Basis of Amyotrophic Lateral Sclerosis?","type":"article-journal","volume":"10"},"uris":["http://www.mendeley.com/documents/?uuid=54fd68b9-0b02-4042-936a-58b47e74baab"]}],"mendeley":{"formattedCitation":"(1–6)","plainTextFormattedCitation":"(1–6)","previouslyFormattedCitation":"(1–6)"},"properties":{"noteIndex":0},"schema":"https://github.com/citation-style-language/schema/raw/master/csl-citation.json"}</w:instrText>
      </w:r>
      <w:r>
        <w:rPr>
          <w:rFonts w:asciiTheme="minorHAnsi" w:hAnsiTheme="minorHAnsi" w:cstheme="minorHAnsi"/>
          <w:sz w:val="22"/>
          <w:szCs w:val="22"/>
        </w:rPr>
        <w:fldChar w:fldCharType="separate"/>
      </w:r>
      <w:r w:rsidRPr="00620042">
        <w:rPr>
          <w:rFonts w:asciiTheme="minorHAnsi" w:hAnsiTheme="minorHAnsi" w:cstheme="minorHAnsi"/>
          <w:noProof/>
          <w:sz w:val="22"/>
          <w:szCs w:val="22"/>
        </w:rPr>
        <w:t>(1–6)</w:t>
      </w:r>
      <w:r>
        <w:rPr>
          <w:rFonts w:asciiTheme="minorHAnsi" w:hAnsiTheme="minorHAnsi" w:cstheme="minorHAnsi"/>
          <w:sz w:val="22"/>
          <w:szCs w:val="22"/>
        </w:rPr>
        <w:fldChar w:fldCharType="end"/>
      </w:r>
      <w:r w:rsidRPr="002219D7">
        <w:rPr>
          <w:rFonts w:asciiTheme="minorHAnsi" w:hAnsiTheme="minorHAnsi" w:cstheme="minorHAnsi"/>
          <w:sz w:val="22"/>
          <w:szCs w:val="22"/>
        </w:rPr>
        <w:t>. MINs</w:t>
      </w:r>
      <w:r>
        <w:rPr>
          <w:rFonts w:asciiTheme="minorHAnsi" w:hAnsiTheme="minorHAnsi" w:cstheme="minorHAnsi"/>
          <w:sz w:val="22"/>
        </w:rPr>
        <w:t xml:space="preserve"> are comprised of known functional associations between molecules, and it can be useful to distinguish between direct physical binding between proteins (protein-protein interactions; PPIs) or other molecules (e.g. transcription factors, RNA interactions) and other types of functional relationship such as: co-expression of genes across samples and/or conditions; genetic interactions; observed physical colocalization within the cell or tissue; participation to the same pathway or pathways; and assumed functional similarity based on shared sequence or folding of protein domains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{"citationItems":[{"id":"ITEM-1","itemData":{"DOI":"10.1371/journal.pcbi.1002820","ISSN":"1553-7358","PMID":"23300411","abstract":"Complex diseases are caused by a combination of genetic and environmental factors. Uncovering the molecular pathways through which genetic factors affect a phenotype is always difficult, but in the case of complex diseases this is further complicated since genetic factors in affected individuals might be different. In recent years, systems biology approaches and, more specifically, network based approaches emerged as powerful tools for studying complex diseases. These approaches are often built on the knowledge of physical or functional interactions between molecules which are usually represented as an interaction network. An interaction network not only reports the binary relationships between individual nodes but also encodes hidden higher level organization of cellular communication. Computational biologists were challenged with the task of uncovering this organization and utilizing it for the understanding of disease complexity, which prompted rich and diverse algorithmic approaches to be proposed. We start this chapter with a description of the general characteristics of complex diseases followed by a brief introduction to physical and functional networks. Next we will show how these networks are used to leverage genotype, gene expression, and other types of data to identify dysregulated pathways, infer the relationships between genotype and phenotype, and explain disease heterogeneity. We group the methods by common underlying principles and first provide a high level description of the principles followed by more specific examples. We hope that this chapter will give readers an appreciation for the wealth of algorithmic techniques that have been developed for the purpose of studying complex diseases as well as insight into their strengths and limitations.","author":[{"dropping-particle":"","family":"Cho","given":"Dong-Yeon","non-dropping-particle":"","parse-names":false,"suffix":""},{"dropping-particle":"","family":"Kim","given":"Yoo-Ah","non-dropping-particle":"","parse-names":false,"suffix":""},{"dropping-particle":"","family":"Przytycka","given":"Teresa M","non-dropping-particle":"","parse-names":false,"suffix":""}],"container-title":"PLoS computational biology","id":"ITEM-1","issue":"12","issued":{"date-parts":[["2012"]]},"page":"e1002820","title":"Chapter 5: Network biology approach to complex diseases.","type":"article-journal","volume":"8"},"uris":["http://www.mendeley.com/documents/?uuid=9ab4c13d-eda9-4678-ae2e-3cad07008ad3"]},{"id":"ITEM-2","itemData":{"DOI":"10.1093/bib/bbz064","ISSN":"1477-4054","abstract":"The vast amount of experimental data from recent advances in the field of high-throughput biology begs for integration into more complex data structures such as genome-wide functional association networks. Such networks have been used for elucidation of the interplay of intra-cellular molecules to make advances ranging from the basic science understanding of evolutionary processes to the more translational field of precision medicine. The allure of the field has resulted in rapid growth of the number of available network resources, each with unique attributes exploitable to answer different biological questions. Unfortunately, the high volume of network resources makes it impossible for the intended user to select an appropriate tool for their particular research question. The aim of this paper is to provide an overview of the underlying data and representative network resources as well as to mention methods of integration, allowing a customized approach to resource selection. Additionally, this report will provide a primer for researchers venturing into the field of network integration.","author":[{"dropping-particle":"","family":"Guala","given":"Dimitri","non-dropping-particle":"","parse-names":false,"suffix":""},{"dropping-particle":"","family":"Ogris","given":"Christoph","non-dropping-particle":"","parse-names":false,"suffix":""},{"dropping-particle":"","family":"Müller","given":"Nikola","non-dropping-particle":"","parse-names":false,"suffix":""},{"dropping-particle":"","family":"Sonnhammer","given":"Erik L L","non-dropping-particle":"","parse-names":false,"suffix":""}],"container-title":"Briefings in Bioinformatics","id":"ITEM-2","issue":"4","issued":{"date-parts":[["2020","7","15"]]},"page":"1224-1237","title":"Genome-wide functional association networks: background, data &amp;amp; state-of-the-art resources","type":"article-journal","volume":"21"},"uris":["http://www.mendeley.com/documents/?uuid=ec280c81-d754-4eec-975e-df79cf3fd598"]}],"mendeley":{"formattedCitation":"(7,8)","plainTextFormattedCitation":"(7,8)","previouslyFormattedCitation":"(7,8)"},"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(7,8)</w:t>
      </w:r>
      <w:r>
        <w:rPr>
          <w:rFonts w:asciiTheme="minorHAnsi" w:hAnsiTheme="minorHAnsi" w:cstheme="minorHAnsi"/>
          <w:sz w:val="22"/>
        </w:rPr>
        <w:fldChar w:fldCharType="end"/>
      </w:r>
      <w:r>
        <w:rPr>
          <w:rFonts w:asciiTheme="minorHAnsi" w:hAnsiTheme="minorHAnsi" w:cstheme="minorHAnsi"/>
          <w:sz w:val="22"/>
        </w:rPr>
        <w:t>.</w:t>
      </w:r>
    </w:p>
    <w:p w14:paraId="237F3679" w14:textId="77777777" w:rsidR="002B3A3C" w:rsidRPr="006A3A46" w:rsidRDefault="002B3A3C" w:rsidP="002B3A3C">
      <w:pPr>
        <w:pStyle w:val="p"/>
        <w:spacing w:after="0" w:afterAutospacing="0" w:line="480" w:lineRule="auto"/>
        <w:jc w:val="both"/>
        <w:rPr>
          <w:rFonts w:asciiTheme="minorHAnsi" w:hAnsiTheme="minorHAnsi" w:cstheme="minorHAnsi"/>
          <w:sz w:val="22"/>
        </w:rPr>
      </w:pPr>
      <w:r>
        <w:rPr>
          <w:rFonts w:asciiTheme="minorHAnsi" w:hAnsiTheme="minorHAnsi" w:cstheme="minorHAnsi"/>
          <w:sz w:val="22"/>
        </w:rPr>
        <w:t xml:space="preserve">Physical interaction networks represent the physical contacts between proteins. With much of the critical machinery for biological processes consisting of stable protein complexes, it has been suggested that studying the structure of protein networks can identify key contributors to disease mechanisms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{"citationItems":[{"id":"ITEM-1","itemData":{"DOI":"10.1002/pmic.201100594","ISSN":"1615-9861","PMID":"22593007","abstract":"The physical interaction of proteins is subject to intense investigation that has revealed that proteins are assembled into large densely connected networks. In this review, we will examine how signaling pathways can be combined to form higher order protein interaction networks. By using network graph theory, these interaction networks can be further analyzed for global organization, which has revealed unique aspects of the relationships between protein networks and complex biological phenotypes. Moreover, several studies have shown that the structure and dynamics of protein networks are disturbed in complex diseases such as cancer progression. These relationships suggest a novel paradigm for treatment of complex multigenic disease where the protein interaction network is the target of therapy more so than individual molecules within the network.","author":[{"dropping-particle":"","family":"Taylor","given":"Ian W","non-dropping-particle":"","parse-names":false,"suffix":""},{"dropping-particle":"","family":"Wrana","given":"Jeffrey L","non-dropping-particle":"","parse-names":false,"suffix":""}],"container-title":"Proteomics","id":"ITEM-1","issue":"10","issued":{"date-parts":[["2012","5"]]},"page":"1706-16","title":"Protein interaction networks in medicine and disease.","type":"article-journal","volume":"12"},"uris":["http://www.mendeley.com/documents/?uuid=83d2151d-3e82-4cdc-aad1-b0d1b65de588","http://www.mendeley.com/documents/?uuid=aa9edf8e-0000-4937-851c-3e363001e11e"]}],"mendeley":{"formattedCitation":"(9)","plainTextFormattedCitation":"(9)","previouslyFormattedCitation":"(9)"},"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(9)</w:t>
      </w:r>
      <w:r>
        <w:rPr>
          <w:rFonts w:asciiTheme="minorHAnsi" w:hAnsiTheme="minorHAnsi" w:cstheme="minorHAnsi"/>
          <w:sz w:val="22"/>
        </w:rPr>
        <w:fldChar w:fldCharType="end"/>
      </w:r>
      <w:r>
        <w:rPr>
          <w:rFonts w:asciiTheme="minorHAnsi" w:hAnsiTheme="minorHAnsi" w:cstheme="minorHAnsi"/>
          <w:sz w:val="22"/>
        </w:rPr>
        <w:t xml:space="preserve">. Physical interaction databases avail of the development of many high throughput methods for the study of experimentally proven PPIs, such as yeast two-hybrid (Y2H) and tandem affinity purification coupled to mass spectrometry (TAP-MS), bolstered with computational predictions from evidence such as phylogenetic profiling methods, to define systems-wide interactions in species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{"citationItems":[{"id":"ITEM-1","itemData":{"DOI":"10.1371/journal.pcbi.0030043","ISSN":"1553-7358","PMID":"17465672","abstract":"Recent advances in high-throughput experimental methods for the identification of protein interactions have resulted in a large amount of diverse data that are somewhat incomplete and contradictory. As valuable as they are, such experimental approaches studying protein interactomes have certain limitations that can be complemented by the computational methods for predicting protein interactions. In this review we describe different approaches to predict protein interaction partners as well as highlight recent achievements in the prediction of specific domains mediating protein-protein interactions. We discuss the applicability of computational methods to different types of prediction problems and point out limitations common to all of them.","author":[{"dropping-particle":"","family":"Shoemaker","given":"Benjamin A","non-dropping-particle":"","parse-names":false,"suffix":""},{"dropping-particle":"","family":"Panchenko","given":"Anna R","non-dropping-particle":"","parse-names":false,"suffix":""}],"container-title":"PLoS computational biology","id":"ITEM-1","issue":"4","issued":{"date-parts":[["2007","4"]]},"page":"e43","title":"Deciphering protein-protein interactions. Part II. Computational methods to predict protein and domain interaction partners.","type":"article-journal","volume":"3"},"uris":["http://www.mendeley.com/documents/?uuid=b02357c9-4b29-4fda-9d24-7cbc5136e54b","http://www.mendeley.com/documents/?uuid=6fc91652-56d7-4bdb-b1dc-f219aef89ae6"]},{"id":"ITEM-2","itemData":{"DOI":"10.1002/pmic.200700131","ISSN":"1615-9853","PMID":"17640003","abstract":"A large number of methods have been developed over the years to study protein-protein interactions. Many of these techniques are now available to the nonspecialist researcher thanks to new affordable instruments and/or resource centres. A typical protein-protein interaction study usually starts with an initial screen for novel binding partners. We start this review by describing three techniques that can be used for this purpose: (i) affinity-tagged proteins (ii) the two-hybrid system and (iii) some quantitative proteomic techniques that can be used in combination with, e.g., affinity chromatography and coimmunoprecipitation for screening of protein-protein interactions. We then describe some public protein-protein interaction databases that can be searched to identify previously reported interactions for a given bait protein. Four strategies for validation of protein-protein interactions are presented: confocal microscopy for intracellular colocalization of proteins, coimmunoprecipitation, surface plasmon resonance (SPR) and spectroscopic studies. Throughout the review we focus particularly on the advantages and limitations of each method.","author":[{"dropping-particle":"","family":"Berggård","given":"Tord","non-dropping-particle":"","parse-names":false,"suffix":""},{"dropping-particle":"","family":"Linse","given":"Sara","non-dropping-particle":"","parse-names":false,"suffix":""},{"dropping-particle":"","family":"James","given":"Peter","non-dropping-particle":"","parse-names":false,"suffix":""}],"container-title":"Proteomics","id":"ITEM-2","issue":"16","issued":{"date-parts":[["2007","8"]]},"page":"2833-42","title":"Methods for the detection and analysis of protein-protein interactions.","type":"article-journal","volume":"7"},"uris":["http://www.mendeley.com/documents/?uuid=9178ee5a-4873-4c61-ae7f-f26898588e5a","http://www.mendeley.com/documents/?uuid=9c5021f0-e165-41e1-9d46-65bc009dcc73"]}],"mendeley":{"formattedCitation":"(10,11)","plainTextFormattedCitation":"(10,11)","previouslyFormattedCitation":"(10,11)"},"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(10,11)</w:t>
      </w:r>
      <w:r>
        <w:rPr>
          <w:rFonts w:asciiTheme="minorHAnsi" w:hAnsiTheme="minorHAnsi" w:cstheme="minorHAnsi"/>
          <w:sz w:val="22"/>
        </w:rPr>
        <w:fldChar w:fldCharType="end"/>
      </w:r>
      <w:r>
        <w:rPr>
          <w:rFonts w:asciiTheme="minorHAnsi" w:hAnsiTheme="minorHAnsi" w:cstheme="minorHAnsi"/>
          <w:sz w:val="22"/>
        </w:rPr>
        <w:t xml:space="preserve">. Studies have shown the utility of identifying proteins in PPI networks that interact with known disease gene products. Proteins encoded by genes known to be involved in a disease tend to have a higher likelihood of PPIs with genes associated with similar disorders, indicating the presence of shared disease subnetworks among similar disease phenotypes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{"citationItems":[{"id":"ITEM-1","itemData":{"DOI":"10.1038/ng1747","ISSN":"1061-4036","PMID":"16501559","abstract":"We present the first analysis of the human proteome with regard to interactions between proteins. We also compare the human interactome with the available interaction datasets from yeast (Saccharomyces cerevisiae), worm (Caenorhabditis elegans) and fly (Drosophila melanogaster). Of &gt;70,000 binary interactions, only 42 were common to human, worm and fly, and only 16 were common to all four datasets. An additional 36 interactions were common to fly and worm but were not observed in humans, although a coimmunoprecipitation assay showed that 9 of the interactions do occur in humans. A re-examination of the connectivity of essential genes in yeast and humans indicated that the available data do not support the presumption that the number of interaction partners can accurately predict whether a gene is essential. Finally, we found that proteins encoded by genes mutated in inherited genetic disorders are likely to interact with proteins known to cause similar disorders, suggesting the existence of disease subnetworks. The human interaction map constructed from our analysis should facilitate an integrative systems biology approach to elucidating the cellular networks that contribute to health and disease states.","author":[{"dropping-particle":"","family":"Gandhi","given":"T K B","non-dropping-particle":"","parse-names":false,"suffix":""},{"dropping-particle":"","family":"Zhong","given":"Jun","non-dropping-particle":"","parse-names":false,"suffix":""},{"dropping-particle":"","family":"Mathivanan","given":"Suresh","non-dropping-particle":"","parse-names":false,"suffix":""},{"dropping-particle":"","family":"Karthick","given":"L","non-dropping-particle":"","parse-names":false,"suffix":""},{"dropping-particle":"","family":"Chandrika","given":"K N","non-dropping-particle":"","parse-names":false,"suffix":""},{"dropping-particle":"","family":"Mohan","given":"S Sujatha","non-dropping-particle":"","parse-names":false,"suffix":""},{"dropping-particle":"","family":"Sharma","given":"Salil","non-dropping-particle":"","parse-names":false,"suffix":""},{"dropping-particle":"","family":"Pinkert","given":"Stefan","non-dropping-particle":"","parse-names":false,"suffix":""},{"dropping-particle":"","family":"Nagaraju","given":"Shilpa","non-dropping-particle":"","parse-names":false,"suffix":""},{"dropping-particle":"","family":"Periaswamy","given":"Balamurugan","non-dropping-particle":"","parse-names":false,"suffix":""},{"dropping-particle":"","family":"Mishra","given":"Goparani","non-dropping-particle":"","parse-names":false,"suffix":""},{"dropping-particle":"","family":"Nandakumar","given":"Kannabiran","non-dropping-particle":"","parse-names":false,"suffix":""},{"dropping-particle":"","family":"Shen","given":"Beiyi","non-dropping-particle":"","parse-names":false,"suffix":""},{"dropping-particle":"","family":"Deshpande","given":"Nandan","non-dropping-particle":"","parse-names":false,"suffix":""},{"dropping-particle":"","family":"Nayak","given":"Rashmi","non-dropping-particle":"","parse-names":false,"suffix":""},{"dropping-particle":"","family":"Sarker","given":"Malabika","non-dropping-particle":"","parse-names":false,"suffix":""},{"dropping-particle":"","family":"Boeke","given":"Jef D","non-dropping-particle":"","parse-names":false,"suffix":""},{"dropping-particle":"","family":"Parmigiani","given":"Giovanni","non-dropping-particle":"","parse-names":false,"suffix":""},{"dropping-particle":"","family":"Schultz","given":"Jörg","non-dropping-particle":"","parse-names":false,"suffix":""},{"dropping-particle":"","family":"Bader","given":"Joel S","non-dropping-particle":"","parse-names":false,"suffix":""},{"dropping-particle":"","family":"Pandey","given":"Akhilesh","non-dropping-particle":"","parse-names":false,"suffix":""}],"container-title":"Nature genetics","id":"ITEM-1","issue":"3","issued":{"date-parts":[["2006","3"]]},"page":"285-93","title":"Analysis of the human protein interactome and comparison with yeast, worm and fly interaction datasets.","type":"article-journal","volume":"38"},"uris":["http://www.mendeley.com/documents/?uuid=097b0d91-145c-4282-a554-20663fe96720","http://www.mendeley.com/documents/?uuid=3d7662ba-f60f-4b66-b4ff-ee9c22d20e53"]},{"id":"ITEM-2","itemData":{"DOI":"10.1073/pnas.0701361104","ISSN":"0027-8424","PMID":"17502601","abstract":"A network of disorders and disease genes linked by known disorder-gene associations offers a platform to explore in a single graph-theoretic framework all known phenotype and disease gene associations, indicating the common genetic origin of many diseases. Genes associated with similar disorders show both higher likelihood of physical interactions between their products and higher expression profiling similarity for their transcripts, supporting the existence of distinct disease-specific functional modules. We find that essential human genes are likely to encode hub proteins and are expressed widely in most tissues. This suggests that disease genes also would play a central role in the human interactome. In contrast, we find that the vast majority of disease genes are nonessential and show no tendency to encode hub proteins, and their expression pattern indicates that they are localized in the functional periphery of the network. A selection-based model explains the observed difference between essential and disease genes and also suggests that diseases caused by somatic mutations should not be peripheral, a prediction we confirm for cancer genes.","author":[{"dropping-particle":"","family":"Goh","given":"Kwang-Il","non-dropping-particle":"","parse-names":false,"suffix":""},{"dropping-particle":"","family":"Cusick","given":"Michael E","non-dropping-particle":"","parse-names":false,"suffix":""},{"dropping-particle":"","family":"Valle","given":"David","non-dropping-particle":"","parse-names":false,"suffix":""},{"dropping-particle":"","family":"Childs","given":"Barton","non-dropping-particle":"","parse-names":false,"suffix":""},{"dropping-particle":"","family":"Vidal","given":"Marc","non-dropping-particle":"","parse-names":false,"suffix":""},{"dropping-particle":"","family":"Barabási","given":"Albert-László","non-dropping-particle":"","parse-names":false,"suffix":""}],"container-title":"Proceedings of the National Academy of Sciences of the United States of America","id":"ITEM-2","issue":"21","issued":{"date-parts":[["2007","5","22"]]},"page":"8685-90","title":"The human disease network.","type":"article-journal","volume":"104"},"uris":["http://www.mendeley.com/documents/?uuid=aa0b27a4-82ed-4432-94c7-075a95a920fb"]},{"id":"ITEM-3","itemData":{"DOI":"10.1136/jmg.2006.041376","ISSN":"1468-6244","PMID":"16611749","abstract":"BACKGROUND The responsible genes have not yet been identified for many genetically mapped disease loci. Physically interacting proteins tend to be involved in the same cellular process, and mutations in their genes may lead to similar disease phenotypes. OBJECTIVE To investigate whether protein-protein interactions can predict genes for genetically heterogeneous diseases. METHODS 72,940 protein-protein interactions between 10,894 human proteins were used to search 432 loci for candidate disease genes representing 383 genetically heterogeneous hereditary diseases. For each disease, the protein interaction partners of its known causative genes were compared with the disease associated loci lacking identified causative genes. Interaction partners located within such loci were considered candidate disease gene predictions. Prediction accuracy was tested using a benchmark set of known disease genes. RESULTS Almost 300 candidate disease gene predictions were made. Some of these have since been confirmed. On average, 10% or more are expected to be genuine disease genes, representing a 10-fold enrichment compared with positional information only. Examples of interesting candidates are AKAP6 for arrythmogenic right ventricular dysplasia 3 and SYN3 for familial partial epilepsy with variable foci. CONCLUSIONS Exploiting protein-protein interactions can greatly increase the likelihood of finding positional candidate disease genes. When applied on a large scale they can lead to novel candidate gene predictions.","author":[{"dropping-particle":"","family":"Oti","given":"M","non-dropping-particle":"","parse-names":false,"suffix":""},{"dropping-particle":"","family":"Snel","given":"B","non-dropping-particle":"","parse-names":false,"suffix":""},{"dropping-particle":"","family":"Huynen","given":"M A","non-dropping-particle":"","parse-names":false,"suffix":""},{"dropping-particle":"","family":"Brunner","given":"H G","non-dropping-particle":"","parse-names":false,"suffix":""}],"container-title":"Journal of medical genetics","id":"ITEM-3","issue":"8","issued":{"date-parts":[["2006","8"]]},"page":"691-8","title":"Predicting disease genes using protein-protein interactions.","type":"article-journal","volume":"43"},"uris":["http://www.mendeley.com/documents/?uuid=74181c55-0bca-4eec-9e31-1ccb89be3a74"]},{"id":"ITEM-4","itemData":{"DOI":"10.1093/bioinformatics/btl467","ISSN":"1367-4811","PMID":"16954137","abstract":"MOTIVATION Mining the hereditary disease-genes from human genome is one of the most important tasks in bioinformatics research. A variety of sequence features and functional similarities between known human hereditary disease-genes and those not known to be involved in disease have been systematically examined and efficient classifiers have been constructed based on the identified common patterns. The availability of human genome-wide protein-protein interactions (PPIs) provides us with new opportunity for discovering hereditary disease-genes by topological features in PPIs network. RESULTS This analysis reveals that the hereditary disease-genes ascertained from OMIM in the literature-curated (LC) PPIs network are characterized by a larger degree, tendency to interact with other disease-genes, more common neighbors and quick communication to each other whereas those properties could not be detected from the network identified from high-throughput yeast two-hybrid mapping approach (EXP) and predicted interactions (PDT) PPIs network. KNN classifier based on those features was created and on average gained overall prediction accuracy of 0.76 in cross-validation test. Then the classifier was applied to 5262 genes on human genome and predicted 178 novel disease-genes. Some of the predictions have been validated by biological experiments.","author":[{"dropping-particle":"","family":"Xu","given":"Jianzhen","non-dropping-particle":"","parse-names":false,"suffix":""},{"dropping-particle":"","family":"Li","given":"Yongjin","non-dropping-particle":"","parse-names":false,"suffix":""}],"container-title":"Bioinformatics (Oxford, England)","id":"ITEM-4","issue":"22","issued":{"date-parts":[["2006","11"]]},"page":"2800-5","title":"Discovering disease-genes by topological features in human protein-protein interaction network.","type":"article-journal","volume":"22"},"uris":["http://www.mendeley.com/documents/?uuid=1a725d66-50aa-4222-87ff-c2187713047a","http://www.mendeley.com/documents/?uuid=8103463f-af9e-4e0c-91cd-eb1dfbab7b84"]}],"mendeley":{"formattedCitation":"(12–15)","plainTextFormattedCitation":"(12–15)","previouslyFormattedCitation":"(12–15)"},"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(12–15)</w:t>
      </w:r>
      <w:r>
        <w:rPr>
          <w:rFonts w:asciiTheme="minorHAnsi" w:hAnsiTheme="minorHAnsi" w:cstheme="minorHAnsi"/>
          <w:sz w:val="22"/>
        </w:rPr>
        <w:fldChar w:fldCharType="end"/>
      </w:r>
      <w:r>
        <w:rPr>
          <w:rFonts w:asciiTheme="minorHAnsi" w:hAnsiTheme="minorHAnsi" w:cstheme="minorHAnsi"/>
          <w:sz w:val="22"/>
        </w:rPr>
        <w:t xml:space="preserve">. Driver nodes for cancer survivability-essential proteins could be defined via PPI networks, and this allowed for screening of FDA-approved cancer therapies to target the highlighted driver nodes, including cancer therapies not normally applied in the cancers under investigation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{"citationItems":[{"id":"ITEM-1","itemData":{"DOI":"10.1038/s41598-017-10491-y","ISSN":"2045-2322","PMID":"28871116","abstract":"Control theory is a well-established approach in network science, with applications in bio-medicine and cancer research. We build on recent results for structural controllability of directed networks, which identifies a set of driver nodes able to control an a-priori defined part of the network. We develop a novel and efficient approach for the (targeted) structural controllability of cancer networks and demonstrate it for the analysis of breast, pancreatic, and ovarian cancer. We build in each case a protein-protein interaction network and focus on the survivability-essential proteins specific to each cancer type. We show that these essential proteins are efficiently controllable from a relatively small computable set of driver nodes. Moreover, we adjust the method to find the driver nodes among FDA-approved drug-target nodes. We find that, while many of the drugs acting on the driver nodes are part of known cancer therapies, some of them are not used for the cancer types analyzed here; some drug-target driver nodes identified by our algorithms are not known to be used in any cancer therapy. Overall we show that a better understanding of the control dynamics of cancer through computational modelling can pave the way for new efficient therapeutic approaches and personalized medicine.","author":[{"dropping-particle":"","family":"Kanhaiya","given":"Krishna","non-dropping-particle":"","parse-names":false,"suffix":""},{"dropping-particle":"","family":"Czeizler","given":"Eugen","non-dropping-particle":"","parse-names":false,"suffix":""},{"dropping-particle":"","family":"Gratie","given":"Cristian","non-dropping-particle":"","parse-names":false,"suffix":""},{"dropping-particle":"","family":"Petre","given":"Ion","non-dropping-particle":"","parse-names":false,"suffix":""}],"container-title":"Scientific reports","id":"ITEM-1","issue":"1","issued":{"date-parts":[["2017"]]},"page":"10327","title":"Controlling Directed Protein Interaction Networks in Cancer.","type":"article-journal","volume":"7"},"uris":["http://www.mendeley.com/documents/?uuid=00810d3a-09fb-4901-9bcd-b4f476334434","http://www.mendeley.com/documents/?uuid=19ecdcf3-02e2-4445-8f1a-3b7c8304d80d"]}],"mendeley":{"formattedCitation":"(16)","plainTextFormattedCitation":"(16)","previouslyFormattedCitation":"(16)"},"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(16)</w:t>
      </w:r>
      <w:r>
        <w:rPr>
          <w:rFonts w:asciiTheme="minorHAnsi" w:hAnsiTheme="minorHAnsi" w:cstheme="minorHAnsi"/>
          <w:sz w:val="22"/>
        </w:rPr>
        <w:fldChar w:fldCharType="end"/>
      </w:r>
      <w:r>
        <w:rPr>
          <w:rFonts w:asciiTheme="minorHAnsi" w:hAnsiTheme="minorHAnsi" w:cstheme="minorHAnsi"/>
          <w:sz w:val="22"/>
        </w:rPr>
        <w:t>.</w:t>
      </w:r>
    </w:p>
    <w:p w14:paraId="625977B4" w14:textId="77777777" w:rsidR="002B3A3C" w:rsidRDefault="002B3A3C" w:rsidP="002B3A3C">
      <w:pPr>
        <w:pStyle w:val="p"/>
        <w:spacing w:after="0" w:afterAutospacing="0" w:line="480" w:lineRule="auto"/>
        <w:jc w:val="both"/>
        <w:rPr>
          <w:rFonts w:asciiTheme="minorHAnsi" w:hAnsiTheme="minorHAnsi" w:cstheme="minorHAnsi"/>
          <w:sz w:val="22"/>
          <w:szCs w:val="22"/>
        </w:rPr>
      </w:pPr>
      <w:r>
        <w:rPr>
          <w:rFonts w:asciiTheme="minorHAnsi" w:hAnsiTheme="minorHAnsi" w:cstheme="minorHAnsi"/>
          <w:sz w:val="22"/>
        </w:rPr>
        <w:t xml:space="preserve">Networks constructed from other types of functional interaction aim to capture relationships between genes that share similar or related biological functions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{"citationItems":[{"id":"ITEM-1","itemData":{"DOI":"10.1371/journal.pcbi.1002820","ISSN":"1553-7358","PMID":"23300411","abstract":"Complex diseases are caused by a combination of genetic and environmental factors. Uncovering the molecular pathways through which genetic factors affect a phenotype is always difficult, but in the case of complex diseases this is further complicated since genetic factors in affected individuals might be different. In recent years, systems biology approaches and, more specifically, network based approaches emerged as powerful tools for studying complex diseases. These approaches are often built on the knowledge of physical or functional interactions between molecules which are usually represented as an interaction network. An interaction network not only reports the binary relationships between individual nodes but also encodes hidden higher level organization of cellular communication. Computational biologists were challenged with the task of uncovering this organization and utilizing it for the understanding of disease complexity, which prompted rich and diverse algorithmic approaches to be proposed. We start this chapter with a description of the general characteristics of complex diseases followed by a brief introduction to physical and functional networks. Next we will show how these networks are used to leverage genotype, gene expression, and other types of data to identify dysregulated pathways, infer the relationships between genotype and phenotype, and explain disease heterogeneity. We group the methods by common underlying principles and first provide a high level description of the principles followed by more specific examples. We hope that this chapter will give readers an appreciation for the wealth of algorithmic techniques that have been developed for the purpose of studying complex diseases as well as insight into their strengths and limitations.","author":[{"dropping-particle":"","family":"Cho","given":"Dong-Yeon","non-dropping-particle":"","parse-names":false,"suffix":""},{"dropping-particle":"","family":"Kim","given":"Yoo-Ah","non-dropping-particle":"","parse-names":false,"suffix":""},{"dropping-particle":"","family":"Przytycka","given":"Teresa M","non-dropping-particle":"","parse-names":false,"suffix":""}],"container-title":"PLoS computational biology","id":"ITEM-1","issue":"12","issued":{"date-parts":[["2012"]]},"page":"e1002820","title":"Chapter 5: Network biology approach to complex diseases.","type":"article-journal","volume":"8"},"uris":["http://www.mendeley.com/documents/?uuid=9ab4c13d-eda9-4678-ae2e-3cad07008ad3"]}],"mendeley":{"formattedCitation":"(7)","plainTextFormattedCitation":"(7)","previouslyFormattedCitation":"(7)"},"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(7)</w:t>
      </w:r>
      <w:r>
        <w:rPr>
          <w:rFonts w:asciiTheme="minorHAnsi" w:hAnsiTheme="minorHAnsi" w:cstheme="minorHAnsi"/>
          <w:sz w:val="22"/>
        </w:rPr>
        <w:fldChar w:fldCharType="end"/>
      </w:r>
      <w:r>
        <w:rPr>
          <w:rFonts w:asciiTheme="minorHAnsi" w:hAnsiTheme="minorHAnsi" w:cstheme="minorHAnsi"/>
          <w:sz w:val="22"/>
        </w:rPr>
        <w:t xml:space="preserve">. </w:t>
      </w:r>
      <w:r w:rsidRPr="00493A90">
        <w:rPr>
          <w:rFonts w:asciiTheme="minorHAnsi" w:hAnsiTheme="minorHAnsi" w:cstheme="minorHAnsi"/>
          <w:sz w:val="22"/>
        </w:rPr>
        <w:t>Gene</w:t>
      </w:r>
      <w:r>
        <w:rPr>
          <w:rFonts w:asciiTheme="minorHAnsi" w:hAnsiTheme="minorHAnsi" w:cstheme="minorHAnsi"/>
          <w:sz w:val="22"/>
        </w:rPr>
        <w:t xml:space="preserve"> co-expression networks define the pairwise relationships among gene transcripts via their coordinated expression patterns across microarray and/or RNA-sequencing (RNA-seq) profiles. Different measures of co-expression have been used to construct such networks, such as Pearson’s or Spearman’s correlation, least absolute error regression and Bayesian approaches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{"citationItems":[{"id":"ITEM-1","itemData":{"DOI":"10.1093/bib/bbw139","ISSN":"14774054","PMID":"28077403","abstract":"Gene co-expression networks can be used to associate genes of unknown function with biological processes, to prioritize candidate disease genes or to discern transcriptional regulatory programmes. With recent advances in transcriptomics and next-generation sequencing, co-expression networks constructed from RNA sequencing data also enable the inference of functions and disease associations for non-coding genes and splice variants. Although gene co-expression networks typically do not provide information about causality, emerging methods for differential co-expression analysis are enabling the identification of regulatory genes underlying various phenotypes. Here, we introduce and guide researchers through a (differential) co-expression analysis. We provide an overview of methods and tools used to create and analyse co-expression networks constructed from gene expression data, and we explain how these can be used to identify genes with a regulatory role in disease. Furthermore, we discuss the integration of other data types with co-expression networks and offer future perspectives of co-expression analysis.","author":[{"dropping-particle":"","family":"Dam","given":"Sipko","non-dropping-particle":"van","parse-names":false,"suffix":""},{"dropping-particle":"","family":"Võsa","given":"Urmo","non-dropping-particle":"","parse-names":false,"suffix":""},{"dropping-particle":"","family":"Graaf","given":"Adriaan","non-dropping-particle":"van der","parse-names":false,"suffix":""},{"dropping-particle":"","family":"Franke","given":"Lude","non-dropping-particle":"","parse-names":false,"suffix":""},{"dropping-particle":"","family":"Magalhães","given":"João Pedro","non-dropping-particle":"de","parse-names":false,"suffix":""}],"container-title":"Briefings in Bioinformatics","id":"ITEM-1","issue":"4","issued":{"date-parts":[["2018","1"]]},"page":"575-592","title":"Gene co-expression analysis for functional classification and gene-disease predictions","type":"article-journal","volume":"19"},"uris":["http://www.mendeley.com/documents/?uuid=1d2f3fec-307b-4bf6-b873-55520d84a141","http://www.mendeley.com/documents/?uuid=4626296d-d3ca-4ca0-bc34-a856c80c3da8"]}],"mendeley":{"formattedCitation":"(17)","plainTextFormattedCitation":"(17)","previouslyFormattedCitation":"(17)"},"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(17)</w:t>
      </w:r>
      <w:r>
        <w:rPr>
          <w:rFonts w:asciiTheme="minorHAnsi" w:hAnsiTheme="minorHAnsi" w:cstheme="minorHAnsi"/>
          <w:sz w:val="22"/>
        </w:rPr>
        <w:fldChar w:fldCharType="end"/>
      </w:r>
      <w:r>
        <w:rPr>
          <w:rFonts w:asciiTheme="minorHAnsi" w:hAnsiTheme="minorHAnsi" w:cstheme="minorHAnsi"/>
          <w:sz w:val="22"/>
        </w:rPr>
        <w:t xml:space="preserve">. Genes involved in related biological processes tend to show co-expression of their expression profiles </w:t>
      </w:r>
      <w:r>
        <w:rPr>
          <w:rFonts w:asciiTheme="minorHAnsi" w:hAnsiTheme="minorHAnsi" w:cstheme="minorHAnsi"/>
          <w:sz w:val="22"/>
        </w:rPr>
        <w:fldChar w:fldCharType="begin" w:fldLock="1"/>
      </w:r>
      <w:r>
        <w:rPr>
          <w:rFonts w:asciiTheme="minorHAnsi" w:hAnsiTheme="minorHAnsi" w:cstheme="minorHAnsi"/>
          <w:sz w:val="22"/>
        </w:rPr>
        <w:instrText>ADDIN CSL_CITATION {"citationItems":[{"id":"ITEM-1","itemData":{"DOI":"10.1073/pnas.95.25.14863","ISSN":"0027-8424","PMID":"9843981","abstract":"A system of cluster analysis for genome-wide expression data from DNA microarray hybridization is described that uses standard statistical algorithms to arrange genes according to similarity in pattern of gene expression. The output is displayed graphically, conveying the clustering and the underlying expression data simultaneously in a form intuitive for biologists. We have found in the budding yeast Saccharomyces cerevisiae that clustering gene expression data groups together efficiently genes of known similar function, and we find a similar tendency in human data. Thus patterns seen in genome-wide expression experiments can be interpreted as indications of the status of cellular processes. Also, coexpression of genes of known function with poorly characterized or novel genes may provide a simple means of gaining leads to the functions of many genes for which information is not available currently.","author":[{"dropping-particle":"","family":"Eisen","given":"M B","non-dropping-particle":"","parse-names":false,"suffix":""},{"dropping-particle":"","family":"Spellman","given":"P T","non-dropping-particle":"","parse-names":false,"suffix":""},{"dropping-particle":"","family":"Brown","given":"P O","non-dropping-particle":"","parse-names":false,"suffix":""},{"dropping-particle":"","family":"Botstein","given":"D","non-dropping-particle":"","parse-names":false,"suffix":""}],"container-title":"Proceedings of the National Academy of Sciences of the United States of America","id":"ITEM-1","issue":"25","issued":{"date-parts":[["1998","12"]]},"page":"14863-8","title":"Cluster analysis and display of genome-wide expression patterns.","type":"article-journal","volume":"95"},"uris":["http://www.mendeley.com/documents/?uuid=640f7875-8ec7-4486-b68e-f95e71c7e1fc","http://www.mendeley.com/documents/?uuid=14dd6e3b-c29f-4470-b29f-525260f622ef"]}],"mendeley":{"formattedCitation":"(18)","plainTextFormattedCitation":"(18)","previouslyFormattedCitation":"(18)"},"properties":{"noteIndex":0},"schema":"https://github.com/citation-style-language/schema/raw/master/csl-citation.json"}</w:instrText>
      </w:r>
      <w:r>
        <w:rPr>
          <w:rFonts w:asciiTheme="minorHAnsi" w:hAnsiTheme="minorHAnsi" w:cstheme="minorHAnsi"/>
          <w:sz w:val="22"/>
        </w:rPr>
        <w:fldChar w:fldCharType="separate"/>
      </w:r>
      <w:r w:rsidRPr="00620042">
        <w:rPr>
          <w:rFonts w:asciiTheme="minorHAnsi" w:hAnsiTheme="minorHAnsi" w:cstheme="minorHAnsi"/>
          <w:noProof/>
          <w:sz w:val="22"/>
        </w:rPr>
        <w:t>(18)</w:t>
      </w:r>
      <w:r>
        <w:rPr>
          <w:rFonts w:asciiTheme="minorHAnsi" w:hAnsiTheme="minorHAnsi" w:cstheme="minorHAnsi"/>
          <w:sz w:val="22"/>
        </w:rPr>
        <w:fldChar w:fldCharType="end"/>
      </w:r>
      <w:r>
        <w:rPr>
          <w:rFonts w:asciiTheme="minorHAnsi" w:hAnsiTheme="minorHAnsi" w:cstheme="minorHAnsi"/>
          <w:sz w:val="22"/>
        </w:rPr>
        <w:t xml:space="preserve">. Large amounts of transcriptomic data suitable for gene co-expression construction are available for a multitude of tissues and diseases, such as from the two main public repositories, NCBI Gene Expression Omnibus </w:t>
      </w:r>
      <w:r w:rsidRPr="002B083E">
        <w:rPr>
          <w:rFonts w:asciiTheme="minorHAnsi" w:hAnsiTheme="minorHAnsi" w:cstheme="minorHAnsi"/>
          <w:sz w:val="22"/>
          <w:szCs w:val="22"/>
        </w:rPr>
        <w:t>(</w:t>
      </w:r>
      <w:hyperlink r:id="rId32" w:history="1">
        <w:r w:rsidRPr="00B25AC9">
          <w:rPr>
            <w:rStyle w:val="Hyperlink"/>
            <w:rFonts w:asciiTheme="minorHAnsi" w:hAnsiTheme="minorHAnsi" w:cstheme="minorHAnsi"/>
            <w:sz w:val="22"/>
            <w:szCs w:val="22"/>
          </w:rPr>
          <w:t>http://www.ncbi.nlm.nih.gov/geo/</w:t>
        </w:r>
      </w:hyperlink>
      <w:r w:rsidRPr="002B083E">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sz w:val="22"/>
        </w:rPr>
        <w:t xml:space="preserve">and ArrayExpress </w:t>
      </w:r>
      <w:r w:rsidRPr="002B083E">
        <w:rPr>
          <w:rFonts w:asciiTheme="minorHAnsi" w:hAnsiTheme="minorHAnsi" w:cstheme="minorHAnsi"/>
          <w:sz w:val="22"/>
          <w:szCs w:val="22"/>
        </w:rPr>
        <w:t>(</w:t>
      </w:r>
      <w:hyperlink r:id="rId33" w:history="1">
        <w:r w:rsidRPr="00B25AC9">
          <w:rPr>
            <w:rStyle w:val="Hyperlink"/>
            <w:rFonts w:asciiTheme="minorHAnsi" w:hAnsiTheme="minorHAnsi" w:cstheme="minorHAnsi"/>
            <w:sz w:val="22"/>
            <w:szCs w:val="22"/>
          </w:rPr>
          <w:t>https://www.ebi.ac.uk/arrayexpress</w:t>
        </w:r>
      </w:hyperlink>
      <w:r w:rsidRPr="002B083E">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{"citationItems":[{"id":"ITEM-1","itemData":{"DOI":"10.1093/nar/gky964","ISSN":"1362-4962","PMID":"30357387","abstract":"ArrayExpress (https://www.ebi.ac.uk/arrayexpress) is an archive of functional genomics data from a variety of technologies assaying functional modalities of a genome, such as gene expression or promoter occupancy. The number of experiments based on sequencing technologies, in particular RNA-seq experiments, has been increasing over the last few years and submissions of sequencing data have overtaken microarray experiments in the last 12 months. Additionally, there is a significant increase in experiments investigating single cells, rather than bulk samples, known as single-cell RNA-seq. To accommodate these trends, we have substantially changed our submission tool Annotare which, along with raw and processed data, collects all metadata necessary to interpret these experiments. Selected datasets are re-processed and loaded into our sister resource, the value-added Expression Atlas (and its component Single Cell Expression Atlas), which not only enables users to interpret the data easily but also serves as a test for data quality. With an increasing number of studies that combine different assay modalities (multi-omics experiments), a new more general archival resource the BioStudies Database has been developed, which will eventually supersede ArrayExpress. Data submissions will continue unchanged; all existing ArrayExpress data will be incorporated into BioStudies and the existing accession numbers and application programming interfaces will be maintained.","author":[{"dropping-particle":"","family":"Athar","given":"Awais","non-dropping-particle":"","parse-names":false,"suffix":""},{"dropping-particle":"","family":"Füllgrabe","given":"Anja","non-dropping-particle":"","parse-names":false,"suffix":""},{"dropping-particle":"","family":"George","given":"Nancy","non-dropping-particle":"","parse-names":false,"suffix":""},{"dropping-particle":"","family":"Iqbal","given":"Haider","non-dropping-particle":"","parse-names":false,"suffix":""},{"dropping-particle":"","family":"Huerta","given":"Laura","non-dropping-particle":"","parse-names":false,"suffix":""},{"dropping-particle":"","family":"Ali","given":"Ahmed","non-dropping-particle":"","parse-names":false,"suffix":""},{"dropping-particle":"","family":"Snow","given":"Catherine","non-dropping-particle":"","parse-names":false,"suffix":""},{"dropping-particle":"","family":"Fonseca","given":"Nuno A","non-dropping-particle":"","parse-names":false,"suffix":""},{"dropping-particle":"","family":"Petryszak","given":"Robert","non-dropping-particle":"","parse-names":false,"suffix":""},{"dropping-particle":"","family":"Papatheodorou","given":"Irene","non-dropping-particle":"","parse-names":false,"suffix":""},{"dropping-particle":"","family":"Sarkans","given":"Ugis","non-dropping-particle":"","parse-names":false,"suffix":""},{"dropping-particle":"","family":"Brazma","given":"Alvis","non-dropping-particle":"","parse-names":false,"suffix":""}],"container-title":"Nucleic acids research","id":"ITEM-1","issue":"D1","issued":{"date-parts":[["2019"]]},"page":"D711-D715","title":"ArrayExpress update - from bulk to single-cell expression data.","type":"article-journal","volume":"47"},"uris":["http://www.mendeley.com/documents/?uuid=c2da11e2-a7df-419c-a5b1-1bf2c71ca152","http://www.mendeley.com/documents/?uuid=620409f0-e2ea-4a49-9c69-925332c9c21f"]},{"id":"ITEM-2","itemData":{"DOI":"10.1007/978-1-4939-3578-9_5","ISSN":"10643745","PMID":"27008011","abstract":"The Gene Expression Omnibus (GEO) database is an international public repository that archives and freely distributes high-throughput gene expression and other functional genomics data sets. Created in 2000 as a worldwide resource for gene expression studies, GEO has evolved with rapidly changing technologies and now accepts high-throughput data for many other data applications, including those that examine genome methylation, chromatin structure, and genome–protein interactions. GEO supports community-derived reporting standards that specify provision of several critical study elements including raw data, processed data, and descriptive metadata. The database not only provides access to data for tens of thousands of studies, but also offers various Web-based tools and strategies that enable users to locate data relevant to their specific interests, as well as to visualize and analyze the data. This chapter includes detailed descriptions of methods to query and download GEO data and use the analysis and visualization tools. The GEO homepage is at http://www.ncbi.nlm.nih.gov/geo/.","author":[{"dropping-particle":"","family":"Clough","given":"Emily","non-dropping-particle":"","parse-names":false,"suffix":""},{"dropping-particle":"","family":"Barrett","given":"Tanya","non-dropping-particle":"","parse-names":false,"suffix":""}],"container-title":"Methods in Molecular Biology","id":"ITEM-2","issued":{"date-parts":[["2016"]]},"page":"93-110","title":"The Gene Expression Omnibus database","type":"chapter","volume":"1418"},"uris":["http://www.mendeley.com/documents/?uuid=9c44222a-d038-445a-9e33-57eb9e711e9c","http://www.mendeley.com/documents/?uuid=7d73b3cd-a70a-4fd7-b2ae-406ec2bf2793"]}],"mendeley":{"formattedCitation":"(19,20)","plainTextFormattedCitation":"(19,20)","previouslyFormattedCitation":"(19,20)"},"properties":{"noteIndex":0},"schema":"https://github.com/citation-style-language/schema/raw/master/csl-citation.json"}</w:instrText>
      </w:r>
      <w:r>
        <w:rPr>
          <w:rFonts w:asciiTheme="minorHAnsi" w:hAnsiTheme="minorHAnsi" w:cstheme="minorHAnsi"/>
          <w:sz w:val="22"/>
          <w:szCs w:val="22"/>
        </w:rPr>
        <w:fldChar w:fldCharType="separate"/>
      </w:r>
      <w:r w:rsidRPr="00620042">
        <w:rPr>
          <w:rFonts w:asciiTheme="minorHAnsi" w:hAnsiTheme="minorHAnsi" w:cstheme="minorHAnsi"/>
          <w:noProof/>
          <w:sz w:val="22"/>
          <w:szCs w:val="22"/>
        </w:rPr>
        <w:t>(19,20)</w:t>
      </w:r>
      <w:r>
        <w:rPr>
          <w:rFonts w:asciiTheme="minorHAnsi" w:hAnsiTheme="minorHAnsi" w:cstheme="minorHAnsi"/>
          <w:sz w:val="22"/>
          <w:szCs w:val="22"/>
        </w:rPr>
        <w:fldChar w:fldCharType="end"/>
      </w:r>
      <w:r>
        <w:rPr>
          <w:rFonts w:asciiTheme="minorHAnsi" w:hAnsiTheme="minorHAnsi" w:cstheme="minorHAnsi"/>
          <w:sz w:val="22"/>
          <w:szCs w:val="22"/>
        </w:rPr>
        <w:t>. The utility of studying gene co-expression networks has been demonstrated in multiple studies. For example, gene co-expression network analysis of microarray data</w:t>
      </w:r>
      <w:r w:rsidDel="002859F0">
        <w:rPr>
          <w:rFonts w:asciiTheme="minorHAnsi" w:hAnsiTheme="minorHAnsi" w:cstheme="minorHAnsi"/>
          <w:sz w:val="22"/>
          <w:szCs w:val="22"/>
        </w:rPr>
        <w:t xml:space="preserve"> </w:t>
      </w:r>
      <w:r>
        <w:rPr>
          <w:rFonts w:asciiTheme="minorHAnsi" w:hAnsiTheme="minorHAnsi" w:cstheme="minorHAnsi"/>
          <w:sz w:val="22"/>
          <w:szCs w:val="22"/>
        </w:rPr>
        <w:t xml:space="preserve">in rheumatoid arthritis identified modules of key genes related to immune response, inflammatory response, and homeostasis, resulting in the identification of two small-molecule drugs as potential therapeutics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{"citationItems":[{"id":"ITEM-1","itemData":{"DOI":"10.1111/1756-185X.13063","ISSN":"1756-185X","PMID":"28440025","abstract":"PURPOSE This study aimed to identify rheumatoid arthritis (RA) related genes based on microarray data using the WGCNA (weighted gene co-expression network analysis) method. METHODS Two gene expression profile datasets GSE55235 (10 RA samples and 10 healthy controls) and GSE77298 (16 RA samples and seven healthy controls) were downloaded from Gene Expression Omnibus database. Characteristic genes were identified using metaDE package. WGCNA was used to find disease-related networks based on gene expression correlation coefficients, and module significance was defined as the average gene significance of all genes used to assess the correlation between the module and RA status. Genes in the disease-related gene co-expression network were subject to functional annotation and pathway enrichment analysis using Database for Annotation Visualization and Integrated Discovery. Characteristic genes were also mapped to the Connectivity Map to screen small molecules. RESULTS A total of 599 characteristic genes were identified. For each dataset, characteristic genes in the green, red and turquoise modules were most closely associated with RA, with gene numbers of 54, 43 and 79, respectively. These genes were enriched in totally enriched in 17 Gene Ontology terms, mainly related to immune response (CD97, FYB, CXCL1, IKBKE, CCR1, etc.), inflammatory response (CD97, CXCL1, C3AR1, CCR1, LYZ, etc.) and homeostasis (C3AR1, CCR1, PLN, CCL19, PPT1, etc.). Two small-molecule drugs sanguinarine and papaverine were predicted to have a therapeutic effect against RA. CONCLUSION Genes related to immune response, inflammatory response and homeostasis presumably have critical roles in RA pathogenesis. Sanguinarine and papaverine have a potential therapeutic effect against RA.","author":[{"dropping-particle":"","family":"Ma","given":"Chunhui","non-dropping-particle":"","parse-names":false,"suffix":""},{"dropping-particle":"","family":"Lv","given":"Qi","non-dropping-particle":"","parse-names":false,"suffix":""},{"dropping-particle":"","family":"Teng","given":"Songsong","non-dropping-particle":"","parse-names":false,"suffix":""},{"dropping-particle":"","family":"Yu","given":"Yinxian","non-dropping-particle":"","parse-names":false,"suffix":""},{"dropping-particle":"","family":"Niu","given":"Kerun","non-dropping-particle":"","parse-names":false,"suffix":""},{"dropping-particle":"","family":"Yi","given":"Chengqin","non-dropping-particle":"","parse-names":false,"suffix":""}],"container-title":"International journal of rheumatic diseases","id":"ITEM-1","issue":"8","issued":{"date-parts":[["2017","8"]]},"page":"971-979","title":"Identifying key genes in rheumatoid arthritis by weighted gene co-expression network analysis.","type":"article-journal","volume":"20"},"uris":["http://www.mendeley.com/documents/?uuid=5b65e32d-184a-49da-864f-fd8d64ee14bf","http://www.mendeley.com/documents/?uuid=b767e83f-e7cd-4a73-bb17-5244a045c410"]}],"mendeley":{"formattedCitation":"(21)","plainTextFormattedCitation":"(21)","previouslyFormattedCitation":"(21)"},"properties":{"noteIndex":0},"schema":"https://github.com/citation-style-language/schema/raw/master/csl-citation.json"}</w:instrText>
      </w:r>
      <w:r>
        <w:rPr>
          <w:rFonts w:asciiTheme="minorHAnsi" w:hAnsiTheme="minorHAnsi" w:cstheme="minorHAnsi"/>
          <w:sz w:val="22"/>
          <w:szCs w:val="22"/>
        </w:rPr>
        <w:fldChar w:fldCharType="separate"/>
      </w:r>
      <w:r w:rsidRPr="00620042">
        <w:rPr>
          <w:rFonts w:asciiTheme="minorHAnsi" w:hAnsiTheme="minorHAnsi" w:cstheme="minorHAnsi"/>
          <w:noProof/>
          <w:sz w:val="22"/>
          <w:szCs w:val="22"/>
        </w:rPr>
        <w:t>(21)</w:t>
      </w:r>
      <w:r>
        <w:rPr>
          <w:rFonts w:asciiTheme="minorHAnsi" w:hAnsiTheme="minorHAnsi" w:cstheme="minorHAnsi"/>
          <w:sz w:val="22"/>
          <w:szCs w:val="22"/>
        </w:rPr>
        <w:fldChar w:fldCharType="end"/>
      </w:r>
      <w:r>
        <w:rPr>
          <w:rFonts w:asciiTheme="minorHAnsi" w:hAnsiTheme="minorHAnsi" w:cstheme="minorHAnsi"/>
          <w:sz w:val="22"/>
          <w:szCs w:val="22"/>
        </w:rPr>
        <w:t>.</w:t>
      </w:r>
    </w:p>
    <w:p w14:paraId="1D5213A0" w14:textId="77777777" w:rsidR="002B3A3C" w:rsidRPr="00A410A3" w:rsidRDefault="002B3A3C" w:rsidP="002B3A3C">
      <w:pPr>
        <w:pStyle w:val="p"/>
        <w:spacing w:after="0" w:afterAutospacing="0" w:line="480" w:lineRule="auto"/>
        <w:jc w:val="both"/>
        <w:rPr>
          <w:rFonts w:asciiTheme="minorHAnsi" w:hAnsiTheme="minorHAnsi" w:cstheme="minorHAnsi"/>
          <w:sz w:val="22"/>
          <w:szCs w:val="22"/>
        </w:rPr>
      </w:pPr>
      <w:r>
        <w:rPr>
          <w:rFonts w:asciiTheme="minorHAnsi" w:hAnsiTheme="minorHAnsi" w:cstheme="minorHAnsi"/>
          <w:sz w:val="22"/>
          <w:szCs w:val="22"/>
        </w:rPr>
        <w:t xml:space="preserve">The majority of molecular interaction databases agglomerate interaction data from all tissues for a given organism, in this sense being tissue-generic. While many of these databases offer a comprehensive list of generic molecular interactions, it has been suggested that this may limit their functionality when studying a disease from a tissue-specific context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{"citationItems":[{"id":"ITEM-1","itemData":{"DOI":"10.1186/s12859-016-1317-x","ISSN":"1471-2105","PMID":"27829360","abstract":"BACKGROUND Accurately prioritizing candidate disease genes is an important and challenging problem. Various network-based methods have been developed to predict potential disease genes by utilizing the disease similarity network and molecular networks such as protein interaction or gene co-expression networks. Although successful, a common limitation of the existing methods is that they assume all diseases share the same molecular network and a single generic molecular network is used to predict candidate genes for all diseases. However, different diseases tend to manifest in different tissues, and the molecular networks in different tissues are usually different. An ideal method should be able to incorporate tissue-specific molecular networks for different diseases. RESULTS In this paper, we develop a robust and flexible method to integrate tissue-specific molecular networks for disease gene prioritization. Our method allows each disease to have its own tissue-specific network(s). We formulate the problem of candidate gene prioritization as an optimization problem based on network propagation. When there are multiple tissue-specific networks available for a disease, our method can automatically infer the relative importance of each tissue-specific network. Thus it is robust to the noisy and incomplete network data. To solve the optimization problem, we develop fast algorithms which have linear time complexities in the number of nodes in the molecular networks. We also provide rigorous theoretical foundations for our algorithms in terms of their optimality and convergence properties. Extensive experimental results show that our method can significantly improve the accuracy of candidate gene prioritization compared with the state-of-the-art methods. CONCLUSIONS In our experiments, we compare our methods with 7 popular network-based disease gene prioritization algorithms on diseases from Online Mendelian Inheritance in Man (OMIM) database. The experimental results demonstrate that our methods recover true associations more accurately than other methods in terms of AUC values, and the performance differences are significant (with paired t-test p-values less than 0.05). This validates the importance to integrate tissue-specific molecular networks for studying disease gene prioritization and show the superiority of our network models and ranking algorithms toward this purpose. The source code and datasets are available at http://nijingchao.github.io/CRstar/ .","author":[{"dropping-particle":"","family":"Ni","given":"Jingchao","non-dropping-particle":"","parse-names":false,"suffix":""},{"dropping-particle":"","family":"Koyuturk","given":"Mehmet","non-dropping-particle":"","parse-names":false,"suffix":""},{"dropping-particle":"","family":"Tong","given":"Hanghang","non-dropping-particle":"","parse-names":false,"suffix":""},{"dropping-particle":"","family":"Haines","given":"Jonathan","non-dropping-particle":"","parse-names":false,"suffix":""},{"dropping-particle":"","family":"Xu","given":"Rong","non-dropping-particle":"","parse-names":false,"suffix":""},{"dropping-particle":"","family":"Zhang","given":"Xiang","non-dropping-particle":"","parse-names":false,"suffix":""}],"container-title":"BMC bioinformatics","id":"ITEM-1","issue":"1","issued":{"date-parts":[["2016","11"]]},"page":"453","title":"Disease gene prioritization by integrating tissue-specific molecular networks using a robust multi-network model.","type":"article-journal","volume":"17"},"uris":["http://www.mendeley.com/documents/?uuid=33f626ed-d8d4-496a-929a-bbe1c6ae7d7e","http://www.mendeley.com/documents/?uuid=9d2f9e22-6152-42ee-bcc4-f7e67ab069cd"]}],"mendeley":{"formattedCitation":"(22)","plainTextFormattedCitation":"(22)","previouslyFormattedCitation":"(22)"},"properties":{"noteIndex":0},"schema":"https://github.com/citation-style-language/schema/raw/master/csl-citation.json"}</w:instrText>
      </w:r>
      <w:r>
        <w:rPr>
          <w:rFonts w:asciiTheme="minorHAnsi" w:hAnsiTheme="minorHAnsi" w:cstheme="minorHAnsi"/>
          <w:sz w:val="22"/>
          <w:szCs w:val="22"/>
        </w:rPr>
        <w:fldChar w:fldCharType="separate"/>
      </w:r>
      <w:r w:rsidRPr="00620042">
        <w:rPr>
          <w:rFonts w:asciiTheme="minorHAnsi" w:hAnsiTheme="minorHAnsi" w:cstheme="minorHAnsi"/>
          <w:noProof/>
          <w:sz w:val="22"/>
          <w:szCs w:val="22"/>
        </w:rPr>
        <w:t>(22)</w:t>
      </w:r>
      <w:r>
        <w:rPr>
          <w:rFonts w:asciiTheme="minorHAnsi" w:hAnsiTheme="minorHAnsi" w:cstheme="minorHAnsi"/>
          <w:sz w:val="22"/>
          <w:szCs w:val="22"/>
        </w:rPr>
        <w:fldChar w:fldCharType="end"/>
      </w:r>
      <w:r>
        <w:rPr>
          <w:rFonts w:asciiTheme="minorHAnsi" w:hAnsiTheme="minorHAnsi" w:cstheme="minorHAnsi"/>
          <w:sz w:val="22"/>
          <w:szCs w:val="22"/>
        </w:rPr>
        <w:t xml:space="preserve">. Increasingly, molecular interaction databases are incorporating tissue or condition specific molecular interaction data. Many genetic disorders manifest primarily in one or a few tissues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{"citationItems":[{"id":"ITEM-1","itemData":{"DOI":"10.1371/journal.pcbi.1002690","ISSN":"1553-7358","PMID":"23028288","abstract":"The prioritization of candidate disease-causing genes is a fundamental challenge in the post-genomic era. Current state of the art methods exploit a protein-protein interaction (PPI) network for this task. They are based on the observation that genes causing phenotypically-similar diseases tend to lie close to one another in a PPI network. However, to date, these methods have used a static picture of human PPIs, while diseases impact specific tissues in which the PPI networks may be dramatically different. Here, for the first time, we perform a large-scale assessment of the contribution of tissue-specific information to gene prioritization. By integrating tissue-specific gene expression data with PPI information, we construct tissue-specific PPI networks for 60 tissues and investigate their prioritization power. We find that tissue-specific PPI networks considerably improve the prioritization results compared to those obtained using a generic PPI network. Furthermore, they allow predicting novel disease-tissue associations, pointing to sub-clinical tissue effects that may escape early detection.","author":[{"dropping-particle":"","family":"Magger","given":"Oded","non-dropping-particle":"","parse-names":false,"suffix":""},{"dropping-particle":"","family":"Waldman","given":"Yedael Y","non-dropping-particle":"","parse-names":false,"suffix":""},{"dropping-particle":"","family":"Ruppin","given":"Eytan","non-dropping-particle":"","parse-names":false,"suffix":""},{"dropping-particle":"","family":"Sharan","given":"Roded","non-dropping-particle":"","parse-names":false,"suffix":""}],"container-title":"PLoS computational biology","id":"ITEM-1","issue":"9","issued":{"date-parts":[["2012"]]},"page":"e1002690","title":"Enhancing the prioritization of disease-causing genes through tissue specific protein interaction networks.","type":"article-journal","volume":"8"},"uris":["http://www.mendeley.com/documents/?uuid=4f1ace1d-284e-4c6f-b1db-761aa42e0fa5","http://www.mendeley.com/documents/?uuid=928c4ebf-20b4-4f6a-8c07-7ec735693c94"]},{"id":"ITEM-2","itemData":{"DOI":"10.1093/nar/gkt661","ISSN":"0305-1048","author":[{"dropping-particle":"","family":"Bornigen","given":"D.","non-dropping-particle":"","parse-names":false,"suffix":""},{"dropping-particle":"","family":"Pers","given":"T. H.","non-dropping-particle":"","parse-names":false,"suffix":""},{"dropping-particle":"","family":"Thorrez","given":"L.","non-dropping-particle":"","parse-names":false,"suffix":""},{"dropping-particle":"","family":"Huttenhower","given":"C.","non-dropping-particle":"","parse-names":false,"suffix":""},{"dropping-particle":"","family":"Moreau","given":"Y.","non-dropping-particle":"","parse-names":false,"suffix":""},{"dropping-particle":"","family":"Brunak","given":"S.","non-dropping-particle":"","parse-names":false,"suffix":""}],"container-title":"Nucleic Acids Research","id":"ITEM-2","issue":"18","issued":{"date-parts":[["2013","10","1"]]},"page":"e171-e171","title":"Concordance of gene expression in human protein complexes reveals tissue specificity and pathology","type":"article-journal","volume":"41"},"uris":["http://www.mendeley.com/documents/?uuid=89e06d9f-7532-4920-88e0-9716c41e09e8"]}],"mendeley":{"formattedCitation":"(23,24)","plainTextFormattedCitation":"(23,24)","previouslyFormattedCitation":"(23,24)"},"properties":{"noteIndex":0},"schema":"https://github.com/citation-style-language/schema/raw/master/csl-citation.json"}</w:instrText>
      </w:r>
      <w:r>
        <w:rPr>
          <w:rFonts w:asciiTheme="minorHAnsi" w:hAnsiTheme="minorHAnsi" w:cstheme="minorHAnsi"/>
          <w:sz w:val="22"/>
          <w:szCs w:val="22"/>
        </w:rPr>
        <w:fldChar w:fldCharType="separate"/>
      </w:r>
      <w:r w:rsidRPr="00620042">
        <w:rPr>
          <w:rFonts w:asciiTheme="minorHAnsi" w:hAnsiTheme="minorHAnsi" w:cstheme="minorHAnsi"/>
          <w:noProof/>
          <w:sz w:val="22"/>
          <w:szCs w:val="22"/>
        </w:rPr>
        <w:t>(23,24)</w:t>
      </w:r>
      <w:r>
        <w:rPr>
          <w:rFonts w:asciiTheme="minorHAnsi" w:hAnsiTheme="minorHAnsi" w:cstheme="minorHAnsi"/>
          <w:sz w:val="22"/>
          <w:szCs w:val="22"/>
        </w:rPr>
        <w:fldChar w:fldCharType="end"/>
      </w:r>
      <w:r>
        <w:rPr>
          <w:rFonts w:asciiTheme="minorHAnsi" w:hAnsiTheme="minorHAnsi" w:cstheme="minorHAnsi"/>
          <w:sz w:val="22"/>
          <w:szCs w:val="22"/>
        </w:rPr>
        <w:t xml:space="preserve">. Furthermore, it has been observed that molecular interactions are generally variable from tissue to tissue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{"citationItems":[{"id":"ITEM-1","itemData":{"DOI":"10.1038/msb.2009.17","ISSN":"1744-4292","PMID":"19357639","abstract":"A protein interaction network describes a set of physical associations that can occur between proteins. However, within any particular cell or tissue only a subset of proteins is expressed and so only a subset of interactions can occur. Integrating interaction and expression data, we analyze here this interplay between protein expression and physical interactions in humans. Proteins only expressed in restricted cell types, like recently evolved proteins, make few physical interactions. Most tissue-specific proteins do, however, bind to universally expressed proteins, and so can function by recruiting or modifying core cellular processes. Conversely, most 'housekeeping' proteins that are expressed in all cells also make highly tissue-specific protein interactions. These results suggest a model for the evolution of tissue-specific biology, and show that most, and possibly all, 'housekeeping' proteins actually have important tissue-specific molecular interactions.","author":[{"dropping-particle":"","family":"Bossi","given":"Alice","non-dropping-particle":"","parse-names":false,"suffix":""},{"dropping-particle":"","family":"Lehner","given":"Ben","non-dropping-particle":"","parse-names":false,"suffix":""}],"container-title":"Molecular systems biology","id":"ITEM-1","issued":{"date-parts":[["2009"]]},"page":"260","title":"Tissue specificity and the human protein interaction network.","type":"article-journal","volume":"5"},"uris":["http://www.mendeley.com/documents/?uuid=92536ffe-6c96-4d68-aa3e-d9b3c1012300","http://www.mendeley.com/documents/?uuid=fb69dfbc-474b-443a-977e-be3af6ff0588"]},{"id":"ITEM-2","itemData":{"DOI":"10.1371/journal.pcbi.1002694","ISSN":"1553-7358","PMID":"23028291","abstract":"Integrated analyses of functional genomics data have enormous potential for identifying phenotype-associated genes. Tissue-specificity is an important aspect of many genetic diseases, reflecting the potentially different roles of proteins and pathways in diverse cell lineages. Accounting for tissue specificity in global integration of functional genomics data is challenging, as \"functionality\" and \"functional relationships\" are often not resolved for specific tissue types. We address this challenge by generating tissue-specific functional networks, which can effectively represent the diversity of protein function for more accurate identification of phenotype-associated genes in the laboratory mouse. Specifically, we created 107 tissue-specific functional relationship networks through integration of genomic data utilizing knowledge of tissue-specific gene expression patterns. Cross-network comparison revealed significantly changed genes enriched for functions related to specific tissue development. We then utilized these tissue-specific networks to predict genes associated with different phenotypes. Our results demonstrate that prediction performance is significantly improved through using the tissue-specific networks as compared to the global functional network. We used a testis-specific functional relationship network to predict genes associated with male fertility and spermatogenesis phenotypes, and experimentally confirmed one top prediction, Mbyl1. We then focused on a less-common genetic disease, ataxia, and identified candidates uniquely predicted by the cerebellum network, which are supported by both literature and experimental evidence. Our systems-level, tissue-specific scheme advances over traditional global integration and analyses and establishes a prototype to address the tissue-specific effects of genetic perturbations, diseases and drugs.","author":[{"dropping-particle":"","family":"Guan","given":"Yuanfang","non-dropping-particle":"","parse-names":false,"suffix":""},{"dropping-particle":"","family":"Gorenshteyn","given":"Dmitriy","non-dropping-particle":"","parse-names":false,"suffix":""},{"dropping-particle":"","family":"Burmeister","given":"Margit","non-dropping-particle":"","parse-names":false,"suffix":""},{"dropping-particle":"","family":"Wong","given":"Aaron K","non-dropping-particle":"","parse-names":false,"suffix":""},{"dropping-particle":"","family":"Schimenti","given":"John C","non-dropping-particle":"","parse-names":false,"suffix":""},{"dropping-particle":"","family":"Handel","given":"Mary Ann","non-dropping-particle":"","parse-names":false,"suffix":""},{"dropping-particle":"","family":"Bult","given":"Carol J","non-dropping-particle":"","parse-names":false,"suffix":""},{"dropping-particle":"","family":"Hibbs","given":"Matthew A","non-dropping-particle":"","parse-names":false,"suffix":""},{"dropping-particle":"","family":"Troyanskaya","given":"Olga G","non-dropping-particle":"","parse-names":false,"suffix":""}],"container-title":"PLoS computational biology","id":"ITEM-2","issue":"9","issued":{"date-parts":[["2012"]]},"page":"e1002694","title":"Tissue-specific functional networks for prioritizing phenotype and disease genes.","type":"article-journal","volume":"8"},"uris":["http://www.mendeley.com/documents/?uuid=5bda62ee-21bc-4a80-a47b-5004efeaceb3","http://www.mendeley.com/documents/?uuid=551611bc-7e96-4509-9b05-883540407ccd"]},{"id":"ITEM-3","itemData":{"DOI":"10.1038/ng.3259","ISSN":"1546-1718","PMID":"25915600","abstract":"Tissue and cell-type identity lie at the core of human physiology and disease. Understanding the genetic underpinnings of complex tissues and individual cell lineages is crucial for developing improved diagnostics and therapeutics. We present genome-wide functional interaction networks for 144 human tissues and cell types developed using a data-driven Bayesian methodology that integrates thousands of diverse experiments spanning tissue and disease states. Tissue-specific networks predict lineage-specific responses to perturbation, identify the changing functional roles of genes across tissues and illuminate relationships among diseases. We introduce NetWAS, which combines genes with nominally significant genome-wide association study (GWAS) P values and tissue-specific networks to identify disease-gene associations more accurately than GWAS alone. Our webserver, GIANT, provides an interface to human tissue networks through multi-gene queries, network visualization, analysis tools including NetWAS and downloadable networks. GIANT enables systematic exploration of the landscape of interacting genes that shape specialized cellular functions across more than a hundred human tissues and cell types.","author":[{"dropping-particle":"","family":"Greene","given":"Casey S","non-dropping-particle":"","parse-names":false,"suffix":""},{"dropping-particle":"","family":"Krishnan","given":"Arjun","non-dropping-particle":"","parse-names":false,"suffix":""},{"dropping-particle":"","family":"Wong","given":"Aaron K","non-dropping-particle":"","parse-names":false,"suffix":""},{"dropping-particle":"","family":"Ricciotti","given":"Emanuela","non-dropping-particle":"","parse-names":false,"suffix":""},{"dropping-particle":"","family":"Zelaya","given":"Rene A","non-dropping-particle":"","parse-names":false,"suffix":""},{"dropping-particle":"","family":"Himmelstein","given":"Daniel S","non-dropping-particle":"","parse-names":false,"suffix":""},{"dropping-particle":"","family":"Zhang","given":"Ran","non-dropping-particle":"","parse-names":false,"suffix":""},{"dropping-particle":"","family":"Hartmann","given":"Boris M","non-dropping-particle":"","parse-names":false,"suffix":""},{"dropping-particle":"","family":"Zaslavsky","given":"Elena","non-dropping-particle":"","parse-names":false,"suffix":""},{"dropping-particle":"","family":"Sealfon","given":"Stuart C","non-dropping-particle":"","parse-names":false,"suffix":""},{"dropping-particle":"","family":"Chasman","given":"Daniel I","non-dropping-particle":"","parse-names":false,"suffix":""},{"dropping-particle":"","family":"FitzGerald","given":"Garret A","non-dropping-particle":"","parse-names":false,"suffix":""},{"dropping-particle":"","family":"Dolinski","given":"Kara","non-dropping-particle":"","parse-names":false,"suffix":""},{"dropping-particle":"","family":"Grosser","given":"Tilo","non-dropping-particle":"","parse-names":false,"suffix":""},{"dropping-particle":"","family":"Troyanskaya","given":"Olga G","non-dropping-particle":"","parse-names":false,"suffix":""}],"container-title":"Nature genetics","id":"ITEM-3","issue":"6","issued":{"date-parts":[["2015","6"]]},"page":"569-76","title":"Understanding multicellular function and disease with human tissue-specific networks.","type":"article-journal","volume":"47"},"uris":["http://www.mendeley.com/documents/?uuid=2e72058f-b7bd-4923-b8b6-0c5b7cff9c4f","http://www.mendeley.com/documents/?uuid=c0251ef2-b47a-4d0e-ab69-78880d48c756"]}],"mendeley":{"formattedCitation":"(25–27)","plainTextFormattedCitation":"(25–27)","previouslyFormattedCitation":"(25–27)"},"properties":{"noteIndex":0},"schema":"https://github.com/citation-style-language/schema/raw/master/csl-citation.json"}</w:instrText>
      </w:r>
      <w:r>
        <w:rPr>
          <w:rFonts w:asciiTheme="minorHAnsi" w:hAnsiTheme="minorHAnsi" w:cstheme="minorHAnsi"/>
          <w:sz w:val="22"/>
          <w:szCs w:val="22"/>
        </w:rPr>
        <w:fldChar w:fldCharType="separate"/>
      </w:r>
      <w:r w:rsidRPr="00620042">
        <w:rPr>
          <w:rFonts w:asciiTheme="minorHAnsi" w:hAnsiTheme="minorHAnsi" w:cstheme="minorHAnsi"/>
          <w:noProof/>
          <w:sz w:val="22"/>
          <w:szCs w:val="22"/>
        </w:rPr>
        <w:t>(25–27)</w:t>
      </w:r>
      <w:r>
        <w:rPr>
          <w:rFonts w:asciiTheme="minorHAnsi" w:hAnsiTheme="minorHAnsi" w:cstheme="minorHAnsi"/>
          <w:sz w:val="22"/>
          <w:szCs w:val="22"/>
        </w:rPr>
        <w:fldChar w:fldCharType="end"/>
      </w:r>
      <w:r>
        <w:rPr>
          <w:rFonts w:asciiTheme="minorHAnsi" w:hAnsiTheme="minorHAnsi" w:cstheme="minorHAnsi"/>
          <w:sz w:val="22"/>
          <w:szCs w:val="22"/>
        </w:rPr>
        <w:t>. As a consequence, if the disease pathophysiology is known to occur within a defined tissue or set of tissues, it may be desirable to adopt tissue-specific molecular interaction networks in the study of a disease.</w:t>
      </w:r>
    </w:p>
    <w:p w14:paraId="70C7B5CB" w14:textId="77777777" w:rsidR="002B3A3C" w:rsidRDefault="002B3A3C" w:rsidP="002B3A3C">
      <w:pPr>
        <w:spacing w:after="0"/>
        <w:jc w:val="both"/>
      </w:pPr>
      <w:r>
        <w:t xml:space="preserve">In the present study, we adopt network medicine approaches to identify molecular networks with the optimal representation of skeletal muscle (SM) functional associations. MINs from a variety of predefined sources are compared based on the ability to capture muscle-relevant genes and gene ontology (GO) terms, tested in two different ways using two established biological network clustering algorithms, DIAMOnD </w:t>
      </w:r>
      <w:r>
        <w:fldChar w:fldCharType="begin" w:fldLock="1"/>
      </w:r>
      <w:r>
        <w:instrText>ADDIN CSL_CITATION {"citationItems":[{"id":"ITEM-1","itemData":{"DOI":"10.1371/journal.pcbi.1004120","ISSN":"1553-7358","author":[{"dropping-particle":"","family":"Ghiassian","given":"Susan Dina","non-dropping-particle":"","parse-names":false,"suffix":""},{"dropping-particle":"","family":"Menche","given":"J?rg","non-dropping-particle":"","parse-names":false,"suffix":""},{"dropping-particle":"","family":"Barab?si","given":"Albert-L?szl?","non-dropping-particle":"","parse-names":false,"suffix":""}],"container-title":"PLOS Computational Biology","editor":[{"dropping-particle":"","family":"Rzhetsky","given":"Andrey","non-dropping-particle":"","parse-names":false,"suffix":""}],"id":"ITEM-1","issue":"4","issued":{"date-parts":[["2015","4","8"]]},"page":"e1004120","title":"A DIseAse MOdule Detection (DIAMOnD) Algorithm Derived from a Systematic Analysis of Connectivity Patterns of Disease Proteins in the Human Interactome","type":"article-journal","volume":"11"},"uris":["http://www.mendeley.com/documents/?uuid=06f4b186-b4ad-4836-b34a-fb36beebe2b4"]}],"mendeley":{"formattedCitation":"(28)","plainTextFormattedCitation":"(28)","previouslyFormattedCitation":"(28)"},"properties":{"noteIndex":0},"schema":"https://github.com/citation-style-language/schema/raw/master/csl-citation.json"}</w:instrText>
      </w:r>
      <w:r>
        <w:fldChar w:fldCharType="separate"/>
      </w:r>
      <w:r w:rsidRPr="00276AB2">
        <w:rPr>
          <w:noProof/>
        </w:rPr>
        <w:t>(28)</w:t>
      </w:r>
      <w:r>
        <w:fldChar w:fldCharType="end"/>
      </w:r>
      <w:r>
        <w:t xml:space="preserve"> and DSD </w:t>
      </w:r>
      <w:r>
        <w:fldChar w:fldCharType="begin" w:fldLock="1"/>
      </w:r>
      <w:r>
        <w:instrText>ADDIN CSL_CITATION {"citationItems":[{"id":"ITEM-1","itemData":{"DOI":"10.1371/journal.pone.0076339","ISSN":"1932-6203","PMID":"24194834","abstract":"In protein-protein interaction (PPI) networks, functional similarity is often inferred based on the function of directly interacting proteins, or more generally, some notion of interaction network proximity among proteins in a local neighborhood. Prior methods typically measure proximity as the shortest-path distance in the network, but this has only a limited ability to capture fine-grained neighborhood distinctions, because most proteins are close to each other, and there are many ties in proximity. We introduce diffusion state distance (DSD), a new metric based on a graph diffusion property, designed to capture finer-grained distinctions in proximity for transfer of functional annotation in PPI networks. We present a tool that, when input a PPI network, will output the DSD distances between every pair of proteins. We show that replacing the shortest-path metric by DSD improves the performance of classical function prediction methods across the board.","author":[{"dropping-particle":"","family":"Cao","given":"Mengfei","non-dropping-particle":"","parse-names":false,"suffix":""},{"dropping-particle":"","family":"Zhang","given":"Hao","non-dropping-particle":"","parse-names":false,"suffix":""},{"dropping-particle":"","family":"Park","given":"Jisoo","non-dropping-particle":"","parse-names":false,"suffix":""},{"dropping-particle":"","family":"Daniels","given":"Noah M","non-dropping-particle":"","parse-names":false,"suffix":""},{"dropping-particle":"","family":"Crovella","given":"Mark E","non-dropping-particle":"","parse-names":false,"suffix":""},{"dropping-particle":"","family":"Cowen","given":"Lenore J","non-dropping-particle":"","parse-names":false,"suffix":""},{"dropping-particle":"","family":"Hescott","given":"Benjamin","non-dropping-particle":"","parse-names":false,"suffix":""}],"container-title":"PloS one","id":"ITEM-1","issue":"10","issued":{"date-parts":[["2013"]]},"page":"e76339","title":"Going the distance for protein function prediction: a new distance metric for protein interaction networks.","type":"article-journal","volume":"8"},"uris":["http://www.mendeley.com/documents/?uuid=9072ff0f-c2cd-41bc-96d6-ce24a03bd002"]},{"id":"ITEM-2","itemData":{"DOI":"10.1093/bioinformatics/btu263","ISSN":"1367-4811","PMID":"24931987","abstract":"MOTIVATION It has long been hypothesized that incorporating models of network noise as well as edge directions and known pathway information into the representation of protein-protein interaction (PPI) networks might improve their utility for functional inference. However, a simple way to do this has not been obvious. We find that diffusion state distance (DSD), our recent diffusion-based metric for measuring dissimilarity in PPI networks, has natural extensions that incorporate confidence, directions and can even express coherent pathways by calculating DSD on an augmented graph. RESULTS We define three incremental versions of DSD which we term cDSD, caDSD and capDSD, where the capDSD matrix incorporates confidence, known directed edges, and pathways into the measure of how similar each pair of nodes is according to the structure of the PPI network. We test four popular function prediction methods (majority vote, weighted majority vote, multi-way cut and functional flow) using these different matrices on the Baker's yeast PPI network in cross-validation. The best performing method is weighted majority vote using capDSD. We then test the performance of our augmented DSD methods on an integrated heterogeneous set of protein association edges from the STRING database. The superior performance of capDSD in this context confirms that treating the pathways as probabilistic units is more powerful than simply incorporating pathway edges independently into the network. AVAILABILITY All source code for calculating the confidences, for extracting pathway information from KEGG XML files, and for calculating the cDSD, caDSD and capDSD matrices are available from http://dsd.cs.tufts.edu/capdsd","author":[{"dropping-particle":"","family":"Cao","given":"Mengfei","non-dropping-particle":"","parse-names":false,"suffix":""},{"dropping-particle":"","family":"Pietras","given":"Christopher M","non-dropping-particle":"","parse-names":false,"suffix":""},{"dropping-particle":"","family":"Feng","given":"Xian","non-dropping-particle":"","parse-names":false,"suffix":""},{"dropping-particle":"","family":"Doroschak","given":"Kathryn J","non-dropping-particle":"","parse-names":false,"suffix":""},{"dropping-particle":"","family":"Schaffner","given":"Thomas","non-dropping-particle":"","parse-names":false,"suffix":""},{"dropping-particle":"","family":"Park","given":"Jisoo","non-dropping-particle":"","parse-names":false,"suffix":""},{"dropping-particle":"","family":"Zhang","given":"Hao","non-dropping-particle":"","parse-names":false,"suffix":""},{"dropping-particle":"","family":"Cowen","given":"Lenore J","non-dropping-particle":"","parse-names":false,"suffix":""},{"dropping-particle":"","family":"Hescott","given":"Benjamin J","non-dropping-particle":"","parse-names":false,"suffix":""}],"container-title":"Bioinformatics (Oxford, England)","id":"ITEM-2","issue":"12","issued":{"date-parts":[["2014","6"]]},"page":"i219-27","title":"New directions for diffusion-based network prediction of protein function: incorporating pathways with confidence.","type":"article-journal","volume":"30"},"uris":["http://www.mendeley.com/documents/?uuid=68b380e8-192a-44b6-9d2b-d0b24a8b0507"]}],"mendeley":{"formattedCitation":"(29,30)","plainTextFormattedCitation":"(29,30)","previouslyFormattedCitation":"(29,30)"},"properties":{"noteIndex":0},"schema":"https://github.com/citation-style-language/schema/raw/master/csl-citation.json"}</w:instrText>
      </w:r>
      <w:r>
        <w:fldChar w:fldCharType="separate"/>
      </w:r>
      <w:r w:rsidRPr="00276AB2">
        <w:rPr>
          <w:noProof/>
        </w:rPr>
        <w:t>(29,30)</w:t>
      </w:r>
      <w:r>
        <w:fldChar w:fldCharType="end"/>
      </w:r>
      <w:r>
        <w:t>. After identifying the best performing single-source molecular interaction networks, combined networks derived of different sources are then tested.</w:t>
      </w:r>
    </w:p>
    <w:p w14:paraId="38961054" w14:textId="77777777" w:rsidR="002B3A3C" w:rsidRDefault="002B3A3C" w:rsidP="002B3A3C">
      <w:pPr>
        <w:spacing w:after="0"/>
        <w:jc w:val="both"/>
        <w:rPr>
          <w:lang w:val="en"/>
        </w:rPr>
      </w:pPr>
      <w:r>
        <w:t xml:space="preserve"> </w:t>
      </w:r>
    </w:p>
    <w:p w14:paraId="6FFD296D" w14:textId="77777777" w:rsidR="002B3A3C" w:rsidRDefault="002B3A3C" w:rsidP="002B3A3C">
      <w:pPr>
        <w:pStyle w:val="Heading1"/>
        <w:jc w:val="both"/>
      </w:pPr>
      <w:r>
        <w:t>Materials and Methods</w:t>
      </w:r>
    </w:p>
    <w:p w14:paraId="5E2B1C4D" w14:textId="77777777" w:rsidR="002B3A3C" w:rsidRDefault="002B3A3C" w:rsidP="002B3A3C">
      <w:pPr>
        <w:spacing w:after="0"/>
        <w:jc w:val="both"/>
      </w:pPr>
    </w:p>
    <w:p w14:paraId="36E9B0C8" w14:textId="77777777" w:rsidR="002B3A3C" w:rsidRPr="00AC4916" w:rsidRDefault="002B3A3C" w:rsidP="002B3A3C">
      <w:pPr>
        <w:jc w:val="both"/>
        <w:rPr>
          <w:b/>
        </w:rPr>
      </w:pPr>
      <w:r w:rsidRPr="00AC4916">
        <w:rPr>
          <w:b/>
        </w:rPr>
        <w:t>Molecular Network data</w:t>
      </w:r>
    </w:p>
    <w:p w14:paraId="3E2FB755" w14:textId="77777777" w:rsidR="002B3A3C" w:rsidRDefault="002B3A3C" w:rsidP="002B3A3C">
      <w:pPr>
        <w:pStyle w:val="Heading3"/>
        <w:jc w:val="both"/>
        <w:rPr>
          <w:rFonts w:asciiTheme="minorHAnsi" w:eastAsiaTheme="minorHAnsi" w:hAnsiTheme="minorHAnsi" w:cstheme="minorBidi"/>
          <w:color w:val="auto"/>
          <w:sz w:val="22"/>
          <w:szCs w:val="22"/>
        </w:rPr>
      </w:pPr>
    </w:p>
    <w:p w14:paraId="47990714" w14:textId="77777777" w:rsidR="002B3A3C" w:rsidRDefault="002B3A3C" w:rsidP="002B3A3C">
      <w:pPr>
        <w:spacing w:after="0"/>
        <w:jc w:val="both"/>
      </w:pPr>
      <w:r>
        <w:t>To compare the performance of MINs, representing a mix of functional association types and tissue-specificity, an appropriate range of sources had to be selected. A summary of the MINs chosen for this step, their interaction type, source and network attributes can be found in Table 1. MINs containing large numbers of interactions can be computationally intensive to analyse. For this reason, for MINs with a large number of interactions, we have sorted the interactions by their interaction evidence score (i.e. edge weight) and taken the top 5,500,000 interactions as the largest network size. We also tested a range of edge weight cut-offs to examine the effect of edge evidence scores on network clustering. The results of clustering networks of varying edge score weight cut-off can be viewed in the supplementary materials (Figure S1). When selecting networks based on performance, priority was given to larger MINs as these contained the most interaction information, except if a smaller filtered network had a clear increase in performance with either DIAMOnD or DSD. As different network sources used varying methods to define edge weights, all network edge weights used in this study have been rescaled between 0 – 1, with 1 representing the interaction with the highest edge weight score for a given network, in order</w:t>
      </w:r>
      <w:r w:rsidRPr="00340223">
        <w:t xml:space="preserve"> </w:t>
      </w:r>
      <w:r>
        <w:t>to ensure that the different methods used to define edge weights would not bias the distance metrics applied by the clustering algorithms.</w:t>
      </w:r>
    </w:p>
    <w:p w14:paraId="54B163E1" w14:textId="77777777" w:rsidR="002B3A3C" w:rsidRPr="0002037F" w:rsidRDefault="002B3A3C" w:rsidP="002B3A3C">
      <w:pPr>
        <w:spacing w:after="0"/>
        <w:jc w:val="both"/>
      </w:pPr>
    </w:p>
    <w:p w14:paraId="345191DF" w14:textId="77777777" w:rsidR="002B3A3C" w:rsidRPr="00AC4916" w:rsidRDefault="002B3A3C" w:rsidP="002B3A3C">
      <w:pPr>
        <w:jc w:val="both"/>
        <w:rPr>
          <w:b/>
        </w:rPr>
      </w:pPr>
      <w:r w:rsidRPr="00AC4916">
        <w:rPr>
          <w:b/>
        </w:rPr>
        <w:t>Physical Interaction data</w:t>
      </w:r>
    </w:p>
    <w:p w14:paraId="3855D767" w14:textId="77777777" w:rsidR="002B3A3C" w:rsidRDefault="002B3A3C" w:rsidP="002B3A3C">
      <w:pPr>
        <w:spacing w:after="0"/>
        <w:jc w:val="both"/>
      </w:pPr>
      <w:r>
        <w:t>To use as a PPI network</w:t>
      </w:r>
      <w:r w:rsidRPr="00CA1823">
        <w:t xml:space="preserve"> </w:t>
      </w:r>
      <w:r>
        <w:t>(tissue-generic), we downloaded the full protein interaction network from the STRING database v10.5 (</w:t>
      </w:r>
      <w:hyperlink r:id="rId34" w:history="1">
        <w:r w:rsidRPr="005D395C">
          <w:rPr>
            <w:rStyle w:val="Hyperlink"/>
          </w:rPr>
          <w:t>https://string-db.org/</w:t>
        </w:r>
      </w:hyperlink>
      <w:r>
        <w:t xml:space="preserve">) for </w:t>
      </w:r>
      <w:r w:rsidRPr="00E04B7B">
        <w:rPr>
          <w:i/>
          <w:iCs/>
        </w:rPr>
        <w:t>Homo sapiens</w:t>
      </w:r>
      <w:r>
        <w:t xml:space="preserve">. STRING integrates known and predicted protein-protein interactions for both direct (physical) and indirect (functional) associations, and converges multiple resources and evidence streams to define a confidence score for a given PPI. These include data from genomic context predictions, high-throughput lab experiments, gene co-expression, automated text mining of published literature and previous knowledge databases </w:t>
      </w:r>
      <w:r>
        <w:fldChar w:fldCharType="begin" w:fldLock="1"/>
      </w:r>
      <w:r>
        <w:instrText>ADDIN CSL_CITATION {"citationItems":[{"id":"ITEM-1","itemData":{"DOI":"10.1093/nar/gku1003","ISSN":"1362-4962","PMID":"25352553","abstract":"The many functional partnerships and interactions that occur between proteins are at the core of cellular processing and their systematic characterization helps to provide context in molecular systems biology. However, known and predicted interactions are scattered over multiple resources, and the available data exhibit notable differences in terms of quality and completeness. The STRING database (http://string-db.org) aims to provide a critical assessment and integration of protein-protein interactions, including direct (physical) as well as indirect (functional) associations. The new version 10.0 of STRING covers more than 2000 organisms, which has necessitated novel, scalable algorithms for transferring interaction information between organisms. For this purpose, we have introduced hierarchical and self-consistent orthology annotations for all interacting proteins, grouping the proteins into families at various levels of phylogenetic resolution. Further improvements in version 10.0 include a completely redesigned prediction pipeline for inferring protein-protein associations from co-expression data, an API interface for the R computing environment and improved statistical analysis for enrichment tests in user-provided networks.","author":[{"dropping-particle":"","family":"Szklarczyk","given":"Damian","non-dropping-particle":"","parse-names":false,"suffix":""},{"dropping-particle":"","family":"Franceschini","given":"Andrea","non-dropping-particle":"","parse-names":false,"suffix":""},{"dropping-particle":"","family":"Wyder","given":"Stefan","non-dropping-particle":"","parse-names":false,"suffix":""},{"dropping-particle":"","family":"Forslund","given":"Kristoffer","non-dropping-particle":"","parse-names":false,"suffix":""},{"dropping-particle":"","family":"Heller","given":"Davide","non-dropping-particle":"","parse-names":false,"suffix":""},{"dropping-particle":"","family":"Huerta-Cepas","given":"Jaime","non-dropping-particle":"","parse-names":false,"suffix":""},{"dropping-particle":"","family":"Simonovic","given":"Milan","non-dropping-particle":"","parse-names":false,"suffix":""},{"dropping-particle":"","family":"Roth","given":"Alexander","non-dropping-particle":"","parse-names":false,"suffix":""},{"dropping-particle":"","family":"Santos","given":"Alberto","non-dropping-particle":"","parse-names":false,"suffix":""},{"dropping-particle":"","family":"Tsafou","given":"Kalliopi P","non-dropping-particle":"","parse-names":false,"suffix":""},{"dropping-particle":"","family":"Kuhn","given":"Michael","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research","id":"ITEM-1","issue":"Database issue","issued":{"date-parts":[["2015","1"]]},"page":"D447-52","title":"STRING v10: protein-protein interaction networks, integrated over the tree of life.","type":"article-journal","volume":"43"},"uris":["http://www.mendeley.com/documents/?uuid=5e386ded-58e4-4303-8c24-f46efb13fe4a","http://www.mendeley.com/documents/?uuid=5acac14c-15a4-465e-98cc-fb2a55f0c711"]},{"id":"ITEM-2","itemData":{"DOI":"10.1093/nar/gkw937","ISSN":"1362-4962","PMID":"27924014","abstract":"A system-wide understanding of cellular function requires knowledge of all functional interactions between the expressed proteins. The STRING database aims to collect and integrate this information, by consolidating known and predicted protein-protein association data for a large number of organisms. The associations in STRING include direct (physical) interactions, as well as indirect (functional) interactions, as long as both are specific and biologically meaningful. Apart from collecting and reassessing available experimental data on protein-protein interactions, and importing known pathways and protein complexes from curated databases, interaction predictions are derived from the following sources: (i) systematic co-expression analysis, (ii) detection of shared selective signals across genomes, (iii) automated text-mining of the scientific literature and (iv) computational transfer of interaction knowledge between organisms based on gene orthology. In the latest version 10.5 of STRING, the biggest changes are concerned with data dissemination: the web frontend has been completely redesigned to reduce dependency on outdated browser technologies, and the database can now also be queried from inside the popular Cytoscape software framework. Further improvements include automated background analysis of user inputs for functional enrichments, and streamlined download options. The STRING resource is available online, at http://string-db.org/.","author":[{"dropping-particle":"","family":"Szklarczyk","given":"Damian","non-dropping-particle":"","parse-names":false,"suffix":""},{"dropping-particle":"","family":"Morris","given":"John H","non-dropping-particle":"","parse-names":false,"suffix":""},{"dropping-particle":"","family":"Cook","given":"Helen","non-dropping-particle":"","parse-names":false,"suffix":""},{"dropping-particle":"","family":"Kuhn","given":"Michael","non-dropping-particle":"","parse-names":false,"suffix":""},{"dropping-particle":"","family":"Wyder","given":"Stefan","non-dropping-particle":"","parse-names":false,"suffix":""},{"dropping-particle":"","family":"Simonovic","given":"Milan","non-dropping-particle":"","parse-names":false,"suffix":""},{"dropping-particle":"","family":"Santos","given":"Alberto","non-dropping-particle":"","parse-names":false,"suffix":""},{"dropping-particle":"","family":"Doncheva","given":"Nadezhda T","non-dropping-particle":"","parse-names":false,"suffix":""},{"dropping-particle":"","family":"Roth","given":"Alexander","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research","id":"ITEM-2","issue":"D1","issued":{"date-parts":[["2017"]]},"page":"D362-D368","title":"The STRING database in 2017: quality-controlled protein-protein association networks, made broadly accessible.","type":"article-journal","volume":"45"},"uris":["http://www.mendeley.com/documents/?uuid=72f1cb60-7f26-4d8a-9ea2-894443cb741c"]}],"mendeley":{"formattedCitation":"(31,32)","plainTextFormattedCitation":"(31,32)","previouslyFormattedCitation":"(31,32)"},"properties":{"noteIndex":0},"schema":"https://github.com/citation-style-language/schema/raw/master/csl-citation.json"}</w:instrText>
      </w:r>
      <w:r>
        <w:fldChar w:fldCharType="separate"/>
      </w:r>
      <w:r w:rsidRPr="00276AB2">
        <w:rPr>
          <w:noProof/>
        </w:rPr>
        <w:t>(31,32)</w:t>
      </w:r>
      <w:r>
        <w:fldChar w:fldCharType="end"/>
      </w:r>
      <w:r>
        <w:t>.  The STRING network contains protein interactions in the Ensembl Protein identifier format. Updates to Ensembl are more frequent than to STRING, so that numerous Ensembl Protein identifiers contained in the network download have been made redundant or have been updated to a new identifier. To account for this, we mapped all Ensembl Protein identifiers to their current identifier or removed those that have been made redundant via the Ensembl ID History Converter (</w:t>
      </w:r>
      <w:hyperlink r:id="rId35" w:history="1">
        <w:r w:rsidRPr="001105BD">
          <w:rPr>
            <w:rStyle w:val="Hyperlink"/>
          </w:rPr>
          <w:t>http://www.ensembl.org/Homo_sapiens/Tools/IDMapper</w:t>
        </w:r>
      </w:hyperlink>
      <w:r>
        <w:t>). We updated all Ensembl protein identifiers to be aligned to the Ensembl 98 release. Ensembl protein identifiers distinguish isoforms, so that there may be multiple identifiers for a given gene. Since we are working at the gene or pathway level, we converted the STRING network Ensembl protein identifiers to their equivalent HGNC symbols, using the Biomart Ensembl web interface (</w:t>
      </w:r>
      <w:hyperlink r:id="rId36" w:history="1">
        <w:r w:rsidRPr="001105BD">
          <w:rPr>
            <w:rStyle w:val="Hyperlink"/>
          </w:rPr>
          <w:t>https://m.ensembl.org/biomart/martview/</w:t>
        </w:r>
      </w:hyperlink>
      <w:r>
        <w:t xml:space="preserve">) </w:t>
      </w:r>
      <w:r>
        <w:fldChar w:fldCharType="begin" w:fldLock="1"/>
      </w:r>
      <w:r>
        <w:instrText>ADDIN CSL_CITATION {"citationItems":[{"id":"ITEM-1","itemData":{"DOI":"10.1093/nar/gkv350","ISSN":"1362-4962","PMID":"25897122","abstract":"The BioMart Community Portal (www.biomart.org) is a community-driven effort to provide a unified interface to biomedical databases that are distributed worldwide. The portal provides access to numerous database projects supported by 30 scientific organizations. It includes over 800 different biological datasets spanning genomics, proteomics, model organisms, cancer data, ontology information and more. All resources available through the portal are independently administered and funded by their host organizations. The BioMart data federation technology provides a unified interface to all the available data. The latest version of the portal comes with many new databases that have been created by our ever-growing community. It also comes with better support and extensibility for data analysis and visualization tools. A new addition to our toolbox, the enrichment analysis tool is now accessible through graphical and web service interface. The BioMart community portal averages over one million requests per day. Building on this level of service and the wealth of information that has become available, the BioMart Community Portal has introduced a new, more scalable and cheaper alternative to the large data stores maintained by specialized organizations.","author":[{"dropping-particle":"","family":"Smedley","given":"Damian","non-dropping-particle":"","parse-names":false,"suffix":""},{"dropping-particle":"","family":"Haider","given":"Syed","non-dropping-particle":"","parse-names":false,"suffix":""},{"dropping-particle":"","family":"Durinck","given":"Steffen","non-dropping-particle":"","parse-names":false,"suffix":""},{"dropping-particle":"","family":"Pandini","given":"Luca","non-dropping-particle":"","parse-names":false,"suffix":""},{"dropping-particle":"","family":"Provero","given":"Paolo","non-dropping-particle":"","parse-names":false,"suffix":""},{"dropping-particle":"","family":"Allen","given":"James","non-dropping-particle":"","parse-names":false,"suffix":""},{"dropping-particle":"","family":"Arnaiz","given":"Olivier","non-dropping-particle":"","parse-names":false,"suffix":""},{"dropping-particle":"","family":"Awedh","given":"Mohammad Hamza","non-dropping-particle":"","parse-names":false,"suffix":""},{"dropping-particle":"","family":"Baldock","given":"Richard","non-dropping-particle":"","parse-names":false,"suffix":""},{"dropping-particle":"","family":"Barbiera","given":"Giulia","non-dropping-particle":"","parse-names":false,"suffix":""},{"dropping-particle":"","family":"Bardou","given":"Philippe","non-dropping-particle":"","parse-names":false,"suffix":""},{"dropping-particle":"","family":"Beck","given":"Tim","non-dropping-particle":"","parse-names":false,"suffix":""},{"dropping-particle":"","family":"Blake","given":"Andrew","non-dropping-particle":"","parse-names":false,"suffix":""},{"dropping-particle":"","family":"Bonierbale","given":"Merideth","non-dropping-particle":"","parse-names":false,"suffix":""},{"dropping-particle":"","family":"Brookes","given":"Anthony J","non-dropping-particle":"","parse-names":false,"suffix":""},{"dropping-particle":"","family":"Bucci","given":"Gabriele","non-dropping-particle":"","parse-names":false,"suffix":""},{"dropping-particle":"","family":"Buetti","given":"Iwan","non-dropping-particle":"","parse-names":false,"suffix":""},{"dropping-particle":"","family":"Burge","given":"Sarah","non-dropping-particle":"","parse-names":false,"suffix":""},{"dropping-particle":"","family":"Cabau","given":"Cédric","non-dropping-particle":"","parse-names":false,"suffix":""},{"dropping-particle":"","family":"Carlson","given":"Joseph W","non-dropping-particle":"","parse-names":false,"suffix":""},{"dropping-particle":"","family":"Chelala","given":"Claude","non-dropping-particle":"","parse-names":false,"suffix":""},{"dropping-particle":"","family":"Chrysostomou","given":"Charalambos","non-dropping-particle":"","parse-names":false,"suffix":""},{"dropping-particle":"","family":"Cittaro","given":"Davide","non-dropping-particle":"","parse-names":false,"suffix":""},{"dropping-particle":"","family":"Collin","given":"Olivier","non-dropping-particle":"","parse-names":false,"suffix":""},{"dropping-particle":"","family":"Cordova","given":"Raul","non-dropping-particle":"","parse-names":false,"suffix":""},{"dropping-particle":"","family":"Cutts","given":"Rosalind J","non-dropping-particle":"","parse-names":false,"suffix":""},{"dropping-particle":"","family":"Dassi","given":"Erik","non-dropping-particle":"","parse-names":false,"suffix":""},{"dropping-particle":"","family":"Genova","given":"Alex","non-dropping-particle":"Di","parse-names":false,"suffix":""},{"dropping-particle":"","family":"Djari","given":"Anis","non-dropping-particle":"","parse-names":false,"suffix":""},{"dropping-particle":"","family":"Esposito","given":"Anthony","non-dropping-particle":"","parse-names":false,"suffix":""},{"dropping-particle":"","family":"Estrella","given":"Heather","non-dropping-particle":"","parse-names":false,"suffix":""},{"dropping-particle":"","family":"Eyras","given":"Eduardo","non-dropping-particle":"","parse-names":false,"suffix":""},{"dropping-particle":"","family":"Fernandez-Banet","given":"Julio","non-dropping-particle":"","parse-names":false,"suffix":""},{"dropping-particle":"","family":"Forbes","given":"Simon","non-dropping-particle":"","parse-names":false,"suffix":""},{"dropping-particle":"","family":"Free","given":"Robert C","non-dropping-particle":"","parse-names":false,"suffix":""},{"dropping-particle":"","family":"Fujisawa","given":"Takatomo","non-dropping-particle":"","parse-names":false,"suffix":""},{"dropping-particle":"","family":"Gadaleta","given":"Emanuela","non-dropping-particle":"","parse-names":false,"suffix":""},{"dropping-particle":"","family":"Garcia-Manteiga","given":"Jose M","non-dropping-particle":"","parse-names":false,"suffix":""},{"dropping-particle":"","family":"Goodstein","given":"David","non-dropping-particle":"","parse-names":false,"suffix":""},{"dropping-particle":"","family":"Gray","given":"Kristian","non-dropping-particle":"","parse-names":false,"suffix":""},{"dropping-particle":"","family":"Guerra-Assunção","given":"José Afonso","non-dropping-particle":"","parse-names":false,"suffix":""},{"dropping-particle":"","family":"Haggarty","given":"Bernard","non-dropping-particle":"","parse-names":false,"suffix":""},{"dropping-particle":"","family":"Han","given":"Dong-Jin","non-dropping-particle":"","parse-names":false,"suffix":""},{"dropping-particle":"","family":"Han","given":"Byung Woo","non-dropping-particle":"","parse-names":false,"suffix":""},{"dropping-particle":"","family":"Harris","given":"Todd","non-dropping-particle":"","parse-names":false,"suffix":""},{"dropping-particle":"","family":"Harshbarger","given":"Jayson","non-dropping-particle":"","parse-names":false,"suffix":""},{"dropping-particle":"","family":"Hastings","given":"Robert K","non-dropping-particle":"","parse-names":false,"suffix":""},{"dropping-particle":"","family":"Hayes","given":"Richard D","non-dropping-particle":"","parse-names":false,"suffix":""},{"dropping-particle":"","family":"Hoede","given":"Claire","non-dropping-particle":"","parse-names":false,"suffix":""},{"dropping-particle":"","family":"Hu","given":"Shen","non-dropping-particle":"","parse-names":false,"suffix":""},{"dropping-particle":"","family":"Hu","given":"Zhi-Liang","non-dropping-particle":"","parse-names":false,"suffix":""},{"dropping-particle":"","family":"Hutchins","given":"Lucie","non-dropping-particle":"","parse-names":false,"suffix":""},{"dropping-particle":"","family":"Kan","given":"Zhengyan","non-dropping-particle":"","parse-names":false,"suffix":""},{"dropping-particle":"","family":"Kawaji","given":"Hideya","non-dropping-particle":"","parse-names":false,"suffix":""},{"dropping-particle":"","family":"Keliet","given":"Aminah","non-dropping-particle":"","parse-names":false,"suffix":""},{"dropping-particle":"","family":"Kerhornou","given":"Arnaud","non-dropping-particle":"","parse-names":false,"suffix":""},{"dropping-particle":"","family":"Kim","given":"Sunghoon","non-dropping-particle":"","parse-names":false,"suffix":""},{"dropping-particle":"","family":"Kinsella","given":"Rhoda","non-dropping-particle":"","parse-names":false,"suffix":""},{"dropping-particle":"","family":"Klopp","given":"Christophe","non-dropping-particle":"","parse-names":false,"suffix":""},{"dropping-particle":"","family":"Kong","given":"Lei","non-dropping-particle":"","parse-names":false,"suffix":""},{"dropping-particle":"","family":"Lawson","given":"Daniel","non-dropping-particle":"","parse-names":false,"suffix":""},{"dropping-particle":"","family":"Lazarevic","given":"Dejan","non-dropping-particle":"","parse-names":false,"suffix":""},{"dropping-particle":"","family":"Lee","given":"Ji-Hyun","non-dropping-particle":"","parse-names":false,"suffix":""},{"dropping-particle":"","family":"Letellier","given":"Thomas","non-dropping-particle":"","parse-names":false,"suffix":""},{"dropping-particle":"","family":"Li","given":"Chuan-Yun","non-dropping-particle":"","parse-names":false,"suffix":""},{"dropping-particle":"","family":"Lio","given":"Pietro","non-dropping-particle":"","parse-names":false,"suffix":""},{"dropping-particle":"","family":"Liu","given":"Chu-Jun","non-dropping-particle":"","parse-names":false,"suffix":""},{"dropping-particle":"","family":"Luo","given":"Jie","non-dropping-particle":"","parse-names":false,"suffix":""},{"dropping-particle":"","family":"Maass","given":"Alejandro","non-dropping-particle":"","parse-names":false,"suffix":""},{"dropping-particle":"","family":"Mariette","given":"Jerome","non-dropping-particle":"","parse-names":false,"suffix":""},{"dropping-particle":"","family":"Maurel","given":"Thomas","non-dropping-particle":"","parse-names":false,"suffix":""},{"dropping-particle":"","family":"Merella","given":"Stefania","non-dropping-particle":"","parse-names":false,"suffix":""},{"dropping-particle":"","family":"Mohamed","given":"Azza Mostafa","non-dropping-particle":"","parse-names":false,"suffix":""},{"dropping-particle":"","family":"Moreews","given":"Francois","non-dropping-particle":"","parse-names":false,"suffix":""},{"dropping-particle":"","family":"Nabihoudine","given":"Ibounyamine","non-dropping-particle":"","parse-names":false,"suffix":""},{"dropping-particle":"","family":"Ndegwa","given":"Nelson","non-dropping-particle":"","parse-names":false,"suffix":""},{"dropping-particle":"","family":"Noirot","given":"Céline","non-dropping-particle":"","parse-names":false,"suffix":""},{"dropping-particle":"","family":"Perez-Llamas","given":"Cristian","non-dropping-particle":"","parse-names":false,"suffix":""},{"dropping-particle":"","family":"Primig","given":"Michael","non-dropping-particle":"","parse-names":false,"suffix":""},{"dropping-particle":"","family":"Quattrone","given":"Alessandro","non-dropping-particle":"","parse-names":false,"suffix":""},{"dropping-particle":"","family":"Quesneville","given":"Hadi","non-dropping-particle":"","parse-names":false,"suffix":""},{"dropping-particle":"","family":"Rambaldi","given":"Davide","non-dropping-particle":"","parse-names":false,"suffix":""},{"dropping-particle":"","family":"Reecy","given":"James","non-dropping-particle":"","parse-names":false,"suffix":""},{"dropping-particle":"","family":"Riba","given":"Michela","non-dropping-particle":"","parse-names":false,"suffix":""},{"dropping-particle":"","family":"Rosanoff","given":"Steven","non-dropping-particle":"","parse-names":false,"suffix":""},{"dropping-particle":"","family":"Saddiq","given":"Amna Ali","non-dropping-particle":"","parse-names":false,"suffix":""},{"dropping-particle":"","family":"Salas","given":"Elisa","non-dropping-particle":"","parse-names":false,"suffix":""},{"dropping-particle":"","family":"Sallou","given":"Olivier","non-dropping-particle":"","parse-names":false,"suffix":""},{"dropping-particle":"","family":"Shepherd","given":"Rebecca","non-dropping-particle":"","parse-names":false,"suffix":""},{"dropping-particle":"","family":"Simon","given":"Reinhard","non-dropping-particle":"","parse-names":false,"suffix":""},{"dropping-particle":"","family":"Sperling","given":"Linda","non-dropping-particle":"","parse-names":false,"suffix":""},{"dropping-particle":"","family":"Spooner","given":"William","non-dropping-particle":"","parse-names":false,"suffix":""},{"dropping-particle":"","family":"Staines","given":"Daniel M","non-dropping-particle":"","parse-names":false,"suffix":""},{"dropping-particle":"","family":"Steinbach","given":"Delphine","non-dropping-particle":"","parse-names":false,"suffix":""},{"dropping-particle":"","family":"Stone","given":"Kevin","non-dropping-particle":"","parse-names":false,"suffix":""},{"dropping-particle":"","family":"Stupka","given":"Elia","non-dropping-particle":"","parse-names":false,"suffix":""},{"dropping-particle":"","family":"Teague","given":"Jon W","non-dropping-particle":"","parse-names":false,"suffix":""},{"dropping-particle":"","family":"Dayem Ullah","given":"Abu Z","non-dropping-particle":"","parse-names":false,"suffix":""},{"dropping-particle":"","family":"Wang","given":"Jun","non-dropping-particle":"","parse-names":false,"suffix":""},{"dropping-particle":"","family":"Ware","given":"Doreen","non-dropping-particle":"","parse-names":false,"suffix":""},{"dropping-particle":"","family":"Wong-Erasmus","given":"Marie","non-dropping-particle":"","parse-names":false,"suffix":""},{"dropping-particle":"","family":"Youens-Clark","given":"Ken","non-dropping-particle":"","parse-names":false,"suffix":""},{"dropping-particle":"","family":"Zadissa","given":"Amonida","non-dropping-particle":"","parse-names":false,"suffix":""},{"dropping-particle":"","family":"Zhang","given":"Shi-Jian","non-dropping-particle":"","parse-names":false,"suffix":""},{"dropping-particle":"","family":"Kasprzyk","given":"Arek","non-dropping-particle":"","parse-names":false,"suffix":""}],"container-title":"Nucleic acids research","id":"ITEM-1","issue":"W1","issued":{"date-parts":[["2015","7"]]},"page":"W589-98","title":"The BioMart community portal: an innovative alternative to large, centralized data repositories.","type":"article-journal","volume":"43"},"uris":["http://www.mendeley.com/documents/?uuid=615f2331-66d7-4c3e-b111-0deaf81ffee3","http://www.mendeley.com/documents/?uuid=23fb6061-bf2b-4942-bc68-fdb57988ff09"]}],"mendeley":{"formattedCitation":"(33)","plainTextFormattedCitation":"(33)","previouslyFormattedCitation":"(33)"},"properties":{"noteIndex":0},"schema":"https://github.com/citation-style-language/schema/raw/master/csl-citation.json"}</w:instrText>
      </w:r>
      <w:r>
        <w:fldChar w:fldCharType="separate"/>
      </w:r>
      <w:r w:rsidRPr="00276AB2">
        <w:rPr>
          <w:noProof/>
        </w:rPr>
        <w:t>(33)</w:t>
      </w:r>
      <w:r>
        <w:fldChar w:fldCharType="end"/>
      </w:r>
      <w:r>
        <w:t>, producing a gene level representation of the STRING network. The STRING edge confidence scores are on a scale between 0 – 1000, with 1000 representing the maximum confidence of an interaction occurring, based on various sources of evidence. The edge weights were rescaled between 0 – 1 to ensure consistent edge weights for all networks in the study. The edge-weight filtered, gene-mapped, and edge-weight scaled network was used in the subsequent analysis. Three variations of the STRING network were used: the full network of ~5.5 million interaction (“STRING 5mil”), the top 2 million interaction by evidence score (“STRING 2mil”), and the top 800,000 interactions by evidence score (“STRING 0.8mil”).</w:t>
      </w:r>
    </w:p>
    <w:p w14:paraId="50355785" w14:textId="77777777" w:rsidR="002B3A3C" w:rsidRDefault="002B3A3C" w:rsidP="002B3A3C">
      <w:pPr>
        <w:spacing w:after="0"/>
        <w:jc w:val="both"/>
      </w:pPr>
    </w:p>
    <w:p w14:paraId="296B5FA3" w14:textId="77777777" w:rsidR="002B3A3C" w:rsidRDefault="002B3A3C" w:rsidP="002B3A3C">
      <w:pPr>
        <w:spacing w:after="0"/>
        <w:jc w:val="both"/>
      </w:pPr>
      <w:r>
        <w:t xml:space="preserve">A second PPI network was IID </w:t>
      </w:r>
      <w:r>
        <w:fldChar w:fldCharType="begin" w:fldLock="1"/>
      </w:r>
      <w:r>
        <w:instrText xml:space="preserve">ADDIN CSL_CITATION {"citationItems":[{"id":"ITEM-1","itemData":{"DOI":"10.1093/nar/gky1037","ISSN":"1362-4962","PMID":"30407591","abstract":"Knowing the set of physical protein-protein interactions (PPIs) that occur in a particular context-a tissue, disease, or other condition-can provide valuable insights into key research questions. However, while the number of identified human PPIs is expanding rapidly, context information remains limited, and for most non-human species context-specific networks are completely unavailable. The Integrated Interactions Database (IID) provides one of the most comprehensive sets of context-specific human PPI networks, including networks for 133 tissues, 91 disease conditions, and many other contexts. Importantly, it also provides context-specific networks for 17 non-human species including model organisms and domesticated animals. These species are vitally important for drug discovery and agriculture. IID integrates interactions from multiple databases and datasets. It comprises over 4.8 million PPIs annotated with several types of context: tissues, subcellular localizations, diseases, and druggability information (the latter three are new annotations not available in the previous version). This update increases the number of species from 6 to 18, the number of PPIs from </w:instrText>
      </w:r>
      <w:r>
        <w:rPr>
          <w:rFonts w:ascii="Cambria Math" w:hAnsi="Cambria Math" w:cs="Cambria Math"/>
        </w:rPr>
        <w:instrText>∼</w:instrText>
      </w:r>
      <w:r>
        <w:instrText xml:space="preserve">1.5 million to </w:instrText>
      </w:r>
      <w:r>
        <w:rPr>
          <w:rFonts w:ascii="Cambria Math" w:hAnsi="Cambria Math" w:cs="Cambria Math"/>
        </w:rPr>
        <w:instrText>∼</w:instrText>
      </w:r>
      <w:r>
        <w:instrText>4.8 million, and the number of tissues from 30 to 133. IID also now supports topology and enrichment analyses of returned networks. IID is available at http://ophid.utoronto.ca/iid.","author":[{"dropping-particle":"","family":"Kotlyar","given":"Max","non-dropping-particle":"","parse-names":false,"suffix":""},{"dropping-particle":"","family":"Pastrello","given":"Chiara","non-dropping-particle":"","parse-names":false,"suffix":""},{"dropping-particle":"","family":"Malik","given":"Zara","non-dropping-particle":"","parse-names":false,"suffix":""},{"dropping-particle":"","family":"Jurisica","given":"Igor","non-dropping-particle":"","parse-names":false,"suffix":""}],"container-title":"Nucleic acids research","id":"ITEM-1","issue":"D1","issued":{"date-parts":[["2019"]]},"page":"D581-D589","title":"IID 2018 update: context-specific physical protein-protein interactions in human, model organisms and domesticated species.","type":"article-journal","volume":"47"},"uris":["http://www.mendeley.com/documents/?uuid=0be72fda-d0f3-4f9f-b88d-aa39937a8d73"]}],"mendeley":{"formattedCitation":"(34)","plainTextFormattedCitation":"(34)","previouslyFormattedCitation":"(34)"},"properties":{"noteIndex":0},"schema":"https://github.com/citation-style-language/schema/raw/master/csl-citation.json"}</w:instrText>
      </w:r>
      <w:r>
        <w:fldChar w:fldCharType="separate"/>
      </w:r>
      <w:r w:rsidRPr="00276AB2">
        <w:rPr>
          <w:noProof/>
        </w:rPr>
        <w:t>(34)</w:t>
      </w:r>
      <w:r>
        <w:fldChar w:fldCharType="end"/>
      </w:r>
      <w:r>
        <w:t xml:space="preserve">, which provides a set of context-specific human PPI networks for human tissues and diseases sourced mainly from curated PPI databases and predicted protein interactions. In that resource, gene expression profiles for tissues were determined from 20 gene expression datasets downloaded from NCBI GEO and a PPI was considered tissue-specific if the two encoding genes were expressed in a tissue above a desired threshold of mas5 normalized expression &gt;= 200 </w:t>
      </w:r>
      <w:r>
        <w:fldChar w:fldCharType="begin" w:fldLock="1"/>
      </w:r>
      <w:r>
        <w:instrText xml:space="preserve">ADDIN CSL_CITATION {"citationItems":[{"id":"ITEM-1","itemData":{"DOI":"10.1093/nar/gky1037","ISSN":"1362-4962","PMID":"30407591","abstract":"Knowing the set of physical protein-protein interactions (PPIs) that occur in a particular context-a tissue, disease, or other condition-can provide valuable insights into key research questions. However, while the number of identified human PPIs is expanding rapidly, context information remains limited, and for most non-human species context-specific networks are completely unavailable. The Integrated Interactions Database (IID) provides one of the most comprehensive sets of context-specific human PPI networks, including networks for 133 tissues, 91 disease conditions, and many other contexts. Importantly, it also provides context-specific networks for 17 non-human species including model organisms and domesticated animals. These species are vitally important for drug discovery and agriculture. IID integrates interactions from multiple databases and datasets. It comprises over 4.8 million PPIs annotated with several types of context: tissues, subcellular localizations, diseases, and druggability information (the latter three are new annotations not available in the previous version). This update increases the number of species from 6 to 18, the number of PPIs from </w:instrText>
      </w:r>
      <w:r>
        <w:rPr>
          <w:rFonts w:ascii="Cambria Math" w:hAnsi="Cambria Math" w:cs="Cambria Math"/>
        </w:rPr>
        <w:instrText>∼</w:instrText>
      </w:r>
      <w:r>
        <w:instrText xml:space="preserve">1.5 million to </w:instrText>
      </w:r>
      <w:r>
        <w:rPr>
          <w:rFonts w:ascii="Cambria Math" w:hAnsi="Cambria Math" w:cs="Cambria Math"/>
        </w:rPr>
        <w:instrText>∼</w:instrText>
      </w:r>
      <w:r>
        <w:instrText>4.8 million, and the number of tissues from 30 to 133. IID also now supports topology and enrichment analyses of returned networks. IID is available at http://ophid.utoronto.ca/iid.","author":[{"dropping-particle":"","family":"Kotlyar","given":"Max","non-dropping-particle":"","parse-names":false,"suffix":""},{"dropping-particle":"","family":"Pastrello","given":"Chiara","non-dropping-particle":"","parse-names":false,"suffix":""},{"dropping-particle":"","family":"Malik","given":"Zara","non-dropping-particle":"","parse-names":false,"suffix":""},{"dropping-particle":"","family":"Jurisica","given":"Igor","non-dropping-particle":"","parse-names":false,"suffix":""}],"container-title":"Nucleic acids research","id":"ITEM-1","issue":"D1","issued":{"date-parts":[["2019"]]},"page":"D581-D589","title":"IID 2018 update: context-specific physical protein-protein interactions in human, model organisms and domesticated species.","type":"article-journal","volume":"47"},"uris":["http://www.mendeley.com/documents/?uuid=17847354-6329-401e-99f3-9c8d83ffbe31","http://www.mendeley.com/documents/?uuid=0be72fda-d0f3-4f9f-b88d-aa39937a8d73"]},{"id":"ITEM-2","itemData":{"DOI":"10.1007/978-1-4939-3578-9_5","ISSN":"10643745","PMID":"27008011","abstract":"The Gene Expression Omnibus (GEO) database is an international public repository that archives and freely distributes high-throughput gene expression and other functional genomics data sets. Created in 2000 as a worldwide resource for gene expression studies, GEO has evolved with rapidly changing technologies and now accepts high-throughput data for many other data applications, including those that examine genome methylation, chromatin structure, and genome–protein interactions. GEO supports community-derived reporting standards that specify provision of several critical study elements including raw data, processed data, and descriptive metadata. The database not only provides access to data for tens of thousands of studies, but also offers various Web-based tools and strategies that enable users to locate data relevant to their specific interests, as well as to visualize and analyze the data. This chapter includes detailed descriptions of methods to query and download GEO data and use the analysis and visualization tools. The GEO homepage is at http://www.ncbi.nlm.nih.gov/geo/.","author":[{"dropping-particle":"","family":"Clough","given":"Emily","non-dropping-particle":"","parse-names":false,"suffix":""},{"dropping-particle":"","family":"Barrett","given":"Tanya","non-dropping-particle":"","parse-names":false,"suffix":""}],"container-title":"Methods in Molecular Biology","id":"ITEM-2","issued":{"date-parts":[["2016"]]},"page":"93-110","title":"The Gene Expression Omnibus database","type":"chapter","volume":"1418"},"uris":["http://www.mendeley.com/documents/?uuid=7d73b3cd-a70a-4fd7-b2ae-406ec2bf2793","http://www.mendeley.com/documents/?uuid=9c44222a-d038-445a-9e33-57eb9e711e9c"]}],"mendeley":{"formattedCitation":"(20,34)","plainTextFormattedCitation":"(20,34)","previouslyFormattedCitation":"(20,34)"},"properties":{"noteIndex":0},"schema":"https://github.com/citation-style-language/schema/raw/master/csl-citation.json"}</w:instrText>
      </w:r>
      <w:r>
        <w:fldChar w:fldCharType="separate"/>
      </w:r>
      <w:r w:rsidRPr="00276AB2">
        <w:rPr>
          <w:noProof/>
        </w:rPr>
        <w:t>(20,34)</w:t>
      </w:r>
      <w:r>
        <w:fldChar w:fldCharType="end"/>
      </w:r>
      <w:r>
        <w:t xml:space="preserve"> </w:t>
      </w:r>
      <w:r>
        <w:fldChar w:fldCharType="begin" w:fldLock="1"/>
      </w:r>
      <w:r>
        <w:instrText>ADDIN CSL_CITATION {"citationItems":[{"id":"ITEM-1","itemData":{"DOI":"10.1093/biostatistics/4.2.249","ISSN":"1465-4644","PMID":"12925520","abstract":"In this paper we report exploratory analyses of high-density oligonucleotide array data from the Affymetrix GeneChip system with the objective of improving upon currently used measures of gene expression. Our analyses make use of three data sets: a small experimental study consisting of five MGU74A mouse GeneChip arrays, part of the data from an extensive spike-in study conducted by Gene Logic and Wyeth's Genetics Institute involving 95 HG-U95A human GeneChip arrays; and part of a dilution study conducted by Gene Logic involving 75 HG-U95A GeneChip arrays. We display some familiar features of the perfect match and mismatch probe (PM and MM) values of these data, and examine the variance-mean relationship with probe-level data from probes believed to be defective, and so delivering noise only. We explain why we need to normalize the arrays to one another using probe level intensities. We then examine the behavior of the PM and MM using spike-in data and assess three commonly used summary measures: Affymetrix's (i) average difference (AvDiff) and (ii) MAS 5.0 signal, and (iii) the Li and Wong multiplicative model-based expression index (MBEI). The exploratory data analyses of the probe level data motivate a new summary measure that is a robust multi-array average (RMA) of background-adjusted, normalized, and log-transformed PM values. We evaluate the four expression summary measures using the dilution study data, assessing their behavior in terms of bias, variance and (for MBEI and RMA) model fit. Finally, we evaluate the algorithms in terms of their ability to detect known levels of differential expression using the spike-in data. We conclude that there is no obvious downside to using RMA and attaching a standard error (SE) to this quantity using a linear model which removes probe-specific affinities.","author":[{"dropping-particle":"","family":"Irizarry","given":"Rafael A","non-dropping-particle":"","parse-names":false,"suffix":""},{"dropping-particle":"","family":"Hobbs","given":"Bridget","non-dropping-particle":"","parse-names":false,"suffix":""},{"dropping-particle":"","family":"Collin","given":"Francois","non-dropping-particle":"","parse-names":false,"suffix":""},{"dropping-particle":"","family":"Beazer-Barclay","given":"Yasmin D","non-dropping-particle":"","parse-names":false,"suffix":""},{"dropping-particle":"","family":"Antonellis","given":"Kristen J","non-dropping-particle":"","parse-names":false,"suffix":""},{"dropping-particle":"","family":"Scherf","given":"Uwe","non-dropping-particle":"","parse-names":false,"suffix":""},{"dropping-particle":"","family":"Speed","given":"Terence P","non-dropping-particle":"","parse-names":false,"suffix":""}],"container-title":"Biostatistics (Oxford, England)","id":"ITEM-1","issue":"2","issued":{"date-parts":[["2003","4"]]},"page":"249-64","title":"Exploration, normalization, and summaries of high density oligonucleotide array probe level data.","type":"article-journal","volume":"4"},"uris":["http://www.mendeley.com/documents/?uuid=e3583f22-b7db-4c0b-9b5f-120d54694101"]}],"mendeley":{"formattedCitation":"(35)","plainTextFormattedCitation":"(35)","previouslyFormattedCitation":"(35)"},"properties":{"noteIndex":0},"schema":"https://github.com/citation-style-language/schema/raw/master/csl-citation.json"}</w:instrText>
      </w:r>
      <w:r>
        <w:fldChar w:fldCharType="separate"/>
      </w:r>
      <w:r w:rsidRPr="00276AB2">
        <w:rPr>
          <w:noProof/>
        </w:rPr>
        <w:t>(35)</w:t>
      </w:r>
      <w:r>
        <w:fldChar w:fldCharType="end"/>
      </w:r>
      <w:r>
        <w:t>. The Human IID network was downloaded from the IID database version 2018-11 (</w:t>
      </w:r>
      <w:hyperlink r:id="rId37" w:history="1">
        <w:r w:rsidRPr="00BE7717">
          <w:rPr>
            <w:rStyle w:val="Hyperlink"/>
          </w:rPr>
          <w:t>http://iid.ophid.utoronto.ca/</w:t>
        </w:r>
      </w:hyperlink>
      <w:r>
        <w:t>). The IID network PPIs are defined as being present or not within a specific tissue. The network interaction file was filtered to contain only those protein interactions marked as present in skeletal muscle (“SM” in the file). No weighting to the PPI was defined and all interactions have an equivalent edge weighting of 1. The filtered skeletal muscle IID network comprised ~600,000 interactions and is referred to as “IID SM 0.6mil”.</w:t>
      </w:r>
    </w:p>
    <w:p w14:paraId="1740AD49" w14:textId="77777777" w:rsidR="002B3A3C" w:rsidRDefault="002B3A3C" w:rsidP="002B3A3C">
      <w:pPr>
        <w:spacing w:after="0"/>
        <w:jc w:val="both"/>
      </w:pPr>
    </w:p>
    <w:p w14:paraId="27447E6C" w14:textId="77777777" w:rsidR="002B3A3C" w:rsidRDefault="002B3A3C" w:rsidP="002B3A3C">
      <w:pPr>
        <w:spacing w:after="0"/>
        <w:jc w:val="both"/>
      </w:pPr>
      <w:r>
        <w:t xml:space="preserve">HumanBase </w:t>
      </w:r>
      <w:r>
        <w:fldChar w:fldCharType="begin" w:fldLock="1"/>
      </w:r>
      <w:r>
        <w:instrText>ADDIN CSL_CITATION {"citationItems":[{"id":"ITEM-1","itemData":{"DOI":"10.1016/j.kint.2020.09.015","ISSN":"00852538","author":[{"dropping-particle":"","family":"Menon","given":"Rajasree","non-dropping-particle":"","parse-names":false,"suffix":""},{"dropping-particle":"","family":"Otto","given":"Edgar A.","non-dropping-particle":"","parse-names":false,"suffix":""},{"dropping-particle":"","family":"Sealfon","given":"Rachel","non-dropping-particle":"","parse-names":false,"suffix":""},{"dropping-particle":"","family":"Nair","given":"Viji","non-dropping-particle":"","parse-names":false,"suffix":""},{"dropping-particle":"","family":"Wong","given":"Aaron K.","non-dropping-particle":"","parse-names":false,"suffix":""},{"dropping-particle":"","family":"Theesfeld","given":"Chandra L.","non-dropping-particle":"","parse-names":false,"suffix":""},{"dropping-particle":"","family":"Chen","given":"Xi","non-dropping-particle":"","parse-names":false,"suffix":""},{"dropping-particle":"","family":"Wang","given":"Yuan","non-dropping-particle":"","parse-names":false,"suffix":""},{"dropping-particle":"","family":"Boppana","given":"Avinash S.","non-dropping-particle":"","parse-names":false,"suffix":""},{"dropping-particle":"","family":"Luo","given":"Jinghui","non-dropping-particle":"","parse-names":false,"suffix":""},{"dropping-particle":"","family":"Yang","given":"Yingbao","non-dropping-particle":"","parse-names":false,"suffix":""},{"dropping-particle":"","family":"Kasson","given":"Peter M.","non-dropping-particle":"","parse-names":false,"suffix":""},{"dropping-particle":"","family":"Schaub","given":"Jennifer A.","non-dropping-particle":"","parse-names":false,"suffix":""},{"dropping-particle":"","family":"Berthier","given":"Celine C.","non-dropping-particle":"","parse-names":false,"suffix":""},{"dropping-particle":"","family":"Eddy","given":"Sean","non-dropping-particle":"","parse-names":false,"suffix":""},{"dropping-particle":"","family":"Lienczewski","given":"Chrysta C.","non-dropping-particle":"","parse-names":false,"suffix":""},{"dropping-particle":"","family":"Godfrey","given":"Bradley","non-dropping-particle":"","parse-names":false,"suffix":""},{"dropping-particle":"","family":"Dagenais","given":"Susan L.","non-dropping-particle":"","parse-names":false,"suffix":""},{"dropping-particle":"","family":"Sohaney","given":"Ryann","non-dropping-particle":"","parse-names":false,"suffix":""},{"dropping-particle":"","family":"Hartman","given":"John","non-dropping-particle":"","parse-names":false,"suffix":""},{"dropping-particle":"","family":"Fermin","given":"Damian","non-dropping-particle":"","parse-names":false,"suffix":""},{"dropping-particle":"","family":"Subramanian","given":"Lalita","non-dropping-particle":"","parse-names":false,"suffix":""},{"dropping-particle":"","family":"Looker","given":"Helen C.","non-dropping-particle":"","parse-names":false,"suffix":""},{"dropping-particle":"","family":"Harder","given":"Jennifer L.","non-dropping-particle":"","parse-names":false,"suffix":""},{"dropping-particle":"","family":"Mariani","given":"Laura H.","non-dropping-particle":"","parse-names":false,"suffix":""},{"dropping-particle":"","family":"Hodgin","given":"Jeffrey B.","non-dropping-particle":"","parse-names":false,"suffix":""},{"dropping-particle":"","family":"Sexton","given":"Jonathan Z.","non-dropping-particle":"","parse-names":false,"suffix":""},{"dropping-particle":"","family":"Wobus","given":"Christiane E.","non-dropping-particle":"","parse-names":false,"suffix":""},{"dropping-particle":"","family":"Naik","given":"Abhijit S.","non-dropping-particle":"","parse-names":false,"suffix":""},{"dropping-particle":"","family":"Nelson","given":"Robert G.","non-dropping-particle":"","parse-names":false,"suffix":""},{"dropping-particle":"","family":"Troyanskaya","given":"Olga G.","non-dropping-particle":"","parse-names":false,"suffix":""},{"dropping-particle":"","family":"Kretzler","given":"Matthias","non-dropping-particle":"","parse-names":false,"suffix":""}],"container-title":"Kidney International","id":"ITEM-1","issue":"6","issued":{"date-parts":[["2020","12"]]},"page":"1502-1518","title":"SARS-CoV-2 receptor networks in diabetic and COVID-19–associated kidney disease","type":"article-journal","volume":"98"},"uris":["http://www.mendeley.com/documents/?uuid=af282e78-d748-4b62-8588-491f8a4393b2"]}],"mendeley":{"formattedCitation":"(36)","plainTextFormattedCitation":"(36)","previouslyFormattedCitation":"(36)"},"properties":{"noteIndex":0},"schema":"https://github.com/citation-style-language/schema/raw/master/csl-citation.json"}</w:instrText>
      </w:r>
      <w:r>
        <w:fldChar w:fldCharType="separate"/>
      </w:r>
      <w:r w:rsidRPr="00276AB2">
        <w:rPr>
          <w:noProof/>
        </w:rPr>
        <w:t>(36)</w:t>
      </w:r>
      <w:r>
        <w:fldChar w:fldCharType="end"/>
      </w:r>
      <w:r>
        <w:t xml:space="preserve"> captures functional interaction data from a variety of sources, such as PPIs, transcriptional regulation and gene expression data, to model tissue-specific gene interactions. The authors of Humanbase constructed tissue-specific networks by integrating tissue-specific functional knowledge to a gold standard tissue-naïve network </w:t>
      </w:r>
      <w:r>
        <w:fldChar w:fldCharType="begin" w:fldLock="1"/>
      </w:r>
      <w:r>
        <w:instrText>ADDIN CSL_CITATION {"citationItems":[{"id":"ITEM-1","itemData":{"DOI":"10.1038/ng.3259","ISSN":"1546-1718","PMID":"25915600","abstract":"Tissue and cell-type identity lie at the core of human physiology and disease. Understanding the genetic underpinnings of complex tissues and individual cell lineages is crucial for developing improved diagnostics and therapeutics. We present genome-wide functional interaction networks for 144 human tissues and cell types developed using a data-driven Bayesian methodology that integrates thousands of diverse experiments spanning tissue and disease states. Tissue-specific networks predict lineage-specific responses to perturbation, identify the changing functional roles of genes across tissues and illuminate relationships among diseases. We introduce NetWAS, which combines genes with nominally significant genome-wide association study (GWAS) P values and tissue-specific networks to identify disease-gene associations more accurately than GWAS alone. Our webserver, GIANT, provides an interface to human tissue networks through multi-gene queries, network visualization, analysis tools including NetWAS and downloadable networks. GIANT enables systematic exploration of the landscape of interacting genes that shape specialized cellular functions across more than a hundred human tissues and cell types.","author":[{"dropping-particle":"","family":"Greene","given":"Casey S","non-dropping-particle":"","parse-names":false,"suffix":""},{"dropping-particle":"","family":"Krishnan","given":"Arjun","non-dropping-particle":"","parse-names":false,"suffix":""},{"dropping-particle":"","family":"Wong","given":"Aaron K","non-dropping-particle":"","parse-names":false,"suffix":""},{"dropping-particle":"","family":"Ricciotti","given":"Emanuela","non-dropping-particle":"","parse-names":false,"suffix":""},{"dropping-particle":"","family":"Zelaya","given":"Rene A","non-dropping-particle":"","parse-names":false,"suffix":""},{"dropping-particle":"","family":"Himmelstein","given":"Daniel S","non-dropping-particle":"","parse-names":false,"suffix":""},{"dropping-particle":"","family":"Zhang","given":"Ran","non-dropping-particle":"","parse-names":false,"suffix":""},{"dropping-particle":"","family":"Hartmann","given":"Boris M","non-dropping-particle":"","parse-names":false,"suffix":""},{"dropping-particle":"","family":"Zaslavsky","given":"Elena","non-dropping-particle":"","parse-names":false,"suffix":""},{"dropping-particle":"","family":"Sealfon","given":"Stuart C","non-dropping-particle":"","parse-names":false,"suffix":""},{"dropping-particle":"","family":"Chasman","given":"Daniel I","non-dropping-particle":"","parse-names":false,"suffix":""},{"dropping-particle":"","family":"FitzGerald","given":"Garret A","non-dropping-particle":"","parse-names":false,"suffix":""},{"dropping-particle":"","family":"Dolinski","given":"Kara","non-dropping-particle":"","parse-names":false,"suffix":""},{"dropping-particle":"","family":"Grosser","given":"Tilo","non-dropping-particle":"","parse-names":false,"suffix":""},{"dropping-particle":"","family":"Troyanskaya","given":"Olga G","non-dropping-particle":"","parse-names":false,"suffix":""}],"container-title":"Nature genetics","id":"ITEM-1","issue":"6","issued":{"date-parts":[["2015","6"]]},"page":"569-76","title":"Understanding multicellular function and disease with human tissue-specific networks.","type":"article-journal","volume":"47"},"uris":["http://www.mendeley.com/documents/?uuid=c0251ef2-b47a-4d0e-ab69-78880d48c756","http://www.mendeley.com/documents/?uuid=fa0c5de4-c278-4d11-8e0e-3fbc0e8fefd6"]}],"mendeley":{"formattedCitation":"(27)","plainTextFormattedCitation":"(27)","previouslyFormattedCitation":"(27)"},"properties":{"noteIndex":0},"schema":"https://github.com/citation-style-language/schema/raw/master/csl-citation.json"}</w:instrText>
      </w:r>
      <w:r>
        <w:fldChar w:fldCharType="separate"/>
      </w:r>
      <w:r w:rsidRPr="00620042">
        <w:rPr>
          <w:noProof/>
        </w:rPr>
        <w:t>(27)</w:t>
      </w:r>
      <w:r>
        <w:fldChar w:fldCharType="end"/>
      </w:r>
      <w:r>
        <w:t>, and each edge of the network was scored via a posterior probability value that was used to rank the edges by strength of evidence. The skeletal muscle full edges network was downloaded from HumanBase (</w:t>
      </w:r>
      <w:hyperlink r:id="rId38" w:history="1">
        <w:r w:rsidRPr="00AB43D7">
          <w:rPr>
            <w:rStyle w:val="Hyperlink"/>
          </w:rPr>
          <w:t>https://hb.flatironinstitute.org/download</w:t>
        </w:r>
      </w:hyperlink>
      <w:r>
        <w:t>). The full edges network is a fully connected network containing edges with evidence to support a SM tissue-specific functional interaction. The scale of the edge weights are between 0 – 1 with 1 representing those edges with known SM tissue-specific interactions. As the downloaded network was particularly large, we sorted the network interactions by the posterior probability score provided by Humanbase and took the top 5,500,000 interactions as the largest network (which is similar in size to the full STRING network). This skeletal muscle HumanBase network is referred to as “HumanBase SM full 5.5mil”).</w:t>
      </w:r>
    </w:p>
    <w:p w14:paraId="09B2B1DB" w14:textId="77777777" w:rsidR="002B3A3C" w:rsidRPr="007974C0" w:rsidRDefault="002B3A3C" w:rsidP="002B3A3C">
      <w:pPr>
        <w:spacing w:after="0"/>
        <w:jc w:val="both"/>
      </w:pPr>
    </w:p>
    <w:p w14:paraId="275DD003" w14:textId="77777777" w:rsidR="002B3A3C" w:rsidRPr="00AC4916" w:rsidRDefault="002B3A3C" w:rsidP="002B3A3C">
      <w:pPr>
        <w:jc w:val="both"/>
        <w:rPr>
          <w:b/>
        </w:rPr>
      </w:pPr>
      <w:r>
        <w:rPr>
          <w:b/>
        </w:rPr>
        <w:t>Gene co-expression</w:t>
      </w:r>
      <w:r w:rsidRPr="00AC4916">
        <w:rPr>
          <w:b/>
        </w:rPr>
        <w:t xml:space="preserve"> data</w:t>
      </w:r>
    </w:p>
    <w:p w14:paraId="5501D86F" w14:textId="77777777" w:rsidR="002B3A3C" w:rsidRDefault="002B3A3C" w:rsidP="002B3A3C">
      <w:pPr>
        <w:spacing w:after="0"/>
        <w:jc w:val="both"/>
      </w:pPr>
      <w:r>
        <w:t xml:space="preserve">As a gene co-expression network (tissue-generic), human gene co-expression data from the co-expressed gene database (COXPRESdb) was used </w:t>
      </w:r>
      <w:r>
        <w:fldChar w:fldCharType="begin" w:fldLock="1"/>
      </w:r>
      <w:r>
        <w:instrText>ADDIN CSL_CITATION {"citationItems":[{"id":"ITEM-1","itemData":{"DOI":"10.1093/nar/gkm840","ISSN":"1362-4962","PMID":"17932064","abstract":"A database of coexpressed gene sets can provide valuable information for a wide variety of experimental designs, such as targeting of genes for functional identification, gene regulation and/or protein-protein interactions. Coexpressed gene databases derived from publicly available GeneChip data are widely used in Arabidopsis research, but platforms that examine coexpression for higher mammals are rather limited. Therefore, we have constructed a new database, COXPRESdb (coexpressed gene database) (http://coxpresdb.hgc.jp), for coexpressed gene lists and networks in human and mouse. Coexpression data could be calculated for 19 777 and 21 036 genes in human and mouse, respectively, by using the GeneChip data in NCBI GEO. COXPRESdb enables analysis of the four types of coexpression networks: (i) highly coexpressed genes for every gene, (ii) genes with the same GO annotation, (iii) genes expressed in the same tissue and (iv) user-defined gene sets. When the networks became too big for the static picture on the web in GO networks or in tissue networks, we used Google Maps API to visualize them interactively. COXPRESdb also provides a view to compare the human and mouse coexpression patterns to estimate the conservation between the two species.","author":[{"dropping-particle":"","family":"Obayashi","given":"Takeshi","non-dropping-particle":"","parse-names":false,"suffix":""},{"dropping-particle":"","family":"Hayashi","given":"Shinpei","non-dropping-particle":"","parse-names":false,"suffix":""},{"dropping-particle":"","family":"Shibaoka","given":"Masayuki","non-dropping-particle":"","parse-names":false,"suffix":""},{"dropping-particle":"","family":"Saeki","given":"Motoshi","non-dropping-particle":"","parse-names":false,"suffix":""},{"dropping-particle":"","family":"Ohta","given":"Hiroyuki","non-dropping-particle":"","parse-names":false,"suffix":""},{"dropping-particle":"","family":"Kinoshita","given":"Kengo","non-dropping-particle":"","parse-names":false,"suffix":""}],"container-title":"Nucleic acids research","id":"ITEM-1","issue":"Database issue","issued":{"date-parts":[["2008","1"]]},"page":"D77-82","title":"COXPRESdb: a database of coexpressed gene networks in mammals.","type":"article-journal","volume":"36"},"uris":["http://www.mendeley.com/documents/?uuid=1b919ff9-88a8-41fd-94e7-3e07c412aec4","http://www.mendeley.com/documents/?uuid=d9786533-df3a-44ab-86e8-52523b44ee67"]}],"mendeley":{"formattedCitation":"(37)","plainTextFormattedCitation":"(37)","previouslyFormattedCitation":"(37)"},"properties":{"noteIndex":0},"schema":"https://github.com/citation-style-language/schema/raw/master/csl-citation.json"}</w:instrText>
      </w:r>
      <w:r>
        <w:fldChar w:fldCharType="separate"/>
      </w:r>
      <w:r w:rsidRPr="00276AB2">
        <w:rPr>
          <w:noProof/>
        </w:rPr>
        <w:t>(37)</w:t>
      </w:r>
      <w:r>
        <w:fldChar w:fldCharType="end"/>
      </w:r>
      <w:r>
        <w:t xml:space="preserve">. At the time of this study, COXPRESdb utilised gene co-expression data from 11 animal species supported by 23 co-expression platforms, incorporating both microarray and RNA-sequencing transcriptomic data </w:t>
      </w:r>
      <w:r>
        <w:fldChar w:fldCharType="begin" w:fldLock="1"/>
      </w:r>
      <w:r>
        <w:instrText>ADDIN CSL_CITATION {"citationItems":[{"id":"ITEM-1","itemData":{"DOI":"10.1093/nar/gky1155","ISSN":"13624962","PMID":"30462320","abstract":"The advent of RNA-sequencing and microarray technologies has led to rapid growth of transcriptome data generated for a wide range of organisms, under various cellular, organ and individual conditions. Since the number of possible combinations of intercellular and extracellular conditions is almost unlimited, cataloging all transcriptome conditions would be an immeasurable challenge. Gene coexpression refers to the similarity of gene expression patterns under various conditions, such as disease states, tissue types, and developmental stages. Since the quality of gene coexpression data depends on the quality and quantity of transcriptome data, timely usage of the growing data is key to promoting individual research in molecular biology. COXPRESdb (http://coxpresdb.jp) is a database providing coexpression information for 11 animal species. One characteristic feature of COXPRESdb is its ability to compare multiple coexpression data derived from different transcriptomics technologies and different species, which strongly reduces false positive relationships in individual gene coexpression data. Here, we summarized the current version of this database, including 23 coexpression platforms with the highest-level quality till date. Using various functionalities in COXPRESdb, the new coexpression data would support a broader area of research from molecular biology to medical sciences.","author":[{"dropping-particle":"","family":"Obayashi","given":"Takeshi","non-dropping-particle":"","parse-names":false,"suffix":""},{"dropping-particle":"","family":"Kagaya","given":"Yuki","non-dropping-particle":"","parse-names":false,"suffix":""},{"dropping-particle":"","family":"Aoki","given":"Yuichi","non-dropping-particle":"","parse-names":false,"suffix":""},{"dropping-particle":"","family":"Tadaka","given":"Shu","non-dropping-particle":"","parse-names":false,"suffix":""},{"dropping-particle":"","family":"Kinoshita","given":"Kengo","non-dropping-particle":"","parse-names":false,"suffix":""}],"container-title":"Nucleic Acids Research","id":"ITEM-1","issue":"D1","issued":{"date-parts":[["2019","1"]]},"page":"D55-D62","title":"COXPRESdb v7: A gene coexpression database for 11 animal species supported by 23 coexpression platforms for technical evaluation and evolutionary inference","type":"article-journal","volume":"47"},"uris":["http://www.mendeley.com/documents/?uuid=e2da2566-778f-4ce2-a2f9-440476e4b4cd","http://www.mendeley.com/documents/?uuid=13d3a9af-e695-48ef-8c5f-400902438a3a"]},{"id":"ITEM-2","itemData":{"DOI":"10.1093/nar/gku1163","ISSN":"13624962","PMID":"25392420","abstract":"The COXPRESdb (http://coxpresdb.jp) provides gene coexpression relationships for animal species. Here, we report the updates of the database, mainly focusing on the following two points. For the first point, we added RNAseq-based gene coexpression data for three species (human, mouse and fly), and largely increased the number of microarray experiments to nine species. The increase of the number of expression data with multiple platforms could enhance the reliability of coexpression data. For the second point, we refined the data assessment procedures, for each coexpressed gene list and for the total performance of a platform. The assessment of coexpressed gene list now uses more reasonable Pvalues derived from platform-specific null distribution. These developments greatly reduced pseudopredictions for directly associated genes, thus expanding the reliability of coexpression data to design new experiments and to discuss experimental results.","author":[{"dropping-particle":"","family":"Okamura","given":"Yasunobu","non-dropping-particle":"","parse-names":false,"suffix":""},{"dropping-particle":"","family":"Aoki","given":"Yuichi","non-dropping-particle":"","parse-names":false,"suffix":""},{"dropping-particle":"","family":"Obayashi","given":"Takeshi","non-dropping-particle":"","parse-names":false,"suffix":""},{"dropping-particle":"","family":"Tadaka","given":"Shu","non-dropping-particle":"","parse-names":false,"suffix":""},{"dropping-particle":"","family":"Ito","given":"Satoshi","non-dropping-particle":"","parse-names":false,"suffix":""},{"dropping-particle":"","family":"Narise","given":"Takafumi","non-dropping-particle":"","parse-names":false,"suffix":""},{"dropping-particle":"","family":"Kinoshita","given":"Kengo","non-dropping-particle":"","parse-names":false,"suffix":""}],"container-title":"Nucleic Acids Research","id":"ITEM-2","issue":"D1","issued":{"date-parts":[["2015","1"]]},"page":"D82-D86","title":"COXPRESdb in 2015: Coexpression database for animal species by DNA-microarray and RNAseq-based expression data with multiple quality assessment systems","type":"article-journal","volume":"43"},"uris":["http://www.mendeley.com/documents/?uuid=aed244c2-5cfb-401c-a014-56a4df98d59f","http://www.mendeley.com/documents/?uuid=1d9a3496-c9be-4eb3-9496-12ebb97d015c"]}],"mendeley":{"formattedCitation":"(38,39)","plainTextFormattedCitation":"(38,39)","previouslyFormattedCitation":"(38,39)"},"properties":{"noteIndex":0},"schema":"https://github.com/citation-style-language/schema/raw/master/csl-citation.json"}</w:instrText>
      </w:r>
      <w:r>
        <w:fldChar w:fldCharType="separate"/>
      </w:r>
      <w:r w:rsidRPr="00276AB2">
        <w:rPr>
          <w:noProof/>
        </w:rPr>
        <w:t>(38,39)</w:t>
      </w:r>
      <w:r>
        <w:fldChar w:fldCharType="end"/>
      </w:r>
      <w:r>
        <w:t>. We downloaded the human “Has-u.c2-0” gene correlation table from the COXPRESdb website (</w:t>
      </w:r>
      <w:hyperlink r:id="rId39" w:history="1">
        <w:r w:rsidRPr="000C1593">
          <w:rPr>
            <w:rStyle w:val="Hyperlink"/>
          </w:rPr>
          <w:t>https://coxpresdb.jp/download/</w:t>
        </w:r>
      </w:hyperlink>
      <w:r>
        <w:t xml:space="preserve">), which encompasses a union of both the microarray and RNA-seq data available for humans via COXPRESdb. COXPRESdb ranks co-expression between a pair of genes using mutual rank (MR). For a given gene pair, the rank of the correlation coefficient for each partner is calculated among the co-expressed genes of its partner. MR is defined as the mean average of the two ranks </w:t>
      </w:r>
      <w:r>
        <w:fldChar w:fldCharType="begin" w:fldLock="1"/>
      </w:r>
      <w:r>
        <w:instrText>ADDIN CSL_CITATION {"citationItems":[{"id":"ITEM-1","itemData":{"DOI":"10.1093/dnares/dsp016","ISSN":"13402838","PMID":"19767600","abstract":"Information regarding gene coexpression is useful to predict gene function. Several databases have been constructed for gene coexpression in model organisms based on a large amount of publicly available gene expression data measured by GeneChip platforms. In these databases, Pearson's correlation coefficients (PCCs) of gene expression patterns are widely used as a measure of gene coexpression. Although the coexpression measure or GeneChip summarization method affects the performance of the gene coexpression database, previous studies for these calculation procedures were tested with only a small number of samples and a particular species. To evaluate the effectiveness of coexpression measures, assessments with large-scale microarray data are required. We first examined characteristics of PCC and found that the optimal PCC threshold to retrieve functionally related genes was affected by the method of gene expression database construction and the target gene function. In addition, we found that this problem could be overcome when we used correlation ranks instead of correlation values. This observation was evaluated by large-scale gene expression data for four species: Arabidopsis, human, mouse and rat.","author":[{"dropping-particle":"","family":"Obayashi","given":"Takeshi","non-dropping-particle":"","parse-names":false,"suffix":""},{"dropping-particle":"","family":"Kinoshita","given":"Kengo","non-dropping-particle":"","parse-names":false,"suffix":""}],"container-title":"DNA Research","id":"ITEM-1","issue":"5","issued":{"date-parts":[["2009","10"]]},"page":"249-260","title":"Rank of correlation coefficient as a comparable measure for biological significance of gene coexpression","type":"article-journal","volume":"16"},"uris":["http://www.mendeley.com/documents/?uuid=94597e9d-ce4f-4dea-9ad1-70d9ac8ba217","http://www.mendeley.com/documents/?uuid=87e392bd-55a4-44a5-9a85-3416d2651dde"]}],"mendeley":{"formattedCitation":"(40)","plainTextFormattedCitation":"(40)","previouslyFormattedCitation":"(40)"},"properties":{"noteIndex":0},"schema":"https://github.com/citation-style-language/schema/raw/master/csl-citation.json"}</w:instrText>
      </w:r>
      <w:r>
        <w:fldChar w:fldCharType="separate"/>
      </w:r>
      <w:r w:rsidRPr="00276AB2">
        <w:rPr>
          <w:noProof/>
        </w:rPr>
        <w:t>(40)</w:t>
      </w:r>
      <w:r>
        <w:fldChar w:fldCharType="end"/>
      </w:r>
      <w:r>
        <w:t xml:space="preserve">. As lower MR values represent gene pairs with the highest correlation coefficient average, the MR were –log10 transformed to inverse the scale and the resultant values were rescaled to contain edge weights between 0 – 1. The number of co-expressed interactions was particularly large, so the co-expressed genes were sorted by MR and the top 5,500,000 were taken as the largest network (which is similar in size to the full STRING network) and referred to as “COXPRESdb 5.5mil”. Two smaller version were also prepared, taking the top 2 million (“COXPRESdb 2mil”) and top 800,000 (“COXPRESdb 0.8mil”). </w:t>
      </w:r>
    </w:p>
    <w:p w14:paraId="42D8EFE4" w14:textId="77777777" w:rsidR="002B3A3C" w:rsidRDefault="002B3A3C" w:rsidP="002B3A3C">
      <w:pPr>
        <w:spacing w:after="0"/>
        <w:jc w:val="both"/>
      </w:pPr>
    </w:p>
    <w:p w14:paraId="1777E84E" w14:textId="77777777" w:rsidR="002B3A3C" w:rsidRDefault="002B3A3C" w:rsidP="002B3A3C">
      <w:pPr>
        <w:spacing w:after="0"/>
        <w:jc w:val="both"/>
      </w:pPr>
      <w:r>
        <w:t xml:space="preserve">As a muscle tissue-specific gene co-expression network, a skeletal muscle gene expression matrix from the Genotype-Tissue Expression (GTEx) project database was used. GTEx was designed as a resource for the study of correlation between genetic variation and tissue-specific gene expression profiles, in tissues taken from patients with no apparent disease </w:t>
      </w:r>
      <w:r>
        <w:fldChar w:fldCharType="begin" w:fldLock="1"/>
      </w:r>
      <w:r>
        <w:instrText>ADDIN CSL_CITATION {"citationItems":[{"id":"ITEM-1","itemData":{"DOI":"10.1089/bio.2015.29031.hmm","ISSN":"1947-5543","PMID":"26484569","author":[{"dropping-particle":"","family":"Carithers","given":"Latarsha J","non-dropping-particle":"","parse-names":false,"suffix":""},{"dropping-particle":"","family":"Moore","given":"Helen M","non-dropping-particle":"","parse-names":false,"suffix":""}],"container-title":"Biopreservation and biobanking","id":"ITEM-1","issue":"5","issued":{"date-parts":[["2015","10"]]},"page":"307-8","title":"The Genotype-Tissue Expression (GTEx) Project.","type":"article-journal","volume":"13"},"uris":["http://www.mendeley.com/documents/?uuid=040d4cb1-d006-42e5-842b-eeec8e40c9d3","http://www.mendeley.com/documents/?uuid=7e2d7059-c383-4502-8739-b48c2f535396"]},{"id":"ITEM-2","itemData":{"DOI":"10.1089/bio.2015.0032","ISSN":"1947-5543","PMID":"26484571","abstract":"The Genotype-Tissue Expression (GTEx) project, sponsored by the NIH Common Fund, was established to study the correlation between human genetic variation and tissue-specific gene expression in non-diseased individuals. A significant challenge was the collection of high-quality biospecimens for extensive genomic analyses. Here we describe how a successful infrastructure for biospecimen procurement was developed and implemented by multiple research partners to support the prospective collection, annotation, and distribution of blood, tissues, and cell lines for the GTEx project. Other research projects can follow this model and form beneficial partnerships with rapid autopsy and organ procurement organizations to collect high quality biospecimens and associated clinical data for genomic studies. Biospecimens, clinical and genomic data, and Standard Operating Procedures guiding biospecimen collection for the GTEx project are available to the research community.","author":[{"dropping-particle":"","family":"Carithers","given":"Latarsha J.","non-dropping-particle":"","parse-names":false,"suffix":""},{"dropping-particle":"","family":"Ardlie","given":"Kristin","non-dropping-particle":"","parse-names":false,"suffix":""},{"dropping-particle":"","family":"Barcus","given":"Mary","non-dropping-particle":"","parse-names":false,"suffix":""},{"dropping-particle":"","family":"Branton","given":"Philip A.","non-dropping-particle":"","parse-names":false,"suffix":""},{"dropping-particle":"","family":"Britton","given":"Angela","non-dropping-particle":"","parse-names":false,"suffix":""},{"dropping-particle":"","family":"Buia","given":"Stephen A.","non-dropping-particle":"","parse-names":false,"suffix":""},{"dropping-particle":"","family":"Compton","given":"Carolyn C.","non-dropping-particle":"","parse-names":false,"suffix":""},{"dropping-particle":"","family":"DeLuca","given":"David S","non-dropping-particle":"","parse-names":false,"suffix":""},{"dropping-particle":"","family":"Peter-Demchok","given":"Joanne","non-dropping-particle":"","parse-names":false,"suffix":""},{"dropping-particle":"","family":"Gelfand","given":"Ellen T.","non-dropping-particle":"","parse-names":false,"suffix":""},{"dropping-particle":"","family":"Guan","given":"Ping","non-dropping-particle":"","parse-names":false,"suffix":""},{"dropping-particle":"","family":"Korzeniewski","given":"Greg E.","non-dropping-particle":"","parse-names":false,"suffix":""},{"dropping-particle":"","family":"Lockhart","given":"Nicole C.","non-dropping-particle":"","parse-names":false,"suffix":""},{"dropping-particle":"","family":"Rabiner","given":"Chana A.","non-dropping-particle":"","parse-names":false,"suffix":""},{"dropping-particle":"","family":"Rao","given":"Abhi K.","non-dropping-particle":"","parse-names":false,"suffix":""},{"dropping-particle":"","family":"Robinson","given":"Karna L.","non-dropping-particle":"","parse-names":false,"suffix":""},{"dropping-particle":"V.","family":"Roche","given":"Nancy","non-dropping-particle":"","parse-names":false,"suffix":""},{"dropping-particle":"","family":"Sawyer","given":"Sherilyn J.","non-dropping-particle":"","parse-names":false,"suffix":""},{"dropping-particle":"V.","family":"Segrè","given":"Ayellet","non-dropping-particle":"","parse-names":false,"suffix":""},{"dropping-particle":"","family":"Shive","given":"Charles E.","non-dropping-particle":"","parse-names":false,"suffix":""},{"dropping-particle":"","family":"Smith","given":"Anna M.","non-dropping-particle":"","parse-names":false,"suffix":""},{"dropping-particle":"","family":"Sobin","given":"Leslie H.","non-dropping-particle":"","parse-names":false,"suffix":""},{"dropping-particle":"","family":"Undale","given":"Anita H.","non-dropping-particle":"","parse-names":false,"suffix":""},{"dropping-particle":"","family":"Valentino","given":"Kimberly M.","non-dropping-particle":"","parse-names":false,"suffix":""},{"dropping-particle":"","family":"Vaught","given":"Jim","non-dropping-particle":"","parse-names":false,"suffix":""},{"dropping-particle":"","family":"Young","given":"Taylor R.","non-dropping-particle":"","parse-names":false,"suffix":""},{"dropping-particle":"","family":"Moore","given":"Helen M.","non-dropping-particle":"","parse-names":false,"suffix":""},{"dropping-particle":"","family":"GTEx Consortium","given":"","non-dropping-particle":"","parse-names":false,"suffix":""}],"container-title":"Biopreservation and biobanking","id":"ITEM-2","issue":"5","issued":{"date-parts":[["2015","10"]]},"page":"311-9","title":"A Novel Approach to High-Quality Postmortem Tissue Procurement: The GTEx Project.","type":"article-journal","volume":"13"},"uris":["http://www.mendeley.com/documents/?uuid=ddf7adbd-1b8b-4746-859d-b1a2f81e7bc8","http://www.mendeley.com/documents/?uuid=65cf8cd7-a286-466b-b929-a4ae28727d9d"]}],"mendeley":{"formattedCitation":"(41,42)","plainTextFormattedCitation":"(41,42)","previouslyFormattedCitation":"(41,42)"},"properties":{"noteIndex":0},"schema":"https://github.com/citation-style-language/schema/raw/master/csl-citation.json"}</w:instrText>
      </w:r>
      <w:r>
        <w:fldChar w:fldCharType="separate"/>
      </w:r>
      <w:r w:rsidRPr="00276AB2">
        <w:rPr>
          <w:noProof/>
        </w:rPr>
        <w:t>(41,42)</w:t>
      </w:r>
      <w:r>
        <w:fldChar w:fldCharType="end"/>
      </w:r>
      <w:r>
        <w:t>. From the GTEx portal for GTEx analysis V8 (</w:t>
      </w:r>
      <w:hyperlink r:id="rId40" w:history="1">
        <w:r w:rsidRPr="00262F09">
          <w:rPr>
            <w:rStyle w:val="Hyperlink"/>
          </w:rPr>
          <w:t>https://www.gtexportal.org/home/datasets</w:t>
        </w:r>
      </w:hyperlink>
      <w:r>
        <w:t xml:space="preserve">), we downloaded the post-processed, filtered and normalized gene expression matrix for “Muscle_Skeletal” tissue. These gene expression matrices were the input to the expression quantitative trait loci (eQTL) mapping analysis described by the GTEx authors. Detailed methodology on how the expression matrices were produced is available at </w:t>
      </w:r>
      <w:hyperlink r:id="rId41" w:history="1">
        <w:r w:rsidRPr="00262F09">
          <w:rPr>
            <w:rStyle w:val="Hyperlink"/>
          </w:rPr>
          <w:t>https://www.gtexportal.org/home/documentationPage</w:t>
        </w:r>
      </w:hyperlink>
      <w:r>
        <w:t xml:space="preserve"> under the “eQTL Analysis” tab. From this gene expression matrix we generated a gene co-expression network, using the R package “psych” to define the Pearson correlation and correlation significance between each gene pair of the gene expression matrix </w:t>
      </w:r>
      <w:r>
        <w:fldChar w:fldCharType="begin" w:fldLock="1"/>
      </w:r>
      <w:r>
        <w:instrText>ADDIN CSL_CITATION {"citationItems":[{"id":"ITEM-1","itemData":{"author":[{"dropping-particle":"","family":"Revelle","given":"William","non-dropping-particle":"","parse-names":false,"suffix":""}],"id":"ITEM-1","issued":{"date-parts":[["2019"]]},"publisher-place":"Evanston, Illinois","title":"psych: Procedures for Psychological, Psychometric, and Personality Research","type":"article"},"uris":["http://www.mendeley.com/documents/?uuid=c05b695c-d2be-4769-939f-cb633d72bbab","http://www.mendeley.com/documents/?uuid=8681e79d-47e0-4230-937e-531c6473e52a"]},{"id":"ITEM-2","itemData":{"DOI":"10.1007/978-1-4939-7747-5_21","ISSN":"1940-6029","PMID":"29525965","abstract":"The rapid increase in the availability of transcriptomics data generated by RNA sequencing represents both a challenge and an opportunity for biologists without bioinformatics training. The challenge is handling, integrating, and interpreting these data sets. The opportunity is to use this information to generate testable hypothesis to understand molecular mechanisms controlling gene expression and biological processes (Fig. 1). A successful strategy to generate tractable hypotheses from transcriptomics data has been to build undirected network graphs based on patterns of gene co-expression. Many examples of new hypothesis derived from network analyses can be found in the literature, spanning different organisms including plants and specific fields such as root developmental biology.In order to make the process of constructing a gene co-expression network more accessible to biologists, here we provide step-by-step instructions using published RNA-seq experimental data obtained from a public database. Similar strategies have been used in previous studies to advance root developmental biology. This guide includes basic instructions for the operation of widely used open source platforms such as Bio-Linux, R, and Cytoscape. Even though the data we used in this example was obtained from Arabidopsis thaliana, the workflow developed in this guide can be easily adapted to work with RNA-seq data from any organism.","author":[{"dropping-particle":"","family":"Contreras-López","given":"Orlando","non-dropping-particle":"","parse-names":false,"suffix":""},{"dropping-particle":"","family":"Moyano","given":"Tomás C","non-dropping-particle":"","parse-names":false,"suffix":""},{"dropping-particle":"","family":"Soto","given":"Daniela C","non-dropping-particle":"","parse-names":false,"suffix":""},{"dropping-particle":"","family":"Gutiérrez","given":"Rodrigo A","non-dropping-particle":"","parse-names":false,"suffix":""}],"container-title":"Methods in molecular biology (Clifton, N.J.)","id":"ITEM-2","issued":{"date-parts":[["2018"]]},"page":"275-301","title":"Step-by-Step Construction of Gene Co-expression Networks from High-Throughput Arabidopsis RNA Sequencing Data.","type":"article-journal","volume":"1761"},"uris":["http://www.mendeley.com/documents/?uuid=aaf85cd4-885b-40bf-ad3e-322d0c7760c5","http://www.mendeley.com/documents/?uuid=89169ad1-e64c-4022-af92-7c9b509f6028"]}],"mendeley":{"formattedCitation":"(43,44)","plainTextFormattedCitation":"(43,44)","previouslyFormattedCitation":"(43,44)"},"properties":{"noteIndex":0},"schema":"https://github.com/citation-style-language/schema/raw/master/csl-citation.json"}</w:instrText>
      </w:r>
      <w:r>
        <w:fldChar w:fldCharType="separate"/>
      </w:r>
      <w:r w:rsidRPr="00276AB2">
        <w:rPr>
          <w:noProof/>
        </w:rPr>
        <w:t>(43,44)</w:t>
      </w:r>
      <w:r>
        <w:fldChar w:fldCharType="end"/>
      </w:r>
      <w:r>
        <w:t>. Multiple testing correction for the correlation significance was applied using the Benjamini-Hochberg procedure with an alpha value of 0.05. We set a correlation significance cut-off for each gene-gene co-expression interaction at an adjusted p-value equal to or less than 0.05. The resultant gene co-expression network was sorted by the Pearson’s correlation coefficient value (either positive, r, or absolute value, |r|) and 6 networks were produced depending on a range of cut-off thresholds (the lowest r threshold being chosen so as to avoid overly large network sizes of &gt;5.5 million edges): r &gt;= 0.5; |r| &gt;= 0.5; r &gt;= 0.6; |r| &gt;= 0.6; top 1 million interactions ranked by r; top 1 million interactions ranked by |r|. Subsequently these 6 networks are referred to, respectively, as: GTEx SM r&gt;= 0.5 +; GTEx SM r&gt;= 0.5 +/-; GTEx SM r&gt;= 0.6 +; GTEx SM r&gt;= 0.6 +/-; GTEx SM top 1mil +; and GTEx SM top 1mil +/-.</w:t>
      </w:r>
    </w:p>
    <w:p w14:paraId="6E17B015" w14:textId="77777777" w:rsidR="002B3A3C" w:rsidRDefault="002B3A3C" w:rsidP="002B3A3C">
      <w:pPr>
        <w:spacing w:after="0"/>
        <w:jc w:val="both"/>
      </w:pPr>
    </w:p>
    <w:p w14:paraId="1DCAF4DD" w14:textId="77777777" w:rsidR="002B3A3C" w:rsidRDefault="002B3A3C" w:rsidP="002B3A3C">
      <w:pPr>
        <w:spacing w:after="0"/>
        <w:jc w:val="both"/>
      </w:pPr>
      <w:r>
        <w:t>Another source of muscle-specific gene co-expression data is the database underlying the MyoMiner resource (</w:t>
      </w:r>
      <w:hyperlink r:id="rId42" w:history="1">
        <w:r w:rsidRPr="00F9556A">
          <w:rPr>
            <w:rStyle w:val="Hyperlink"/>
          </w:rPr>
          <w:t>https://sys-myo.com/myominer</w:t>
        </w:r>
      </w:hyperlink>
      <w:r>
        <w:t xml:space="preserve">). MyoMiner is a striated muscle specific database which provides filtered and processed gene co-expression data for both normal and pathological tissues constructed from vast amounts of human and mouse microarray data </w:t>
      </w:r>
      <w:r>
        <w:fldChar w:fldCharType="begin" w:fldLock="1"/>
      </w:r>
      <w:r>
        <w:instrText>ADDIN CSL_CITATION {"citationItems":[{"id":"ITEM-1","itemData":{"DOI":"10.1186/s12920-020-0712-3","ISSN":"1755-8794","PMID":"32393257","abstract":"BACKGROUND High-throughput transcriptomics measures mRNA levels for thousands of genes in a biological sample. Most gene expression studies aim to identify genes that are differentially expressed between different biological conditions, such as between healthy and diseased states. However, these data can also be used to identify genes that are co-expressed within a biological condition. Gene co-expression is used in a guilt-by-association approach to prioritize candidate genes that could be involved in disease, and to gain insights into the functions of genes, protein relations, and signaling pathways. Most existing gene co-expression databases are generic, amalgamating data for a given organism regardless of tissue-type. METHODS To study muscle-specific gene co-expression in both normal and pathological states, publicly available gene expression data were acquired for 2376 mouse and 2228 human striated muscle samples, and separated into 142 categories based on species (human or mouse), tissue origin, age, gender, anatomic part, and experimental condition. Co-expression values were calculated for each category to create the MyoMiner database. RESULTS Within each category, users can select a gene of interest, and the MyoMiner web interface will return all correlated genes. For each co-expressed gene pair, adjusted p-value and confidence intervals are provided as measures of expression correlation strength. A standardized expression-level scatterplot is available for every gene pair r-value. MyoMiner has two extra functions: (a) a network interface for creating a 2-shell correlation network, based either on the most highly correlated genes or from a list of genes provided by the user with the option to include linked genes from the database and (b) a comparison tool from which the users can test whether any two correlation coefficients from different conditions are significantly different. CONCLUSIONS These co-expression analyses will help investigators to delineate the tissue-, cell-, and pathology-specific elements of muscle protein interactions, cell signaling and gene regulation. Changes in co-expression between pathologic and healthy tissue may suggest new disease mechanisms and help define novel therapeutic targets. Thus, MyoMiner is a powerful muscle-specific database for the discovery of genes that are associated with related functions based on their co-expression. MyoMiner is freely available at https://www.sys-myo.com/myominer.","author":[{"dropping-particle":"","family":"Malatras","given":"Apostolos","non-dropping-particle":"","parse-names":false,"suffix":""},{"dropping-particle":"","family":"Michalopoulos","given":"Ioannis","non-dropping-particle":"","parse-names":false,"suffix":""},{"dropping-particle":"","family":"Duguez","given":"Stéphanie","non-dropping-particle":"","parse-names":false,"suffix":""},{"dropping-particle":"","family":"Butler-Browne","given":"Gillian","non-dropping-particle":"","parse-names":false,"suffix":""},{"dropping-particle":"","family":"Spuler","given":"Simone","non-dropping-particle":"","parse-names":false,"suffix":""},{"dropping-particle":"","family":"Duddy","given":"William J","non-dropping-particle":"","parse-names":false,"suffix":""}],"container-title":"BMC medical genomics","id":"ITEM-1","issue":"1","issued":{"date-parts":[["2020"]]},"page":"67","title":"MyoMiner: explore gene co-expression in normal and pathological muscle.","type":"article-journal","volume":"13"},"uris":["http://www.mendeley.com/documents/?uuid=0e8d0c22-1bfd-4208-b494-e39c5eff2dfd","http://www.mendeley.com/documents/?uuid=8c0f4ef1-ddb0-4cdc-b4c1-03b3ab813c3f"]}],"mendeley":{"formattedCitation":"(45)","plainTextFormattedCitation":"(45)","previouslyFormattedCitation":"(45)"},"properties":{"noteIndex":0},"schema":"https://github.com/citation-style-language/schema/raw/master/csl-citation.json"}</w:instrText>
      </w:r>
      <w:r>
        <w:fldChar w:fldCharType="separate"/>
      </w:r>
      <w:r w:rsidRPr="00276AB2">
        <w:rPr>
          <w:noProof/>
        </w:rPr>
        <w:t>(45)</w:t>
      </w:r>
      <w:r>
        <w:fldChar w:fldCharType="end"/>
      </w:r>
      <w:r>
        <w:t>. The database contains separate co-expression data on 142 categories of human, mouse or cell samples further grouped by age, sex, anatomic part, and experimental or disease condition. From the MyoMiner database we extracted two gene co-expression networks, representing human whole muscle tissue (from biopsies) and human muscle cells (cultured myoblasts and myotubes). All gene co-expression interactions contained a Pearson’s correlation r value and a correlation significance q-value. Any interaction present in the networks had a correlation significance q-value &lt;= 0.05. To remove noise introduced by gene-gene co-expression interactions with low Pearson’s correlation coefficient, we applied r value cut-offs. We created multiple versions of both the MyoMiner muscle cell network and the MyoMiner whole muscle network based on different cut-offs of Pearson’s correlation coefficient values (positive, r, or absolute, |r|; the lowest r thresholds being chosen in each case so as to avoid overly large network sizes of &gt;5.5 million edges). Six versions of the MyoMiner cell network were created: r &gt;= 0.6; |r| &gt;= 0.6; top 1 million interactions ranked by r; top 1 million interactions ranked by |r|; top 5.5 million interactions ranked by r; and the top 5.5 million interactions ranked by |r|. Similarly, but with modified cut-offs owing to the different distribution of edge weights, six versions of the MyoMiner whole muscle network were created: r &gt;= 0.7; |r| &gt;= 0.7; top 1 million interactions ranked by r; top 1 million interactions ranked by |r|; top 5.5 million interactions ranked by r; and the top 5.5 million interactions ranked by |r|. Subsequent to this, the 12 MyoMiner networks described above are referred to, respectively, as: MyoMiner Cell r&gt;= 0.6 +; MyoMiner Cell r&gt;= 0.6 +/-;</w:t>
      </w:r>
      <w:r w:rsidRPr="00E30A50">
        <w:t xml:space="preserve"> </w:t>
      </w:r>
      <w:r>
        <w:t>MyoMiner Cell top 1mil +; MyoMiner Cell top 1mil +/-; MyoMiner Cell top 5.5mil +; MyoMiner Cell top 5.5mil +/-; MyoMiner SM r&gt;= 0.7 +; MyoMiner SM r&gt;= 0.7 +/-;</w:t>
      </w:r>
      <w:r w:rsidRPr="00E30A50">
        <w:t xml:space="preserve"> </w:t>
      </w:r>
      <w:r>
        <w:t>MyoMiner SM top 1mil +; MyoMiner SM top 1mil +/-; MyoMiner SM top 5.5mil +; MyoMiner SM top 5.5mil +/-.</w:t>
      </w:r>
    </w:p>
    <w:p w14:paraId="0E209708" w14:textId="77777777" w:rsidR="002B3A3C" w:rsidRDefault="002B3A3C" w:rsidP="002B3A3C">
      <w:pPr>
        <w:spacing w:after="0"/>
        <w:jc w:val="both"/>
      </w:pPr>
    </w:p>
    <w:p w14:paraId="134ED218" w14:textId="77777777" w:rsidR="002B3A3C" w:rsidRDefault="002B3A3C" w:rsidP="002B3A3C">
      <w:pPr>
        <w:spacing w:after="0"/>
        <w:jc w:val="both"/>
      </w:pPr>
    </w:p>
    <w:p w14:paraId="51DEA16F" w14:textId="77777777" w:rsidR="002B3A3C" w:rsidRPr="00AC4916" w:rsidRDefault="002B3A3C" w:rsidP="002B3A3C">
      <w:pPr>
        <w:jc w:val="both"/>
        <w:rPr>
          <w:b/>
        </w:rPr>
      </w:pPr>
      <w:r>
        <w:rPr>
          <w:b/>
        </w:rPr>
        <w:t>Skeletal muscle</w:t>
      </w:r>
      <w:r w:rsidRPr="00AC4916">
        <w:rPr>
          <w:b/>
        </w:rPr>
        <w:t xml:space="preserve"> Gene Ontology terms</w:t>
      </w:r>
    </w:p>
    <w:p w14:paraId="64E3FA6F" w14:textId="77777777" w:rsidR="002B3A3C" w:rsidRDefault="002B3A3C" w:rsidP="002B3A3C">
      <w:pPr>
        <w:jc w:val="both"/>
      </w:pPr>
      <w:r>
        <w:t xml:space="preserve">To test for recovery of muscle-related gene functions between the various networks, we needed to define an appropriate list of gene sets representative of skeletal muscle processes. The Molecular Signatures Database (MSigDB) is a comprehensive manually reviewed and curated database of gene sets used primarily for gene set enrichment analysis </w:t>
      </w:r>
      <w:r>
        <w:fldChar w:fldCharType="begin" w:fldLock="1"/>
      </w:r>
      <w:r>
        <w:instrText>ADDIN CSL_CITATION {"citationItems":[{"id":"ITEM-1","itemData":{"DOI":"10.1016/j.cels.2015.12.004","ISSN":"2405-4712","PMID":"26771021","abstract":"The Molecular Signatures Database (MSigDB) is one of the most widely used and comprehensive databases of gene sets for performing gene set enrichment analysis. Since its creation, MSigDB has grown beyond its roots in metabolic disease and cancer to include &gt;10,000 gene sets. These better represent a wider range of biological processes and diseases, but the utility of the database is reduced by increased redundancy across, and heterogeneity within, gene sets. To address this challenge, here we use a combination of automated approaches and expert curation to develop a collection of \"hallmark\" gene sets as part of MSigDB. Each hallmark in this collection consists of a \"refined\" gene set, derived from multiple \"founder\" sets, that conveys a specific biological state or process and displays coherent expression. The hallmarks effectively summarize most of the relevant information of the original founder sets and, by reducing both variation and redundancy, provide more refined and concise inputs for gene set enrichment analysis.","author":[{"dropping-particle":"","family":"Liberzon","given":"Arthur","non-dropping-particle":"","parse-names":false,"suffix":""},{"dropping-particle":"","family":"Birger","given":"Chet","non-dropping-particle":"","parse-names":false,"suffix":""},{"dropping-particle":"","family":"Thorvaldsdóttir","given":"Helga","non-dropping-particle":"","parse-names":false,"suffix":""},{"dropping-particle":"","family":"Ghandi","given":"Mahmoud","non-dropping-particle":"","parse-names":false,"suffix":""},{"dropping-particle":"","family":"Mesirov","given":"Jill P","non-dropping-particle":"","parse-names":false,"suffix":""},{"dropping-particle":"","family":"Tamayo","given":"Pablo","non-dropping-particle":"","parse-names":false,"suffix":""}],"container-title":"Cell systems","id":"ITEM-1","issue":"6","issued":{"date-parts":[["2015","12"]]},"page":"417-425","title":"The Molecular Signatures Database (MSigDB) hallmark gene set collection.","type":"article-journal","volume":"1"},"uris":["http://www.mendeley.com/documents/?uuid=d914eecc-5d81-4fe9-bb2f-b4408dca6194","http://www.mendeley.com/documents/?uuid=60e6efc1-8d56-49aa-8151-9e476eed9b75"]}],"mendeley":{"formattedCitation":"(46)","plainTextFormattedCitation":"(46)","previouslyFormattedCitation":"(46)"},"properties":{"noteIndex":0},"schema":"https://github.com/citation-style-language/schema/raw/master/csl-citation.json"}</w:instrText>
      </w:r>
      <w:r>
        <w:fldChar w:fldCharType="separate"/>
      </w:r>
      <w:r w:rsidRPr="00276AB2">
        <w:rPr>
          <w:noProof/>
        </w:rPr>
        <w:t>(46)</w:t>
      </w:r>
      <w:r>
        <w:fldChar w:fldCharType="end"/>
      </w:r>
      <w:r>
        <w:t xml:space="preserve">. From MSigDB we selected eleven muscle-relevant gene sets from the C5 collection representing the Gene Ontology (GO). Table 2 gives the name of the muscle-relevant gene sets selected, their GO category and the number of genes present in each gene set. These gene sets were subsequently used as input for the DIAMOnD recall analysis and tested for enrichment in network clusters produced by the DSD Kernel clustering algorithm, as measures of network performance.  </w:t>
      </w:r>
    </w:p>
    <w:p w14:paraId="190B6FBC" w14:textId="77777777" w:rsidR="002B3A3C" w:rsidRPr="00F24CE4" w:rsidRDefault="002B3A3C" w:rsidP="002B3A3C">
      <w:pPr>
        <w:jc w:val="both"/>
      </w:pPr>
    </w:p>
    <w:p w14:paraId="66CA38FD" w14:textId="77777777" w:rsidR="002B3A3C" w:rsidRPr="00AC4916" w:rsidRDefault="002B3A3C" w:rsidP="002B3A3C">
      <w:pPr>
        <w:jc w:val="both"/>
        <w:rPr>
          <w:b/>
          <w:lang w:val="en"/>
        </w:rPr>
      </w:pPr>
      <w:r w:rsidRPr="00AC4916">
        <w:rPr>
          <w:b/>
          <w:lang w:val="en"/>
        </w:rPr>
        <w:t xml:space="preserve">Kernel Clustering with Diffusion State Distance (DSD) </w:t>
      </w:r>
    </w:p>
    <w:p w14:paraId="76F93CDD" w14:textId="77777777" w:rsidR="002B3A3C" w:rsidRPr="00982AB4" w:rsidRDefault="002B3A3C" w:rsidP="002B3A3C">
      <w:pPr>
        <w:jc w:val="both"/>
        <w:rPr>
          <w:lang w:val="en"/>
        </w:rPr>
      </w:pPr>
      <w:r>
        <w:rPr>
          <w:lang w:val="en"/>
        </w:rPr>
        <w:t xml:space="preserve">A measure of network performance was to test for enrichment of muscle GO terms among network clusters. To define MIN clusters we applied a kernel clustering method based on the Diffusion State Distance (DSD) metric, designed by Cao et al. </w:t>
      </w:r>
      <w:r>
        <w:rPr>
          <w:lang w:val="en"/>
        </w:rPr>
        <w:fldChar w:fldCharType="begin" w:fldLock="1"/>
      </w:r>
      <w:r>
        <w:rPr>
          <w:lang w:val="en"/>
        </w:rPr>
        <w:instrText>ADDIN CSL_CITATION {"citationItems":[{"id":"ITEM-1","itemData":{"DOI":"10.1371/journal.pone.0076339","ISSN":"1932-6203","PMID":"24194834","abstract":"In protein-protein interaction (PPI) networks, functional similarity is often inferred based on the function of directly interacting proteins, or more generally, some notion of interaction network proximity among proteins in a local neighborhood. Prior methods typically measure proximity as the shortest-path distance in the network, but this has only a limited ability to capture fine-grained neighborhood distinctions, because most proteins are close to each other, and there are many ties in proximity. We introduce diffusion state distance (DSD), a new metric based on a graph diffusion property, designed to capture finer-grained distinctions in proximity for transfer of functional annotation in PPI networks. We present a tool that, when input a PPI network, will output the DSD distances between every pair of proteins. We show that replacing the shortest-path metric by DSD improves the performance of classical function prediction methods across the board.","author":[{"dropping-particle":"","family":"Cao","given":"Mengfei","non-dropping-particle":"","parse-names":false,"suffix":""},{"dropping-particle":"","family":"Zhang","given":"Hao","non-dropping-particle":"","parse-names":false,"suffix":""},{"dropping-particle":"","family":"Park","given":"Jisoo","non-dropping-particle":"","parse-names":false,"suffix":""},{"dropping-particle":"","family":"Daniels","given":"Noah M","non-dropping-particle":"","parse-names":false,"suffix":""},{"dropping-particle":"","family":"Crovella","given":"Mark E","non-dropping-particle":"","parse-names":false,"suffix":""},{"dropping-particle":"","family":"Cowen","given":"Lenore J","non-dropping-particle":"","parse-names":false,"suffix":""},{"dropping-particle":"","family":"Hescott","given":"Benjamin","non-dropping-particle":"","parse-names":false,"suffix":""}],"container-title":"PloS one","id":"ITEM-1","issue":"10","issued":{"date-parts":[["2013"]]},"page":"e76339","title":"Going the distance for protein function prediction: a new distance metric for protein interaction networks.","type":"article-journal","volume":"8"},"uris":["http://www.mendeley.com/documents/?uuid=e8afce0a-f752-42a5-8299-a4336600b837","http://www.mendeley.com/documents/?uuid=9072ff0f-c2cd-41bc-96d6-ce24a03bd002"]},{"id":"ITEM-2","itemData":{"DOI":"10.1093/bioinformatics/btu263","ISSN":"1367-4811","PMID":"24931987","abstract":"MOTIVATION It has long been hypothesized that incorporating models of network noise as well as edge directions and known pathway information into the representation of protein-protein interaction (PPI) networks might improve their utility for functional inference. However, a simple way to do this has not been obvious. We find that diffusion state distance (DSD), our recent diffusion-based metric for measuring dissimilarity in PPI networks, has natural extensions that incorporate confidence, directions and can even express coherent pathways by calculating DSD on an augmented graph. RESULTS We define three incremental versions of DSD which we term cDSD, caDSD and capDSD, where the capDSD matrix incorporates confidence, known directed edges, and pathways into the measure of how similar each pair of nodes is according to the structure of the PPI network. We test four popular function prediction methods (majority vote, weighted majority vote, multi-way cut and functional flow) using these different matrices on the Baker's yeast PPI network in cross-validation. The best performing method is weighted majority vote using capDSD. We then test the performance of our augmented DSD methods on an integrated heterogeneous set of protein association edges from the STRING database. The superior performance of capDSD in this context confirms that treating the pathways as probabilistic units is more powerful than simply incorporating pathway edges independently into the network. AVAILABILITY All source code for calculating the confidences, for extracting pathway information from KEGG XML files, and for calculating the cDSD, caDSD and capDSD matrices are available from http://dsd.cs.tufts.edu/capdsd","author":[{"dropping-particle":"","family":"Cao","given":"Mengfei","non-dropping-particle":"","parse-names":false,"suffix":""},{"dropping-particle":"","family":"Pietras","given":"Christopher M","non-dropping-particle":"","parse-names":false,"suffix":""},{"dropping-particle":"","family":"Feng","given":"Xian","non-dropping-particle":"","parse-names":false,"suffix":""},{"dropping-particle":"","family":"Doroschak","given":"Kathryn J","non-dropping-particle":"","parse-names":false,"suffix":""},{"dropping-particle":"","family":"Schaffner","given":"Thomas","non-dropping-particle":"","parse-names":false,"suffix":""},{"dropping-particle":"","family":"Park","given":"Jisoo","non-dropping-particle":"","parse-names":false,"suffix":""},{"dropping-particle":"","family":"Zhang","given":"Hao","non-dropping-particle":"","parse-names":false,"suffix":""},{"dropping-particle":"","family":"Cowen","given":"Lenore J","non-dropping-particle":"","parse-names":false,"suffix":""},{"dropping-particle":"","family":"Hescott","given":"Benjamin J","non-dropping-particle":"","parse-names":false,"suffix":""}],"container-title":"Bioinformatics (Oxford, England)","id":"ITEM-2","issue":"12","issued":{"date-parts":[["2014","6"]]},"page":"i219-27","title":"New directions for diffusion-based network prediction of protein function: incorporating pathways with confidence.","type":"article-journal","volume":"30"},"uris":["http://www.mendeley.com/documents/?uuid=f6d9151a-5b76-4a2b-aa56-95fcc4ebfc7f","http://www.mendeley.com/documents/?uuid=68b380e8-192a-44b6-9d2b-d0b24a8b0507"]}],"mendeley":{"formattedCitation":"(29,30)","plainTextFormattedCitation":"(29,30)","previouslyFormattedCitation":"(29,30)"},"properties":{"noteIndex":0},"schema":"https://github.com/citation-style-language/schema/raw/master/csl-citation.json"}</w:instrText>
      </w:r>
      <w:r>
        <w:rPr>
          <w:lang w:val="en"/>
        </w:rPr>
        <w:fldChar w:fldCharType="separate"/>
      </w:r>
      <w:r w:rsidRPr="00276AB2">
        <w:rPr>
          <w:noProof/>
          <w:lang w:val="en"/>
        </w:rPr>
        <w:t>(29,30)</w:t>
      </w:r>
      <w:r>
        <w:rPr>
          <w:lang w:val="en"/>
        </w:rPr>
        <w:fldChar w:fldCharType="end"/>
      </w:r>
      <w:r>
        <w:rPr>
          <w:lang w:val="en"/>
        </w:rPr>
        <w:t xml:space="preserve">. DSD is a novel graph metric built on the premise that nodes are more functionally related if they share paths with nodes of low-degree (fewer connections) relative to if they shared paths with nodes of high-degree (more connections). The DSD metric is used to produce a similarity matrix on which a spectral clustering algorithm is applied. This method, and the source code used, were taken from the top performing network modularization method in the Disease Module Identification (DMI) DREAM Challenge </w:t>
      </w:r>
      <w:r>
        <w:rPr>
          <w:lang w:val="en"/>
        </w:rPr>
        <w:fldChar w:fldCharType="begin" w:fldLock="1"/>
      </w:r>
      <w:r>
        <w:rPr>
          <w:lang w:val="en"/>
        </w:rP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f10246bf-e29b-4110-a9ab-8bdd0dcdfa8c","http://www.mendeley.com/documents/?uuid=773d1801-d285-4f69-8118-da29c31cf2b1"]}],"mendeley":{"formattedCitation":"(47)","plainTextFormattedCitation":"(47)","previouslyFormattedCitation":"(47)"},"properties":{"noteIndex":0},"schema":"https://github.com/citation-style-language/schema/raw/master/csl-citation.json"}</w:instrText>
      </w:r>
      <w:r>
        <w:rPr>
          <w:lang w:val="en"/>
        </w:rPr>
        <w:fldChar w:fldCharType="separate"/>
      </w:r>
      <w:r w:rsidRPr="00276AB2">
        <w:rPr>
          <w:noProof/>
          <w:lang w:val="en"/>
        </w:rPr>
        <w:t>(47)</w:t>
      </w:r>
      <w:r>
        <w:rPr>
          <w:lang w:val="en"/>
        </w:rPr>
        <w:fldChar w:fldCharType="end"/>
      </w:r>
      <w:r>
        <w:rPr>
          <w:lang w:val="en"/>
        </w:rPr>
        <w:t xml:space="preserve">. The source code and method description are available at </w:t>
      </w:r>
      <w:hyperlink r:id="rId43" w:anchor="!Synapse:syn7349492/wiki/407359" w:history="1">
        <w:r w:rsidRPr="00F10AAD">
          <w:rPr>
            <w:rStyle w:val="Hyperlink"/>
            <w:lang w:val="en"/>
          </w:rPr>
          <w:t>https://www.synapse.org/#!Synapse:syn7349492/wiki/407359</w:t>
        </w:r>
      </w:hyperlink>
      <w:r>
        <w:rPr>
          <w:lang w:val="en"/>
        </w:rPr>
        <w:t xml:space="preserve">. The spectral clustering algorithm applied requires a parameter </w:t>
      </w:r>
      <w:r w:rsidRPr="00982AB4">
        <w:rPr>
          <w:i/>
          <w:lang w:val="en"/>
        </w:rPr>
        <w:t>k</w:t>
      </w:r>
      <w:r>
        <w:rPr>
          <w:i/>
          <w:lang w:val="en"/>
        </w:rPr>
        <w:t xml:space="preserve"> </w:t>
      </w:r>
      <w:r>
        <w:rPr>
          <w:lang w:val="en"/>
        </w:rPr>
        <w:t xml:space="preserve">specifying the number of cluster centers. We chose an initial value for </w:t>
      </w:r>
      <w:r>
        <w:rPr>
          <w:i/>
          <w:lang w:val="en"/>
        </w:rPr>
        <w:t xml:space="preserve">k </w:t>
      </w:r>
      <w:r>
        <w:rPr>
          <w:lang w:val="en"/>
        </w:rPr>
        <w:t>as 100. The resultant network clusters varied greatly in size, with some clusters being below 5 and other clusters being above 300. The spectral clustering method deploys a recursive clustering method to split network clusters above a desired threshold. For this we recursively split MIN clusters of size greater than 300 until they satisfied this threshold. Clusters containing 5 nodes or less were discarded. Once the network clusters were defined, each separate cluster was then subjected to gene set enrichment analysis using Fishers exact test against each of the 11 skeletal muscle relevant GO gene sets taken from MsigDB. As this involves testing for the enrichment of GO terms across a large number of defined clusters, we applied a Benjamini-Hochberg multiple testing correction with alpha 0.05. For a given network, the top enrichment score for each muscle GO term could then be identified from among the DSD-generated clusters. The performances of the networks could then be compared based on these top enrichment scores.</w:t>
      </w:r>
    </w:p>
    <w:p w14:paraId="52A0ED42" w14:textId="77777777" w:rsidR="002B3A3C" w:rsidRDefault="002B3A3C" w:rsidP="002B3A3C">
      <w:pPr>
        <w:spacing w:after="0"/>
        <w:jc w:val="both"/>
      </w:pPr>
    </w:p>
    <w:p w14:paraId="02BAEA4D" w14:textId="77777777" w:rsidR="002B3A3C" w:rsidRPr="00AC4916" w:rsidRDefault="002B3A3C" w:rsidP="002B3A3C">
      <w:pPr>
        <w:jc w:val="both"/>
        <w:rPr>
          <w:b/>
          <w:lang w:val="en"/>
        </w:rPr>
      </w:pPr>
      <w:r w:rsidRPr="00AC4916">
        <w:rPr>
          <w:b/>
          <w:lang w:val="en"/>
        </w:rPr>
        <w:t xml:space="preserve">Recall Analysis with </w:t>
      </w:r>
      <w:r>
        <w:rPr>
          <w:b/>
          <w:lang w:val="en"/>
        </w:rPr>
        <w:t xml:space="preserve">the </w:t>
      </w:r>
      <w:r w:rsidRPr="00AC4916">
        <w:rPr>
          <w:b/>
          <w:lang w:val="en"/>
        </w:rPr>
        <w:t>Disease Module Detection Algorithm (DIAMOnD)</w:t>
      </w:r>
    </w:p>
    <w:p w14:paraId="57BB3FF9" w14:textId="77777777" w:rsidR="002B3A3C" w:rsidRPr="002048AA" w:rsidRDefault="002B3A3C" w:rsidP="002B3A3C">
      <w:pPr>
        <w:spacing w:after="0"/>
        <w:jc w:val="both"/>
        <w:rPr>
          <w:iCs/>
          <w:lang w:val="en"/>
        </w:rPr>
      </w:pPr>
      <w:r>
        <w:rPr>
          <w:lang w:val="en"/>
        </w:rPr>
        <w:t xml:space="preserve">As a second measurement of performance between networks, the Disease Module Detection (DIAMOnD) algorithm was used. DIAMOnD was designed to identify disease modules iteratively constructed around a set of known disease genes. The authors of DIAMOnD identified a parameter called connectivity significance as being the most predictive topological property for the identification of disease modules. The DIAMOnD algorithm applies the hypergeometric distribution function to define the probability of a given node with </w:t>
      </w:r>
      <w:r w:rsidRPr="00180C0F">
        <w:rPr>
          <w:i/>
          <w:lang w:val="en"/>
        </w:rPr>
        <w:t>K</w:t>
      </w:r>
      <w:r>
        <w:rPr>
          <w:lang w:val="en"/>
        </w:rPr>
        <w:t xml:space="preserve"> edges, having </w:t>
      </w:r>
      <w:r>
        <w:rPr>
          <w:i/>
          <w:lang w:val="en"/>
        </w:rPr>
        <w:t>KS</w:t>
      </w:r>
      <w:r>
        <w:rPr>
          <w:lang w:val="en"/>
        </w:rPr>
        <w:t xml:space="preserve"> edges with a set of </w:t>
      </w:r>
      <w:r w:rsidRPr="00180C0F">
        <w:rPr>
          <w:i/>
          <w:lang w:val="en"/>
        </w:rPr>
        <w:t>S</w:t>
      </w:r>
      <w:r>
        <w:rPr>
          <w:lang w:val="en"/>
        </w:rPr>
        <w:t xml:space="preserve"> seed nodes </w:t>
      </w:r>
      <w:r>
        <w:rPr>
          <w:lang w:val="en"/>
        </w:rPr>
        <w:fldChar w:fldCharType="begin" w:fldLock="1"/>
      </w:r>
      <w:r>
        <w:rPr>
          <w:lang w:val="en"/>
        </w:rPr>
        <w:instrText>ADDIN CSL_CITATION {"citationItems":[{"id":"ITEM-1","itemData":{"DOI":"10.1371/journal.pcbi.1004120","ISSN":"1553-7358","author":[{"dropping-particle":"","family":"Ghiassian","given":"Susan Dina","non-dropping-particle":"","parse-names":false,"suffix":""},{"dropping-particle":"","family":"Menche","given":"J?rg","non-dropping-particle":"","parse-names":false,"suffix":""},{"dropping-particle":"","family":"Barab?si","given":"Albert-L?szl?","non-dropping-particle":"","parse-names":false,"suffix":""}],"container-title":"PLOS Computational Biology","editor":[{"dropping-particle":"","family":"Rzhetsky","given":"Andrey","non-dropping-particle":"","parse-names":false,"suffix":""}],"id":"ITEM-1","issue":"4","issued":{"date-parts":[["2015","4","8"]]},"page":"e1004120","title":"A DIseAse MOdule Detection (DIAMOnD) Algorithm Derived from a Systematic Analysis of Connectivity Patterns of Disease Proteins in the Human Interactome","type":"article-journal","volume":"11"},"uris":["http://www.mendeley.com/documents/?uuid=06f4b186-b4ad-4836-b34a-fb36beebe2b4"]}],"mendeley":{"formattedCitation":"(28)","plainTextFormattedCitation":"(28)","previouslyFormattedCitation":"(28)"},"properties":{"noteIndex":0},"schema":"https://github.com/citation-style-language/schema/raw/master/csl-citation.json"}</w:instrText>
      </w:r>
      <w:r>
        <w:rPr>
          <w:lang w:val="en"/>
        </w:rPr>
        <w:fldChar w:fldCharType="separate"/>
      </w:r>
      <w:r w:rsidRPr="00276AB2">
        <w:rPr>
          <w:noProof/>
          <w:lang w:val="en"/>
        </w:rPr>
        <w:t>(28)</w:t>
      </w:r>
      <w:r>
        <w:rPr>
          <w:lang w:val="en"/>
        </w:rPr>
        <w:fldChar w:fldCharType="end"/>
      </w:r>
      <w:r>
        <w:rPr>
          <w:lang w:val="en"/>
        </w:rPr>
        <w:t xml:space="preserve">. To define the connectivity significance of a node to the seed list, the cumulative probability for the node having </w:t>
      </w:r>
      <w:r>
        <w:rPr>
          <w:i/>
          <w:lang w:val="en"/>
        </w:rPr>
        <w:t>KS</w:t>
      </w:r>
      <w:r>
        <w:rPr>
          <w:lang w:val="en"/>
        </w:rPr>
        <w:t xml:space="preserve"> or more edges with the seed set is calculated. This defines the p-value to describe if a node has more edges to the seed set than would be expected. The benefit of using connectivity significance as a measure of association to a list of seed genes is that this reduces the detection of spurious nodes of high degree (i.e. number of connections) – in simple terms, connectivity significance indicates how unlikely it is for a gene to interact with a disease gene given the number of other interactions possessed by each of the two genes. The DIAMOnD algorithm takes as input a network edge list, a list of seed nodes, a value of alpha to weight edges with seed nodes, and a value </w:t>
      </w:r>
      <w:r w:rsidRPr="005B54AF">
        <w:rPr>
          <w:i/>
          <w:lang w:val="en"/>
        </w:rPr>
        <w:t>N</w:t>
      </w:r>
      <w:r>
        <w:rPr>
          <w:i/>
          <w:lang w:val="en"/>
        </w:rPr>
        <w:t xml:space="preserve"> </w:t>
      </w:r>
      <w:r>
        <w:rPr>
          <w:lang w:val="en"/>
        </w:rPr>
        <w:t xml:space="preserve">for the number of nodes to be iteratively added to the given set of seed nodes. As output the DIAMOnD algorithm produces a list of nodes from 1 to </w:t>
      </w:r>
      <w:r w:rsidRPr="005B54AF">
        <w:rPr>
          <w:i/>
          <w:lang w:val="en"/>
        </w:rPr>
        <w:t>N</w:t>
      </w:r>
      <w:r>
        <w:rPr>
          <w:i/>
          <w:lang w:val="en"/>
        </w:rPr>
        <w:t xml:space="preserve">, </w:t>
      </w:r>
      <w:r w:rsidRPr="00EF569F">
        <w:rPr>
          <w:lang w:val="en"/>
        </w:rPr>
        <w:t>with 1 being the node with the highest connect</w:t>
      </w:r>
      <w:r>
        <w:rPr>
          <w:lang w:val="en"/>
        </w:rPr>
        <w:t xml:space="preserve">ivity significance to the seed </w:t>
      </w:r>
      <w:r w:rsidRPr="00EF569F">
        <w:rPr>
          <w:lang w:val="en"/>
        </w:rPr>
        <w:t>nodes and the subsequent nodes having the highe</w:t>
      </w:r>
      <w:r>
        <w:rPr>
          <w:lang w:val="en"/>
        </w:rPr>
        <w:t>st connectivity significance to</w:t>
      </w:r>
      <w:r w:rsidRPr="00EF569F">
        <w:rPr>
          <w:lang w:val="en"/>
        </w:rPr>
        <w:t xml:space="preserve"> the expanding </w:t>
      </w:r>
      <w:r>
        <w:rPr>
          <w:lang w:val="en"/>
        </w:rPr>
        <w:t>disease module</w:t>
      </w:r>
      <w:r>
        <w:rPr>
          <w:i/>
          <w:lang w:val="en"/>
        </w:rPr>
        <w:t>.</w:t>
      </w:r>
    </w:p>
    <w:p w14:paraId="45920F8C" w14:textId="77777777" w:rsidR="002B3A3C" w:rsidRDefault="002B3A3C" w:rsidP="002B3A3C">
      <w:pPr>
        <w:spacing w:after="0"/>
        <w:jc w:val="both"/>
        <w:rPr>
          <w:lang w:val="en"/>
        </w:rPr>
      </w:pPr>
      <w:r>
        <w:rPr>
          <w:lang w:val="en"/>
        </w:rPr>
        <w:t xml:space="preserve">We performed recall analysis with the DIAMOnD algorithm in order to rank networks based on the level of recall of muscle-related genes. Recall analysis features in the original DIAMOnD paper and involves taking a set of seed nodes and randomly removing a percentage (e.g. 10%, 20% or 30%) of the seed node list. Each resultant reduced seed list is then used as input to the DIAMOnD algorithm, which is then applied to each of the networks to be compared. The percentage of removed nodes that were recovered by DIAMOnD (i.e. that were present in the disease module identified by DIAMOnD after a set number of iterations) was taken as an indication of the ability of that network to enable recovery of muscle-relevant genes. In theory, for a set of highly functionally related seed nodes (such as those of the skeletal muscle GO terms that we used, which are all involved in the same biological process or in the same cellular component), it would be expected that a high percentage of the removed seed nodes would be recalled. For each seed list, we calculated the average percentage recall for 100 permutations, randomly removing 10%, 20% and 30% of the seed nodes, respectively, then averaging across each. We set input parameter of </w:t>
      </w:r>
      <w:r>
        <w:rPr>
          <w:i/>
          <w:lang w:val="en"/>
        </w:rPr>
        <w:t xml:space="preserve">N </w:t>
      </w:r>
      <w:r>
        <w:rPr>
          <w:lang w:val="en"/>
        </w:rPr>
        <w:t>in the DIAMOnD algorithm to 200 iterations. That is, the recall percentage is calculated as the percentage of the removed seed nodes that are returned after 200 iterations of the DIAMOnD algorithm.</w:t>
      </w:r>
    </w:p>
    <w:p w14:paraId="0F6B4168" w14:textId="77777777" w:rsidR="002B3A3C" w:rsidRPr="00AC30E2" w:rsidRDefault="002B3A3C" w:rsidP="002B3A3C">
      <w:pPr>
        <w:spacing w:after="0"/>
        <w:jc w:val="both"/>
        <w:rPr>
          <w:lang w:val="en"/>
        </w:rPr>
      </w:pPr>
    </w:p>
    <w:p w14:paraId="20B8FA91" w14:textId="77777777" w:rsidR="002B3A3C" w:rsidRDefault="002B3A3C" w:rsidP="002B3A3C">
      <w:pPr>
        <w:jc w:val="both"/>
        <w:rPr>
          <w:b/>
        </w:rPr>
      </w:pPr>
    </w:p>
    <w:p w14:paraId="73714099" w14:textId="77777777" w:rsidR="002B3A3C" w:rsidRPr="00AC4916" w:rsidRDefault="002B3A3C" w:rsidP="002B3A3C">
      <w:pPr>
        <w:jc w:val="both"/>
        <w:rPr>
          <w:b/>
        </w:rPr>
      </w:pPr>
      <w:r w:rsidRPr="00AC4916">
        <w:rPr>
          <w:b/>
        </w:rPr>
        <w:t>Combining Networks for optimization</w:t>
      </w:r>
    </w:p>
    <w:p w14:paraId="5AC82910" w14:textId="77777777" w:rsidR="002B3A3C" w:rsidRDefault="002B3A3C" w:rsidP="002B3A3C">
      <w:pPr>
        <w:jc w:val="both"/>
        <w:rPr>
          <w:lang w:val="en"/>
        </w:rPr>
      </w:pPr>
      <w:r>
        <w:rPr>
          <w:lang w:val="en"/>
        </w:rPr>
        <w:t>Once network performance had been measured and compared, we then combined selected PPI networks with selected gene co-expression networks, to test if an optimal network could be defined, which would offer an optimal recall of muscle genes and muscle-related GO terms. For this we introduced 2 basic combinatory procedures. These were:</w:t>
      </w:r>
    </w:p>
    <w:p w14:paraId="4BDC31D7" w14:textId="77777777" w:rsidR="002B3A3C" w:rsidRDefault="002B3A3C" w:rsidP="002B3A3C">
      <w:pPr>
        <w:pStyle w:val="ListParagraph"/>
        <w:numPr>
          <w:ilvl w:val="0"/>
          <w:numId w:val="15"/>
        </w:numPr>
        <w:jc w:val="both"/>
        <w:rPr>
          <w:lang w:val="en"/>
        </w:rPr>
      </w:pPr>
      <w:r>
        <w:rPr>
          <w:lang w:val="en"/>
        </w:rPr>
        <w:t>Node filter – Similar to a gene expression filter. For any node pair in a PPI network, if those nodes are found in the gene co-expression network being combined, that node pair is carried forward.</w:t>
      </w:r>
    </w:p>
    <w:p w14:paraId="5970D594" w14:textId="77777777" w:rsidR="002B3A3C" w:rsidRDefault="002B3A3C" w:rsidP="002B3A3C">
      <w:pPr>
        <w:pStyle w:val="ListParagraph"/>
        <w:numPr>
          <w:ilvl w:val="0"/>
          <w:numId w:val="15"/>
        </w:numPr>
        <w:jc w:val="both"/>
        <w:rPr>
          <w:lang w:val="en"/>
        </w:rPr>
      </w:pPr>
      <w:r>
        <w:rPr>
          <w:lang w:val="en"/>
        </w:rPr>
        <w:t>Union – The union is the simple combination of both networks, with the removal of duplicate node edges.</w:t>
      </w:r>
    </w:p>
    <w:p w14:paraId="58BE6BC0" w14:textId="77777777" w:rsidR="002B3A3C" w:rsidRDefault="002B3A3C" w:rsidP="002B3A3C">
      <w:pPr>
        <w:jc w:val="both"/>
        <w:rPr>
          <w:lang w:val="en"/>
        </w:rPr>
      </w:pPr>
      <w:r>
        <w:rPr>
          <w:lang w:val="en"/>
        </w:rPr>
        <w:t>For the combinations applied in this study, the network edge weights were not carried forward in the combined networks. Any network edge present in the combined networks had, or was assigned, a value of 1. A schema summarizing the methodology for the combined networks is provided (Figure 1).</w:t>
      </w:r>
    </w:p>
    <w:p w14:paraId="1C388E8D" w14:textId="77777777" w:rsidR="002B3A3C" w:rsidRPr="00B15D96" w:rsidRDefault="002B3A3C" w:rsidP="002B3A3C">
      <w:pPr>
        <w:jc w:val="both"/>
        <w:rPr>
          <w:lang w:val="en"/>
        </w:rPr>
      </w:pPr>
      <w:r>
        <w:rPr>
          <w:noProof/>
          <w:lang w:val="en"/>
        </w:rPr>
        <w:drawing>
          <wp:inline distT="0" distB="0" distL="0" distR="0" wp14:anchorId="21C8CD0B" wp14:editId="2F6EE07C">
            <wp:extent cx="5731510" cy="322389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0C17CFB" w14:textId="77777777" w:rsidR="002B3A3C" w:rsidRPr="00E04B7B" w:rsidRDefault="002B3A3C" w:rsidP="002B3A3C">
      <w:pPr>
        <w:spacing w:after="0"/>
        <w:jc w:val="both"/>
        <w:rPr>
          <w:b/>
          <w:bCs/>
          <w:sz w:val="18"/>
          <w:szCs w:val="18"/>
          <w:lang w:val="en"/>
        </w:rPr>
      </w:pPr>
      <w:r w:rsidRPr="00E04B7B">
        <w:rPr>
          <w:b/>
          <w:bCs/>
          <w:sz w:val="18"/>
          <w:szCs w:val="18"/>
          <w:lang w:val="en"/>
        </w:rPr>
        <w:t xml:space="preserve">Figure 1. Schema summarizing the </w:t>
      </w:r>
      <w:r>
        <w:rPr>
          <w:b/>
          <w:bCs/>
          <w:sz w:val="18"/>
          <w:szCs w:val="18"/>
          <w:lang w:val="en"/>
        </w:rPr>
        <w:t>sources of combined</w:t>
      </w:r>
      <w:r w:rsidRPr="00E04B7B">
        <w:rPr>
          <w:b/>
          <w:bCs/>
          <w:sz w:val="18"/>
          <w:szCs w:val="18"/>
          <w:lang w:val="en"/>
        </w:rPr>
        <w:t xml:space="preserve"> networks</w:t>
      </w:r>
      <w:r>
        <w:rPr>
          <w:b/>
          <w:bCs/>
          <w:sz w:val="18"/>
          <w:szCs w:val="18"/>
          <w:lang w:val="en"/>
        </w:rPr>
        <w:t xml:space="preserve"> and the methods used to assess their performance</w:t>
      </w:r>
      <w:r w:rsidRPr="00E04B7B">
        <w:rPr>
          <w:b/>
          <w:bCs/>
          <w:sz w:val="18"/>
          <w:szCs w:val="18"/>
          <w:lang w:val="en"/>
        </w:rPr>
        <w:t>.</w:t>
      </w:r>
    </w:p>
    <w:p w14:paraId="59E48724" w14:textId="77777777" w:rsidR="002B3A3C" w:rsidRDefault="002B3A3C" w:rsidP="002B3A3C">
      <w:pPr>
        <w:spacing w:after="0"/>
        <w:jc w:val="both"/>
        <w:rPr>
          <w:lang w:val="en"/>
        </w:rPr>
      </w:pPr>
    </w:p>
    <w:p w14:paraId="2F2167BD" w14:textId="77777777" w:rsidR="002B3A3C" w:rsidRDefault="002B3A3C" w:rsidP="002B3A3C">
      <w:pPr>
        <w:pStyle w:val="Heading1"/>
        <w:jc w:val="both"/>
      </w:pPr>
      <w:r>
        <w:t>Results</w:t>
      </w:r>
    </w:p>
    <w:p w14:paraId="2F959A93" w14:textId="77777777" w:rsidR="002B3A3C" w:rsidRDefault="002B3A3C" w:rsidP="002B3A3C">
      <w:pPr>
        <w:jc w:val="both"/>
        <w:rPr>
          <w:lang w:val="en"/>
        </w:rPr>
      </w:pPr>
      <w:r>
        <w:rPr>
          <w:lang w:val="en"/>
        </w:rPr>
        <w:t>Functional association data were obtained from sources of Protein-Protein Interactions (STRING, IID), gene co-expression databases (GTEx, COXPRESdb, MyoMiner), and combined functional associations (HumanBase), and filters were applied to association evidence scores to generate 28 MINs of different compositions and sizes (Table 1; Figure S1). To test the recall of muscle-relevant genes and functions, 11 GO terms were selected based on their relevance to skeletal muscle biological processes or representation of important cell components of the skeletal muscle (Table S1). To retain only those networks having a minimum baseline representation of muscle-relevant genes, 17 n</w:t>
      </w:r>
      <w:r w:rsidRPr="00AD20A4">
        <w:rPr>
          <w:lang w:val="en"/>
        </w:rPr>
        <w:t xml:space="preserve">etworks were selected </w:t>
      </w:r>
      <w:r>
        <w:rPr>
          <w:lang w:val="en"/>
        </w:rPr>
        <w:t xml:space="preserve">for subsequent analysis </w:t>
      </w:r>
      <w:r w:rsidRPr="00AD20A4">
        <w:rPr>
          <w:lang w:val="en"/>
        </w:rPr>
        <w:t>based on their average coverage (percentage of included genes) of the selected muscle-related GO terms</w:t>
      </w:r>
      <w:r>
        <w:rPr>
          <w:lang w:val="en"/>
        </w:rPr>
        <w:t xml:space="preserve"> (&gt;75% average coverage; Figure S1).  </w:t>
      </w:r>
    </w:p>
    <w:p w14:paraId="1957B5DF" w14:textId="77777777" w:rsidR="002B3A3C" w:rsidRDefault="002B3A3C" w:rsidP="002B3A3C">
      <w:pPr>
        <w:jc w:val="both"/>
        <w:rPr>
          <w:b/>
        </w:rPr>
      </w:pPr>
    </w:p>
    <w:tbl>
      <w:tblPr>
        <w:tblStyle w:val="PlainTable2"/>
        <w:tblW w:w="9493" w:type="dxa"/>
        <w:tblBorders>
          <w:left w:val="single" w:sz="4" w:space="0" w:color="7F7F7F" w:themeColor="text1" w:themeTint="80"/>
          <w:right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1205"/>
        <w:gridCol w:w="1950"/>
        <w:gridCol w:w="3361"/>
        <w:gridCol w:w="1843"/>
        <w:gridCol w:w="1134"/>
      </w:tblGrid>
      <w:tr w:rsidR="002B3A3C" w:rsidRPr="0002037F" w14:paraId="3078CCC1" w14:textId="77777777" w:rsidTr="00924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54E8F5E4" w14:textId="77777777" w:rsidR="002B3A3C" w:rsidRPr="0002037F" w:rsidRDefault="002B3A3C" w:rsidP="00924A5A">
            <w:pPr>
              <w:jc w:val="both"/>
              <w:rPr>
                <w:b w:val="0"/>
                <w:sz w:val="18"/>
              </w:rPr>
            </w:pPr>
            <w:r w:rsidRPr="0002037F">
              <w:rPr>
                <w:sz w:val="18"/>
              </w:rPr>
              <w:t xml:space="preserve">Network </w:t>
            </w:r>
            <w:r>
              <w:rPr>
                <w:sz w:val="18"/>
              </w:rPr>
              <w:t>s</w:t>
            </w:r>
            <w:r w:rsidRPr="0002037F">
              <w:rPr>
                <w:sz w:val="18"/>
              </w:rPr>
              <w:t>ource</w:t>
            </w:r>
          </w:p>
        </w:tc>
        <w:tc>
          <w:tcPr>
            <w:tcW w:w="1950" w:type="dxa"/>
            <w:vAlign w:val="center"/>
          </w:tcPr>
          <w:p w14:paraId="082E096B"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 xml:space="preserve">Interaction </w:t>
            </w:r>
            <w:r>
              <w:rPr>
                <w:sz w:val="18"/>
              </w:rPr>
              <w:t>t</w:t>
            </w:r>
            <w:r w:rsidRPr="0002037F">
              <w:rPr>
                <w:sz w:val="18"/>
              </w:rPr>
              <w:t>ype</w:t>
            </w:r>
            <w:r>
              <w:rPr>
                <w:sz w:val="18"/>
              </w:rPr>
              <w:t>(s)</w:t>
            </w:r>
          </w:p>
        </w:tc>
        <w:tc>
          <w:tcPr>
            <w:tcW w:w="3361" w:type="dxa"/>
            <w:vAlign w:val="center"/>
          </w:tcPr>
          <w:p w14:paraId="692BFC53"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Interaction weight description</w:t>
            </w:r>
          </w:p>
        </w:tc>
        <w:tc>
          <w:tcPr>
            <w:tcW w:w="1843" w:type="dxa"/>
            <w:vAlign w:val="center"/>
          </w:tcPr>
          <w:p w14:paraId="577BEDAB"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sz w:val="18"/>
              </w:rPr>
            </w:pPr>
            <w:r>
              <w:rPr>
                <w:sz w:val="18"/>
              </w:rPr>
              <w:t>Tissue specificity</w:t>
            </w:r>
          </w:p>
        </w:tc>
        <w:tc>
          <w:tcPr>
            <w:tcW w:w="1134" w:type="dxa"/>
            <w:vAlign w:val="center"/>
          </w:tcPr>
          <w:p w14:paraId="48599A14"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Reference</w:t>
            </w:r>
          </w:p>
        </w:tc>
      </w:tr>
      <w:tr w:rsidR="002B3A3C" w:rsidRPr="0002037F" w14:paraId="29745148"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2553D9A3" w14:textId="77777777" w:rsidR="002B3A3C" w:rsidRPr="0002037F" w:rsidRDefault="002B3A3C" w:rsidP="00924A5A">
            <w:pPr>
              <w:jc w:val="both"/>
              <w:rPr>
                <w:sz w:val="18"/>
              </w:rPr>
            </w:pPr>
            <w:r w:rsidRPr="0002037F">
              <w:rPr>
                <w:sz w:val="18"/>
              </w:rPr>
              <w:t>STRING</w:t>
            </w:r>
          </w:p>
        </w:tc>
        <w:tc>
          <w:tcPr>
            <w:tcW w:w="1950" w:type="dxa"/>
            <w:vAlign w:val="center"/>
          </w:tcPr>
          <w:p w14:paraId="1CD10DAC"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AA3AF1">
              <w:rPr>
                <w:sz w:val="18"/>
              </w:rPr>
              <w:t>PPI (</w:t>
            </w:r>
            <w:r>
              <w:rPr>
                <w:sz w:val="18"/>
              </w:rPr>
              <w:t xml:space="preserve">evidence scores </w:t>
            </w:r>
            <w:r w:rsidRPr="00AA3AF1">
              <w:rPr>
                <w:sz w:val="18"/>
              </w:rPr>
              <w:t>supported by other functional associa</w:t>
            </w:r>
            <w:r>
              <w:rPr>
                <w:sz w:val="18"/>
              </w:rPr>
              <w:t>ti</w:t>
            </w:r>
            <w:r w:rsidRPr="00AA3AF1">
              <w:rPr>
                <w:sz w:val="18"/>
              </w:rPr>
              <w:t>ons)</w:t>
            </w:r>
          </w:p>
        </w:tc>
        <w:tc>
          <w:tcPr>
            <w:tcW w:w="3361" w:type="dxa"/>
            <w:vAlign w:val="center"/>
          </w:tcPr>
          <w:p w14:paraId="1B062F97"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Confidence score: Generated by summarising evidence of interaction occurrence.</w:t>
            </w:r>
          </w:p>
        </w:tc>
        <w:tc>
          <w:tcPr>
            <w:tcW w:w="1843" w:type="dxa"/>
            <w:vAlign w:val="center"/>
          </w:tcPr>
          <w:p w14:paraId="575C7EDC"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Tissue-generic only</w:t>
            </w:r>
          </w:p>
        </w:tc>
        <w:tc>
          <w:tcPr>
            <w:tcW w:w="1134" w:type="dxa"/>
            <w:vAlign w:val="center"/>
          </w:tcPr>
          <w:p w14:paraId="127B90F2"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fldChar w:fldCharType="begin" w:fldLock="1"/>
            </w:r>
            <w:r>
              <w:rPr>
                <w:sz w:val="18"/>
              </w:rPr>
              <w:instrText>ADDIN CSL_CITATION {"citationItems":[{"id":"ITEM-1","itemData":{"DOI":"10.1093/nar/gku1003","ISSN":"1362-4962","PMID":"25352553","abstract":"The many functional partnerships and interactions that occur between proteins are at the core of cellular processing and their systematic characterization helps to provide context in molecular systems biology. However, known and predicted interactions are scattered over multiple resources, and the available data exhibit notable differences in terms of quality and completeness. The STRING database (http://string-db.org) aims to provide a critical assessment and integration of protein-protein interactions, including direct (physical) as well as indirect (functional) associations. The new version 10.0 of STRING covers more than 2000 organisms, which has necessitated novel, scalable algorithms for transferring interaction information between organisms. For this purpose, we have introduced hierarchical and self-consistent orthology annotations for all interacting proteins, grouping the proteins into families at various levels of phylogenetic resolution. Further improvements in version 10.0 include a completely redesigned prediction pipeline for inferring protein-protein associations from co-expression data, an API interface for the R computing environment and improved statistical analysis for enrichment tests in user-provided networks.","author":[{"dropping-particle":"","family":"Szklarczyk","given":"Damian","non-dropping-particle":"","parse-names":false,"suffix":""},{"dropping-particle":"","family":"Franceschini","given":"Andrea","non-dropping-particle":"","parse-names":false,"suffix":""},{"dropping-particle":"","family":"Wyder","given":"Stefan","non-dropping-particle":"","parse-names":false,"suffix":""},{"dropping-particle":"","family":"Forslund","given":"Kristoffer","non-dropping-particle":"","parse-names":false,"suffix":""},{"dropping-particle":"","family":"Heller","given":"Davide","non-dropping-particle":"","parse-names":false,"suffix":""},{"dropping-particle":"","family":"Huerta-Cepas","given":"Jaime","non-dropping-particle":"","parse-names":false,"suffix":""},{"dropping-particle":"","family":"Simonovic","given":"Milan","non-dropping-particle":"","parse-names":false,"suffix":""},{"dropping-particle":"","family":"Roth","given":"Alexander","non-dropping-particle":"","parse-names":false,"suffix":""},{"dropping-particle":"","family":"Santos","given":"Alberto","non-dropping-particle":"","parse-names":false,"suffix":""},{"dropping-particle":"","family":"Tsafou","given":"Kalliopi P","non-dropping-particle":"","parse-names":false,"suffix":""},{"dropping-particle":"","family":"Kuhn","given":"Michael","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research","id":"ITEM-1","issue":"Database issue","issued":{"date-parts":[["2015","1"]]},"page":"D447-52","title":"STRING v10: protein-protein interaction networks, integrated over the tree of life.","type":"article-journal","volume":"43"},"uris":["http://www.mendeley.com/documents/?uuid=5acac14c-15a4-465e-98cc-fb2a55f0c711","http://www.mendeley.com/documents/?uuid=5e386ded-58e4-4303-8c24-f46efb13fe4a"]}],"mendeley":{"formattedCitation":"(31)","plainTextFormattedCitation":"(31)","previouslyFormattedCitation":"(31)"},"properties":{"noteIndex":0},"schema":"https://github.com/citation-style-language/schema/raw/master/csl-citation.json"}</w:instrText>
            </w:r>
            <w:r w:rsidRPr="0002037F">
              <w:rPr>
                <w:sz w:val="18"/>
              </w:rPr>
              <w:fldChar w:fldCharType="separate"/>
            </w:r>
            <w:r w:rsidRPr="00276AB2">
              <w:rPr>
                <w:noProof/>
                <w:sz w:val="18"/>
              </w:rPr>
              <w:t>(31)</w:t>
            </w:r>
            <w:r w:rsidRPr="0002037F">
              <w:rPr>
                <w:sz w:val="18"/>
              </w:rPr>
              <w:fldChar w:fldCharType="end"/>
            </w:r>
          </w:p>
        </w:tc>
      </w:tr>
      <w:tr w:rsidR="002B3A3C" w:rsidRPr="0002037F" w14:paraId="7322A599" w14:textId="77777777" w:rsidTr="00924A5A">
        <w:tc>
          <w:tcPr>
            <w:cnfStyle w:val="001000000000" w:firstRow="0" w:lastRow="0" w:firstColumn="1" w:lastColumn="0" w:oddVBand="0" w:evenVBand="0" w:oddHBand="0" w:evenHBand="0" w:firstRowFirstColumn="0" w:firstRowLastColumn="0" w:lastRowFirstColumn="0" w:lastRowLastColumn="0"/>
            <w:tcW w:w="1205" w:type="dxa"/>
            <w:vAlign w:val="center"/>
          </w:tcPr>
          <w:p w14:paraId="6E5F07ED" w14:textId="77777777" w:rsidR="002B3A3C" w:rsidRPr="0002037F" w:rsidRDefault="002B3A3C" w:rsidP="00924A5A">
            <w:pPr>
              <w:jc w:val="both"/>
              <w:rPr>
                <w:sz w:val="18"/>
              </w:rPr>
            </w:pPr>
            <w:r w:rsidRPr="0002037F">
              <w:rPr>
                <w:sz w:val="18"/>
              </w:rPr>
              <w:t>IID</w:t>
            </w:r>
          </w:p>
        </w:tc>
        <w:tc>
          <w:tcPr>
            <w:tcW w:w="1950" w:type="dxa"/>
            <w:vAlign w:val="center"/>
          </w:tcPr>
          <w:p w14:paraId="4EC007F5"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PPI</w:t>
            </w:r>
            <w:r>
              <w:rPr>
                <w:sz w:val="18"/>
              </w:rPr>
              <w:t xml:space="preserve"> (filtered by tissue gene expression)</w:t>
            </w:r>
          </w:p>
        </w:tc>
        <w:tc>
          <w:tcPr>
            <w:tcW w:w="3361" w:type="dxa"/>
            <w:vAlign w:val="center"/>
          </w:tcPr>
          <w:p w14:paraId="37FE1B65"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Non-weighted Network: Any interaction is given an edge weight of 1</w:t>
            </w:r>
          </w:p>
        </w:tc>
        <w:tc>
          <w:tcPr>
            <w:tcW w:w="1843" w:type="dxa"/>
            <w:vAlign w:val="center"/>
          </w:tcPr>
          <w:p w14:paraId="2A6DBFEB"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Muscle tissue-specific category</w:t>
            </w:r>
          </w:p>
        </w:tc>
        <w:tc>
          <w:tcPr>
            <w:tcW w:w="1134" w:type="dxa"/>
            <w:vAlign w:val="center"/>
          </w:tcPr>
          <w:p w14:paraId="4F68661F"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fldChar w:fldCharType="begin" w:fldLock="1"/>
            </w:r>
            <w:r>
              <w:rPr>
                <w:sz w:val="18"/>
              </w:rPr>
              <w:instrText xml:space="preserve">ADDIN CSL_CITATION {"citationItems":[{"id":"ITEM-1","itemData":{"DOI":"10.1093/nar/gky1037","ISSN":"1362-4962","PMID":"30407591","abstract":"Knowing the set of physical protein-protein interactions (PPIs) that occur in a particular context-a tissue, disease, or other condition-can provide valuable insights into key research questions. However, while the number of identified human PPIs is expanding rapidly, context information remains limited, and for most non-human species context-specific networks are completely unavailable. The Integrated Interactions Database (IID) provides one of the most comprehensive sets of context-specific human PPI networks, including networks for 133 tissues, 91 disease conditions, and many other contexts. Importantly, it also provides context-specific networks for 17 non-human species including model organisms and domesticated animals. These species are vitally important for drug discovery and agriculture. IID integrates interactions from multiple databases and datasets. It comprises over 4.8 million PPIs annotated with several types of context: tissues, subcellular localizations, diseases, and druggability information (the latter three are new annotations not available in the previous version). This update increases the number of species from 6 to 18, the number of PPIs from </w:instrText>
            </w:r>
            <w:r>
              <w:rPr>
                <w:rFonts w:ascii="Cambria Math" w:hAnsi="Cambria Math" w:cs="Cambria Math"/>
                <w:sz w:val="18"/>
              </w:rPr>
              <w:instrText>∼</w:instrText>
            </w:r>
            <w:r>
              <w:rPr>
                <w:sz w:val="18"/>
              </w:rPr>
              <w:instrText xml:space="preserve">1.5 million to </w:instrText>
            </w:r>
            <w:r>
              <w:rPr>
                <w:rFonts w:ascii="Cambria Math" w:hAnsi="Cambria Math" w:cs="Cambria Math"/>
                <w:sz w:val="18"/>
              </w:rPr>
              <w:instrText>∼</w:instrText>
            </w:r>
            <w:r>
              <w:rPr>
                <w:sz w:val="18"/>
              </w:rPr>
              <w:instrText>4.8 million, and the number of tissues from 30 to 133. IID also now supports topology and enrichment analyses of returned networks. IID is available at http://ophid.utoronto.ca/iid.","author":[{"dropping-particle":"","family":"Kotlyar","given":"Max","non-dropping-particle":"","parse-names":false,"suffix":""},{"dropping-particle":"","family":"Pastrello","given":"Chiara","non-dropping-particle":"","parse-names":false,"suffix":""},{"dropping-particle":"","family":"Malik","given":"Zara","non-dropping-particle":"","parse-names":false,"suffix":""},{"dropping-particle":"","family":"Jurisica","given":"Igor","non-dropping-particle":"","parse-names":false,"suffix":""}],"container-title":"Nucleic acids research","id":"ITEM-1","issue":"D1","issued":{"date-parts":[["2019"]]},"page":"D581-D589","title":"IID 2018 update: context-specific physical protein-protein interactions in human, model organisms and domesticated species.","type":"article-journal","volume":"47"},"uris":["http://www.mendeley.com/documents/?uuid=0be72fda-d0f3-4f9f-b88d-aa39937a8d73","http://www.mendeley.com/documents/?uuid=17847354-6329-401e-99f3-9c8d83ffbe31"]}],"mendeley":{"formattedCitation":"(34)","plainTextFormattedCitation":"(34)","previouslyFormattedCitation":"(34)"},"properties":{"noteIndex":0},"schema":"https://github.com/citation-style-language/schema/raw/master/csl-citation.json"}</w:instrText>
            </w:r>
            <w:r w:rsidRPr="0002037F">
              <w:rPr>
                <w:sz w:val="18"/>
              </w:rPr>
              <w:fldChar w:fldCharType="separate"/>
            </w:r>
            <w:r w:rsidRPr="00276AB2">
              <w:rPr>
                <w:noProof/>
                <w:sz w:val="18"/>
              </w:rPr>
              <w:t>(34)</w:t>
            </w:r>
            <w:r w:rsidRPr="0002037F">
              <w:rPr>
                <w:sz w:val="18"/>
              </w:rPr>
              <w:fldChar w:fldCharType="end"/>
            </w:r>
          </w:p>
        </w:tc>
      </w:tr>
      <w:tr w:rsidR="002B3A3C" w:rsidRPr="0002037F" w14:paraId="417C39A9"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1337E5D5" w14:textId="77777777" w:rsidR="002B3A3C" w:rsidRPr="0002037F" w:rsidRDefault="002B3A3C" w:rsidP="00924A5A">
            <w:pPr>
              <w:jc w:val="both"/>
              <w:rPr>
                <w:sz w:val="18"/>
              </w:rPr>
            </w:pPr>
            <w:r w:rsidRPr="0002037F">
              <w:rPr>
                <w:sz w:val="18"/>
              </w:rPr>
              <w:t>HumanBase</w:t>
            </w:r>
          </w:p>
        </w:tc>
        <w:tc>
          <w:tcPr>
            <w:tcW w:w="1950" w:type="dxa"/>
            <w:vAlign w:val="center"/>
          </w:tcPr>
          <w:p w14:paraId="6278CA9C"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Multiple types of functional association</w:t>
            </w:r>
          </w:p>
        </w:tc>
        <w:tc>
          <w:tcPr>
            <w:tcW w:w="3361" w:type="dxa"/>
            <w:vAlign w:val="center"/>
          </w:tcPr>
          <w:p w14:paraId="4F019F48"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Posterior Probability: 0-1</w:t>
            </w:r>
          </w:p>
        </w:tc>
        <w:tc>
          <w:tcPr>
            <w:tcW w:w="1843" w:type="dxa"/>
            <w:vAlign w:val="center"/>
          </w:tcPr>
          <w:p w14:paraId="0C487A7B"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Muscle tissue-specific category</w:t>
            </w:r>
          </w:p>
        </w:tc>
        <w:tc>
          <w:tcPr>
            <w:tcW w:w="1134" w:type="dxa"/>
            <w:vAlign w:val="center"/>
          </w:tcPr>
          <w:p w14:paraId="538F74AF"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fldChar w:fldCharType="begin" w:fldLock="1"/>
            </w:r>
            <w:r>
              <w:rPr>
                <w:sz w:val="18"/>
              </w:rPr>
              <w:instrText>ADDIN CSL_CITATION {"citationItems":[{"id":"ITEM-1","itemData":{"DOI":"10.1038/ng.3259","ISSN":"1546-1718","PMID":"25915600","abstract":"Tissue and cell-type identity lie at the core of human physiology and disease. Understanding the genetic underpinnings of complex tissues and individual cell lineages is crucial for developing improved diagnostics and therapeutics. We present genome-wide functional interaction networks for 144 human tissues and cell types developed using a data-driven Bayesian methodology that integrates thousands of diverse experiments spanning tissue and disease states. Tissue-specific networks predict lineage-specific responses to perturbation, identify the changing functional roles of genes across tissues and illuminate relationships among diseases. We introduce NetWAS, which combines genes with nominally significant genome-wide association study (GWAS) P values and tissue-specific networks to identify disease-gene associations more accurately than GWAS alone. Our webserver, GIANT, provides an interface to human tissue networks through multi-gene queries, network visualization, analysis tools including NetWAS and downloadable networks. GIANT enables systematic exploration of the landscape of interacting genes that shape specialized cellular functions across more than a hundred human tissues and cell types.","author":[{"dropping-particle":"","family":"Greene","given":"Casey S","non-dropping-particle":"","parse-names":false,"suffix":""},{"dropping-particle":"","family":"Krishnan","given":"Arjun","non-dropping-particle":"","parse-names":false,"suffix":""},{"dropping-particle":"","family":"Wong","given":"Aaron K","non-dropping-particle":"","parse-names":false,"suffix":""},{"dropping-particle":"","family":"Ricciotti","given":"Emanuela","non-dropping-particle":"","parse-names":false,"suffix":""},{"dropping-particle":"","family":"Zelaya","given":"Rene A","non-dropping-particle":"","parse-names":false,"suffix":""},{"dropping-particle":"","family":"Himmelstein","given":"Daniel S","non-dropping-particle":"","parse-names":false,"suffix":""},{"dropping-particle":"","family":"Zhang","given":"Ran","non-dropping-particle":"","parse-names":false,"suffix":""},{"dropping-particle":"","family":"Hartmann","given":"Boris M","non-dropping-particle":"","parse-names":false,"suffix":""},{"dropping-particle":"","family":"Zaslavsky","given":"Elena","non-dropping-particle":"","parse-names":false,"suffix":""},{"dropping-particle":"","family":"Sealfon","given":"Stuart C","non-dropping-particle":"","parse-names":false,"suffix":""},{"dropping-particle":"","family":"Chasman","given":"Daniel I","non-dropping-particle":"","parse-names":false,"suffix":""},{"dropping-particle":"","family":"FitzGerald","given":"Garret A","non-dropping-particle":"","parse-names":false,"suffix":""},{"dropping-particle":"","family":"Dolinski","given":"Kara","non-dropping-particle":"","parse-names":false,"suffix":""},{"dropping-particle":"","family":"Grosser","given":"Tilo","non-dropping-particle":"","parse-names":false,"suffix":""},{"dropping-particle":"","family":"Troyanskaya","given":"Olga G","non-dropping-particle":"","parse-names":false,"suffix":""}],"container-title":"Nature genetics","id":"ITEM-1","issue":"6","issued":{"date-parts":[["2015","6"]]},"page":"569-76","title":"Understanding multicellular function and disease with human tissue-specific networks.","type":"article-journal","volume":"47"},"uris":["http://www.mendeley.com/documents/?uuid=c0251ef2-b47a-4d0e-ab69-78880d48c756","http://www.mendeley.com/documents/?uuid=fa0c5de4-c278-4d11-8e0e-3fbc0e8fefd6"]}],"mendeley":{"formattedCitation":"(27)","plainTextFormattedCitation":"(27)","previouslyFormattedCitation":"(27)"},"properties":{"noteIndex":0},"schema":"https://github.com/citation-style-language/schema/raw/master/csl-citation.json"}</w:instrText>
            </w:r>
            <w:r w:rsidRPr="0002037F">
              <w:rPr>
                <w:sz w:val="18"/>
              </w:rPr>
              <w:fldChar w:fldCharType="separate"/>
            </w:r>
            <w:r w:rsidRPr="00620042">
              <w:rPr>
                <w:noProof/>
                <w:sz w:val="18"/>
              </w:rPr>
              <w:t>(27)</w:t>
            </w:r>
            <w:r w:rsidRPr="0002037F">
              <w:rPr>
                <w:sz w:val="18"/>
              </w:rPr>
              <w:fldChar w:fldCharType="end"/>
            </w:r>
          </w:p>
        </w:tc>
      </w:tr>
      <w:tr w:rsidR="002B3A3C" w:rsidRPr="0002037F" w14:paraId="2C7B163B" w14:textId="77777777" w:rsidTr="00924A5A">
        <w:tc>
          <w:tcPr>
            <w:cnfStyle w:val="001000000000" w:firstRow="0" w:lastRow="0" w:firstColumn="1" w:lastColumn="0" w:oddVBand="0" w:evenVBand="0" w:oddHBand="0" w:evenHBand="0" w:firstRowFirstColumn="0" w:firstRowLastColumn="0" w:lastRowFirstColumn="0" w:lastRowLastColumn="0"/>
            <w:tcW w:w="1205" w:type="dxa"/>
            <w:vAlign w:val="center"/>
          </w:tcPr>
          <w:p w14:paraId="55BCEB4D" w14:textId="77777777" w:rsidR="002B3A3C" w:rsidRPr="0002037F" w:rsidRDefault="002B3A3C" w:rsidP="00924A5A">
            <w:pPr>
              <w:jc w:val="both"/>
              <w:rPr>
                <w:sz w:val="18"/>
              </w:rPr>
            </w:pPr>
            <w:r w:rsidRPr="0002037F">
              <w:rPr>
                <w:sz w:val="18"/>
              </w:rPr>
              <w:t>COXPRESdb</w:t>
            </w:r>
          </w:p>
        </w:tc>
        <w:tc>
          <w:tcPr>
            <w:tcW w:w="1950" w:type="dxa"/>
            <w:vAlign w:val="center"/>
          </w:tcPr>
          <w:p w14:paraId="4B9BB9D2" w14:textId="77777777" w:rsidR="002B3A3C"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Gene co-expression</w:t>
            </w:r>
          </w:p>
        </w:tc>
        <w:tc>
          <w:tcPr>
            <w:tcW w:w="3361" w:type="dxa"/>
            <w:vAlign w:val="center"/>
          </w:tcPr>
          <w:p w14:paraId="303486C1"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 xml:space="preserve">Mutual Rank: </w:t>
            </w:r>
            <w:r>
              <w:rPr>
                <w:sz w:val="18"/>
              </w:rPr>
              <w:t>a</w:t>
            </w:r>
            <w:r w:rsidRPr="0002037F">
              <w:rPr>
                <w:sz w:val="18"/>
              </w:rPr>
              <w:t>verage rank of gene co</w:t>
            </w:r>
            <w:r>
              <w:rPr>
                <w:sz w:val="18"/>
              </w:rPr>
              <w:t>-</w:t>
            </w:r>
            <w:r w:rsidRPr="0002037F">
              <w:rPr>
                <w:sz w:val="18"/>
              </w:rPr>
              <w:t>expression between both interacting genes</w:t>
            </w:r>
          </w:p>
        </w:tc>
        <w:tc>
          <w:tcPr>
            <w:tcW w:w="1843" w:type="dxa"/>
            <w:vAlign w:val="center"/>
          </w:tcPr>
          <w:p w14:paraId="6A226F4E"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Tissue-generic only</w:t>
            </w:r>
          </w:p>
        </w:tc>
        <w:tc>
          <w:tcPr>
            <w:tcW w:w="1134" w:type="dxa"/>
            <w:vAlign w:val="center"/>
          </w:tcPr>
          <w:p w14:paraId="4614F155"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fldChar w:fldCharType="begin" w:fldLock="1"/>
            </w:r>
            <w:r>
              <w:rPr>
                <w:sz w:val="18"/>
              </w:rPr>
              <w:instrText>ADDIN CSL_CITATION {"citationItems":[{"id":"ITEM-1","itemData":{"DOI":"10.1093/nar/gkm840","ISSN":"1362-4962","PMID":"17932064","abstract":"A database of coexpressed gene sets can provide valuable information for a wide variety of experimental designs, such as targeting of genes for functional identification, gene regulation and/or protein-protein interactions. Coexpressed gene databases derived from publicly available GeneChip data are widely used in Arabidopsis research, but platforms that examine coexpression for higher mammals are rather limited. Therefore, we have constructed a new database, COXPRESdb (coexpressed gene database) (http://coxpresdb.hgc.jp), for coexpressed gene lists and networks in human and mouse. Coexpression data could be calculated for 19 777 and 21 036 genes in human and mouse, respectively, by using the GeneChip data in NCBI GEO. COXPRESdb enables analysis of the four types of coexpression networks: (i) highly coexpressed genes for every gene, (ii) genes with the same GO annotation, (iii) genes expressed in the same tissue and (iv) user-defined gene sets. When the networks became too big for the static picture on the web in GO networks or in tissue networks, we used Google Maps API to visualize them interactively. COXPRESdb also provides a view to compare the human and mouse coexpression patterns to estimate the conservation between the two species.","author":[{"dropping-particle":"","family":"Obayashi","given":"Takeshi","non-dropping-particle":"","parse-names":false,"suffix":""},{"dropping-particle":"","family":"Hayashi","given":"Shinpei","non-dropping-particle":"","parse-names":false,"suffix":""},{"dropping-particle":"","family":"Shibaoka","given":"Masayuki","non-dropping-particle":"","parse-names":false,"suffix":""},{"dropping-particle":"","family":"Saeki","given":"Motoshi","non-dropping-particle":"","parse-names":false,"suffix":""},{"dropping-particle":"","family":"Ohta","given":"Hiroyuki","non-dropping-particle":"","parse-names":false,"suffix":""},{"dropping-particle":"","family":"Kinoshita","given":"Kengo","non-dropping-particle":"","parse-names":false,"suffix":""}],"container-title":"Nucleic acids research","id":"ITEM-1","issue":"Database issue","issued":{"date-parts":[["2008","1"]]},"page":"D77-82","title":"COXPRESdb: a database of coexpressed gene networks in mammals.","type":"article-journal","volume":"36"},"uris":["http://www.mendeley.com/documents/?uuid=d9786533-df3a-44ab-86e8-52523b44ee67","http://www.mendeley.com/documents/?uuid=1b919ff9-88a8-41fd-94e7-3e07c412aec4"]}],"mendeley":{"formattedCitation":"(37)","plainTextFormattedCitation":"(37)","previouslyFormattedCitation":"(37)"},"properties":{"noteIndex":0},"schema":"https://github.com/citation-style-language/schema/raw/master/csl-citation.json"}</w:instrText>
            </w:r>
            <w:r w:rsidRPr="0002037F">
              <w:rPr>
                <w:sz w:val="18"/>
              </w:rPr>
              <w:fldChar w:fldCharType="separate"/>
            </w:r>
            <w:r w:rsidRPr="00276AB2">
              <w:rPr>
                <w:noProof/>
                <w:sz w:val="18"/>
              </w:rPr>
              <w:t>(37)</w:t>
            </w:r>
            <w:r w:rsidRPr="0002037F">
              <w:rPr>
                <w:sz w:val="18"/>
              </w:rPr>
              <w:fldChar w:fldCharType="end"/>
            </w:r>
          </w:p>
        </w:tc>
      </w:tr>
      <w:tr w:rsidR="002B3A3C" w:rsidRPr="0002037F" w14:paraId="34DFE96A"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0910B2CC" w14:textId="77777777" w:rsidR="002B3A3C" w:rsidRPr="0002037F" w:rsidRDefault="002B3A3C" w:rsidP="00924A5A">
            <w:pPr>
              <w:jc w:val="both"/>
              <w:rPr>
                <w:sz w:val="18"/>
              </w:rPr>
            </w:pPr>
            <w:r w:rsidRPr="0002037F">
              <w:rPr>
                <w:sz w:val="18"/>
              </w:rPr>
              <w:t>GTEx</w:t>
            </w:r>
          </w:p>
        </w:tc>
        <w:tc>
          <w:tcPr>
            <w:tcW w:w="1950" w:type="dxa"/>
            <w:vAlign w:val="center"/>
          </w:tcPr>
          <w:p w14:paraId="60A7FC06"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Gene co-expression</w:t>
            </w:r>
          </w:p>
        </w:tc>
        <w:tc>
          <w:tcPr>
            <w:tcW w:w="3361" w:type="dxa"/>
            <w:vAlign w:val="center"/>
          </w:tcPr>
          <w:p w14:paraId="277C49B3"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Pearson Correlation: -1 – 1</w:t>
            </w:r>
          </w:p>
        </w:tc>
        <w:tc>
          <w:tcPr>
            <w:tcW w:w="1843" w:type="dxa"/>
            <w:vAlign w:val="center"/>
          </w:tcPr>
          <w:p w14:paraId="6624117F"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Muscle tissue-specific category</w:t>
            </w:r>
          </w:p>
        </w:tc>
        <w:tc>
          <w:tcPr>
            <w:tcW w:w="1134" w:type="dxa"/>
            <w:vAlign w:val="center"/>
          </w:tcPr>
          <w:p w14:paraId="10C01B31"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fldChar w:fldCharType="begin" w:fldLock="1"/>
            </w:r>
            <w:r>
              <w:rPr>
                <w:sz w:val="18"/>
              </w:rPr>
              <w:instrText>ADDIN CSL_CITATION {"citationItems":[{"id":"ITEM-1","itemData":{"DOI":"10.1089/bio.2015.29031.hmm","ISSN":"1947-5543","PMID":"26484569","author":[{"dropping-particle":"","family":"Carithers","given":"Latarsha J","non-dropping-particle":"","parse-names":false,"suffix":""},{"dropping-particle":"","family":"Moore","given":"Helen M","non-dropping-particle":"","parse-names":false,"suffix":""}],"container-title":"Biopreservation and biobanking","id":"ITEM-1","issue":"5","issued":{"date-parts":[["2015","10"]]},"page":"307-8","title":"The Genotype-Tissue Expression (GTEx) Project.","type":"article-journal","volume":"13"},"uris":["http://www.mendeley.com/documents/?uuid=7e2d7059-c383-4502-8739-b48c2f535396","http://www.mendeley.com/documents/?uuid=040d4cb1-d006-42e5-842b-eeec8e40c9d3"]}],"mendeley":{"formattedCitation":"(41)","plainTextFormattedCitation":"(41)","previouslyFormattedCitation":"(41)"},"properties":{"noteIndex":0},"schema":"https://github.com/citation-style-language/schema/raw/master/csl-citation.json"}</w:instrText>
            </w:r>
            <w:r w:rsidRPr="0002037F">
              <w:rPr>
                <w:sz w:val="18"/>
              </w:rPr>
              <w:fldChar w:fldCharType="separate"/>
            </w:r>
            <w:r w:rsidRPr="00276AB2">
              <w:rPr>
                <w:noProof/>
                <w:sz w:val="18"/>
              </w:rPr>
              <w:t>(41)</w:t>
            </w:r>
            <w:r w:rsidRPr="0002037F">
              <w:rPr>
                <w:sz w:val="18"/>
              </w:rPr>
              <w:fldChar w:fldCharType="end"/>
            </w:r>
          </w:p>
        </w:tc>
      </w:tr>
      <w:tr w:rsidR="002B3A3C" w:rsidRPr="0002037F" w14:paraId="018770B3" w14:textId="77777777" w:rsidTr="00924A5A">
        <w:tc>
          <w:tcPr>
            <w:cnfStyle w:val="001000000000" w:firstRow="0" w:lastRow="0" w:firstColumn="1" w:lastColumn="0" w:oddVBand="0" w:evenVBand="0" w:oddHBand="0" w:evenHBand="0" w:firstRowFirstColumn="0" w:firstRowLastColumn="0" w:lastRowFirstColumn="0" w:lastRowLastColumn="0"/>
            <w:tcW w:w="1205" w:type="dxa"/>
            <w:vAlign w:val="center"/>
          </w:tcPr>
          <w:p w14:paraId="0D0A4D58" w14:textId="77777777" w:rsidR="002B3A3C" w:rsidRPr="0002037F" w:rsidRDefault="002B3A3C" w:rsidP="00924A5A">
            <w:pPr>
              <w:jc w:val="both"/>
              <w:rPr>
                <w:sz w:val="18"/>
              </w:rPr>
            </w:pPr>
            <w:r w:rsidRPr="0002037F">
              <w:rPr>
                <w:sz w:val="18"/>
              </w:rPr>
              <w:t>MyoMiner</w:t>
            </w:r>
          </w:p>
        </w:tc>
        <w:tc>
          <w:tcPr>
            <w:tcW w:w="1950" w:type="dxa"/>
            <w:vAlign w:val="center"/>
          </w:tcPr>
          <w:p w14:paraId="5F45E788"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Gene co-expression</w:t>
            </w:r>
          </w:p>
        </w:tc>
        <w:tc>
          <w:tcPr>
            <w:tcW w:w="3361" w:type="dxa"/>
            <w:vAlign w:val="center"/>
          </w:tcPr>
          <w:p w14:paraId="17D03FF3"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Pearson Correlation:</w:t>
            </w:r>
          </w:p>
          <w:p w14:paraId="2B320434"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 – 1</w:t>
            </w:r>
          </w:p>
        </w:tc>
        <w:tc>
          <w:tcPr>
            <w:tcW w:w="1843" w:type="dxa"/>
            <w:vAlign w:val="center"/>
          </w:tcPr>
          <w:p w14:paraId="38D7F7D6"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Muscle tissue-specific</w:t>
            </w:r>
          </w:p>
        </w:tc>
        <w:tc>
          <w:tcPr>
            <w:tcW w:w="1134" w:type="dxa"/>
            <w:vAlign w:val="center"/>
          </w:tcPr>
          <w:p w14:paraId="504BA861"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fldChar w:fldCharType="begin" w:fldLock="1"/>
            </w:r>
            <w:r>
              <w:rPr>
                <w:sz w:val="18"/>
              </w:rPr>
              <w:instrText>ADDIN CSL_CITATION {"citationItems":[{"id":"ITEM-1","itemData":{"DOI":"10.1186/s12920-020-0712-3","ISSN":"1755-8794","PMID":"32393257","abstract":"BACKGROUND High-throughput transcriptomics measures mRNA levels for thousands of genes in a biological sample. Most gene expression studies aim to identify genes that are differentially expressed between different biological conditions, such as between healthy and diseased states. However, these data can also be used to identify genes that are co-expressed within a biological condition. Gene co-expression is used in a guilt-by-association approach to prioritize candidate genes that could be involved in disease, and to gain insights into the functions of genes, protein relations, and signaling pathways. Most existing gene co-expression databases are generic, amalgamating data for a given organism regardless of tissue-type. METHODS To study muscle-specific gene co-expression in both normal and pathological states, publicly available gene expression data were acquired for 2376 mouse and 2228 human striated muscle samples, and separated into 142 categories based on species (human or mouse), tissue origin, age, gender, anatomic part, and experimental condition. Co-expression values were calculated for each category to create the MyoMiner database. RESULTS Within each category, users can select a gene of interest, and the MyoMiner web interface will return all correlated genes. For each co-expressed gene pair, adjusted p-value and confidence intervals are provided as measures of expression correlation strength. A standardized expression-level scatterplot is available for every gene pair r-value. MyoMiner has two extra functions: (a) a network interface for creating a 2-shell correlation network, based either on the most highly correlated genes or from a list of genes provided by the user with the option to include linked genes from the database and (b) a comparison tool from which the users can test whether any two correlation coefficients from different conditions are significantly different. CONCLUSIONS These co-expression analyses will help investigators to delineate the tissue-, cell-, and pathology-specific elements of muscle protein interactions, cell signaling and gene regulation. Changes in co-expression between pathologic and healthy tissue may suggest new disease mechanisms and help define novel therapeutic targets. Thus, MyoMiner is a powerful muscle-specific database for the discovery of genes that are associated with related functions based on their co-expression. MyoMiner is freely available at https://www.sys-myo.com/myominer.","author":[{"dropping-particle":"","family":"Malatras","given":"Apostolos","non-dropping-particle":"","parse-names":false,"suffix":""},{"dropping-particle":"","family":"Michalopoulos","given":"Ioannis","non-dropping-particle":"","parse-names":false,"suffix":""},{"dropping-particle":"","family":"Duguez","given":"Stéphanie","non-dropping-particle":"","parse-names":false,"suffix":""},{"dropping-particle":"","family":"Butler-Browne","given":"Gillian","non-dropping-particle":"","parse-names":false,"suffix":""},{"dropping-particle":"","family":"Spuler","given":"Simone","non-dropping-particle":"","parse-names":false,"suffix":""},{"dropping-particle":"","family":"Duddy","given":"William J","non-dropping-particle":"","parse-names":false,"suffix":""}],"container-title":"BMC medical genomics","id":"ITEM-1","issue":"1","issued":{"date-parts":[["2020"]]},"page":"67","title":"MyoMiner: explore gene co-expression in normal and pathological muscle.","type":"article-journal","volume":"13"},"uris":["http://www.mendeley.com/documents/?uuid=8c0f4ef1-ddb0-4cdc-b4c1-03b3ab813c3f","http://www.mendeley.com/documents/?uuid=0e8d0c22-1bfd-4208-b494-e39c5eff2dfd"]}],"mendeley":{"formattedCitation":"(45)","plainTextFormattedCitation":"(45)","previouslyFormattedCitation":"(45)"},"properties":{"noteIndex":0},"schema":"https://github.com/citation-style-language/schema/raw/master/csl-citation.json"}</w:instrText>
            </w:r>
            <w:r w:rsidRPr="0002037F">
              <w:rPr>
                <w:sz w:val="18"/>
              </w:rPr>
              <w:fldChar w:fldCharType="separate"/>
            </w:r>
            <w:r w:rsidRPr="00276AB2">
              <w:rPr>
                <w:noProof/>
                <w:sz w:val="18"/>
              </w:rPr>
              <w:t>(45)</w:t>
            </w:r>
            <w:r w:rsidRPr="0002037F">
              <w:rPr>
                <w:sz w:val="18"/>
              </w:rPr>
              <w:fldChar w:fldCharType="end"/>
            </w:r>
          </w:p>
        </w:tc>
      </w:tr>
    </w:tbl>
    <w:p w14:paraId="43FB463D" w14:textId="77777777" w:rsidR="002B3A3C" w:rsidRDefault="002B3A3C" w:rsidP="002B3A3C">
      <w:pPr>
        <w:spacing w:after="0"/>
        <w:jc w:val="both"/>
        <w:rPr>
          <w:b/>
          <w:sz w:val="16"/>
        </w:rPr>
      </w:pPr>
      <w:r w:rsidRPr="00AB0422">
        <w:rPr>
          <w:b/>
          <w:sz w:val="16"/>
        </w:rPr>
        <w:t>Table 1:</w:t>
      </w:r>
      <w:r>
        <w:rPr>
          <w:b/>
          <w:sz w:val="16"/>
        </w:rPr>
        <w:t xml:space="preserve"> Sources of functional associations.</w:t>
      </w:r>
    </w:p>
    <w:p w14:paraId="19C26961" w14:textId="77777777" w:rsidR="002B3A3C" w:rsidRDefault="002B3A3C" w:rsidP="002B3A3C">
      <w:pPr>
        <w:jc w:val="both"/>
        <w:rPr>
          <w:lang w:val="en"/>
        </w:rPr>
      </w:pPr>
    </w:p>
    <w:p w14:paraId="52517DA9" w14:textId="77777777" w:rsidR="002B3A3C" w:rsidRDefault="002B3A3C" w:rsidP="002B3A3C">
      <w:pPr>
        <w:jc w:val="both"/>
        <w:rPr>
          <w:lang w:val="en"/>
        </w:rPr>
      </w:pPr>
      <w:r>
        <w:rPr>
          <w:lang w:val="en"/>
        </w:rPr>
        <w:t>Each of the 17 networks were then compared using two measures: (1) the top enrichment scores obtained for each muscle-related GO term among clusters generated from this network using the DSD algorithm (Figure 2A), and (2) the ability of the DIAMOnD algorithm to recall the genes of muscle-related GO terms using this network (Figure 2B).</w:t>
      </w:r>
    </w:p>
    <w:p w14:paraId="1B4EAAEB" w14:textId="77777777" w:rsidR="002B3A3C" w:rsidRDefault="002B3A3C" w:rsidP="002B3A3C">
      <w:pPr>
        <w:jc w:val="both"/>
        <w:rPr>
          <w:lang w:val="en"/>
        </w:rPr>
      </w:pPr>
      <w:r>
        <w:rPr>
          <w:lang w:val="en"/>
        </w:rPr>
        <w:t xml:space="preserve">DSD was the top performing network clustering algorithm ranked during the DREAM Disease Module Identification community challenge </w:t>
      </w:r>
      <w:r>
        <w:rPr>
          <w:lang w:val="en"/>
        </w:rPr>
        <w:fldChar w:fldCharType="begin" w:fldLock="1"/>
      </w:r>
      <w:r>
        <w:rPr>
          <w:lang w:val="en"/>
        </w:rP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mendeley":{"formattedCitation":"(47)","plainTextFormattedCitation":"(47)","previouslyFormattedCitation":"(47)"},"properties":{"noteIndex":0},"schema":"https://github.com/citation-style-language/schema/raw/master/csl-citation.json"}</w:instrText>
      </w:r>
      <w:r>
        <w:rPr>
          <w:lang w:val="en"/>
        </w:rPr>
        <w:fldChar w:fldCharType="separate"/>
      </w:r>
      <w:r w:rsidRPr="006523A5">
        <w:rPr>
          <w:noProof/>
          <w:lang w:val="en"/>
        </w:rPr>
        <w:t>(47)</w:t>
      </w:r>
      <w:r>
        <w:rPr>
          <w:lang w:val="en"/>
        </w:rPr>
        <w:fldChar w:fldCharType="end"/>
      </w:r>
      <w:r>
        <w:rPr>
          <w:lang w:val="en"/>
        </w:rPr>
        <w:t>. The algorithm utilizes a distance metric called diffusion state distance that defines pairwise distance scores on the premise that nodes connected by low degree neighbors are more likely to be functionally related. The distance matrix that is produced is then converted to a similarity matrix and spectral clustering is applied to define network clusters. To avoid clusters too large as to have a very specific biological meaning, we further broke down clusters with &gt;300 nodes by iterative application of the spectral clustering step. Clusters with &lt;5 nodes were discarded, as they may yield spurious enrichment results. For each network, each DSD</w:t>
      </w:r>
      <w:r w:rsidRPr="008021EE">
        <w:rPr>
          <w:lang w:val="en"/>
        </w:rPr>
        <w:t xml:space="preserve"> cluster was tested for enrichment of each of </w:t>
      </w:r>
      <w:r>
        <w:rPr>
          <w:lang w:val="en"/>
        </w:rPr>
        <w:t xml:space="preserve">the </w:t>
      </w:r>
      <w:r w:rsidRPr="008021EE">
        <w:rPr>
          <w:lang w:val="en"/>
        </w:rPr>
        <w:t xml:space="preserve">11 muscle-related GO terms. </w:t>
      </w:r>
      <w:r>
        <w:rPr>
          <w:lang w:val="en"/>
        </w:rPr>
        <w:t>T</w:t>
      </w:r>
      <w:r w:rsidRPr="008021EE">
        <w:rPr>
          <w:lang w:val="en"/>
        </w:rPr>
        <w:t>he most strongly enriched (</w:t>
      </w:r>
      <w:r>
        <w:rPr>
          <w:lang w:val="en"/>
        </w:rPr>
        <w:t>high</w:t>
      </w:r>
      <w:r w:rsidRPr="008021EE">
        <w:rPr>
          <w:lang w:val="en"/>
        </w:rPr>
        <w:t xml:space="preserve">est </w:t>
      </w:r>
      <w:r>
        <w:rPr>
          <w:lang w:val="en"/>
        </w:rPr>
        <w:t>-log</w:t>
      </w:r>
      <w:r w:rsidRPr="008530E2">
        <w:rPr>
          <w:vertAlign w:val="subscript"/>
          <w:lang w:val="en"/>
        </w:rPr>
        <w:t>10</w:t>
      </w:r>
      <w:r>
        <w:rPr>
          <w:lang w:val="en"/>
        </w:rPr>
        <w:t xml:space="preserve"> </w:t>
      </w:r>
      <w:r w:rsidRPr="008021EE">
        <w:rPr>
          <w:lang w:val="en"/>
        </w:rPr>
        <w:t>Q value based on Fisher’s exact test) cluster for each of the 11 GO term was identified, giving 11 enrichment Q values for that network. The median of these 11 enrichment Q values was used as a basis of comparison between networks</w:t>
      </w:r>
      <w:r>
        <w:rPr>
          <w:lang w:val="en"/>
        </w:rPr>
        <w:t xml:space="preserve"> (Figure 2A).</w:t>
      </w:r>
    </w:p>
    <w:p w14:paraId="33FFA9C7" w14:textId="77777777" w:rsidR="002B3A3C" w:rsidRDefault="002B3A3C" w:rsidP="002B3A3C">
      <w:pPr>
        <w:jc w:val="both"/>
        <w:rPr>
          <w:lang w:val="en"/>
        </w:rPr>
      </w:pPr>
      <w:r>
        <w:rPr>
          <w:lang w:val="en"/>
        </w:rPr>
        <w:t>The DIAMOnD algorithm generates a disease module by defining a disease cluster of nodes with the highest connectivity significance to a set of input seed nodes. The measure known as connectivity significance was introduced in order to account for spurious nodes having high numbers of connections. DIAMOnD is iterative: the node with the highest connectivity significance to the input seed nodes is added to the disease module and this step is repeated for a user defined number of iterations. Recall analysis features in the original DIAMOnD paper and involves taking a set of seed nodes and randomly removing a percentage (e.g. 10%, 20% or 30%) of the seed node list. In our implementation of recall analysis, f</w:t>
      </w:r>
      <w:r w:rsidRPr="002A7B98">
        <w:rPr>
          <w:lang w:val="en"/>
        </w:rPr>
        <w:t>or each network and each muscle-related GO term</w:t>
      </w:r>
      <w:r>
        <w:rPr>
          <w:lang w:val="en"/>
        </w:rPr>
        <w:t xml:space="preserve"> </w:t>
      </w:r>
      <w:r w:rsidRPr="002A7B98">
        <w:rPr>
          <w:lang w:val="en"/>
        </w:rPr>
        <w:t>a random 30% subset of genes was removed from the GO term. The remaining genes were used as a</w:t>
      </w:r>
      <w:r>
        <w:rPr>
          <w:lang w:val="en"/>
        </w:rPr>
        <w:t>n</w:t>
      </w:r>
      <w:r w:rsidRPr="002A7B98">
        <w:rPr>
          <w:lang w:val="en"/>
        </w:rPr>
        <w:t xml:space="preserve"> </w:t>
      </w:r>
      <w:r>
        <w:rPr>
          <w:lang w:val="en"/>
        </w:rPr>
        <w:t xml:space="preserve">input </w:t>
      </w:r>
      <w:r w:rsidRPr="002A7B98">
        <w:rPr>
          <w:lang w:val="en"/>
        </w:rPr>
        <w:t xml:space="preserve">seed list, and an attempt was made to recall the missing genes during iterative cluster growth by the DIAMOnD algorithm. The 30% subset of genes was randomized across 100 permutations to establish an average recall rate for that GO term for that network. The median average recall rate for the 11 GO terms was used as a </w:t>
      </w:r>
      <w:r>
        <w:rPr>
          <w:lang w:val="en"/>
        </w:rPr>
        <w:t xml:space="preserve">second </w:t>
      </w:r>
      <w:r w:rsidRPr="002A7B98">
        <w:rPr>
          <w:lang w:val="en"/>
        </w:rPr>
        <w:t>basis of comparison between networks</w:t>
      </w:r>
      <w:r>
        <w:rPr>
          <w:lang w:val="en"/>
        </w:rPr>
        <w:t xml:space="preserve"> (Figure 2B)</w:t>
      </w:r>
      <w:r w:rsidRPr="002A7B98">
        <w:rPr>
          <w:lang w:val="en"/>
        </w:rPr>
        <w:t>.</w:t>
      </w:r>
    </w:p>
    <w:p w14:paraId="7220F7CE" w14:textId="77777777" w:rsidR="002B3A3C" w:rsidRDefault="002B3A3C" w:rsidP="002B3A3C">
      <w:pPr>
        <w:jc w:val="both"/>
        <w:rPr>
          <w:lang w:val="en"/>
        </w:rPr>
      </w:pPr>
      <w:r>
        <w:rPr>
          <w:lang w:val="en"/>
        </w:rPr>
        <w:t>From Figure 2A and 2B we can see the relative performance of each network for the median recall percentage of DIAMOnD and for the median enrichment q-value of DSD. The STRING PPI networks and the COXPRESdb gene co-expression networks all perform relatively well in terms of both the DIAMOnD and DSD clustering. For the muscle tissue-specific PPI networks, for both the DIAMOnD and DSD clustering methods, the IID SM PPI network provides a larger median recall percentage and a more significant median enrichment q-value than the HumanBase network. For the muscle tissue-specific gene co-expression networks, we see that with the DSD clustering algorithm, the MyoMiner SM cell network provides clusters with more significant median enrichment q-values compared to the GTEx SM gene co-expression network, which performs relatively poorly in comparison to the other networks. For the DIAMOnD algorithm, the median recall for the GTEx SM network was similar to that of the MyoMiner SM cell network.</w:t>
      </w:r>
    </w:p>
    <w:p w14:paraId="75CF82BC" w14:textId="77777777" w:rsidR="002B3A3C" w:rsidRDefault="002B3A3C" w:rsidP="002B3A3C">
      <w:pPr>
        <w:jc w:val="both"/>
        <w:rPr>
          <w:lang w:val="en"/>
        </w:rPr>
      </w:pPr>
    </w:p>
    <w:p w14:paraId="34D74B87" w14:textId="77777777" w:rsidR="002B3A3C" w:rsidRDefault="002B3A3C" w:rsidP="002B3A3C">
      <w:pPr>
        <w:jc w:val="both"/>
        <w:rPr>
          <w:b/>
          <w:sz w:val="18"/>
          <w:lang w:val="en"/>
        </w:rPr>
      </w:pPr>
    </w:p>
    <w:p w14:paraId="42793CCE" w14:textId="77777777" w:rsidR="002B3A3C" w:rsidRDefault="002B3A3C" w:rsidP="002B3A3C">
      <w:pPr>
        <w:jc w:val="both"/>
        <w:rPr>
          <w:b/>
          <w:sz w:val="18"/>
          <w:lang w:val="en"/>
        </w:rPr>
      </w:pPr>
      <w:r>
        <w:rPr>
          <w:b/>
          <w:noProof/>
          <w:sz w:val="18"/>
          <w:lang w:eastAsia="en-GB"/>
        </w:rPr>
        <w:drawing>
          <wp:inline distT="0" distB="0" distL="0" distR="0" wp14:anchorId="4BA6C572" wp14:editId="57F17C6E">
            <wp:extent cx="5731510" cy="3701415"/>
            <wp:effectExtent l="0" t="0" r="2540" b="0"/>
            <wp:docPr id="5" name="Picture 5"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 surfac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3701415"/>
                    </a:xfrm>
                    <a:prstGeom prst="rect">
                      <a:avLst/>
                    </a:prstGeom>
                  </pic:spPr>
                </pic:pic>
              </a:graphicData>
            </a:graphic>
          </wp:inline>
        </w:drawing>
      </w:r>
    </w:p>
    <w:p w14:paraId="401E7E9B" w14:textId="77777777" w:rsidR="002B3A3C" w:rsidRPr="007C1C13" w:rsidRDefault="002B3A3C" w:rsidP="002B3A3C">
      <w:pPr>
        <w:jc w:val="both"/>
        <w:rPr>
          <w:b/>
          <w:sz w:val="18"/>
          <w:lang w:val="en"/>
        </w:rPr>
      </w:pPr>
      <w:r>
        <w:rPr>
          <w:b/>
          <w:sz w:val="18"/>
          <w:lang w:val="en"/>
        </w:rPr>
        <w:t>Figure 2: Comparison of the performances of 17 molecular interaction networks using two different clustering algorithms, DSD and DIAMOnD. MINs vary in functional association source data and in selected thresholds for their supporting evidence scores, and are named as explained in the Materials and Methods. (A) Each network was subjected to clustering by DSD and each resulting cluster was tested for enrichment of each of 11 muscle-related GO terms. For each network, the most strongly enriched (lowest Q value based on Fisher’s exact test) cluster for each of the 11 GO term was identified, giving 11 enrichment Q values for that network. The median of these 11 enrichment Q values was used as a basis of comparison between networks, and is shown here for each network. (B) For each network and each muscle-related GO term, a random 30% subset of genes was removed from the GO term. The remaining genes were used as a seed list for the DIAMOnD algorithm, and an attempt was made to recall the missing genes during iterative cluster growth by the DIAMOnD algorithm. The 30% subset of genes was randomized across 100 permutations to establish an average recall rate for that GO term for that network. The median average recall rate for the 11 GO terms was used as a basis of comparison between networks, and is shown here for each network.</w:t>
      </w:r>
    </w:p>
    <w:p w14:paraId="6CEBDCFE" w14:textId="77777777" w:rsidR="002B3A3C" w:rsidRDefault="002B3A3C" w:rsidP="002B3A3C">
      <w:pPr>
        <w:jc w:val="both"/>
        <w:rPr>
          <w:lang w:val="en"/>
        </w:rPr>
      </w:pPr>
    </w:p>
    <w:p w14:paraId="2F89F090" w14:textId="77777777" w:rsidR="002B3A3C" w:rsidRDefault="002B3A3C" w:rsidP="002B3A3C">
      <w:pPr>
        <w:jc w:val="both"/>
        <w:rPr>
          <w:lang w:val="en"/>
        </w:rPr>
      </w:pPr>
      <w:r>
        <w:rPr>
          <w:lang w:val="en"/>
        </w:rPr>
        <w:t>To test whether combined networks of different types of functional association (PPI and gene co-expression) could improve the recall of muscle-related genes and functions, a subset of networks were selected to be combined. Selection was based on the individual performance of each network with DSD and DIAMOnD, and also to represent tissue-specificity or non-specificity. In general, the best performing network (taking into account results from both DSD and DIAMOnD) from each different source database was included, except those networks derived from GTEx and HumanDB, which all performed poorly on both DSD and DIAMOnD.</w:t>
      </w:r>
      <w:r w:rsidRPr="00D12308">
        <w:rPr>
          <w:lang w:val="en"/>
        </w:rPr>
        <w:t xml:space="preserve"> </w:t>
      </w:r>
      <w:r>
        <w:rPr>
          <w:lang w:val="en"/>
        </w:rPr>
        <w:t xml:space="preserve">For each source database, larger networks were retained as these contain the most interaction information, unless a smaller network had notably better performance. A total of 4 networks were selected. </w:t>
      </w:r>
      <w:r w:rsidRPr="00D12308">
        <w:rPr>
          <w:lang w:val="en"/>
        </w:rPr>
        <w:t>The</w:t>
      </w:r>
      <w:r>
        <w:rPr>
          <w:lang w:val="en"/>
        </w:rPr>
        <w:t>se are shown</w:t>
      </w:r>
      <w:r w:rsidRPr="00D12308">
        <w:rPr>
          <w:lang w:val="en"/>
        </w:rPr>
        <w:t>, together with basic network characteristics such as number</w:t>
      </w:r>
      <w:r>
        <w:rPr>
          <w:lang w:val="en"/>
        </w:rPr>
        <w:t>s</w:t>
      </w:r>
      <w:r w:rsidRPr="00D12308">
        <w:rPr>
          <w:lang w:val="en"/>
        </w:rPr>
        <w:t xml:space="preserve"> of nodes and edges, in Table 2.</w:t>
      </w:r>
    </w:p>
    <w:p w14:paraId="59DE9A8E" w14:textId="77777777" w:rsidR="002B3A3C" w:rsidRPr="00325D20" w:rsidRDefault="002B3A3C" w:rsidP="002B3A3C">
      <w:pPr>
        <w:jc w:val="both"/>
        <w:rPr>
          <w:sz w:val="19"/>
        </w:rPr>
      </w:pP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tblBorders>
        <w:tblLook w:val="04A0" w:firstRow="1" w:lastRow="0" w:firstColumn="1" w:lastColumn="0" w:noHBand="0" w:noVBand="1"/>
      </w:tblPr>
      <w:tblGrid>
        <w:gridCol w:w="1202"/>
        <w:gridCol w:w="793"/>
        <w:gridCol w:w="1139"/>
        <w:gridCol w:w="1681"/>
        <w:gridCol w:w="4201"/>
      </w:tblGrid>
      <w:tr w:rsidR="002B3A3C" w:rsidRPr="0002037F" w14:paraId="7D6F22A3" w14:textId="77777777" w:rsidTr="00924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4BDC160C" w14:textId="77777777" w:rsidR="002B3A3C" w:rsidRPr="0002037F" w:rsidRDefault="002B3A3C" w:rsidP="00924A5A">
            <w:pPr>
              <w:jc w:val="both"/>
              <w:rPr>
                <w:b w:val="0"/>
                <w:sz w:val="18"/>
              </w:rPr>
            </w:pPr>
            <w:r>
              <w:rPr>
                <w:sz w:val="18"/>
              </w:rPr>
              <w:t>MIN</w:t>
            </w:r>
            <w:r w:rsidRPr="0002037F">
              <w:rPr>
                <w:sz w:val="18"/>
              </w:rPr>
              <w:t xml:space="preserve"> </w:t>
            </w:r>
            <w:r>
              <w:rPr>
                <w:sz w:val="18"/>
              </w:rPr>
              <w:t>name</w:t>
            </w:r>
          </w:p>
        </w:tc>
        <w:tc>
          <w:tcPr>
            <w:tcW w:w="793" w:type="dxa"/>
          </w:tcPr>
          <w:p w14:paraId="5546A9BE"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Nodes</w:t>
            </w:r>
          </w:p>
        </w:tc>
        <w:tc>
          <w:tcPr>
            <w:tcW w:w="1139" w:type="dxa"/>
          </w:tcPr>
          <w:p w14:paraId="12EAC0A2"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Edges</w:t>
            </w:r>
          </w:p>
        </w:tc>
        <w:tc>
          <w:tcPr>
            <w:tcW w:w="1681" w:type="dxa"/>
          </w:tcPr>
          <w:p w14:paraId="52ECBBD3"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b w:val="0"/>
                <w:sz w:val="18"/>
              </w:rPr>
            </w:pPr>
            <w:r>
              <w:rPr>
                <w:sz w:val="18"/>
              </w:rPr>
              <w:t>Edge</w:t>
            </w:r>
            <w:r w:rsidRPr="0002037F">
              <w:rPr>
                <w:sz w:val="18"/>
              </w:rPr>
              <w:t xml:space="preserve"> weight range</w:t>
            </w:r>
          </w:p>
        </w:tc>
        <w:tc>
          <w:tcPr>
            <w:tcW w:w="4201" w:type="dxa"/>
          </w:tcPr>
          <w:p w14:paraId="5EEE7799" w14:textId="77777777" w:rsidR="002B3A3C" w:rsidRPr="0002037F" w:rsidRDefault="002B3A3C" w:rsidP="00924A5A">
            <w:pPr>
              <w:jc w:val="both"/>
              <w:cnfStyle w:val="100000000000" w:firstRow="1" w:lastRow="0" w:firstColumn="0" w:lastColumn="0" w:oddVBand="0" w:evenVBand="0" w:oddHBand="0" w:evenHBand="0" w:firstRowFirstColumn="0" w:firstRowLastColumn="0" w:lastRowFirstColumn="0" w:lastRowLastColumn="0"/>
              <w:rPr>
                <w:sz w:val="18"/>
              </w:rPr>
            </w:pPr>
            <w:r>
              <w:rPr>
                <w:sz w:val="18"/>
              </w:rPr>
              <w:t>Brief description</w:t>
            </w:r>
          </w:p>
        </w:tc>
      </w:tr>
      <w:tr w:rsidR="002B3A3C" w:rsidRPr="0002037F" w14:paraId="09259B25"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2B90C34C" w14:textId="77777777" w:rsidR="002B3A3C" w:rsidRPr="0002037F" w:rsidRDefault="002B3A3C" w:rsidP="00924A5A">
            <w:pPr>
              <w:jc w:val="both"/>
              <w:rPr>
                <w:sz w:val="18"/>
              </w:rPr>
            </w:pPr>
            <w:r w:rsidRPr="0002037F">
              <w:rPr>
                <w:sz w:val="18"/>
              </w:rPr>
              <w:t>STRING</w:t>
            </w:r>
          </w:p>
        </w:tc>
        <w:tc>
          <w:tcPr>
            <w:tcW w:w="793" w:type="dxa"/>
          </w:tcPr>
          <w:p w14:paraId="6BA10CA7"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18,038</w:t>
            </w:r>
          </w:p>
        </w:tc>
        <w:tc>
          <w:tcPr>
            <w:tcW w:w="1139" w:type="dxa"/>
          </w:tcPr>
          <w:p w14:paraId="1C6F5EE7"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5,022,630</w:t>
            </w:r>
          </w:p>
        </w:tc>
        <w:tc>
          <w:tcPr>
            <w:tcW w:w="1681" w:type="dxa"/>
          </w:tcPr>
          <w:p w14:paraId="77987DAF"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0.15 - 1</w:t>
            </w:r>
          </w:p>
        </w:tc>
        <w:tc>
          <w:tcPr>
            <w:tcW w:w="4201" w:type="dxa"/>
          </w:tcPr>
          <w:p w14:paraId="301AA480"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Full STRING network (PPIs; tissue-generic)</w:t>
            </w:r>
          </w:p>
        </w:tc>
      </w:tr>
      <w:tr w:rsidR="002B3A3C" w:rsidRPr="0002037F" w14:paraId="39DDF6B4" w14:textId="77777777" w:rsidTr="00924A5A">
        <w:tc>
          <w:tcPr>
            <w:cnfStyle w:val="001000000000" w:firstRow="0" w:lastRow="0" w:firstColumn="1" w:lastColumn="0" w:oddVBand="0" w:evenVBand="0" w:oddHBand="0" w:evenHBand="0" w:firstRowFirstColumn="0" w:firstRowLastColumn="0" w:lastRowFirstColumn="0" w:lastRowLastColumn="0"/>
            <w:tcW w:w="1202" w:type="dxa"/>
          </w:tcPr>
          <w:p w14:paraId="02BD895A" w14:textId="77777777" w:rsidR="002B3A3C" w:rsidRPr="0002037F" w:rsidRDefault="002B3A3C" w:rsidP="00924A5A">
            <w:pPr>
              <w:jc w:val="both"/>
              <w:rPr>
                <w:sz w:val="18"/>
              </w:rPr>
            </w:pPr>
            <w:r w:rsidRPr="0002037F">
              <w:rPr>
                <w:sz w:val="18"/>
              </w:rPr>
              <w:t>IID SM</w:t>
            </w:r>
          </w:p>
        </w:tc>
        <w:tc>
          <w:tcPr>
            <w:tcW w:w="793" w:type="dxa"/>
          </w:tcPr>
          <w:p w14:paraId="3C4AE9EF"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11,921</w:t>
            </w:r>
          </w:p>
        </w:tc>
        <w:tc>
          <w:tcPr>
            <w:tcW w:w="1139" w:type="dxa"/>
          </w:tcPr>
          <w:p w14:paraId="20FD3E0F"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584,579</w:t>
            </w:r>
          </w:p>
        </w:tc>
        <w:tc>
          <w:tcPr>
            <w:tcW w:w="1681" w:type="dxa"/>
          </w:tcPr>
          <w:p w14:paraId="2E4293D3"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w:t>
            </w:r>
          </w:p>
        </w:tc>
        <w:tc>
          <w:tcPr>
            <w:tcW w:w="4201" w:type="dxa"/>
          </w:tcPr>
          <w:p w14:paraId="4B2DDF57"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IID skeletal muscle subset (PPIs; muscle-specific)</w:t>
            </w:r>
          </w:p>
        </w:tc>
      </w:tr>
      <w:tr w:rsidR="002B3A3C" w:rsidRPr="0002037F" w14:paraId="038C0AF9"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134E3906" w14:textId="77777777" w:rsidR="002B3A3C" w:rsidRPr="0002037F" w:rsidRDefault="002B3A3C" w:rsidP="00924A5A">
            <w:pPr>
              <w:jc w:val="both"/>
              <w:rPr>
                <w:sz w:val="18"/>
              </w:rPr>
            </w:pPr>
            <w:r w:rsidRPr="0002037F">
              <w:rPr>
                <w:sz w:val="18"/>
              </w:rPr>
              <w:t>COXPRESdb</w:t>
            </w:r>
          </w:p>
        </w:tc>
        <w:tc>
          <w:tcPr>
            <w:tcW w:w="793" w:type="dxa"/>
          </w:tcPr>
          <w:p w14:paraId="3AEE68A8"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18,099</w:t>
            </w:r>
          </w:p>
        </w:tc>
        <w:tc>
          <w:tcPr>
            <w:tcW w:w="1139" w:type="dxa"/>
          </w:tcPr>
          <w:p w14:paraId="6731C7D3"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5,500,000</w:t>
            </w:r>
          </w:p>
        </w:tc>
        <w:tc>
          <w:tcPr>
            <w:tcW w:w="1681" w:type="dxa"/>
          </w:tcPr>
          <w:p w14:paraId="7BCBDED6"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sidRPr="0002037F">
              <w:rPr>
                <w:sz w:val="18"/>
              </w:rPr>
              <w:t>0.0001 - 1</w:t>
            </w:r>
          </w:p>
        </w:tc>
        <w:tc>
          <w:tcPr>
            <w:tcW w:w="4201" w:type="dxa"/>
          </w:tcPr>
          <w:p w14:paraId="5730BB3E" w14:textId="77777777" w:rsidR="002B3A3C" w:rsidRPr="0002037F" w:rsidRDefault="002B3A3C" w:rsidP="00924A5A">
            <w:pPr>
              <w:jc w:val="both"/>
              <w:cnfStyle w:val="000000100000" w:firstRow="0" w:lastRow="0" w:firstColumn="0" w:lastColumn="0" w:oddVBand="0" w:evenVBand="0" w:oddHBand="1" w:evenHBand="0" w:firstRowFirstColumn="0" w:firstRowLastColumn="0" w:lastRowFirstColumn="0" w:lastRowLastColumn="0"/>
              <w:rPr>
                <w:sz w:val="18"/>
              </w:rPr>
            </w:pPr>
            <w:r>
              <w:rPr>
                <w:sz w:val="18"/>
              </w:rPr>
              <w:t>COXPRESSdb most strongly co-expressed genes (tissue-generic)</w:t>
            </w:r>
          </w:p>
        </w:tc>
      </w:tr>
      <w:tr w:rsidR="002B3A3C" w:rsidRPr="0002037F" w14:paraId="26796B08" w14:textId="77777777" w:rsidTr="00924A5A">
        <w:tc>
          <w:tcPr>
            <w:cnfStyle w:val="001000000000" w:firstRow="0" w:lastRow="0" w:firstColumn="1" w:lastColumn="0" w:oddVBand="0" w:evenVBand="0" w:oddHBand="0" w:evenHBand="0" w:firstRowFirstColumn="0" w:firstRowLastColumn="0" w:lastRowFirstColumn="0" w:lastRowLastColumn="0"/>
            <w:tcW w:w="1202" w:type="dxa"/>
          </w:tcPr>
          <w:p w14:paraId="2E8DB6F1" w14:textId="77777777" w:rsidR="002B3A3C" w:rsidRPr="0002037F" w:rsidRDefault="002B3A3C" w:rsidP="00924A5A">
            <w:pPr>
              <w:jc w:val="both"/>
              <w:rPr>
                <w:sz w:val="18"/>
              </w:rPr>
            </w:pPr>
            <w:r w:rsidRPr="0002037F">
              <w:rPr>
                <w:sz w:val="18"/>
              </w:rPr>
              <w:t>MyoMiner Muscle Cell</w:t>
            </w:r>
          </w:p>
        </w:tc>
        <w:tc>
          <w:tcPr>
            <w:tcW w:w="793" w:type="dxa"/>
          </w:tcPr>
          <w:p w14:paraId="0DB01624"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18,791</w:t>
            </w:r>
          </w:p>
        </w:tc>
        <w:tc>
          <w:tcPr>
            <w:tcW w:w="1139" w:type="dxa"/>
          </w:tcPr>
          <w:p w14:paraId="374E2DB5"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1,801,020</w:t>
            </w:r>
          </w:p>
        </w:tc>
        <w:tc>
          <w:tcPr>
            <w:tcW w:w="1681" w:type="dxa"/>
          </w:tcPr>
          <w:p w14:paraId="4D3C4F4C"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sidRPr="0002037F">
              <w:rPr>
                <w:sz w:val="18"/>
              </w:rPr>
              <w:t>0.61 – 1</w:t>
            </w:r>
          </w:p>
        </w:tc>
        <w:tc>
          <w:tcPr>
            <w:tcW w:w="4201" w:type="dxa"/>
          </w:tcPr>
          <w:p w14:paraId="1DBAE895" w14:textId="77777777" w:rsidR="002B3A3C" w:rsidRPr="0002037F" w:rsidRDefault="002B3A3C" w:rsidP="00924A5A">
            <w:pPr>
              <w:jc w:val="both"/>
              <w:cnfStyle w:val="000000000000" w:firstRow="0" w:lastRow="0" w:firstColumn="0" w:lastColumn="0" w:oddVBand="0" w:evenVBand="0" w:oddHBand="0" w:evenHBand="0" w:firstRowFirstColumn="0" w:firstRowLastColumn="0" w:lastRowFirstColumn="0" w:lastRowLastColumn="0"/>
              <w:rPr>
                <w:sz w:val="18"/>
              </w:rPr>
            </w:pPr>
            <w:r>
              <w:rPr>
                <w:sz w:val="18"/>
              </w:rPr>
              <w:t>MyoMiner positively co-expressed (r &gt; 0.6) genes in muscle cells (muscle-specific)</w:t>
            </w:r>
          </w:p>
        </w:tc>
      </w:tr>
    </w:tbl>
    <w:p w14:paraId="1B0BCFA6" w14:textId="77777777" w:rsidR="002B3A3C" w:rsidRDefault="002B3A3C" w:rsidP="002B3A3C">
      <w:pPr>
        <w:spacing w:after="0"/>
        <w:jc w:val="both"/>
        <w:rPr>
          <w:b/>
          <w:sz w:val="16"/>
        </w:rPr>
      </w:pPr>
      <w:r w:rsidRPr="00AB0422">
        <w:rPr>
          <w:b/>
          <w:sz w:val="16"/>
        </w:rPr>
        <w:t xml:space="preserve">Table </w:t>
      </w:r>
      <w:r>
        <w:rPr>
          <w:b/>
          <w:sz w:val="16"/>
        </w:rPr>
        <w:t>2</w:t>
      </w:r>
      <w:r w:rsidRPr="00AB0422">
        <w:rPr>
          <w:b/>
          <w:sz w:val="16"/>
        </w:rPr>
        <w:t>:</w:t>
      </w:r>
      <w:r>
        <w:rPr>
          <w:b/>
          <w:sz w:val="16"/>
        </w:rPr>
        <w:t xml:space="preserve"> Properties of the individual MINs selected for combination.</w:t>
      </w:r>
    </w:p>
    <w:p w14:paraId="2F29E08F" w14:textId="77777777" w:rsidR="002B3A3C" w:rsidRDefault="002B3A3C" w:rsidP="002B3A3C">
      <w:pPr>
        <w:jc w:val="both"/>
        <w:rPr>
          <w:lang w:val="en"/>
        </w:rPr>
      </w:pPr>
    </w:p>
    <w:p w14:paraId="74988BD6" w14:textId="77777777" w:rsidR="002B3A3C" w:rsidRDefault="002B3A3C" w:rsidP="002B3A3C">
      <w:pPr>
        <w:jc w:val="both"/>
        <w:rPr>
          <w:lang w:val="en"/>
        </w:rPr>
      </w:pPr>
      <w:r>
        <w:rPr>
          <w:lang w:val="en"/>
        </w:rPr>
        <w:t xml:space="preserve">To combine each of the selected PPI MINs with each of the selected gene co-expression MINs, we defined 2 methods: node filter combination (NF), and union combination (U). The node filter combination method is similar to a gene expression filter. For a given PPI MIN, only those edges are kept that contain nodes present in the gene co-expression network. The union combination approach is a simple union of all nodes and edges of both networks, with duplicate edges removed. In this way, 8 combined networks were generated (each of the 2 PPI networks combined with each of the 2 co-expression networks using either method of combination). All but one of these (IID + COXPRESdb, NF) passed the threshold for minimum baseline representation of muscle-relevant genes (&gt;75% average coverage of the selected </w:t>
      </w:r>
      <w:r w:rsidRPr="00AD20A4">
        <w:rPr>
          <w:lang w:val="en"/>
        </w:rPr>
        <w:t>muscle-related GO terms</w:t>
      </w:r>
      <w:r>
        <w:rPr>
          <w:lang w:val="en"/>
        </w:rPr>
        <w:t xml:space="preserve">) and was retained for subsequent analysis (Figure S2). </w:t>
      </w:r>
    </w:p>
    <w:p w14:paraId="1B39924C" w14:textId="77777777" w:rsidR="002B3A3C" w:rsidRDefault="002B3A3C" w:rsidP="002B3A3C">
      <w:pPr>
        <w:jc w:val="both"/>
        <w:rPr>
          <w:lang w:val="en"/>
        </w:rPr>
      </w:pPr>
      <w:r>
        <w:rPr>
          <w:lang w:val="en"/>
        </w:rPr>
        <w:t>The median muscle GO term recall performance (median DIAMOnD recall percentages and median DSD cluster enrichment values) for the combined networks is shown (Figure 3), and broken down by individual muscle GO term (tables 3 and 4). Scores for the separate constituent networks (already presented in Figure 2) are included again for comparison. A notable improvement is observed (Figure 3A; table 3) in the median enrichment q-value of the DSD approach when the STRING PPI network (median q-value of 8.4 alone) is combined with either of the two co-expression networks (COXPRESdb or MyoMiner) using the NF combination method (median q-values of 14.4 and 12.3, respectively). The same two combined networks (STRING + CoXPRESdb NF, and STRING + MyoMiner Cell NF) are also the top performers with the DIAMOnD approach (Figure 3B; table 4), but in this case the improvement over STRING alone (39% median recall) is more notable in combination with MyoMiner (46% median recall), the increase with CoXPRES being a single percentage point (40% median recall). The performance of the IID PPI network generally did not improve, or improved only marginally, when combined with a gene co-expression network. The union combination method generally did not improve the performance of either PPI network, and indeed markedly reduced their performance under the DSD approach. Overall, muscle GO term recall performance had moderate correlation (</w:t>
      </w:r>
      <w:r w:rsidRPr="00EA5D75">
        <w:rPr>
          <w:i/>
          <w:iCs/>
          <w:lang w:val="en"/>
        </w:rPr>
        <w:t>R</w:t>
      </w:r>
      <w:r>
        <w:rPr>
          <w:lang w:val="en"/>
        </w:rPr>
        <w:t xml:space="preserve"> = 0.31; p = 0.00049) between the DSD and DIAMOnD approaches (Figure S3).</w:t>
      </w:r>
    </w:p>
    <w:p w14:paraId="0AAE2356" w14:textId="77777777" w:rsidR="002B3A3C" w:rsidRDefault="002B3A3C" w:rsidP="002B3A3C">
      <w:pPr>
        <w:jc w:val="both"/>
        <w:rPr>
          <w:lang w:val="en"/>
        </w:rPr>
      </w:pPr>
    </w:p>
    <w:p w14:paraId="558E56C9" w14:textId="77777777" w:rsidR="002B3A3C" w:rsidRDefault="002B3A3C" w:rsidP="002B3A3C">
      <w:pPr>
        <w:jc w:val="both"/>
        <w:rPr>
          <w:lang w:val="en"/>
        </w:rPr>
      </w:pPr>
    </w:p>
    <w:p w14:paraId="50A42DDE" w14:textId="77777777" w:rsidR="002B3A3C" w:rsidRDefault="002B3A3C" w:rsidP="002B3A3C">
      <w:pPr>
        <w:jc w:val="both"/>
        <w:rPr>
          <w:b/>
          <w:sz w:val="18"/>
          <w:lang w:val="en"/>
        </w:rPr>
      </w:pPr>
    </w:p>
    <w:p w14:paraId="4580771D" w14:textId="77777777" w:rsidR="002B3A3C" w:rsidRDefault="002B3A3C" w:rsidP="002B3A3C">
      <w:pPr>
        <w:jc w:val="both"/>
        <w:rPr>
          <w:b/>
          <w:sz w:val="18"/>
          <w:lang w:val="en"/>
        </w:rPr>
      </w:pPr>
      <w:r>
        <w:rPr>
          <w:b/>
          <w:noProof/>
          <w:sz w:val="18"/>
          <w:lang w:val="en"/>
        </w:rPr>
        <w:drawing>
          <wp:inline distT="0" distB="0" distL="0" distR="0" wp14:anchorId="663F75E1" wp14:editId="2B9A247D">
            <wp:extent cx="5731510" cy="2865755"/>
            <wp:effectExtent l="0" t="0" r="2540" b="0"/>
            <wp:docPr id="7" name="Picture 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funnel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C6668BA" w14:textId="77777777" w:rsidR="002B3A3C" w:rsidRDefault="002B3A3C" w:rsidP="002B3A3C">
      <w:pPr>
        <w:jc w:val="both"/>
        <w:rPr>
          <w:b/>
          <w:sz w:val="18"/>
          <w:lang w:val="en"/>
        </w:rPr>
      </w:pPr>
      <w:r>
        <w:rPr>
          <w:b/>
          <w:sz w:val="18"/>
          <w:lang w:val="en"/>
        </w:rPr>
        <w:t>Figure 3: Comparison of the performances of combined (PPI and gene co-expression) molecular interaction networks using clustering algorithms DSD and DIAMOnD. Networks were compared in terms of the enrichment (DSD) or recall (DIAMOnD) of muscle-related GO terms. Median values for the combined networks and for their component networks are shown for DSD (A) and for DIAMOnD (B). For the DSD algorithm, combining the STRING PPI with the muscle tissue-specific MyoMiner Cell gene co-expression network via the node filter approach, produces network clusters with the most significant median enrichment q-values. For DIAMOnD, combining the STRING PPI with a generic gene co-expression network via the node filter approach produces a network with the highest median recall percentage.</w:t>
      </w:r>
    </w:p>
    <w:p w14:paraId="2FCC9591" w14:textId="77777777" w:rsidR="002B3A3C" w:rsidRDefault="002B3A3C" w:rsidP="002B3A3C">
      <w:pPr>
        <w:jc w:val="both"/>
        <w:rPr>
          <w:b/>
          <w:sz w:val="18"/>
          <w:lang w:val="en"/>
        </w:rPr>
      </w:pPr>
    </w:p>
    <w:p w14:paraId="5692A807" w14:textId="77777777" w:rsidR="002B3A3C" w:rsidRDefault="002B3A3C" w:rsidP="002B3A3C">
      <w:pPr>
        <w:rPr>
          <w:b/>
        </w:rPr>
      </w:pPr>
      <w:r>
        <w:rPr>
          <w:b/>
        </w:rPr>
        <w:br w:type="page"/>
      </w:r>
    </w:p>
    <w:p w14:paraId="5344F1E7" w14:textId="77777777" w:rsidR="002B3A3C" w:rsidRDefault="002B3A3C" w:rsidP="002B3A3C">
      <w:pPr>
        <w:jc w:val="both"/>
        <w:rPr>
          <w:b/>
        </w:rPr>
        <w:sectPr w:rsidR="002B3A3C" w:rsidSect="00934159">
          <w:footerReference w:type="default" r:id="rId44"/>
          <w:type w:val="continuous"/>
          <w:pgSz w:w="11906" w:h="16838"/>
          <w:pgMar w:top="1440" w:right="1440" w:bottom="1440" w:left="1440" w:header="709" w:footer="709" w:gutter="0"/>
          <w:cols w:space="708"/>
          <w:docGrid w:linePitch="360"/>
        </w:sect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1304"/>
        <w:gridCol w:w="1033"/>
        <w:gridCol w:w="449"/>
        <w:gridCol w:w="1030"/>
        <w:gridCol w:w="918"/>
        <w:gridCol w:w="449"/>
        <w:gridCol w:w="536"/>
        <w:gridCol w:w="670"/>
        <w:gridCol w:w="985"/>
        <w:gridCol w:w="993"/>
        <w:gridCol w:w="850"/>
        <w:gridCol w:w="851"/>
      </w:tblGrid>
      <w:tr w:rsidR="002B3A3C" w:rsidRPr="00CD304F" w14:paraId="7B958C9C" w14:textId="77777777" w:rsidTr="00924A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2" w:type="dxa"/>
            <w:vMerge w:val="restart"/>
            <w:tcBorders>
              <w:top w:val="single" w:sz="12" w:space="0" w:color="auto"/>
              <w:bottom w:val="none" w:sz="0" w:space="0" w:color="auto"/>
            </w:tcBorders>
            <w:noWrap/>
            <w:vAlign w:val="center"/>
            <w:hideMark/>
          </w:tcPr>
          <w:p w14:paraId="17011133" w14:textId="77777777" w:rsidR="002B3A3C" w:rsidRPr="00CD304F" w:rsidRDefault="002B3A3C" w:rsidP="00924A5A">
            <w:pPr>
              <w:jc w:val="center"/>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Network Variant</w:t>
            </w:r>
          </w:p>
        </w:tc>
        <w:tc>
          <w:tcPr>
            <w:tcW w:w="1304" w:type="dxa"/>
            <w:vMerge w:val="restart"/>
            <w:tcBorders>
              <w:top w:val="single" w:sz="12" w:space="0" w:color="auto"/>
              <w:bottom w:val="none" w:sz="0" w:space="0" w:color="auto"/>
            </w:tcBorders>
            <w:noWrap/>
            <w:vAlign w:val="center"/>
            <w:hideMark/>
          </w:tcPr>
          <w:p w14:paraId="1EFD82AF"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 xml:space="preserve">Median </w:t>
            </w:r>
            <w:r>
              <w:rPr>
                <w:rFonts w:ascii="Calibri" w:eastAsia="Times New Roman" w:hAnsi="Calibri" w:cs="Calibri"/>
                <w:color w:val="000000"/>
                <w:sz w:val="18"/>
                <w:szCs w:val="18"/>
                <w:lang w:eastAsia="en-GB"/>
              </w:rPr>
              <w:t>enrichment across all muscle GO terms</w:t>
            </w:r>
            <w:r w:rsidRPr="00CD304F">
              <w:rPr>
                <w:rFonts w:ascii="Calibri" w:eastAsia="Times New Roman" w:hAnsi="Calibri" w:cs="Calibri"/>
                <w:color w:val="000000"/>
                <w:sz w:val="18"/>
                <w:szCs w:val="18"/>
                <w:lang w:eastAsia="en-GB"/>
              </w:rPr>
              <w:t xml:space="preserve"> (-log10)</w:t>
            </w:r>
          </w:p>
        </w:tc>
        <w:tc>
          <w:tcPr>
            <w:tcW w:w="2512" w:type="dxa"/>
            <w:gridSpan w:val="3"/>
            <w:tcBorders>
              <w:top w:val="single" w:sz="12" w:space="0" w:color="auto"/>
              <w:bottom w:val="none" w:sz="0" w:space="0" w:color="auto"/>
            </w:tcBorders>
            <w:noWrap/>
            <w:vAlign w:val="center"/>
            <w:hideMark/>
          </w:tcPr>
          <w:p w14:paraId="7E8B2D0A"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Contraction</w:t>
            </w:r>
          </w:p>
        </w:tc>
        <w:tc>
          <w:tcPr>
            <w:tcW w:w="1903" w:type="dxa"/>
            <w:gridSpan w:val="3"/>
            <w:tcBorders>
              <w:top w:val="single" w:sz="12" w:space="0" w:color="auto"/>
              <w:bottom w:val="none" w:sz="0" w:space="0" w:color="auto"/>
            </w:tcBorders>
            <w:noWrap/>
            <w:vAlign w:val="center"/>
            <w:hideMark/>
          </w:tcPr>
          <w:p w14:paraId="3C4BE50D"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Membrane</w:t>
            </w:r>
          </w:p>
        </w:tc>
        <w:tc>
          <w:tcPr>
            <w:tcW w:w="2648" w:type="dxa"/>
            <w:gridSpan w:val="3"/>
            <w:tcBorders>
              <w:top w:val="single" w:sz="12" w:space="0" w:color="auto"/>
              <w:bottom w:val="none" w:sz="0" w:space="0" w:color="auto"/>
            </w:tcBorders>
            <w:noWrap/>
            <w:vAlign w:val="center"/>
            <w:hideMark/>
          </w:tcPr>
          <w:p w14:paraId="469EE67C"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Regeneration</w:t>
            </w:r>
          </w:p>
        </w:tc>
        <w:tc>
          <w:tcPr>
            <w:tcW w:w="1701" w:type="dxa"/>
            <w:gridSpan w:val="2"/>
            <w:tcBorders>
              <w:top w:val="single" w:sz="12" w:space="0" w:color="auto"/>
              <w:bottom w:val="none" w:sz="0" w:space="0" w:color="auto"/>
            </w:tcBorders>
            <w:noWrap/>
            <w:vAlign w:val="center"/>
            <w:hideMark/>
          </w:tcPr>
          <w:p w14:paraId="58FCF6D1"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Other</w:t>
            </w:r>
          </w:p>
        </w:tc>
      </w:tr>
      <w:tr w:rsidR="002B3A3C" w:rsidRPr="00CD304F" w14:paraId="55F02263" w14:textId="77777777" w:rsidTr="00924A5A">
        <w:trPr>
          <w:cantSplit/>
          <w:trHeight w:val="1377"/>
        </w:trPr>
        <w:tc>
          <w:tcPr>
            <w:cnfStyle w:val="001000000000" w:firstRow="0" w:lastRow="0" w:firstColumn="1" w:lastColumn="0" w:oddVBand="0" w:evenVBand="0" w:oddHBand="0" w:evenHBand="0" w:firstRowFirstColumn="0" w:firstRowLastColumn="0" w:lastRowFirstColumn="0" w:lastRowLastColumn="0"/>
            <w:tcW w:w="2832" w:type="dxa"/>
            <w:vMerge/>
            <w:tcBorders>
              <w:bottom w:val="single" w:sz="4" w:space="0" w:color="auto"/>
            </w:tcBorders>
            <w:noWrap/>
            <w:vAlign w:val="center"/>
            <w:hideMark/>
          </w:tcPr>
          <w:p w14:paraId="334030F6" w14:textId="77777777" w:rsidR="002B3A3C" w:rsidRPr="00CD304F" w:rsidRDefault="002B3A3C" w:rsidP="00924A5A">
            <w:pPr>
              <w:jc w:val="center"/>
              <w:rPr>
                <w:rFonts w:ascii="Calibri" w:eastAsia="Times New Roman" w:hAnsi="Calibri" w:cs="Calibri"/>
                <w:color w:val="000000"/>
                <w:sz w:val="18"/>
                <w:szCs w:val="18"/>
                <w:lang w:eastAsia="en-GB"/>
              </w:rPr>
            </w:pPr>
          </w:p>
        </w:tc>
        <w:tc>
          <w:tcPr>
            <w:tcW w:w="1304" w:type="dxa"/>
            <w:vMerge/>
            <w:tcBorders>
              <w:bottom w:val="single" w:sz="4" w:space="0" w:color="auto"/>
            </w:tcBorders>
            <w:noWrap/>
            <w:vAlign w:val="center"/>
            <w:hideMark/>
          </w:tcPr>
          <w:p w14:paraId="40A3239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033" w:type="dxa"/>
            <w:tcBorders>
              <w:bottom w:val="single" w:sz="4" w:space="0" w:color="auto"/>
            </w:tcBorders>
            <w:noWrap/>
            <w:textDirection w:val="btLr"/>
            <w:vAlign w:val="center"/>
            <w:hideMark/>
          </w:tcPr>
          <w:p w14:paraId="4D99F422"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Fiber Development</w:t>
            </w:r>
          </w:p>
        </w:tc>
        <w:tc>
          <w:tcPr>
            <w:tcW w:w="449" w:type="dxa"/>
            <w:tcBorders>
              <w:bottom w:val="single" w:sz="4" w:space="0" w:color="auto"/>
            </w:tcBorders>
            <w:noWrap/>
            <w:textDirection w:val="btLr"/>
            <w:vAlign w:val="center"/>
            <w:hideMark/>
          </w:tcPr>
          <w:p w14:paraId="26379BBD"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Myofilament</w:t>
            </w:r>
          </w:p>
        </w:tc>
        <w:tc>
          <w:tcPr>
            <w:tcW w:w="1030" w:type="dxa"/>
            <w:tcBorders>
              <w:bottom w:val="single" w:sz="4" w:space="0" w:color="auto"/>
              <w:right w:val="single" w:sz="4" w:space="0" w:color="auto"/>
            </w:tcBorders>
            <w:noWrap/>
            <w:textDirection w:val="btLr"/>
            <w:vAlign w:val="center"/>
            <w:hideMark/>
          </w:tcPr>
          <w:p w14:paraId="3E5E5DE7"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Contraction</w:t>
            </w:r>
          </w:p>
        </w:tc>
        <w:tc>
          <w:tcPr>
            <w:tcW w:w="918" w:type="dxa"/>
            <w:tcBorders>
              <w:left w:val="single" w:sz="4" w:space="0" w:color="auto"/>
              <w:bottom w:val="single" w:sz="4" w:space="0" w:color="auto"/>
            </w:tcBorders>
            <w:noWrap/>
            <w:textDirection w:val="btLr"/>
            <w:vAlign w:val="center"/>
            <w:hideMark/>
          </w:tcPr>
          <w:p w14:paraId="45454241"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Neuromuscular Junction</w:t>
            </w:r>
          </w:p>
        </w:tc>
        <w:tc>
          <w:tcPr>
            <w:tcW w:w="449" w:type="dxa"/>
            <w:tcBorders>
              <w:bottom w:val="single" w:sz="4" w:space="0" w:color="auto"/>
            </w:tcBorders>
            <w:noWrap/>
            <w:textDirection w:val="btLr"/>
            <w:vAlign w:val="center"/>
            <w:hideMark/>
          </w:tcPr>
          <w:p w14:paraId="0D0BA191"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Sarcolemma</w:t>
            </w:r>
          </w:p>
        </w:tc>
        <w:tc>
          <w:tcPr>
            <w:tcW w:w="536" w:type="dxa"/>
            <w:tcBorders>
              <w:bottom w:val="single" w:sz="4" w:space="0" w:color="auto"/>
              <w:right w:val="single" w:sz="4" w:space="0" w:color="auto"/>
            </w:tcBorders>
            <w:noWrap/>
            <w:textDirection w:val="btLr"/>
            <w:vAlign w:val="center"/>
            <w:hideMark/>
          </w:tcPr>
          <w:p w14:paraId="1241E503"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T-Tubule</w:t>
            </w:r>
          </w:p>
        </w:tc>
        <w:tc>
          <w:tcPr>
            <w:tcW w:w="670" w:type="dxa"/>
            <w:tcBorders>
              <w:left w:val="single" w:sz="4" w:space="0" w:color="auto"/>
              <w:bottom w:val="single" w:sz="4" w:space="0" w:color="auto"/>
            </w:tcBorders>
            <w:noWrap/>
            <w:textDirection w:val="btLr"/>
            <w:vAlign w:val="center"/>
            <w:hideMark/>
          </w:tcPr>
          <w:p w14:paraId="04FB5373"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Hypertrophy</w:t>
            </w:r>
          </w:p>
        </w:tc>
        <w:tc>
          <w:tcPr>
            <w:tcW w:w="985" w:type="dxa"/>
            <w:tcBorders>
              <w:bottom w:val="single" w:sz="4" w:space="0" w:color="auto"/>
            </w:tcBorders>
            <w:noWrap/>
            <w:textDirection w:val="btLr"/>
            <w:vAlign w:val="center"/>
            <w:hideMark/>
          </w:tcPr>
          <w:p w14:paraId="38BD0E76"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Tissue Regeneration</w:t>
            </w:r>
          </w:p>
        </w:tc>
        <w:tc>
          <w:tcPr>
            <w:tcW w:w="993" w:type="dxa"/>
            <w:tcBorders>
              <w:bottom w:val="single" w:sz="4" w:space="0" w:color="auto"/>
              <w:right w:val="single" w:sz="4" w:space="0" w:color="auto"/>
            </w:tcBorders>
            <w:noWrap/>
            <w:textDirection w:val="btLr"/>
            <w:vAlign w:val="center"/>
            <w:hideMark/>
          </w:tcPr>
          <w:p w14:paraId="47E09ABC"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Striated Muscle Cell Proliferation</w:t>
            </w:r>
          </w:p>
        </w:tc>
        <w:tc>
          <w:tcPr>
            <w:tcW w:w="850" w:type="dxa"/>
            <w:tcBorders>
              <w:left w:val="single" w:sz="4" w:space="0" w:color="auto"/>
              <w:bottom w:val="single" w:sz="4" w:space="0" w:color="auto"/>
            </w:tcBorders>
            <w:noWrap/>
            <w:textDirection w:val="btLr"/>
            <w:vAlign w:val="center"/>
            <w:hideMark/>
          </w:tcPr>
          <w:p w14:paraId="0E9CFE49"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Myoblast Fusion</w:t>
            </w:r>
          </w:p>
        </w:tc>
        <w:tc>
          <w:tcPr>
            <w:tcW w:w="851" w:type="dxa"/>
            <w:tcBorders>
              <w:bottom w:val="single" w:sz="4" w:space="0" w:color="auto"/>
            </w:tcBorders>
            <w:noWrap/>
            <w:textDirection w:val="btLr"/>
            <w:vAlign w:val="center"/>
            <w:hideMark/>
          </w:tcPr>
          <w:p w14:paraId="37D3DDC8"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Cell Differentiation</w:t>
            </w:r>
          </w:p>
        </w:tc>
      </w:tr>
      <w:tr w:rsidR="002B3A3C" w:rsidRPr="00CD304F" w14:paraId="33B5F488"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single" w:sz="4" w:space="0" w:color="auto"/>
              <w:left w:val="nil"/>
              <w:bottom w:val="nil"/>
              <w:right w:val="nil"/>
            </w:tcBorders>
            <w:noWrap/>
            <w:hideMark/>
          </w:tcPr>
          <w:p w14:paraId="78641CE8"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w:t>
            </w:r>
          </w:p>
        </w:tc>
      </w:tr>
      <w:tr w:rsidR="002B3A3C" w:rsidRPr="00CD304F" w14:paraId="77F51FB6"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6672CFCF"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5mil</w:t>
            </w:r>
          </w:p>
        </w:tc>
        <w:tc>
          <w:tcPr>
            <w:tcW w:w="1304" w:type="dxa"/>
            <w:noWrap/>
            <w:vAlign w:val="center"/>
            <w:hideMark/>
          </w:tcPr>
          <w:p w14:paraId="5D9B203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8.4</w:t>
            </w:r>
          </w:p>
        </w:tc>
        <w:tc>
          <w:tcPr>
            <w:tcW w:w="1033" w:type="dxa"/>
            <w:noWrap/>
            <w:vAlign w:val="center"/>
            <w:hideMark/>
          </w:tcPr>
          <w:p w14:paraId="232F22D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w:t>
            </w:r>
          </w:p>
        </w:tc>
        <w:tc>
          <w:tcPr>
            <w:tcW w:w="449" w:type="dxa"/>
            <w:noWrap/>
            <w:vAlign w:val="center"/>
            <w:hideMark/>
          </w:tcPr>
          <w:p w14:paraId="6259460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6.0</w:t>
            </w:r>
          </w:p>
        </w:tc>
        <w:tc>
          <w:tcPr>
            <w:tcW w:w="1030" w:type="dxa"/>
            <w:noWrap/>
            <w:vAlign w:val="center"/>
            <w:hideMark/>
          </w:tcPr>
          <w:p w14:paraId="15E19C1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16.8</w:t>
            </w:r>
          </w:p>
        </w:tc>
        <w:tc>
          <w:tcPr>
            <w:tcW w:w="918" w:type="dxa"/>
            <w:noWrap/>
            <w:vAlign w:val="center"/>
            <w:hideMark/>
          </w:tcPr>
          <w:p w14:paraId="0B2F0F9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8.9</w:t>
            </w:r>
          </w:p>
        </w:tc>
        <w:tc>
          <w:tcPr>
            <w:tcW w:w="449" w:type="dxa"/>
            <w:noWrap/>
            <w:vAlign w:val="center"/>
            <w:hideMark/>
          </w:tcPr>
          <w:p w14:paraId="2776659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536" w:type="dxa"/>
            <w:noWrap/>
            <w:vAlign w:val="center"/>
            <w:hideMark/>
          </w:tcPr>
          <w:p w14:paraId="0423C86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16.3</w:t>
            </w:r>
          </w:p>
        </w:tc>
        <w:tc>
          <w:tcPr>
            <w:tcW w:w="670" w:type="dxa"/>
            <w:noWrap/>
            <w:vAlign w:val="center"/>
            <w:hideMark/>
          </w:tcPr>
          <w:p w14:paraId="6BCC68B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w:t>
            </w:r>
          </w:p>
        </w:tc>
        <w:tc>
          <w:tcPr>
            <w:tcW w:w="985" w:type="dxa"/>
            <w:noWrap/>
            <w:vAlign w:val="center"/>
            <w:hideMark/>
          </w:tcPr>
          <w:p w14:paraId="1BD9348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w:t>
            </w:r>
          </w:p>
        </w:tc>
        <w:tc>
          <w:tcPr>
            <w:tcW w:w="993" w:type="dxa"/>
            <w:noWrap/>
            <w:vAlign w:val="center"/>
            <w:hideMark/>
          </w:tcPr>
          <w:p w14:paraId="76C0096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17.1</w:t>
            </w:r>
          </w:p>
        </w:tc>
        <w:tc>
          <w:tcPr>
            <w:tcW w:w="850" w:type="dxa"/>
            <w:noWrap/>
            <w:vAlign w:val="center"/>
            <w:hideMark/>
          </w:tcPr>
          <w:p w14:paraId="4035E51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0.5</w:t>
            </w:r>
          </w:p>
        </w:tc>
        <w:tc>
          <w:tcPr>
            <w:tcW w:w="851" w:type="dxa"/>
            <w:noWrap/>
            <w:vAlign w:val="center"/>
            <w:hideMark/>
          </w:tcPr>
          <w:p w14:paraId="6EA2D5E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6.5</w:t>
            </w:r>
          </w:p>
        </w:tc>
      </w:tr>
      <w:tr w:rsidR="002B3A3C" w:rsidRPr="00CD304F" w14:paraId="3A576D78"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11CE81D4"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w:t>
            </w:r>
          </w:p>
        </w:tc>
      </w:tr>
      <w:tr w:rsidR="002B3A3C" w:rsidRPr="00CD304F" w14:paraId="12344350"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70F6B10"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SM 0.6mil</w:t>
            </w:r>
          </w:p>
        </w:tc>
        <w:tc>
          <w:tcPr>
            <w:tcW w:w="1304" w:type="dxa"/>
            <w:noWrap/>
            <w:vAlign w:val="center"/>
            <w:hideMark/>
          </w:tcPr>
          <w:p w14:paraId="358B0FD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7.9</w:t>
            </w:r>
          </w:p>
        </w:tc>
        <w:tc>
          <w:tcPr>
            <w:tcW w:w="1033" w:type="dxa"/>
            <w:noWrap/>
            <w:vAlign w:val="center"/>
            <w:hideMark/>
          </w:tcPr>
          <w:p w14:paraId="32EA97F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10.4</w:t>
            </w:r>
          </w:p>
        </w:tc>
        <w:tc>
          <w:tcPr>
            <w:tcW w:w="449" w:type="dxa"/>
            <w:noWrap/>
            <w:vAlign w:val="center"/>
            <w:hideMark/>
          </w:tcPr>
          <w:p w14:paraId="6CD402A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4.2</w:t>
            </w:r>
          </w:p>
        </w:tc>
        <w:tc>
          <w:tcPr>
            <w:tcW w:w="1030" w:type="dxa"/>
            <w:noWrap/>
            <w:vAlign w:val="center"/>
            <w:hideMark/>
          </w:tcPr>
          <w:p w14:paraId="1C7644B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24.2</w:t>
            </w:r>
          </w:p>
        </w:tc>
        <w:tc>
          <w:tcPr>
            <w:tcW w:w="918" w:type="dxa"/>
            <w:noWrap/>
            <w:vAlign w:val="center"/>
            <w:hideMark/>
          </w:tcPr>
          <w:p w14:paraId="0036F32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19.5</w:t>
            </w:r>
          </w:p>
        </w:tc>
        <w:tc>
          <w:tcPr>
            <w:tcW w:w="449" w:type="dxa"/>
            <w:noWrap/>
            <w:vAlign w:val="center"/>
            <w:hideMark/>
          </w:tcPr>
          <w:p w14:paraId="5719F9E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2.1</w:t>
            </w:r>
          </w:p>
        </w:tc>
        <w:tc>
          <w:tcPr>
            <w:tcW w:w="536" w:type="dxa"/>
            <w:noWrap/>
            <w:vAlign w:val="center"/>
            <w:hideMark/>
          </w:tcPr>
          <w:p w14:paraId="1A93EBC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4.6</w:t>
            </w:r>
          </w:p>
        </w:tc>
        <w:tc>
          <w:tcPr>
            <w:tcW w:w="670" w:type="dxa"/>
            <w:noWrap/>
            <w:vAlign w:val="center"/>
            <w:hideMark/>
          </w:tcPr>
          <w:p w14:paraId="37C82A2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0.3</w:t>
            </w:r>
          </w:p>
        </w:tc>
        <w:tc>
          <w:tcPr>
            <w:tcW w:w="985" w:type="dxa"/>
            <w:noWrap/>
            <w:vAlign w:val="center"/>
            <w:hideMark/>
          </w:tcPr>
          <w:p w14:paraId="1504CD6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993" w:type="dxa"/>
            <w:noWrap/>
            <w:vAlign w:val="center"/>
            <w:hideMark/>
          </w:tcPr>
          <w:p w14:paraId="74483EE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9.6</w:t>
            </w:r>
          </w:p>
        </w:tc>
        <w:tc>
          <w:tcPr>
            <w:tcW w:w="850" w:type="dxa"/>
            <w:noWrap/>
            <w:vAlign w:val="center"/>
            <w:hideMark/>
          </w:tcPr>
          <w:p w14:paraId="12A2325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0.0</w:t>
            </w:r>
          </w:p>
        </w:tc>
        <w:tc>
          <w:tcPr>
            <w:tcW w:w="851" w:type="dxa"/>
            <w:noWrap/>
            <w:vAlign w:val="center"/>
            <w:hideMark/>
          </w:tcPr>
          <w:p w14:paraId="7372B26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4.1</w:t>
            </w:r>
          </w:p>
        </w:tc>
      </w:tr>
      <w:tr w:rsidR="002B3A3C" w:rsidRPr="00CD304F" w14:paraId="7D486D51"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7A07189E"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Gene Coexpression</w:t>
            </w:r>
          </w:p>
        </w:tc>
      </w:tr>
      <w:tr w:rsidR="002B3A3C" w:rsidRPr="00CD304F" w14:paraId="6FA77820"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E96A972"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COXPRESdb 5.5mil</w:t>
            </w:r>
          </w:p>
        </w:tc>
        <w:tc>
          <w:tcPr>
            <w:tcW w:w="1304" w:type="dxa"/>
            <w:noWrap/>
            <w:vAlign w:val="center"/>
            <w:hideMark/>
          </w:tcPr>
          <w:p w14:paraId="54EF5F5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8.2</w:t>
            </w:r>
          </w:p>
        </w:tc>
        <w:tc>
          <w:tcPr>
            <w:tcW w:w="1033" w:type="dxa"/>
            <w:noWrap/>
            <w:vAlign w:val="center"/>
            <w:hideMark/>
          </w:tcPr>
          <w:p w14:paraId="7E29802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13.7</w:t>
            </w:r>
          </w:p>
        </w:tc>
        <w:tc>
          <w:tcPr>
            <w:tcW w:w="449" w:type="dxa"/>
            <w:noWrap/>
            <w:vAlign w:val="center"/>
            <w:hideMark/>
          </w:tcPr>
          <w:p w14:paraId="1925E8B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3.2</w:t>
            </w:r>
          </w:p>
        </w:tc>
        <w:tc>
          <w:tcPr>
            <w:tcW w:w="1030" w:type="dxa"/>
            <w:noWrap/>
            <w:vAlign w:val="center"/>
            <w:hideMark/>
          </w:tcPr>
          <w:p w14:paraId="5E5E06F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9.0</w:t>
            </w:r>
          </w:p>
        </w:tc>
        <w:tc>
          <w:tcPr>
            <w:tcW w:w="918" w:type="dxa"/>
            <w:noWrap/>
            <w:vAlign w:val="center"/>
            <w:hideMark/>
          </w:tcPr>
          <w:p w14:paraId="583DA13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15.8</w:t>
            </w:r>
          </w:p>
        </w:tc>
        <w:tc>
          <w:tcPr>
            <w:tcW w:w="449" w:type="dxa"/>
            <w:noWrap/>
            <w:vAlign w:val="center"/>
            <w:hideMark/>
          </w:tcPr>
          <w:p w14:paraId="4F5FC93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c>
          <w:tcPr>
            <w:tcW w:w="536" w:type="dxa"/>
            <w:noWrap/>
            <w:vAlign w:val="center"/>
            <w:hideMark/>
          </w:tcPr>
          <w:p w14:paraId="28B779A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w:t>
            </w:r>
          </w:p>
        </w:tc>
        <w:tc>
          <w:tcPr>
            <w:tcW w:w="670" w:type="dxa"/>
            <w:noWrap/>
            <w:vAlign w:val="center"/>
            <w:hideMark/>
          </w:tcPr>
          <w:p w14:paraId="21C2F5B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w:t>
            </w:r>
          </w:p>
        </w:tc>
        <w:tc>
          <w:tcPr>
            <w:tcW w:w="985" w:type="dxa"/>
            <w:noWrap/>
            <w:vAlign w:val="center"/>
            <w:hideMark/>
          </w:tcPr>
          <w:p w14:paraId="4F59B64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993" w:type="dxa"/>
            <w:noWrap/>
            <w:vAlign w:val="center"/>
            <w:hideMark/>
          </w:tcPr>
          <w:p w14:paraId="3FB306E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4.2</w:t>
            </w:r>
          </w:p>
        </w:tc>
        <w:tc>
          <w:tcPr>
            <w:tcW w:w="850" w:type="dxa"/>
            <w:noWrap/>
            <w:vAlign w:val="center"/>
            <w:hideMark/>
          </w:tcPr>
          <w:p w14:paraId="521DAE5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w:t>
            </w:r>
          </w:p>
        </w:tc>
        <w:tc>
          <w:tcPr>
            <w:tcW w:w="851" w:type="dxa"/>
            <w:noWrap/>
            <w:vAlign w:val="center"/>
            <w:hideMark/>
          </w:tcPr>
          <w:p w14:paraId="57B5AC7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r>
      <w:tr w:rsidR="002B3A3C" w:rsidRPr="00CD304F" w14:paraId="66234414"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06B8445C"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Gene Coexpression</w:t>
            </w:r>
          </w:p>
        </w:tc>
      </w:tr>
      <w:tr w:rsidR="002B3A3C" w:rsidRPr="00CD304F" w14:paraId="3FFFBB33"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71F7981E"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MyoMiner Cell r&gt;= 0.6 +</w:t>
            </w:r>
          </w:p>
        </w:tc>
        <w:tc>
          <w:tcPr>
            <w:tcW w:w="1304" w:type="dxa"/>
            <w:noWrap/>
            <w:vAlign w:val="center"/>
            <w:hideMark/>
          </w:tcPr>
          <w:p w14:paraId="4293A37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4.0</w:t>
            </w:r>
          </w:p>
        </w:tc>
        <w:tc>
          <w:tcPr>
            <w:tcW w:w="1033" w:type="dxa"/>
            <w:noWrap/>
            <w:vAlign w:val="center"/>
            <w:hideMark/>
          </w:tcPr>
          <w:p w14:paraId="34F3141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4.5</w:t>
            </w:r>
          </w:p>
        </w:tc>
        <w:tc>
          <w:tcPr>
            <w:tcW w:w="449" w:type="dxa"/>
            <w:noWrap/>
            <w:vAlign w:val="center"/>
            <w:hideMark/>
          </w:tcPr>
          <w:p w14:paraId="6C5602C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w:t>
            </w:r>
          </w:p>
        </w:tc>
        <w:tc>
          <w:tcPr>
            <w:tcW w:w="1030" w:type="dxa"/>
            <w:noWrap/>
            <w:vAlign w:val="center"/>
            <w:hideMark/>
          </w:tcPr>
          <w:p w14:paraId="3AB673E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3.6</w:t>
            </w:r>
          </w:p>
        </w:tc>
        <w:tc>
          <w:tcPr>
            <w:tcW w:w="918" w:type="dxa"/>
            <w:noWrap/>
            <w:vAlign w:val="center"/>
            <w:hideMark/>
          </w:tcPr>
          <w:p w14:paraId="0488268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7.1</w:t>
            </w:r>
          </w:p>
        </w:tc>
        <w:tc>
          <w:tcPr>
            <w:tcW w:w="449" w:type="dxa"/>
            <w:noWrap/>
            <w:vAlign w:val="center"/>
            <w:hideMark/>
          </w:tcPr>
          <w:p w14:paraId="763ACDD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1.1</w:t>
            </w:r>
          </w:p>
        </w:tc>
        <w:tc>
          <w:tcPr>
            <w:tcW w:w="536" w:type="dxa"/>
            <w:noWrap/>
            <w:vAlign w:val="center"/>
            <w:hideMark/>
          </w:tcPr>
          <w:p w14:paraId="48F70E1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w:t>
            </w:r>
          </w:p>
        </w:tc>
        <w:tc>
          <w:tcPr>
            <w:tcW w:w="670" w:type="dxa"/>
            <w:noWrap/>
            <w:vAlign w:val="center"/>
            <w:hideMark/>
          </w:tcPr>
          <w:p w14:paraId="48E54F1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0.6</w:t>
            </w:r>
          </w:p>
        </w:tc>
        <w:tc>
          <w:tcPr>
            <w:tcW w:w="985" w:type="dxa"/>
            <w:noWrap/>
            <w:vAlign w:val="center"/>
            <w:hideMark/>
          </w:tcPr>
          <w:p w14:paraId="201910E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8.3</w:t>
            </w:r>
          </w:p>
        </w:tc>
        <w:tc>
          <w:tcPr>
            <w:tcW w:w="993" w:type="dxa"/>
            <w:noWrap/>
            <w:vAlign w:val="center"/>
            <w:hideMark/>
          </w:tcPr>
          <w:p w14:paraId="7CAA7A6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6.0</w:t>
            </w:r>
          </w:p>
        </w:tc>
        <w:tc>
          <w:tcPr>
            <w:tcW w:w="850" w:type="dxa"/>
            <w:noWrap/>
            <w:vAlign w:val="center"/>
            <w:hideMark/>
          </w:tcPr>
          <w:p w14:paraId="3326D7B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851" w:type="dxa"/>
            <w:noWrap/>
            <w:vAlign w:val="center"/>
            <w:hideMark/>
          </w:tcPr>
          <w:p w14:paraId="742EBC6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0.2</w:t>
            </w:r>
          </w:p>
        </w:tc>
      </w:tr>
      <w:tr w:rsidR="002B3A3C" w:rsidRPr="00CD304F" w14:paraId="1035E883"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50BD7B74"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Gene Coexpression</w:t>
            </w:r>
          </w:p>
        </w:tc>
      </w:tr>
      <w:tr w:rsidR="002B3A3C" w:rsidRPr="00CD304F" w14:paraId="37726005"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7F25951F"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NF</w:t>
            </w:r>
          </w:p>
        </w:tc>
        <w:tc>
          <w:tcPr>
            <w:tcW w:w="1304" w:type="dxa"/>
            <w:noWrap/>
            <w:vAlign w:val="center"/>
            <w:hideMark/>
          </w:tcPr>
          <w:p w14:paraId="5FD6B48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14.4</w:t>
            </w:r>
          </w:p>
        </w:tc>
        <w:tc>
          <w:tcPr>
            <w:tcW w:w="1033" w:type="dxa"/>
            <w:noWrap/>
            <w:vAlign w:val="center"/>
            <w:hideMark/>
          </w:tcPr>
          <w:p w14:paraId="4AD993D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w:t>
            </w:r>
          </w:p>
        </w:tc>
        <w:tc>
          <w:tcPr>
            <w:tcW w:w="449" w:type="dxa"/>
            <w:noWrap/>
            <w:vAlign w:val="center"/>
            <w:hideMark/>
          </w:tcPr>
          <w:p w14:paraId="18085F7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3.2</w:t>
            </w:r>
          </w:p>
        </w:tc>
        <w:tc>
          <w:tcPr>
            <w:tcW w:w="1030" w:type="dxa"/>
            <w:noWrap/>
            <w:vAlign w:val="center"/>
            <w:hideMark/>
          </w:tcPr>
          <w:p w14:paraId="1442337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5.9</w:t>
            </w:r>
          </w:p>
        </w:tc>
        <w:tc>
          <w:tcPr>
            <w:tcW w:w="918" w:type="dxa"/>
            <w:noWrap/>
            <w:vAlign w:val="center"/>
            <w:hideMark/>
          </w:tcPr>
          <w:p w14:paraId="4ABD25A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w:t>
            </w:r>
          </w:p>
        </w:tc>
        <w:tc>
          <w:tcPr>
            <w:tcW w:w="449" w:type="dxa"/>
            <w:noWrap/>
            <w:vAlign w:val="center"/>
            <w:hideMark/>
          </w:tcPr>
          <w:p w14:paraId="555A9E8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w:t>
            </w:r>
          </w:p>
        </w:tc>
        <w:tc>
          <w:tcPr>
            <w:tcW w:w="536" w:type="dxa"/>
            <w:noWrap/>
            <w:vAlign w:val="center"/>
            <w:hideMark/>
          </w:tcPr>
          <w:p w14:paraId="1080B4F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27.7</w:t>
            </w:r>
          </w:p>
        </w:tc>
        <w:tc>
          <w:tcPr>
            <w:tcW w:w="670" w:type="dxa"/>
            <w:noWrap/>
            <w:vAlign w:val="center"/>
            <w:hideMark/>
          </w:tcPr>
          <w:p w14:paraId="34AABD8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985" w:type="dxa"/>
            <w:noWrap/>
            <w:vAlign w:val="center"/>
            <w:hideMark/>
          </w:tcPr>
          <w:p w14:paraId="1536739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0.6</w:t>
            </w:r>
          </w:p>
        </w:tc>
        <w:tc>
          <w:tcPr>
            <w:tcW w:w="993" w:type="dxa"/>
            <w:noWrap/>
            <w:vAlign w:val="center"/>
            <w:hideMark/>
          </w:tcPr>
          <w:p w14:paraId="64FCFF2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29.7</w:t>
            </w:r>
          </w:p>
        </w:tc>
        <w:tc>
          <w:tcPr>
            <w:tcW w:w="850" w:type="dxa"/>
            <w:noWrap/>
            <w:vAlign w:val="center"/>
            <w:hideMark/>
          </w:tcPr>
          <w:p w14:paraId="58D58E2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w:t>
            </w:r>
          </w:p>
        </w:tc>
        <w:tc>
          <w:tcPr>
            <w:tcW w:w="851" w:type="dxa"/>
            <w:noWrap/>
            <w:vAlign w:val="center"/>
            <w:hideMark/>
          </w:tcPr>
          <w:p w14:paraId="13BC3CB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6.9</w:t>
            </w:r>
          </w:p>
        </w:tc>
      </w:tr>
      <w:tr w:rsidR="002B3A3C" w:rsidRPr="00CD304F" w14:paraId="787F39BE"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39DA7F5A"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U</w:t>
            </w:r>
          </w:p>
        </w:tc>
        <w:tc>
          <w:tcPr>
            <w:tcW w:w="1304" w:type="dxa"/>
            <w:noWrap/>
            <w:vAlign w:val="center"/>
            <w:hideMark/>
          </w:tcPr>
          <w:p w14:paraId="0E5469E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4.0</w:t>
            </w:r>
          </w:p>
        </w:tc>
        <w:tc>
          <w:tcPr>
            <w:tcW w:w="1033" w:type="dxa"/>
            <w:noWrap/>
            <w:vAlign w:val="center"/>
            <w:hideMark/>
          </w:tcPr>
          <w:p w14:paraId="576E897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w:t>
            </w:r>
          </w:p>
        </w:tc>
        <w:tc>
          <w:tcPr>
            <w:tcW w:w="449" w:type="dxa"/>
            <w:noWrap/>
            <w:vAlign w:val="center"/>
            <w:hideMark/>
          </w:tcPr>
          <w:p w14:paraId="469CAB4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3.2</w:t>
            </w:r>
          </w:p>
        </w:tc>
        <w:tc>
          <w:tcPr>
            <w:tcW w:w="1030" w:type="dxa"/>
            <w:noWrap/>
            <w:vAlign w:val="center"/>
            <w:hideMark/>
          </w:tcPr>
          <w:p w14:paraId="036428E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6.2</w:t>
            </w:r>
          </w:p>
        </w:tc>
        <w:tc>
          <w:tcPr>
            <w:tcW w:w="918" w:type="dxa"/>
            <w:noWrap/>
            <w:vAlign w:val="center"/>
            <w:hideMark/>
          </w:tcPr>
          <w:p w14:paraId="3481D26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449" w:type="dxa"/>
            <w:noWrap/>
            <w:vAlign w:val="center"/>
            <w:hideMark/>
          </w:tcPr>
          <w:p w14:paraId="7372756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w:t>
            </w:r>
          </w:p>
        </w:tc>
        <w:tc>
          <w:tcPr>
            <w:tcW w:w="536" w:type="dxa"/>
            <w:noWrap/>
            <w:vAlign w:val="center"/>
            <w:hideMark/>
          </w:tcPr>
          <w:p w14:paraId="090E565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6.3</w:t>
            </w:r>
          </w:p>
        </w:tc>
        <w:tc>
          <w:tcPr>
            <w:tcW w:w="670" w:type="dxa"/>
            <w:noWrap/>
            <w:vAlign w:val="center"/>
            <w:hideMark/>
          </w:tcPr>
          <w:p w14:paraId="06133FB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985" w:type="dxa"/>
            <w:noWrap/>
            <w:vAlign w:val="center"/>
            <w:hideMark/>
          </w:tcPr>
          <w:p w14:paraId="2B802FD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w:t>
            </w:r>
          </w:p>
        </w:tc>
        <w:tc>
          <w:tcPr>
            <w:tcW w:w="993" w:type="dxa"/>
            <w:noWrap/>
            <w:vAlign w:val="center"/>
            <w:hideMark/>
          </w:tcPr>
          <w:p w14:paraId="6FB8153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8.0</w:t>
            </w:r>
          </w:p>
        </w:tc>
        <w:tc>
          <w:tcPr>
            <w:tcW w:w="850" w:type="dxa"/>
            <w:noWrap/>
            <w:vAlign w:val="center"/>
            <w:hideMark/>
          </w:tcPr>
          <w:p w14:paraId="041284C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2.1</w:t>
            </w:r>
          </w:p>
        </w:tc>
        <w:tc>
          <w:tcPr>
            <w:tcW w:w="851" w:type="dxa"/>
            <w:noWrap/>
            <w:vAlign w:val="center"/>
            <w:hideMark/>
          </w:tcPr>
          <w:p w14:paraId="557B5BD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7.1</w:t>
            </w:r>
          </w:p>
        </w:tc>
      </w:tr>
      <w:tr w:rsidR="002B3A3C" w:rsidRPr="00CD304F" w14:paraId="3090FEC4"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43D72AC7"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Muscle Gene Coexpression</w:t>
            </w:r>
          </w:p>
        </w:tc>
      </w:tr>
      <w:tr w:rsidR="002B3A3C" w:rsidRPr="00CD304F" w14:paraId="00447798"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58A8350"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NF</w:t>
            </w:r>
          </w:p>
        </w:tc>
        <w:tc>
          <w:tcPr>
            <w:tcW w:w="1304" w:type="dxa"/>
            <w:noWrap/>
            <w:vAlign w:val="center"/>
            <w:hideMark/>
          </w:tcPr>
          <w:p w14:paraId="6DDC734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12.3</w:t>
            </w:r>
          </w:p>
        </w:tc>
        <w:tc>
          <w:tcPr>
            <w:tcW w:w="1033" w:type="dxa"/>
            <w:noWrap/>
            <w:vAlign w:val="center"/>
            <w:hideMark/>
          </w:tcPr>
          <w:p w14:paraId="3D3FFF4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0.3</w:t>
            </w:r>
          </w:p>
        </w:tc>
        <w:tc>
          <w:tcPr>
            <w:tcW w:w="449" w:type="dxa"/>
            <w:noWrap/>
            <w:vAlign w:val="center"/>
            <w:hideMark/>
          </w:tcPr>
          <w:p w14:paraId="5B312A8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7.5</w:t>
            </w:r>
          </w:p>
        </w:tc>
        <w:tc>
          <w:tcPr>
            <w:tcW w:w="1030" w:type="dxa"/>
            <w:noWrap/>
            <w:vAlign w:val="center"/>
            <w:hideMark/>
          </w:tcPr>
          <w:p w14:paraId="0839277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5.8</w:t>
            </w:r>
          </w:p>
        </w:tc>
        <w:tc>
          <w:tcPr>
            <w:tcW w:w="918" w:type="dxa"/>
            <w:noWrap/>
            <w:vAlign w:val="center"/>
            <w:hideMark/>
          </w:tcPr>
          <w:p w14:paraId="13AB5FA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w:t>
            </w:r>
          </w:p>
        </w:tc>
        <w:tc>
          <w:tcPr>
            <w:tcW w:w="449" w:type="dxa"/>
            <w:noWrap/>
            <w:vAlign w:val="center"/>
            <w:hideMark/>
          </w:tcPr>
          <w:p w14:paraId="3080C98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0.8</w:t>
            </w:r>
          </w:p>
        </w:tc>
        <w:tc>
          <w:tcPr>
            <w:tcW w:w="536" w:type="dxa"/>
            <w:noWrap/>
            <w:vAlign w:val="center"/>
            <w:hideMark/>
          </w:tcPr>
          <w:p w14:paraId="57C02DA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25.3</w:t>
            </w:r>
          </w:p>
        </w:tc>
        <w:tc>
          <w:tcPr>
            <w:tcW w:w="670" w:type="dxa"/>
            <w:noWrap/>
            <w:vAlign w:val="center"/>
            <w:hideMark/>
          </w:tcPr>
          <w:p w14:paraId="02A4A2A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c>
          <w:tcPr>
            <w:tcW w:w="985" w:type="dxa"/>
            <w:noWrap/>
            <w:vAlign w:val="center"/>
            <w:hideMark/>
          </w:tcPr>
          <w:p w14:paraId="00FFEC7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c>
          <w:tcPr>
            <w:tcW w:w="993" w:type="dxa"/>
            <w:noWrap/>
            <w:vAlign w:val="center"/>
            <w:hideMark/>
          </w:tcPr>
          <w:p w14:paraId="751F028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27.4</w:t>
            </w:r>
          </w:p>
        </w:tc>
        <w:tc>
          <w:tcPr>
            <w:tcW w:w="850" w:type="dxa"/>
            <w:noWrap/>
            <w:vAlign w:val="center"/>
            <w:hideMark/>
          </w:tcPr>
          <w:p w14:paraId="41B18E9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w:t>
            </w:r>
          </w:p>
        </w:tc>
        <w:tc>
          <w:tcPr>
            <w:tcW w:w="851" w:type="dxa"/>
            <w:noWrap/>
            <w:vAlign w:val="center"/>
            <w:hideMark/>
          </w:tcPr>
          <w:p w14:paraId="53B9216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5.9</w:t>
            </w:r>
          </w:p>
        </w:tc>
      </w:tr>
      <w:tr w:rsidR="002B3A3C" w:rsidRPr="00CD304F" w14:paraId="422E20CB"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DACB4A5"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U</w:t>
            </w:r>
          </w:p>
        </w:tc>
        <w:tc>
          <w:tcPr>
            <w:tcW w:w="1304" w:type="dxa"/>
            <w:noWrap/>
            <w:vAlign w:val="center"/>
            <w:hideMark/>
          </w:tcPr>
          <w:p w14:paraId="459B012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5.6</w:t>
            </w:r>
          </w:p>
        </w:tc>
        <w:tc>
          <w:tcPr>
            <w:tcW w:w="1033" w:type="dxa"/>
            <w:noWrap/>
            <w:vAlign w:val="center"/>
            <w:hideMark/>
          </w:tcPr>
          <w:p w14:paraId="6687E38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5.1</w:t>
            </w:r>
          </w:p>
        </w:tc>
        <w:tc>
          <w:tcPr>
            <w:tcW w:w="449" w:type="dxa"/>
            <w:noWrap/>
            <w:vAlign w:val="center"/>
            <w:hideMark/>
          </w:tcPr>
          <w:p w14:paraId="06315C6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4.9</w:t>
            </w:r>
          </w:p>
        </w:tc>
        <w:tc>
          <w:tcPr>
            <w:tcW w:w="1030" w:type="dxa"/>
            <w:noWrap/>
            <w:vAlign w:val="center"/>
            <w:hideMark/>
          </w:tcPr>
          <w:p w14:paraId="2EB2E6D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14.0</w:t>
            </w:r>
          </w:p>
        </w:tc>
        <w:tc>
          <w:tcPr>
            <w:tcW w:w="918" w:type="dxa"/>
            <w:noWrap/>
            <w:vAlign w:val="center"/>
            <w:hideMark/>
          </w:tcPr>
          <w:p w14:paraId="204F610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14.1</w:t>
            </w:r>
          </w:p>
        </w:tc>
        <w:tc>
          <w:tcPr>
            <w:tcW w:w="449" w:type="dxa"/>
            <w:noWrap/>
            <w:vAlign w:val="center"/>
            <w:hideMark/>
          </w:tcPr>
          <w:p w14:paraId="204A6B5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w:t>
            </w:r>
          </w:p>
        </w:tc>
        <w:tc>
          <w:tcPr>
            <w:tcW w:w="536" w:type="dxa"/>
            <w:noWrap/>
            <w:vAlign w:val="center"/>
            <w:hideMark/>
          </w:tcPr>
          <w:p w14:paraId="6203BC1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6.9</w:t>
            </w:r>
          </w:p>
        </w:tc>
        <w:tc>
          <w:tcPr>
            <w:tcW w:w="670" w:type="dxa"/>
            <w:noWrap/>
            <w:vAlign w:val="center"/>
            <w:hideMark/>
          </w:tcPr>
          <w:p w14:paraId="4454C5D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w:t>
            </w:r>
          </w:p>
        </w:tc>
        <w:tc>
          <w:tcPr>
            <w:tcW w:w="985" w:type="dxa"/>
            <w:noWrap/>
            <w:vAlign w:val="center"/>
            <w:hideMark/>
          </w:tcPr>
          <w:p w14:paraId="03373F2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4.3</w:t>
            </w:r>
          </w:p>
        </w:tc>
        <w:tc>
          <w:tcPr>
            <w:tcW w:w="993" w:type="dxa"/>
            <w:noWrap/>
            <w:vAlign w:val="center"/>
            <w:hideMark/>
          </w:tcPr>
          <w:p w14:paraId="797F41F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8.2</w:t>
            </w:r>
          </w:p>
        </w:tc>
        <w:tc>
          <w:tcPr>
            <w:tcW w:w="850" w:type="dxa"/>
            <w:noWrap/>
            <w:vAlign w:val="center"/>
            <w:hideMark/>
          </w:tcPr>
          <w:p w14:paraId="221194E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3.5</w:t>
            </w:r>
          </w:p>
        </w:tc>
        <w:tc>
          <w:tcPr>
            <w:tcW w:w="851" w:type="dxa"/>
            <w:noWrap/>
            <w:vAlign w:val="center"/>
            <w:hideMark/>
          </w:tcPr>
          <w:p w14:paraId="178AC82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9.8</w:t>
            </w:r>
          </w:p>
        </w:tc>
      </w:tr>
      <w:tr w:rsidR="002B3A3C" w:rsidRPr="00CD304F" w14:paraId="48191260"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7EACD94B"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Gene Coexpression</w:t>
            </w:r>
          </w:p>
        </w:tc>
      </w:tr>
      <w:tr w:rsidR="002B3A3C" w:rsidRPr="00CD304F" w14:paraId="7209A2F7"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04E2B7BB"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NF</w:t>
            </w:r>
          </w:p>
        </w:tc>
        <w:tc>
          <w:tcPr>
            <w:tcW w:w="1304" w:type="dxa"/>
            <w:noWrap/>
            <w:vAlign w:val="center"/>
            <w:hideMark/>
          </w:tcPr>
          <w:p w14:paraId="08AF460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7.9</w:t>
            </w:r>
          </w:p>
        </w:tc>
        <w:tc>
          <w:tcPr>
            <w:tcW w:w="1033" w:type="dxa"/>
            <w:noWrap/>
            <w:vAlign w:val="center"/>
            <w:hideMark/>
          </w:tcPr>
          <w:p w14:paraId="471DF36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10.9</w:t>
            </w:r>
          </w:p>
        </w:tc>
        <w:tc>
          <w:tcPr>
            <w:tcW w:w="449" w:type="dxa"/>
            <w:noWrap/>
            <w:vAlign w:val="center"/>
            <w:hideMark/>
          </w:tcPr>
          <w:p w14:paraId="63106C9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w:t>
            </w:r>
          </w:p>
        </w:tc>
        <w:tc>
          <w:tcPr>
            <w:tcW w:w="1030" w:type="dxa"/>
            <w:noWrap/>
            <w:vAlign w:val="center"/>
            <w:hideMark/>
          </w:tcPr>
          <w:p w14:paraId="0823E94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24.8</w:t>
            </w:r>
          </w:p>
        </w:tc>
        <w:tc>
          <w:tcPr>
            <w:tcW w:w="918" w:type="dxa"/>
            <w:noWrap/>
            <w:vAlign w:val="center"/>
            <w:hideMark/>
          </w:tcPr>
          <w:p w14:paraId="64BA0B2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20.1</w:t>
            </w:r>
          </w:p>
        </w:tc>
        <w:tc>
          <w:tcPr>
            <w:tcW w:w="449" w:type="dxa"/>
            <w:noWrap/>
            <w:vAlign w:val="center"/>
            <w:hideMark/>
          </w:tcPr>
          <w:p w14:paraId="504A013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2.3</w:t>
            </w:r>
          </w:p>
        </w:tc>
        <w:tc>
          <w:tcPr>
            <w:tcW w:w="536" w:type="dxa"/>
            <w:noWrap/>
            <w:vAlign w:val="center"/>
            <w:hideMark/>
          </w:tcPr>
          <w:p w14:paraId="421DDAC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4.7</w:t>
            </w:r>
          </w:p>
        </w:tc>
        <w:tc>
          <w:tcPr>
            <w:tcW w:w="670" w:type="dxa"/>
            <w:noWrap/>
            <w:vAlign w:val="center"/>
            <w:hideMark/>
          </w:tcPr>
          <w:p w14:paraId="0E5F9DF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0.5</w:t>
            </w:r>
          </w:p>
        </w:tc>
        <w:tc>
          <w:tcPr>
            <w:tcW w:w="985" w:type="dxa"/>
            <w:noWrap/>
            <w:vAlign w:val="center"/>
            <w:hideMark/>
          </w:tcPr>
          <w:p w14:paraId="053B44F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993" w:type="dxa"/>
            <w:noWrap/>
            <w:vAlign w:val="center"/>
            <w:hideMark/>
          </w:tcPr>
          <w:p w14:paraId="4DD0F7A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8.9</w:t>
            </w:r>
          </w:p>
        </w:tc>
        <w:tc>
          <w:tcPr>
            <w:tcW w:w="850" w:type="dxa"/>
            <w:noWrap/>
            <w:vAlign w:val="center"/>
            <w:hideMark/>
          </w:tcPr>
          <w:p w14:paraId="64BA295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0.0</w:t>
            </w:r>
          </w:p>
        </w:tc>
        <w:tc>
          <w:tcPr>
            <w:tcW w:w="851" w:type="dxa"/>
            <w:noWrap/>
            <w:vAlign w:val="center"/>
            <w:hideMark/>
          </w:tcPr>
          <w:p w14:paraId="54D1071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3.1</w:t>
            </w:r>
          </w:p>
        </w:tc>
      </w:tr>
      <w:tr w:rsidR="002B3A3C" w:rsidRPr="00CD304F" w14:paraId="4EFD7DC0"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noWrap/>
            <w:hideMark/>
          </w:tcPr>
          <w:p w14:paraId="76BDE4F9"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U</w:t>
            </w:r>
          </w:p>
        </w:tc>
        <w:tc>
          <w:tcPr>
            <w:tcW w:w="1304" w:type="dxa"/>
            <w:noWrap/>
            <w:vAlign w:val="center"/>
            <w:hideMark/>
          </w:tcPr>
          <w:p w14:paraId="6E061F6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4.9</w:t>
            </w:r>
          </w:p>
        </w:tc>
        <w:tc>
          <w:tcPr>
            <w:tcW w:w="1033" w:type="dxa"/>
            <w:noWrap/>
            <w:vAlign w:val="center"/>
            <w:hideMark/>
          </w:tcPr>
          <w:p w14:paraId="7BF0023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7.9</w:t>
            </w:r>
          </w:p>
        </w:tc>
        <w:tc>
          <w:tcPr>
            <w:tcW w:w="449" w:type="dxa"/>
            <w:noWrap/>
            <w:vAlign w:val="center"/>
            <w:hideMark/>
          </w:tcPr>
          <w:p w14:paraId="4191062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1030" w:type="dxa"/>
            <w:noWrap/>
            <w:vAlign w:val="center"/>
            <w:hideMark/>
          </w:tcPr>
          <w:p w14:paraId="73A6568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11.5</w:t>
            </w:r>
          </w:p>
        </w:tc>
        <w:tc>
          <w:tcPr>
            <w:tcW w:w="918" w:type="dxa"/>
            <w:noWrap/>
            <w:vAlign w:val="center"/>
            <w:hideMark/>
          </w:tcPr>
          <w:p w14:paraId="4F52F1C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16.5</w:t>
            </w:r>
          </w:p>
        </w:tc>
        <w:tc>
          <w:tcPr>
            <w:tcW w:w="449" w:type="dxa"/>
            <w:noWrap/>
            <w:vAlign w:val="center"/>
            <w:hideMark/>
          </w:tcPr>
          <w:p w14:paraId="3C13477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w:t>
            </w:r>
          </w:p>
        </w:tc>
        <w:tc>
          <w:tcPr>
            <w:tcW w:w="536" w:type="dxa"/>
            <w:noWrap/>
            <w:vAlign w:val="center"/>
            <w:hideMark/>
          </w:tcPr>
          <w:p w14:paraId="4AA9CC6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w:t>
            </w:r>
          </w:p>
        </w:tc>
        <w:tc>
          <w:tcPr>
            <w:tcW w:w="670" w:type="dxa"/>
            <w:noWrap/>
            <w:vAlign w:val="center"/>
            <w:hideMark/>
          </w:tcPr>
          <w:p w14:paraId="6F13E81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w:t>
            </w:r>
          </w:p>
        </w:tc>
        <w:tc>
          <w:tcPr>
            <w:tcW w:w="985" w:type="dxa"/>
            <w:noWrap/>
            <w:vAlign w:val="center"/>
            <w:hideMark/>
          </w:tcPr>
          <w:p w14:paraId="69BB44D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0.6</w:t>
            </w:r>
          </w:p>
        </w:tc>
        <w:tc>
          <w:tcPr>
            <w:tcW w:w="993" w:type="dxa"/>
            <w:noWrap/>
            <w:vAlign w:val="center"/>
            <w:hideMark/>
          </w:tcPr>
          <w:p w14:paraId="504CFCC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7.1</w:t>
            </w:r>
          </w:p>
        </w:tc>
        <w:tc>
          <w:tcPr>
            <w:tcW w:w="850" w:type="dxa"/>
            <w:noWrap/>
            <w:vAlign w:val="center"/>
            <w:hideMark/>
          </w:tcPr>
          <w:p w14:paraId="348AC7E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0.8</w:t>
            </w:r>
          </w:p>
        </w:tc>
        <w:tc>
          <w:tcPr>
            <w:tcW w:w="851" w:type="dxa"/>
            <w:noWrap/>
            <w:vAlign w:val="center"/>
            <w:hideMark/>
          </w:tcPr>
          <w:p w14:paraId="4B2469D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0.9</w:t>
            </w:r>
          </w:p>
        </w:tc>
      </w:tr>
      <w:tr w:rsidR="002B3A3C" w:rsidRPr="00CD304F" w14:paraId="16B03D90"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900" w:type="dxa"/>
            <w:gridSpan w:val="13"/>
            <w:tcBorders>
              <w:top w:val="nil"/>
              <w:left w:val="nil"/>
              <w:bottom w:val="nil"/>
              <w:right w:val="nil"/>
            </w:tcBorders>
            <w:noWrap/>
            <w:vAlign w:val="center"/>
            <w:hideMark/>
          </w:tcPr>
          <w:p w14:paraId="6DCE195F"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Muscle Gene Coexpression</w:t>
            </w:r>
          </w:p>
        </w:tc>
      </w:tr>
      <w:tr w:rsidR="002B3A3C" w:rsidRPr="00CD304F" w14:paraId="6BEBD5E7"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832" w:type="dxa"/>
            <w:tcBorders>
              <w:bottom w:val="single" w:sz="12" w:space="0" w:color="auto"/>
            </w:tcBorders>
            <w:noWrap/>
            <w:hideMark/>
          </w:tcPr>
          <w:p w14:paraId="02366E18"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MyoMiner Cell U</w:t>
            </w:r>
          </w:p>
        </w:tc>
        <w:tc>
          <w:tcPr>
            <w:tcW w:w="1304" w:type="dxa"/>
            <w:tcBorders>
              <w:bottom w:val="single" w:sz="12" w:space="0" w:color="auto"/>
            </w:tcBorders>
            <w:noWrap/>
            <w:vAlign w:val="center"/>
            <w:hideMark/>
          </w:tcPr>
          <w:p w14:paraId="7D2A4BB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2.9</w:t>
            </w:r>
          </w:p>
        </w:tc>
        <w:tc>
          <w:tcPr>
            <w:tcW w:w="1033" w:type="dxa"/>
            <w:tcBorders>
              <w:bottom w:val="single" w:sz="12" w:space="0" w:color="auto"/>
            </w:tcBorders>
            <w:noWrap/>
            <w:vAlign w:val="center"/>
            <w:hideMark/>
          </w:tcPr>
          <w:p w14:paraId="5AA7596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3.4</w:t>
            </w:r>
          </w:p>
        </w:tc>
        <w:tc>
          <w:tcPr>
            <w:tcW w:w="449" w:type="dxa"/>
            <w:tcBorders>
              <w:bottom w:val="single" w:sz="12" w:space="0" w:color="auto"/>
            </w:tcBorders>
            <w:noWrap/>
            <w:vAlign w:val="center"/>
            <w:hideMark/>
          </w:tcPr>
          <w:p w14:paraId="611E0F3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w:t>
            </w:r>
          </w:p>
        </w:tc>
        <w:tc>
          <w:tcPr>
            <w:tcW w:w="1030" w:type="dxa"/>
            <w:tcBorders>
              <w:bottom w:val="single" w:sz="12" w:space="0" w:color="auto"/>
            </w:tcBorders>
            <w:noWrap/>
            <w:vAlign w:val="center"/>
            <w:hideMark/>
          </w:tcPr>
          <w:p w14:paraId="593BD8A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7.2</w:t>
            </w:r>
          </w:p>
        </w:tc>
        <w:tc>
          <w:tcPr>
            <w:tcW w:w="918" w:type="dxa"/>
            <w:tcBorders>
              <w:bottom w:val="single" w:sz="12" w:space="0" w:color="auto"/>
            </w:tcBorders>
            <w:noWrap/>
            <w:vAlign w:val="center"/>
            <w:hideMark/>
          </w:tcPr>
          <w:p w14:paraId="67F24BD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8.9</w:t>
            </w:r>
          </w:p>
        </w:tc>
        <w:tc>
          <w:tcPr>
            <w:tcW w:w="449" w:type="dxa"/>
            <w:tcBorders>
              <w:bottom w:val="single" w:sz="12" w:space="0" w:color="auto"/>
            </w:tcBorders>
            <w:noWrap/>
            <w:vAlign w:val="center"/>
            <w:hideMark/>
          </w:tcPr>
          <w:p w14:paraId="555354A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0.8</w:t>
            </w:r>
          </w:p>
        </w:tc>
        <w:tc>
          <w:tcPr>
            <w:tcW w:w="536" w:type="dxa"/>
            <w:tcBorders>
              <w:bottom w:val="single" w:sz="12" w:space="0" w:color="auto"/>
            </w:tcBorders>
            <w:noWrap/>
            <w:vAlign w:val="center"/>
            <w:hideMark/>
          </w:tcPr>
          <w:p w14:paraId="78E3B90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w:t>
            </w:r>
          </w:p>
        </w:tc>
        <w:tc>
          <w:tcPr>
            <w:tcW w:w="670" w:type="dxa"/>
            <w:tcBorders>
              <w:bottom w:val="single" w:sz="12" w:space="0" w:color="auto"/>
            </w:tcBorders>
            <w:noWrap/>
            <w:vAlign w:val="center"/>
            <w:hideMark/>
          </w:tcPr>
          <w:p w14:paraId="533E0F0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w:t>
            </w:r>
          </w:p>
        </w:tc>
        <w:tc>
          <w:tcPr>
            <w:tcW w:w="985" w:type="dxa"/>
            <w:tcBorders>
              <w:bottom w:val="single" w:sz="12" w:space="0" w:color="auto"/>
            </w:tcBorders>
            <w:noWrap/>
            <w:vAlign w:val="center"/>
            <w:hideMark/>
          </w:tcPr>
          <w:p w14:paraId="0ED305C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6.5</w:t>
            </w:r>
          </w:p>
        </w:tc>
        <w:tc>
          <w:tcPr>
            <w:tcW w:w="993" w:type="dxa"/>
            <w:tcBorders>
              <w:bottom w:val="single" w:sz="12" w:space="0" w:color="auto"/>
            </w:tcBorders>
            <w:noWrap/>
            <w:vAlign w:val="center"/>
            <w:hideMark/>
          </w:tcPr>
          <w:p w14:paraId="5090E69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5.2</w:t>
            </w:r>
          </w:p>
        </w:tc>
        <w:tc>
          <w:tcPr>
            <w:tcW w:w="850" w:type="dxa"/>
            <w:tcBorders>
              <w:bottom w:val="single" w:sz="12" w:space="0" w:color="auto"/>
            </w:tcBorders>
            <w:noWrap/>
            <w:vAlign w:val="center"/>
            <w:hideMark/>
          </w:tcPr>
          <w:p w14:paraId="61EB76D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0.0</w:t>
            </w:r>
          </w:p>
        </w:tc>
        <w:tc>
          <w:tcPr>
            <w:tcW w:w="851" w:type="dxa"/>
            <w:tcBorders>
              <w:bottom w:val="single" w:sz="12" w:space="0" w:color="auto"/>
            </w:tcBorders>
            <w:noWrap/>
            <w:vAlign w:val="center"/>
            <w:hideMark/>
          </w:tcPr>
          <w:p w14:paraId="213AE83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2.8</w:t>
            </w:r>
          </w:p>
        </w:tc>
      </w:tr>
    </w:tbl>
    <w:p w14:paraId="517A0125" w14:textId="77777777" w:rsidR="002B3A3C" w:rsidRDefault="002B3A3C" w:rsidP="002B3A3C">
      <w:pPr>
        <w:spacing w:line="240" w:lineRule="auto"/>
        <w:jc w:val="both"/>
        <w:rPr>
          <w:b/>
          <w:sz w:val="18"/>
          <w:szCs w:val="18"/>
        </w:rPr>
      </w:pPr>
    </w:p>
    <w:p w14:paraId="508AB697" w14:textId="77777777" w:rsidR="002B3A3C" w:rsidRPr="00735765" w:rsidRDefault="002B3A3C" w:rsidP="002B3A3C">
      <w:pPr>
        <w:spacing w:line="240" w:lineRule="auto"/>
        <w:jc w:val="both"/>
        <w:rPr>
          <w:b/>
          <w:sz w:val="18"/>
          <w:szCs w:val="18"/>
        </w:rPr>
      </w:pPr>
      <w:r w:rsidRPr="00735765">
        <w:rPr>
          <w:b/>
          <w:sz w:val="18"/>
          <w:szCs w:val="18"/>
        </w:rPr>
        <w:t xml:space="preserve">Table 3. DSD enrichment Q-value (-log10) of combined networks. </w:t>
      </w:r>
      <w:r>
        <w:rPr>
          <w:b/>
          <w:sz w:val="18"/>
          <w:szCs w:val="18"/>
        </w:rPr>
        <w:t>The m</w:t>
      </w:r>
      <w:r w:rsidRPr="00735765">
        <w:rPr>
          <w:b/>
          <w:sz w:val="18"/>
          <w:szCs w:val="18"/>
        </w:rPr>
        <w:t>edian enrichment value across all selected muscle GO terms is given, then the enrichment value for each individual GO term.</w:t>
      </w:r>
    </w:p>
    <w:p w14:paraId="748BAA00" w14:textId="77777777" w:rsidR="002B3A3C" w:rsidRDefault="002B3A3C" w:rsidP="002B3A3C">
      <w:pPr>
        <w:jc w:val="both"/>
        <w:rPr>
          <w:b/>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554"/>
        <w:gridCol w:w="992"/>
        <w:gridCol w:w="709"/>
        <w:gridCol w:w="851"/>
        <w:gridCol w:w="850"/>
        <w:gridCol w:w="567"/>
        <w:gridCol w:w="567"/>
        <w:gridCol w:w="709"/>
        <w:gridCol w:w="850"/>
        <w:gridCol w:w="993"/>
        <w:gridCol w:w="708"/>
        <w:gridCol w:w="993"/>
      </w:tblGrid>
      <w:tr w:rsidR="002B3A3C" w:rsidRPr="00CD304F" w14:paraId="5C13ADE4" w14:textId="77777777" w:rsidTr="00924A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2" w:space="0" w:color="auto"/>
              <w:bottom w:val="none" w:sz="0" w:space="0" w:color="auto"/>
            </w:tcBorders>
            <w:noWrap/>
            <w:vAlign w:val="center"/>
            <w:hideMark/>
          </w:tcPr>
          <w:p w14:paraId="2D05B877" w14:textId="77777777" w:rsidR="002B3A3C" w:rsidRPr="00CD304F" w:rsidRDefault="002B3A3C" w:rsidP="00924A5A">
            <w:pPr>
              <w:jc w:val="center"/>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Network Variant</w:t>
            </w:r>
          </w:p>
        </w:tc>
        <w:tc>
          <w:tcPr>
            <w:tcW w:w="1554" w:type="dxa"/>
            <w:vMerge w:val="restart"/>
            <w:tcBorders>
              <w:top w:val="single" w:sz="12" w:space="0" w:color="auto"/>
              <w:bottom w:val="none" w:sz="0" w:space="0" w:color="auto"/>
            </w:tcBorders>
            <w:noWrap/>
            <w:vAlign w:val="center"/>
            <w:hideMark/>
          </w:tcPr>
          <w:p w14:paraId="4F826773"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CD304F">
              <w:rPr>
                <w:rFonts w:ascii="Calibri" w:eastAsia="Times New Roman" w:hAnsi="Calibri" w:cs="Calibri"/>
                <w:color w:val="000000"/>
                <w:sz w:val="18"/>
                <w:szCs w:val="18"/>
                <w:lang w:eastAsia="en-GB"/>
              </w:rPr>
              <w:t xml:space="preserve">Median </w:t>
            </w:r>
            <w:r>
              <w:rPr>
                <w:rFonts w:ascii="Calibri" w:eastAsia="Times New Roman" w:hAnsi="Calibri" w:cs="Calibri"/>
                <w:color w:val="000000"/>
                <w:sz w:val="18"/>
                <w:szCs w:val="18"/>
                <w:lang w:eastAsia="en-GB"/>
              </w:rPr>
              <w:t>DIAMOnD recall percentage across all muscle GO terms</w:t>
            </w:r>
          </w:p>
        </w:tc>
        <w:tc>
          <w:tcPr>
            <w:tcW w:w="2552" w:type="dxa"/>
            <w:gridSpan w:val="3"/>
            <w:tcBorders>
              <w:top w:val="single" w:sz="12" w:space="0" w:color="auto"/>
              <w:bottom w:val="none" w:sz="0" w:space="0" w:color="auto"/>
            </w:tcBorders>
            <w:noWrap/>
            <w:vAlign w:val="center"/>
            <w:hideMark/>
          </w:tcPr>
          <w:p w14:paraId="58C785C9"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Contraction</w:t>
            </w:r>
          </w:p>
        </w:tc>
        <w:tc>
          <w:tcPr>
            <w:tcW w:w="1984" w:type="dxa"/>
            <w:gridSpan w:val="3"/>
            <w:tcBorders>
              <w:top w:val="single" w:sz="12" w:space="0" w:color="auto"/>
              <w:bottom w:val="none" w:sz="0" w:space="0" w:color="auto"/>
            </w:tcBorders>
            <w:noWrap/>
            <w:vAlign w:val="center"/>
            <w:hideMark/>
          </w:tcPr>
          <w:p w14:paraId="79645625"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Membrane</w:t>
            </w:r>
          </w:p>
        </w:tc>
        <w:tc>
          <w:tcPr>
            <w:tcW w:w="2552" w:type="dxa"/>
            <w:gridSpan w:val="3"/>
            <w:tcBorders>
              <w:top w:val="single" w:sz="12" w:space="0" w:color="auto"/>
              <w:bottom w:val="none" w:sz="0" w:space="0" w:color="auto"/>
            </w:tcBorders>
            <w:noWrap/>
            <w:vAlign w:val="center"/>
            <w:hideMark/>
          </w:tcPr>
          <w:p w14:paraId="1949B963"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Regeneration</w:t>
            </w:r>
          </w:p>
        </w:tc>
        <w:tc>
          <w:tcPr>
            <w:tcW w:w="1701" w:type="dxa"/>
            <w:gridSpan w:val="2"/>
            <w:tcBorders>
              <w:top w:val="single" w:sz="12" w:space="0" w:color="auto"/>
              <w:bottom w:val="none" w:sz="0" w:space="0" w:color="auto"/>
            </w:tcBorders>
            <w:noWrap/>
            <w:vAlign w:val="center"/>
            <w:hideMark/>
          </w:tcPr>
          <w:p w14:paraId="3C59CCD4" w14:textId="77777777" w:rsidR="002B3A3C" w:rsidRPr="00CD304F" w:rsidRDefault="002B3A3C" w:rsidP="00924A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Other</w:t>
            </w:r>
          </w:p>
        </w:tc>
      </w:tr>
      <w:tr w:rsidR="002B3A3C" w:rsidRPr="00CD304F" w14:paraId="604954EE" w14:textId="77777777" w:rsidTr="00924A5A">
        <w:trPr>
          <w:cantSplit/>
          <w:trHeight w:val="1377"/>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tcBorders>
            <w:noWrap/>
            <w:vAlign w:val="center"/>
            <w:hideMark/>
          </w:tcPr>
          <w:p w14:paraId="7A02EB9A" w14:textId="77777777" w:rsidR="002B3A3C" w:rsidRPr="00CD304F" w:rsidRDefault="002B3A3C" w:rsidP="00924A5A">
            <w:pPr>
              <w:jc w:val="center"/>
              <w:rPr>
                <w:rFonts w:ascii="Calibri" w:eastAsia="Times New Roman" w:hAnsi="Calibri" w:cs="Calibri"/>
                <w:color w:val="000000"/>
                <w:sz w:val="18"/>
                <w:szCs w:val="18"/>
                <w:lang w:eastAsia="en-GB"/>
              </w:rPr>
            </w:pPr>
          </w:p>
        </w:tc>
        <w:tc>
          <w:tcPr>
            <w:tcW w:w="1554" w:type="dxa"/>
            <w:vMerge/>
            <w:tcBorders>
              <w:bottom w:val="single" w:sz="4" w:space="0" w:color="auto"/>
            </w:tcBorders>
            <w:noWrap/>
            <w:vAlign w:val="center"/>
            <w:hideMark/>
          </w:tcPr>
          <w:p w14:paraId="5D1562B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992" w:type="dxa"/>
            <w:tcBorders>
              <w:bottom w:val="single" w:sz="4" w:space="0" w:color="auto"/>
            </w:tcBorders>
            <w:noWrap/>
            <w:textDirection w:val="btLr"/>
            <w:vAlign w:val="center"/>
            <w:hideMark/>
          </w:tcPr>
          <w:p w14:paraId="1879C6CD"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Fiber Development</w:t>
            </w:r>
          </w:p>
        </w:tc>
        <w:tc>
          <w:tcPr>
            <w:tcW w:w="709" w:type="dxa"/>
            <w:tcBorders>
              <w:bottom w:val="single" w:sz="4" w:space="0" w:color="auto"/>
            </w:tcBorders>
            <w:noWrap/>
            <w:textDirection w:val="btLr"/>
            <w:vAlign w:val="center"/>
            <w:hideMark/>
          </w:tcPr>
          <w:p w14:paraId="12CC6DA8"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Myofilament</w:t>
            </w:r>
          </w:p>
        </w:tc>
        <w:tc>
          <w:tcPr>
            <w:tcW w:w="851" w:type="dxa"/>
            <w:tcBorders>
              <w:bottom w:val="single" w:sz="4" w:space="0" w:color="auto"/>
              <w:right w:val="single" w:sz="4" w:space="0" w:color="auto"/>
            </w:tcBorders>
            <w:noWrap/>
            <w:textDirection w:val="btLr"/>
            <w:vAlign w:val="center"/>
            <w:hideMark/>
          </w:tcPr>
          <w:p w14:paraId="47978EF0"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Contraction</w:t>
            </w:r>
          </w:p>
        </w:tc>
        <w:tc>
          <w:tcPr>
            <w:tcW w:w="850" w:type="dxa"/>
            <w:tcBorders>
              <w:left w:val="single" w:sz="4" w:space="0" w:color="auto"/>
              <w:bottom w:val="single" w:sz="4" w:space="0" w:color="auto"/>
            </w:tcBorders>
            <w:noWrap/>
            <w:textDirection w:val="btLr"/>
            <w:vAlign w:val="center"/>
            <w:hideMark/>
          </w:tcPr>
          <w:p w14:paraId="1C535CEA"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Neuromuscular Junction</w:t>
            </w:r>
          </w:p>
        </w:tc>
        <w:tc>
          <w:tcPr>
            <w:tcW w:w="567" w:type="dxa"/>
            <w:tcBorders>
              <w:bottom w:val="single" w:sz="4" w:space="0" w:color="auto"/>
            </w:tcBorders>
            <w:noWrap/>
            <w:textDirection w:val="btLr"/>
            <w:vAlign w:val="center"/>
            <w:hideMark/>
          </w:tcPr>
          <w:p w14:paraId="45203AAC"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Sarcolemma</w:t>
            </w:r>
          </w:p>
        </w:tc>
        <w:tc>
          <w:tcPr>
            <w:tcW w:w="567" w:type="dxa"/>
            <w:tcBorders>
              <w:bottom w:val="single" w:sz="4" w:space="0" w:color="auto"/>
              <w:right w:val="single" w:sz="4" w:space="0" w:color="auto"/>
            </w:tcBorders>
            <w:noWrap/>
            <w:textDirection w:val="btLr"/>
            <w:vAlign w:val="center"/>
            <w:hideMark/>
          </w:tcPr>
          <w:p w14:paraId="0077C522"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T-Tubule</w:t>
            </w:r>
          </w:p>
        </w:tc>
        <w:tc>
          <w:tcPr>
            <w:tcW w:w="709" w:type="dxa"/>
            <w:tcBorders>
              <w:left w:val="single" w:sz="4" w:space="0" w:color="auto"/>
              <w:bottom w:val="single" w:sz="4" w:space="0" w:color="auto"/>
            </w:tcBorders>
            <w:noWrap/>
            <w:textDirection w:val="btLr"/>
            <w:vAlign w:val="center"/>
            <w:hideMark/>
          </w:tcPr>
          <w:p w14:paraId="0DD26B5E"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Hypertrophy</w:t>
            </w:r>
          </w:p>
        </w:tc>
        <w:tc>
          <w:tcPr>
            <w:tcW w:w="850" w:type="dxa"/>
            <w:tcBorders>
              <w:bottom w:val="single" w:sz="4" w:space="0" w:color="auto"/>
            </w:tcBorders>
            <w:noWrap/>
            <w:textDirection w:val="btLr"/>
            <w:vAlign w:val="center"/>
            <w:hideMark/>
          </w:tcPr>
          <w:p w14:paraId="5C6DA999"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Tissue Regeneration</w:t>
            </w:r>
          </w:p>
        </w:tc>
        <w:tc>
          <w:tcPr>
            <w:tcW w:w="993" w:type="dxa"/>
            <w:tcBorders>
              <w:bottom w:val="single" w:sz="4" w:space="0" w:color="auto"/>
              <w:right w:val="single" w:sz="4" w:space="0" w:color="auto"/>
            </w:tcBorders>
            <w:noWrap/>
            <w:textDirection w:val="btLr"/>
            <w:vAlign w:val="center"/>
            <w:hideMark/>
          </w:tcPr>
          <w:p w14:paraId="76103D9D"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Striated Muscle Cell Proliferation</w:t>
            </w:r>
          </w:p>
        </w:tc>
        <w:tc>
          <w:tcPr>
            <w:tcW w:w="708" w:type="dxa"/>
            <w:tcBorders>
              <w:left w:val="single" w:sz="4" w:space="0" w:color="auto"/>
              <w:bottom w:val="single" w:sz="4" w:space="0" w:color="auto"/>
            </w:tcBorders>
            <w:noWrap/>
            <w:textDirection w:val="btLr"/>
            <w:vAlign w:val="center"/>
            <w:hideMark/>
          </w:tcPr>
          <w:p w14:paraId="6818AF43"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Myoblast Fusion</w:t>
            </w:r>
          </w:p>
        </w:tc>
        <w:tc>
          <w:tcPr>
            <w:tcW w:w="993" w:type="dxa"/>
            <w:tcBorders>
              <w:bottom w:val="single" w:sz="4" w:space="0" w:color="auto"/>
            </w:tcBorders>
            <w:noWrap/>
            <w:textDirection w:val="btLr"/>
            <w:vAlign w:val="center"/>
            <w:hideMark/>
          </w:tcPr>
          <w:p w14:paraId="160887AA" w14:textId="77777777" w:rsidR="002B3A3C" w:rsidRPr="00CD304F" w:rsidRDefault="002B3A3C" w:rsidP="00924A5A">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Skeletal Muscle Cell Differentiation</w:t>
            </w:r>
          </w:p>
        </w:tc>
      </w:tr>
      <w:tr w:rsidR="002B3A3C" w:rsidRPr="00CD304F" w14:paraId="19F26C1C"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single" w:sz="4" w:space="0" w:color="auto"/>
              <w:left w:val="nil"/>
              <w:bottom w:val="nil"/>
              <w:right w:val="nil"/>
            </w:tcBorders>
            <w:noWrap/>
            <w:vAlign w:val="center"/>
            <w:hideMark/>
          </w:tcPr>
          <w:p w14:paraId="784C15EF"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w:t>
            </w:r>
          </w:p>
        </w:tc>
      </w:tr>
      <w:tr w:rsidR="002B3A3C" w:rsidRPr="00CD304F" w14:paraId="2AF504B8"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42A326F"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5mil</w:t>
            </w:r>
          </w:p>
        </w:tc>
        <w:tc>
          <w:tcPr>
            <w:tcW w:w="1554" w:type="dxa"/>
            <w:noWrap/>
            <w:vAlign w:val="center"/>
            <w:hideMark/>
          </w:tcPr>
          <w:p w14:paraId="61DD920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39.2</w:t>
            </w:r>
          </w:p>
        </w:tc>
        <w:tc>
          <w:tcPr>
            <w:tcW w:w="992" w:type="dxa"/>
            <w:noWrap/>
            <w:vAlign w:val="center"/>
            <w:hideMark/>
          </w:tcPr>
          <w:p w14:paraId="0C372DB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35.2</w:t>
            </w:r>
          </w:p>
        </w:tc>
        <w:tc>
          <w:tcPr>
            <w:tcW w:w="709" w:type="dxa"/>
            <w:noWrap/>
            <w:vAlign w:val="center"/>
            <w:hideMark/>
          </w:tcPr>
          <w:p w14:paraId="3BE1C14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83.5</w:t>
            </w:r>
          </w:p>
        </w:tc>
        <w:tc>
          <w:tcPr>
            <w:tcW w:w="851" w:type="dxa"/>
            <w:noWrap/>
            <w:vAlign w:val="center"/>
            <w:hideMark/>
          </w:tcPr>
          <w:p w14:paraId="5EC003E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48.4</w:t>
            </w:r>
          </w:p>
        </w:tc>
        <w:tc>
          <w:tcPr>
            <w:tcW w:w="850" w:type="dxa"/>
            <w:noWrap/>
            <w:vAlign w:val="center"/>
            <w:hideMark/>
          </w:tcPr>
          <w:p w14:paraId="07618EB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14.4</w:t>
            </w:r>
          </w:p>
        </w:tc>
        <w:tc>
          <w:tcPr>
            <w:tcW w:w="567" w:type="dxa"/>
            <w:noWrap/>
            <w:vAlign w:val="center"/>
            <w:hideMark/>
          </w:tcPr>
          <w:p w14:paraId="44AD540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25.9</w:t>
            </w:r>
          </w:p>
        </w:tc>
        <w:tc>
          <w:tcPr>
            <w:tcW w:w="567" w:type="dxa"/>
            <w:noWrap/>
            <w:vAlign w:val="center"/>
            <w:hideMark/>
          </w:tcPr>
          <w:p w14:paraId="487E78C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43.5</w:t>
            </w:r>
          </w:p>
        </w:tc>
        <w:tc>
          <w:tcPr>
            <w:tcW w:w="709" w:type="dxa"/>
            <w:noWrap/>
            <w:vAlign w:val="center"/>
            <w:hideMark/>
          </w:tcPr>
          <w:p w14:paraId="36ED108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17.1</w:t>
            </w:r>
          </w:p>
        </w:tc>
        <w:tc>
          <w:tcPr>
            <w:tcW w:w="850" w:type="dxa"/>
            <w:noWrap/>
            <w:vAlign w:val="center"/>
            <w:hideMark/>
          </w:tcPr>
          <w:p w14:paraId="3FA03D3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22.1</w:t>
            </w:r>
          </w:p>
        </w:tc>
        <w:tc>
          <w:tcPr>
            <w:tcW w:w="993" w:type="dxa"/>
            <w:noWrap/>
            <w:vAlign w:val="center"/>
            <w:hideMark/>
          </w:tcPr>
          <w:p w14:paraId="01598B4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34.4</w:t>
            </w:r>
          </w:p>
        </w:tc>
        <w:tc>
          <w:tcPr>
            <w:tcW w:w="708" w:type="dxa"/>
            <w:noWrap/>
            <w:vAlign w:val="center"/>
            <w:hideMark/>
          </w:tcPr>
          <w:p w14:paraId="6341C96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993" w:type="dxa"/>
            <w:noWrap/>
            <w:vAlign w:val="center"/>
            <w:hideMark/>
          </w:tcPr>
          <w:p w14:paraId="6DD8A31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16.1</w:t>
            </w:r>
          </w:p>
        </w:tc>
      </w:tr>
      <w:tr w:rsidR="002B3A3C" w:rsidRPr="00CD304F" w14:paraId="0E7B2191"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14C2C137"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w:t>
            </w:r>
          </w:p>
        </w:tc>
      </w:tr>
      <w:tr w:rsidR="002B3A3C" w:rsidRPr="00CD304F" w14:paraId="71DCA008"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4C36F33"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SM 0.6mil</w:t>
            </w:r>
          </w:p>
        </w:tc>
        <w:tc>
          <w:tcPr>
            <w:tcW w:w="1554" w:type="dxa"/>
            <w:noWrap/>
            <w:vAlign w:val="center"/>
            <w:hideMark/>
          </w:tcPr>
          <w:p w14:paraId="788DC1D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24.3</w:t>
            </w:r>
          </w:p>
        </w:tc>
        <w:tc>
          <w:tcPr>
            <w:tcW w:w="992" w:type="dxa"/>
            <w:noWrap/>
            <w:vAlign w:val="center"/>
            <w:hideMark/>
          </w:tcPr>
          <w:p w14:paraId="7152CF9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22.3</w:t>
            </w:r>
          </w:p>
        </w:tc>
        <w:tc>
          <w:tcPr>
            <w:tcW w:w="709" w:type="dxa"/>
            <w:noWrap/>
            <w:vAlign w:val="center"/>
            <w:hideMark/>
          </w:tcPr>
          <w:p w14:paraId="10F2B66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70.3</w:t>
            </w:r>
          </w:p>
        </w:tc>
        <w:tc>
          <w:tcPr>
            <w:tcW w:w="851" w:type="dxa"/>
            <w:noWrap/>
            <w:vAlign w:val="center"/>
            <w:hideMark/>
          </w:tcPr>
          <w:p w14:paraId="4A4BC86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37.8</w:t>
            </w:r>
          </w:p>
        </w:tc>
        <w:tc>
          <w:tcPr>
            <w:tcW w:w="850" w:type="dxa"/>
            <w:noWrap/>
            <w:vAlign w:val="center"/>
            <w:hideMark/>
          </w:tcPr>
          <w:p w14:paraId="585432D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9.4</w:t>
            </w:r>
          </w:p>
        </w:tc>
        <w:tc>
          <w:tcPr>
            <w:tcW w:w="567" w:type="dxa"/>
            <w:noWrap/>
            <w:vAlign w:val="center"/>
            <w:hideMark/>
          </w:tcPr>
          <w:p w14:paraId="312E717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w:t>
            </w:r>
          </w:p>
        </w:tc>
        <w:tc>
          <w:tcPr>
            <w:tcW w:w="567" w:type="dxa"/>
            <w:noWrap/>
            <w:vAlign w:val="center"/>
            <w:hideMark/>
          </w:tcPr>
          <w:p w14:paraId="5DC4A20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26.7</w:t>
            </w:r>
          </w:p>
        </w:tc>
        <w:tc>
          <w:tcPr>
            <w:tcW w:w="709" w:type="dxa"/>
            <w:noWrap/>
            <w:vAlign w:val="center"/>
            <w:hideMark/>
          </w:tcPr>
          <w:p w14:paraId="5B88A34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10.2</w:t>
            </w:r>
          </w:p>
        </w:tc>
        <w:tc>
          <w:tcPr>
            <w:tcW w:w="850" w:type="dxa"/>
            <w:noWrap/>
            <w:vAlign w:val="center"/>
            <w:hideMark/>
          </w:tcPr>
          <w:p w14:paraId="23EDF37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9.2</w:t>
            </w:r>
          </w:p>
        </w:tc>
        <w:tc>
          <w:tcPr>
            <w:tcW w:w="993" w:type="dxa"/>
            <w:noWrap/>
            <w:vAlign w:val="center"/>
            <w:hideMark/>
          </w:tcPr>
          <w:p w14:paraId="7AA1763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24.6</w:t>
            </w:r>
          </w:p>
        </w:tc>
        <w:tc>
          <w:tcPr>
            <w:tcW w:w="708" w:type="dxa"/>
            <w:noWrap/>
            <w:vAlign w:val="center"/>
            <w:hideMark/>
          </w:tcPr>
          <w:p w14:paraId="1F41FED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6.2</w:t>
            </w:r>
          </w:p>
        </w:tc>
        <w:tc>
          <w:tcPr>
            <w:tcW w:w="993" w:type="dxa"/>
            <w:noWrap/>
            <w:vAlign w:val="center"/>
            <w:hideMark/>
          </w:tcPr>
          <w:p w14:paraId="41DA618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19.8</w:t>
            </w:r>
          </w:p>
        </w:tc>
      </w:tr>
      <w:tr w:rsidR="002B3A3C" w:rsidRPr="00CD304F" w14:paraId="2EC41D5B"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37F435E3"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Gene Coexpression</w:t>
            </w:r>
          </w:p>
        </w:tc>
      </w:tr>
      <w:tr w:rsidR="002B3A3C" w:rsidRPr="00CD304F" w14:paraId="5B00834D"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4A7085F"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COXPRESdb 5.5mil</w:t>
            </w:r>
          </w:p>
        </w:tc>
        <w:tc>
          <w:tcPr>
            <w:tcW w:w="1554" w:type="dxa"/>
            <w:noWrap/>
            <w:vAlign w:val="center"/>
            <w:hideMark/>
          </w:tcPr>
          <w:p w14:paraId="06F8F5F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21.9</w:t>
            </w:r>
          </w:p>
        </w:tc>
        <w:tc>
          <w:tcPr>
            <w:tcW w:w="992" w:type="dxa"/>
            <w:noWrap/>
            <w:vAlign w:val="center"/>
            <w:hideMark/>
          </w:tcPr>
          <w:p w14:paraId="1800A2D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29.9</w:t>
            </w:r>
          </w:p>
        </w:tc>
        <w:tc>
          <w:tcPr>
            <w:tcW w:w="709" w:type="dxa"/>
            <w:noWrap/>
            <w:vAlign w:val="center"/>
            <w:hideMark/>
          </w:tcPr>
          <w:p w14:paraId="6B745FC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48.3</w:t>
            </w:r>
          </w:p>
        </w:tc>
        <w:tc>
          <w:tcPr>
            <w:tcW w:w="851" w:type="dxa"/>
            <w:noWrap/>
            <w:vAlign w:val="center"/>
            <w:hideMark/>
          </w:tcPr>
          <w:p w14:paraId="6A8B6CA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46.5</w:t>
            </w:r>
          </w:p>
        </w:tc>
        <w:tc>
          <w:tcPr>
            <w:tcW w:w="850" w:type="dxa"/>
            <w:noWrap/>
            <w:vAlign w:val="center"/>
            <w:hideMark/>
          </w:tcPr>
          <w:p w14:paraId="01D3F2D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w:t>
            </w:r>
          </w:p>
        </w:tc>
        <w:tc>
          <w:tcPr>
            <w:tcW w:w="567" w:type="dxa"/>
            <w:noWrap/>
            <w:vAlign w:val="center"/>
            <w:hideMark/>
          </w:tcPr>
          <w:p w14:paraId="3B1840C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w:t>
            </w:r>
          </w:p>
        </w:tc>
        <w:tc>
          <w:tcPr>
            <w:tcW w:w="567" w:type="dxa"/>
            <w:noWrap/>
            <w:vAlign w:val="center"/>
            <w:hideMark/>
          </w:tcPr>
          <w:p w14:paraId="2C7AEDB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13.3</w:t>
            </w:r>
          </w:p>
        </w:tc>
        <w:tc>
          <w:tcPr>
            <w:tcW w:w="709" w:type="dxa"/>
            <w:noWrap/>
            <w:vAlign w:val="center"/>
            <w:hideMark/>
          </w:tcPr>
          <w:p w14:paraId="02FF406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13.1</w:t>
            </w:r>
          </w:p>
        </w:tc>
        <w:tc>
          <w:tcPr>
            <w:tcW w:w="850" w:type="dxa"/>
            <w:noWrap/>
            <w:vAlign w:val="center"/>
            <w:hideMark/>
          </w:tcPr>
          <w:p w14:paraId="155699F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18.8</w:t>
            </w:r>
          </w:p>
        </w:tc>
        <w:tc>
          <w:tcPr>
            <w:tcW w:w="993" w:type="dxa"/>
            <w:noWrap/>
            <w:vAlign w:val="center"/>
            <w:hideMark/>
          </w:tcPr>
          <w:p w14:paraId="365D7DD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w:t>
            </w:r>
          </w:p>
        </w:tc>
        <w:tc>
          <w:tcPr>
            <w:tcW w:w="708" w:type="dxa"/>
            <w:noWrap/>
            <w:vAlign w:val="center"/>
            <w:hideMark/>
          </w:tcPr>
          <w:p w14:paraId="3BB0605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w:t>
            </w:r>
          </w:p>
        </w:tc>
        <w:tc>
          <w:tcPr>
            <w:tcW w:w="993" w:type="dxa"/>
            <w:noWrap/>
            <w:vAlign w:val="center"/>
            <w:hideMark/>
          </w:tcPr>
          <w:p w14:paraId="786BCF6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17.8</w:t>
            </w:r>
          </w:p>
        </w:tc>
      </w:tr>
      <w:tr w:rsidR="002B3A3C" w:rsidRPr="00CD304F" w14:paraId="220E984A"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3DB9F591"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Gene Coexpression</w:t>
            </w:r>
          </w:p>
        </w:tc>
      </w:tr>
      <w:tr w:rsidR="002B3A3C" w:rsidRPr="00CD304F" w14:paraId="40C59BD7"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4F515D8"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MyoMiner Cell r&gt;= 0.6 +</w:t>
            </w:r>
          </w:p>
        </w:tc>
        <w:tc>
          <w:tcPr>
            <w:tcW w:w="1554" w:type="dxa"/>
            <w:noWrap/>
            <w:vAlign w:val="center"/>
            <w:hideMark/>
          </w:tcPr>
          <w:p w14:paraId="6953B37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16.5</w:t>
            </w:r>
          </w:p>
        </w:tc>
        <w:tc>
          <w:tcPr>
            <w:tcW w:w="992" w:type="dxa"/>
            <w:noWrap/>
            <w:vAlign w:val="center"/>
            <w:hideMark/>
          </w:tcPr>
          <w:p w14:paraId="4B18DEA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w:t>
            </w:r>
          </w:p>
        </w:tc>
        <w:tc>
          <w:tcPr>
            <w:tcW w:w="709" w:type="dxa"/>
            <w:noWrap/>
            <w:vAlign w:val="center"/>
            <w:hideMark/>
          </w:tcPr>
          <w:p w14:paraId="14239C1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39.8</w:t>
            </w:r>
          </w:p>
        </w:tc>
        <w:tc>
          <w:tcPr>
            <w:tcW w:w="851" w:type="dxa"/>
            <w:noWrap/>
            <w:vAlign w:val="center"/>
            <w:hideMark/>
          </w:tcPr>
          <w:p w14:paraId="3528FBB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34.6</w:t>
            </w:r>
          </w:p>
        </w:tc>
        <w:tc>
          <w:tcPr>
            <w:tcW w:w="850" w:type="dxa"/>
            <w:noWrap/>
            <w:vAlign w:val="center"/>
            <w:hideMark/>
          </w:tcPr>
          <w:p w14:paraId="004EA7D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12.9</w:t>
            </w:r>
          </w:p>
        </w:tc>
        <w:tc>
          <w:tcPr>
            <w:tcW w:w="567" w:type="dxa"/>
            <w:noWrap/>
            <w:vAlign w:val="center"/>
            <w:hideMark/>
          </w:tcPr>
          <w:p w14:paraId="648A2B6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12.3</w:t>
            </w:r>
          </w:p>
        </w:tc>
        <w:tc>
          <w:tcPr>
            <w:tcW w:w="567" w:type="dxa"/>
            <w:noWrap/>
            <w:vAlign w:val="center"/>
            <w:hideMark/>
          </w:tcPr>
          <w:p w14:paraId="23AF62F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10.9</w:t>
            </w:r>
          </w:p>
        </w:tc>
        <w:tc>
          <w:tcPr>
            <w:tcW w:w="709" w:type="dxa"/>
            <w:noWrap/>
            <w:vAlign w:val="center"/>
            <w:hideMark/>
          </w:tcPr>
          <w:p w14:paraId="1A74521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13.6</w:t>
            </w:r>
          </w:p>
        </w:tc>
        <w:tc>
          <w:tcPr>
            <w:tcW w:w="850" w:type="dxa"/>
            <w:noWrap/>
            <w:vAlign w:val="center"/>
            <w:hideMark/>
          </w:tcPr>
          <w:p w14:paraId="7B7EAE5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13.4</w:t>
            </w:r>
          </w:p>
        </w:tc>
        <w:tc>
          <w:tcPr>
            <w:tcW w:w="993" w:type="dxa"/>
            <w:noWrap/>
            <w:vAlign w:val="center"/>
            <w:hideMark/>
          </w:tcPr>
          <w:p w14:paraId="45F4672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4.7</w:t>
            </w:r>
          </w:p>
        </w:tc>
        <w:tc>
          <w:tcPr>
            <w:tcW w:w="708" w:type="dxa"/>
            <w:noWrap/>
            <w:vAlign w:val="center"/>
            <w:hideMark/>
          </w:tcPr>
          <w:p w14:paraId="4C26FC2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5.2</w:t>
            </w:r>
          </w:p>
        </w:tc>
        <w:tc>
          <w:tcPr>
            <w:tcW w:w="993" w:type="dxa"/>
            <w:noWrap/>
            <w:vAlign w:val="center"/>
            <w:hideMark/>
          </w:tcPr>
          <w:p w14:paraId="0EA3E64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19.3</w:t>
            </w:r>
          </w:p>
        </w:tc>
      </w:tr>
      <w:tr w:rsidR="002B3A3C" w:rsidRPr="00CD304F" w14:paraId="0D672434"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77F85879"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Gene Coexpression</w:t>
            </w:r>
          </w:p>
        </w:tc>
      </w:tr>
      <w:tr w:rsidR="002B3A3C" w:rsidRPr="00CD304F" w14:paraId="505DF263"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8E49750"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NF</w:t>
            </w:r>
          </w:p>
        </w:tc>
        <w:tc>
          <w:tcPr>
            <w:tcW w:w="1554" w:type="dxa"/>
            <w:noWrap/>
            <w:vAlign w:val="center"/>
            <w:hideMark/>
          </w:tcPr>
          <w:p w14:paraId="048DA94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40.3</w:t>
            </w:r>
          </w:p>
        </w:tc>
        <w:tc>
          <w:tcPr>
            <w:tcW w:w="992" w:type="dxa"/>
            <w:noWrap/>
            <w:vAlign w:val="center"/>
            <w:hideMark/>
          </w:tcPr>
          <w:p w14:paraId="49A42B7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35.3</w:t>
            </w:r>
          </w:p>
        </w:tc>
        <w:tc>
          <w:tcPr>
            <w:tcW w:w="709" w:type="dxa"/>
            <w:noWrap/>
            <w:vAlign w:val="center"/>
            <w:hideMark/>
          </w:tcPr>
          <w:p w14:paraId="3A2434D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84</w:t>
            </w:r>
          </w:p>
        </w:tc>
        <w:tc>
          <w:tcPr>
            <w:tcW w:w="851" w:type="dxa"/>
            <w:noWrap/>
            <w:vAlign w:val="center"/>
            <w:hideMark/>
          </w:tcPr>
          <w:p w14:paraId="1A0B25C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48.7</w:t>
            </w:r>
          </w:p>
        </w:tc>
        <w:tc>
          <w:tcPr>
            <w:tcW w:w="850" w:type="dxa"/>
            <w:noWrap/>
            <w:vAlign w:val="center"/>
            <w:hideMark/>
          </w:tcPr>
          <w:p w14:paraId="38B5BDD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14.7</w:t>
            </w:r>
          </w:p>
        </w:tc>
        <w:tc>
          <w:tcPr>
            <w:tcW w:w="567" w:type="dxa"/>
            <w:noWrap/>
            <w:vAlign w:val="center"/>
            <w:hideMark/>
          </w:tcPr>
          <w:p w14:paraId="2F413D9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26.5</w:t>
            </w:r>
          </w:p>
        </w:tc>
        <w:tc>
          <w:tcPr>
            <w:tcW w:w="567" w:type="dxa"/>
            <w:noWrap/>
            <w:vAlign w:val="center"/>
            <w:hideMark/>
          </w:tcPr>
          <w:p w14:paraId="74E5C60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45.4</w:t>
            </w:r>
          </w:p>
        </w:tc>
        <w:tc>
          <w:tcPr>
            <w:tcW w:w="709" w:type="dxa"/>
            <w:noWrap/>
            <w:vAlign w:val="center"/>
            <w:hideMark/>
          </w:tcPr>
          <w:p w14:paraId="2DEB603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17.8</w:t>
            </w:r>
          </w:p>
        </w:tc>
        <w:tc>
          <w:tcPr>
            <w:tcW w:w="850" w:type="dxa"/>
            <w:noWrap/>
            <w:vAlign w:val="center"/>
            <w:hideMark/>
          </w:tcPr>
          <w:p w14:paraId="39D6540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22.8</w:t>
            </w:r>
          </w:p>
        </w:tc>
        <w:tc>
          <w:tcPr>
            <w:tcW w:w="993" w:type="dxa"/>
            <w:noWrap/>
            <w:vAlign w:val="center"/>
            <w:hideMark/>
          </w:tcPr>
          <w:p w14:paraId="6E625FA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w:t>
            </w:r>
          </w:p>
        </w:tc>
        <w:tc>
          <w:tcPr>
            <w:tcW w:w="708" w:type="dxa"/>
            <w:noWrap/>
            <w:vAlign w:val="center"/>
            <w:hideMark/>
          </w:tcPr>
          <w:p w14:paraId="4EFCF5C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10.9</w:t>
            </w:r>
          </w:p>
        </w:tc>
        <w:tc>
          <w:tcPr>
            <w:tcW w:w="993" w:type="dxa"/>
            <w:noWrap/>
            <w:vAlign w:val="center"/>
            <w:hideMark/>
          </w:tcPr>
          <w:p w14:paraId="596D478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15.9</w:t>
            </w:r>
          </w:p>
        </w:tc>
      </w:tr>
      <w:tr w:rsidR="002B3A3C" w:rsidRPr="00CD304F" w14:paraId="20141E91"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F28B2D5"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COXPRESdb U</w:t>
            </w:r>
          </w:p>
        </w:tc>
        <w:tc>
          <w:tcPr>
            <w:tcW w:w="1554" w:type="dxa"/>
            <w:noWrap/>
            <w:vAlign w:val="center"/>
            <w:hideMark/>
          </w:tcPr>
          <w:p w14:paraId="17615A5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35.8</w:t>
            </w:r>
          </w:p>
        </w:tc>
        <w:tc>
          <w:tcPr>
            <w:tcW w:w="992" w:type="dxa"/>
            <w:noWrap/>
            <w:vAlign w:val="center"/>
            <w:hideMark/>
          </w:tcPr>
          <w:p w14:paraId="0CD28D1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33.3</w:t>
            </w:r>
          </w:p>
        </w:tc>
        <w:tc>
          <w:tcPr>
            <w:tcW w:w="709" w:type="dxa"/>
            <w:noWrap/>
            <w:vAlign w:val="center"/>
            <w:hideMark/>
          </w:tcPr>
          <w:p w14:paraId="047BD05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69.1</w:t>
            </w:r>
          </w:p>
        </w:tc>
        <w:tc>
          <w:tcPr>
            <w:tcW w:w="851" w:type="dxa"/>
            <w:noWrap/>
            <w:vAlign w:val="center"/>
            <w:hideMark/>
          </w:tcPr>
          <w:p w14:paraId="1CF4BF2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55.2</w:t>
            </w:r>
          </w:p>
        </w:tc>
        <w:tc>
          <w:tcPr>
            <w:tcW w:w="850" w:type="dxa"/>
            <w:noWrap/>
            <w:vAlign w:val="center"/>
            <w:hideMark/>
          </w:tcPr>
          <w:p w14:paraId="7454EB7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567" w:type="dxa"/>
            <w:noWrap/>
            <w:vAlign w:val="center"/>
            <w:hideMark/>
          </w:tcPr>
          <w:p w14:paraId="78DA20F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24.9</w:t>
            </w:r>
          </w:p>
        </w:tc>
        <w:tc>
          <w:tcPr>
            <w:tcW w:w="567" w:type="dxa"/>
            <w:noWrap/>
            <w:vAlign w:val="center"/>
            <w:hideMark/>
          </w:tcPr>
          <w:p w14:paraId="632EF9B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39.1</w:t>
            </w:r>
          </w:p>
        </w:tc>
        <w:tc>
          <w:tcPr>
            <w:tcW w:w="709" w:type="dxa"/>
            <w:noWrap/>
            <w:vAlign w:val="center"/>
            <w:hideMark/>
          </w:tcPr>
          <w:p w14:paraId="1C2DFF6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14.2</w:t>
            </w:r>
          </w:p>
        </w:tc>
        <w:tc>
          <w:tcPr>
            <w:tcW w:w="850" w:type="dxa"/>
            <w:noWrap/>
            <w:vAlign w:val="center"/>
            <w:hideMark/>
          </w:tcPr>
          <w:p w14:paraId="2BABCED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23.4</w:t>
            </w:r>
          </w:p>
        </w:tc>
        <w:tc>
          <w:tcPr>
            <w:tcW w:w="993" w:type="dxa"/>
            <w:noWrap/>
            <w:vAlign w:val="center"/>
            <w:hideMark/>
          </w:tcPr>
          <w:p w14:paraId="7929C47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31.4</w:t>
            </w:r>
          </w:p>
        </w:tc>
        <w:tc>
          <w:tcPr>
            <w:tcW w:w="708" w:type="dxa"/>
            <w:noWrap/>
            <w:vAlign w:val="center"/>
            <w:hideMark/>
          </w:tcPr>
          <w:p w14:paraId="526337A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6.1</w:t>
            </w:r>
          </w:p>
        </w:tc>
        <w:tc>
          <w:tcPr>
            <w:tcW w:w="993" w:type="dxa"/>
            <w:noWrap/>
            <w:vAlign w:val="center"/>
            <w:hideMark/>
          </w:tcPr>
          <w:p w14:paraId="435B493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14.7</w:t>
            </w:r>
          </w:p>
        </w:tc>
      </w:tr>
      <w:tr w:rsidR="002B3A3C" w:rsidRPr="00CD304F" w14:paraId="0301BDFE"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3EE56FE0"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PPI + Muscle Gene Coexpression</w:t>
            </w:r>
          </w:p>
        </w:tc>
      </w:tr>
      <w:tr w:rsidR="002B3A3C" w:rsidRPr="00CD304F" w14:paraId="28299C58"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4E2760A"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NF</w:t>
            </w:r>
          </w:p>
        </w:tc>
        <w:tc>
          <w:tcPr>
            <w:tcW w:w="1554" w:type="dxa"/>
            <w:noWrap/>
            <w:vAlign w:val="center"/>
            <w:hideMark/>
          </w:tcPr>
          <w:p w14:paraId="2ED7436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45.6</w:t>
            </w:r>
          </w:p>
        </w:tc>
        <w:tc>
          <w:tcPr>
            <w:tcW w:w="992" w:type="dxa"/>
            <w:noWrap/>
            <w:vAlign w:val="center"/>
            <w:hideMark/>
          </w:tcPr>
          <w:p w14:paraId="1341112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38.6</w:t>
            </w:r>
          </w:p>
        </w:tc>
        <w:tc>
          <w:tcPr>
            <w:tcW w:w="709" w:type="dxa"/>
            <w:noWrap/>
            <w:vAlign w:val="center"/>
            <w:hideMark/>
          </w:tcPr>
          <w:p w14:paraId="423B8CA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87.4</w:t>
            </w:r>
          </w:p>
        </w:tc>
        <w:tc>
          <w:tcPr>
            <w:tcW w:w="851" w:type="dxa"/>
            <w:noWrap/>
            <w:vAlign w:val="center"/>
            <w:hideMark/>
          </w:tcPr>
          <w:p w14:paraId="01900F8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48.8</w:t>
            </w:r>
          </w:p>
        </w:tc>
        <w:tc>
          <w:tcPr>
            <w:tcW w:w="850" w:type="dxa"/>
            <w:noWrap/>
            <w:vAlign w:val="center"/>
            <w:hideMark/>
          </w:tcPr>
          <w:p w14:paraId="0EB0899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15.9</w:t>
            </w:r>
          </w:p>
        </w:tc>
        <w:tc>
          <w:tcPr>
            <w:tcW w:w="567" w:type="dxa"/>
            <w:noWrap/>
            <w:vAlign w:val="center"/>
            <w:hideMark/>
          </w:tcPr>
          <w:p w14:paraId="259BD7C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28</w:t>
            </w:r>
          </w:p>
        </w:tc>
        <w:tc>
          <w:tcPr>
            <w:tcW w:w="567" w:type="dxa"/>
            <w:noWrap/>
            <w:vAlign w:val="center"/>
            <w:hideMark/>
          </w:tcPr>
          <w:p w14:paraId="66B2A64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53.5</w:t>
            </w:r>
          </w:p>
        </w:tc>
        <w:tc>
          <w:tcPr>
            <w:tcW w:w="709" w:type="dxa"/>
            <w:noWrap/>
            <w:vAlign w:val="center"/>
            <w:hideMark/>
          </w:tcPr>
          <w:p w14:paraId="6EA2E3D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20.8</w:t>
            </w:r>
          </w:p>
        </w:tc>
        <w:tc>
          <w:tcPr>
            <w:tcW w:w="850" w:type="dxa"/>
            <w:noWrap/>
            <w:vAlign w:val="center"/>
            <w:hideMark/>
          </w:tcPr>
          <w:p w14:paraId="7A0B03F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19.4</w:t>
            </w:r>
          </w:p>
        </w:tc>
        <w:tc>
          <w:tcPr>
            <w:tcW w:w="993" w:type="dxa"/>
            <w:noWrap/>
            <w:vAlign w:val="center"/>
            <w:hideMark/>
          </w:tcPr>
          <w:p w14:paraId="13A3432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37.2</w:t>
            </w:r>
          </w:p>
        </w:tc>
        <w:tc>
          <w:tcPr>
            <w:tcW w:w="708" w:type="dxa"/>
            <w:noWrap/>
            <w:vAlign w:val="center"/>
            <w:hideMark/>
          </w:tcPr>
          <w:p w14:paraId="7953890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993" w:type="dxa"/>
            <w:noWrap/>
            <w:vAlign w:val="center"/>
            <w:hideMark/>
          </w:tcPr>
          <w:p w14:paraId="14BCC04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17.2</w:t>
            </w:r>
          </w:p>
        </w:tc>
      </w:tr>
      <w:tr w:rsidR="002B3A3C" w:rsidRPr="00CD304F" w14:paraId="063449FD"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F5F9E0E"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STRING + MyoMiner Cell U</w:t>
            </w:r>
          </w:p>
        </w:tc>
        <w:tc>
          <w:tcPr>
            <w:tcW w:w="1554" w:type="dxa"/>
            <w:noWrap/>
            <w:vAlign w:val="center"/>
            <w:hideMark/>
          </w:tcPr>
          <w:p w14:paraId="723F60D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32.7</w:t>
            </w:r>
          </w:p>
        </w:tc>
        <w:tc>
          <w:tcPr>
            <w:tcW w:w="992" w:type="dxa"/>
            <w:noWrap/>
            <w:vAlign w:val="center"/>
            <w:hideMark/>
          </w:tcPr>
          <w:p w14:paraId="04740011"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24.2</w:t>
            </w:r>
          </w:p>
        </w:tc>
        <w:tc>
          <w:tcPr>
            <w:tcW w:w="709" w:type="dxa"/>
            <w:noWrap/>
            <w:vAlign w:val="center"/>
            <w:hideMark/>
          </w:tcPr>
          <w:p w14:paraId="7133305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68.2</w:t>
            </w:r>
          </w:p>
        </w:tc>
        <w:tc>
          <w:tcPr>
            <w:tcW w:w="851" w:type="dxa"/>
            <w:noWrap/>
            <w:vAlign w:val="center"/>
            <w:hideMark/>
          </w:tcPr>
          <w:p w14:paraId="53D355B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38.7</w:t>
            </w:r>
          </w:p>
        </w:tc>
        <w:tc>
          <w:tcPr>
            <w:tcW w:w="850" w:type="dxa"/>
            <w:noWrap/>
            <w:vAlign w:val="center"/>
            <w:hideMark/>
          </w:tcPr>
          <w:p w14:paraId="6D8C707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12.6</w:t>
            </w:r>
          </w:p>
        </w:tc>
        <w:tc>
          <w:tcPr>
            <w:tcW w:w="567" w:type="dxa"/>
            <w:noWrap/>
            <w:vAlign w:val="center"/>
            <w:hideMark/>
          </w:tcPr>
          <w:p w14:paraId="3FC2C83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24</w:t>
            </w:r>
          </w:p>
        </w:tc>
        <w:tc>
          <w:tcPr>
            <w:tcW w:w="567" w:type="dxa"/>
            <w:noWrap/>
            <w:vAlign w:val="center"/>
            <w:hideMark/>
          </w:tcPr>
          <w:p w14:paraId="2E88ABB2"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41.6</w:t>
            </w:r>
          </w:p>
        </w:tc>
        <w:tc>
          <w:tcPr>
            <w:tcW w:w="709" w:type="dxa"/>
            <w:noWrap/>
            <w:vAlign w:val="center"/>
            <w:hideMark/>
          </w:tcPr>
          <w:p w14:paraId="4C2F95D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16.5</w:t>
            </w:r>
          </w:p>
        </w:tc>
        <w:tc>
          <w:tcPr>
            <w:tcW w:w="850" w:type="dxa"/>
            <w:noWrap/>
            <w:vAlign w:val="center"/>
            <w:hideMark/>
          </w:tcPr>
          <w:p w14:paraId="5894529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20.8</w:t>
            </w:r>
          </w:p>
        </w:tc>
        <w:tc>
          <w:tcPr>
            <w:tcW w:w="993" w:type="dxa"/>
            <w:noWrap/>
            <w:vAlign w:val="center"/>
            <w:hideMark/>
          </w:tcPr>
          <w:p w14:paraId="4D30490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33.2</w:t>
            </w:r>
          </w:p>
        </w:tc>
        <w:tc>
          <w:tcPr>
            <w:tcW w:w="708" w:type="dxa"/>
            <w:noWrap/>
            <w:vAlign w:val="center"/>
            <w:hideMark/>
          </w:tcPr>
          <w:p w14:paraId="506DC4B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9.4</w:t>
            </w:r>
          </w:p>
        </w:tc>
        <w:tc>
          <w:tcPr>
            <w:tcW w:w="993" w:type="dxa"/>
            <w:noWrap/>
            <w:vAlign w:val="center"/>
            <w:hideMark/>
          </w:tcPr>
          <w:p w14:paraId="1E217FE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15.5</w:t>
            </w:r>
          </w:p>
        </w:tc>
      </w:tr>
      <w:tr w:rsidR="002B3A3C" w:rsidRPr="00CD304F" w14:paraId="6F9F630F"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1F072190"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Gene Coexpression</w:t>
            </w:r>
          </w:p>
        </w:tc>
      </w:tr>
      <w:tr w:rsidR="002B3A3C" w:rsidRPr="00CD304F" w14:paraId="1E5A5091"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0A816CE"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NF</w:t>
            </w:r>
          </w:p>
        </w:tc>
        <w:tc>
          <w:tcPr>
            <w:tcW w:w="1554" w:type="dxa"/>
            <w:noWrap/>
            <w:vAlign w:val="center"/>
            <w:hideMark/>
          </w:tcPr>
          <w:p w14:paraId="5B7FCD7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24.9</w:t>
            </w:r>
          </w:p>
        </w:tc>
        <w:tc>
          <w:tcPr>
            <w:tcW w:w="992" w:type="dxa"/>
            <w:noWrap/>
            <w:vAlign w:val="center"/>
            <w:hideMark/>
          </w:tcPr>
          <w:p w14:paraId="50F9B53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19.9</w:t>
            </w:r>
          </w:p>
        </w:tc>
        <w:tc>
          <w:tcPr>
            <w:tcW w:w="709" w:type="dxa"/>
            <w:noWrap/>
            <w:vAlign w:val="center"/>
            <w:hideMark/>
          </w:tcPr>
          <w:p w14:paraId="16A9727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72.1</w:t>
            </w:r>
          </w:p>
        </w:tc>
        <w:tc>
          <w:tcPr>
            <w:tcW w:w="851" w:type="dxa"/>
            <w:noWrap/>
            <w:vAlign w:val="center"/>
            <w:hideMark/>
          </w:tcPr>
          <w:p w14:paraId="7D99329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37.5</w:t>
            </w:r>
          </w:p>
        </w:tc>
        <w:tc>
          <w:tcPr>
            <w:tcW w:w="850" w:type="dxa"/>
            <w:noWrap/>
            <w:vAlign w:val="center"/>
            <w:hideMark/>
          </w:tcPr>
          <w:p w14:paraId="7937CD1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9.2</w:t>
            </w:r>
          </w:p>
        </w:tc>
        <w:tc>
          <w:tcPr>
            <w:tcW w:w="567" w:type="dxa"/>
            <w:noWrap/>
            <w:vAlign w:val="center"/>
            <w:hideMark/>
          </w:tcPr>
          <w:p w14:paraId="6CC492C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27.7</w:t>
            </w:r>
          </w:p>
        </w:tc>
        <w:tc>
          <w:tcPr>
            <w:tcW w:w="567" w:type="dxa"/>
            <w:noWrap/>
            <w:vAlign w:val="center"/>
            <w:hideMark/>
          </w:tcPr>
          <w:p w14:paraId="4C407E0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30</w:t>
            </w:r>
          </w:p>
        </w:tc>
        <w:tc>
          <w:tcPr>
            <w:tcW w:w="709" w:type="dxa"/>
            <w:noWrap/>
            <w:vAlign w:val="center"/>
            <w:hideMark/>
          </w:tcPr>
          <w:p w14:paraId="61302F0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10.2</w:t>
            </w:r>
          </w:p>
        </w:tc>
        <w:tc>
          <w:tcPr>
            <w:tcW w:w="850" w:type="dxa"/>
            <w:noWrap/>
            <w:vAlign w:val="center"/>
            <w:hideMark/>
          </w:tcPr>
          <w:p w14:paraId="108A1BBB"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6.8</w:t>
            </w:r>
          </w:p>
        </w:tc>
        <w:tc>
          <w:tcPr>
            <w:tcW w:w="993" w:type="dxa"/>
            <w:noWrap/>
            <w:vAlign w:val="center"/>
            <w:hideMark/>
          </w:tcPr>
          <w:p w14:paraId="1D56A12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25.8</w:t>
            </w:r>
          </w:p>
        </w:tc>
        <w:tc>
          <w:tcPr>
            <w:tcW w:w="708" w:type="dxa"/>
            <w:noWrap/>
            <w:vAlign w:val="center"/>
            <w:hideMark/>
          </w:tcPr>
          <w:p w14:paraId="1F708B24"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5.8</w:t>
            </w:r>
          </w:p>
        </w:tc>
        <w:tc>
          <w:tcPr>
            <w:tcW w:w="993" w:type="dxa"/>
            <w:noWrap/>
            <w:vAlign w:val="center"/>
            <w:hideMark/>
          </w:tcPr>
          <w:p w14:paraId="3B96AC3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19.8</w:t>
            </w:r>
          </w:p>
        </w:tc>
      </w:tr>
      <w:tr w:rsidR="002B3A3C" w:rsidRPr="00CD304F" w14:paraId="374F54AA"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9D18B31"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COXPRESdb U</w:t>
            </w:r>
          </w:p>
        </w:tc>
        <w:tc>
          <w:tcPr>
            <w:tcW w:w="1554" w:type="dxa"/>
            <w:noWrap/>
            <w:vAlign w:val="center"/>
            <w:hideMark/>
          </w:tcPr>
          <w:p w14:paraId="46D5995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21.8</w:t>
            </w:r>
          </w:p>
        </w:tc>
        <w:tc>
          <w:tcPr>
            <w:tcW w:w="992" w:type="dxa"/>
            <w:noWrap/>
            <w:vAlign w:val="center"/>
            <w:hideMark/>
          </w:tcPr>
          <w:p w14:paraId="0B685D7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29.3</w:t>
            </w:r>
          </w:p>
        </w:tc>
        <w:tc>
          <w:tcPr>
            <w:tcW w:w="709" w:type="dxa"/>
            <w:noWrap/>
            <w:vAlign w:val="center"/>
            <w:hideMark/>
          </w:tcPr>
          <w:p w14:paraId="3DD6ADA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56.2</w:t>
            </w:r>
          </w:p>
        </w:tc>
        <w:tc>
          <w:tcPr>
            <w:tcW w:w="851" w:type="dxa"/>
            <w:noWrap/>
            <w:vAlign w:val="center"/>
            <w:hideMark/>
          </w:tcPr>
          <w:p w14:paraId="6FD05FB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46.7</w:t>
            </w:r>
          </w:p>
        </w:tc>
        <w:tc>
          <w:tcPr>
            <w:tcW w:w="850" w:type="dxa"/>
            <w:noWrap/>
            <w:vAlign w:val="center"/>
            <w:hideMark/>
          </w:tcPr>
          <w:p w14:paraId="27F5DCD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3.6</w:t>
            </w:r>
          </w:p>
        </w:tc>
        <w:tc>
          <w:tcPr>
            <w:tcW w:w="567" w:type="dxa"/>
            <w:noWrap/>
            <w:vAlign w:val="center"/>
            <w:hideMark/>
          </w:tcPr>
          <w:p w14:paraId="1E25A4EF"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19.3</w:t>
            </w:r>
          </w:p>
        </w:tc>
        <w:tc>
          <w:tcPr>
            <w:tcW w:w="567" w:type="dxa"/>
            <w:noWrap/>
            <w:vAlign w:val="center"/>
            <w:hideMark/>
          </w:tcPr>
          <w:p w14:paraId="2535183A"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13.7</w:t>
            </w:r>
          </w:p>
        </w:tc>
        <w:tc>
          <w:tcPr>
            <w:tcW w:w="709" w:type="dxa"/>
            <w:noWrap/>
            <w:vAlign w:val="center"/>
            <w:hideMark/>
          </w:tcPr>
          <w:p w14:paraId="00EF33C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12.5</w:t>
            </w:r>
          </w:p>
        </w:tc>
        <w:tc>
          <w:tcPr>
            <w:tcW w:w="850" w:type="dxa"/>
            <w:noWrap/>
            <w:vAlign w:val="center"/>
            <w:hideMark/>
          </w:tcPr>
          <w:p w14:paraId="73A21070"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19.1</w:t>
            </w:r>
          </w:p>
        </w:tc>
        <w:tc>
          <w:tcPr>
            <w:tcW w:w="993" w:type="dxa"/>
            <w:noWrap/>
            <w:vAlign w:val="center"/>
            <w:hideMark/>
          </w:tcPr>
          <w:p w14:paraId="2B5D8CE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10.7</w:t>
            </w:r>
          </w:p>
        </w:tc>
        <w:tc>
          <w:tcPr>
            <w:tcW w:w="708" w:type="dxa"/>
            <w:noWrap/>
            <w:vAlign w:val="center"/>
            <w:hideMark/>
          </w:tcPr>
          <w:p w14:paraId="3EF354C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8.6</w:t>
            </w:r>
          </w:p>
        </w:tc>
        <w:tc>
          <w:tcPr>
            <w:tcW w:w="993" w:type="dxa"/>
            <w:noWrap/>
            <w:vAlign w:val="center"/>
            <w:hideMark/>
          </w:tcPr>
          <w:p w14:paraId="1809495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12.7</w:t>
            </w:r>
          </w:p>
        </w:tc>
      </w:tr>
      <w:tr w:rsidR="002B3A3C" w:rsidRPr="00CD304F" w14:paraId="51BA853F" w14:textId="77777777" w:rsidTr="00924A5A">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8"/>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nil"/>
              <w:right w:val="nil"/>
            </w:tcBorders>
            <w:noWrap/>
            <w:vAlign w:val="center"/>
            <w:hideMark/>
          </w:tcPr>
          <w:p w14:paraId="796FD13A" w14:textId="77777777" w:rsidR="002B3A3C" w:rsidRPr="00CD304F" w:rsidRDefault="002B3A3C" w:rsidP="00924A5A">
            <w:pPr>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Muscle PPI + Muscle Gene Coexpression</w:t>
            </w:r>
          </w:p>
        </w:tc>
      </w:tr>
      <w:tr w:rsidR="002B3A3C" w:rsidRPr="00CD304F" w14:paraId="3E02B4E9" w14:textId="77777777" w:rsidTr="00924A5A">
        <w:trPr>
          <w:trHeight w:val="288"/>
        </w:trPr>
        <w:tc>
          <w:tcPr>
            <w:cnfStyle w:val="001000000000" w:firstRow="0" w:lastRow="0" w:firstColumn="1" w:lastColumn="0" w:oddVBand="0" w:evenVBand="0" w:oddHBand="0" w:evenHBand="0" w:firstRowFirstColumn="0" w:firstRowLastColumn="0" w:lastRowFirstColumn="0" w:lastRowLastColumn="0"/>
            <w:tcW w:w="2552" w:type="dxa"/>
            <w:tcBorders>
              <w:bottom w:val="single" w:sz="12" w:space="0" w:color="auto"/>
            </w:tcBorders>
            <w:noWrap/>
            <w:vAlign w:val="center"/>
            <w:hideMark/>
          </w:tcPr>
          <w:p w14:paraId="7B96A05E" w14:textId="77777777" w:rsidR="002B3A3C" w:rsidRPr="00CD304F" w:rsidRDefault="002B3A3C" w:rsidP="00924A5A">
            <w:pP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t xml:space="preserve">     </w:t>
            </w:r>
            <w:r w:rsidRPr="00CD304F">
              <w:rPr>
                <w:rFonts w:ascii="Calibri" w:eastAsia="Times New Roman" w:hAnsi="Calibri" w:cs="Calibri"/>
                <w:b w:val="0"/>
                <w:bCs w:val="0"/>
                <w:color w:val="000000"/>
                <w:sz w:val="18"/>
                <w:szCs w:val="18"/>
                <w:lang w:eastAsia="en-GB"/>
              </w:rPr>
              <w:t>IID + MyoMiner Cell U</w:t>
            </w:r>
          </w:p>
        </w:tc>
        <w:tc>
          <w:tcPr>
            <w:tcW w:w="1554" w:type="dxa"/>
            <w:tcBorders>
              <w:bottom w:val="single" w:sz="12" w:space="0" w:color="auto"/>
            </w:tcBorders>
            <w:noWrap/>
            <w:vAlign w:val="center"/>
            <w:hideMark/>
          </w:tcPr>
          <w:p w14:paraId="5C933839"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CD304F">
              <w:rPr>
                <w:rFonts w:ascii="Calibri" w:eastAsia="Times New Roman" w:hAnsi="Calibri" w:cs="Calibri"/>
                <w:b/>
                <w:bCs/>
                <w:color w:val="000000"/>
                <w:sz w:val="18"/>
                <w:szCs w:val="18"/>
                <w:lang w:eastAsia="en-GB"/>
              </w:rPr>
              <w:t>25.4</w:t>
            </w:r>
          </w:p>
        </w:tc>
        <w:tc>
          <w:tcPr>
            <w:tcW w:w="992" w:type="dxa"/>
            <w:tcBorders>
              <w:bottom w:val="single" w:sz="12" w:space="0" w:color="auto"/>
            </w:tcBorders>
            <w:noWrap/>
            <w:vAlign w:val="center"/>
            <w:hideMark/>
          </w:tcPr>
          <w:p w14:paraId="16E0C923"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25.4</w:t>
            </w:r>
          </w:p>
        </w:tc>
        <w:tc>
          <w:tcPr>
            <w:tcW w:w="709" w:type="dxa"/>
            <w:tcBorders>
              <w:bottom w:val="single" w:sz="12" w:space="0" w:color="auto"/>
            </w:tcBorders>
            <w:noWrap/>
            <w:vAlign w:val="center"/>
            <w:hideMark/>
          </w:tcPr>
          <w:p w14:paraId="489102CE"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59.3</w:t>
            </w:r>
          </w:p>
        </w:tc>
        <w:tc>
          <w:tcPr>
            <w:tcW w:w="851" w:type="dxa"/>
            <w:tcBorders>
              <w:bottom w:val="single" w:sz="12" w:space="0" w:color="auto"/>
            </w:tcBorders>
            <w:noWrap/>
            <w:vAlign w:val="center"/>
            <w:hideMark/>
          </w:tcPr>
          <w:p w14:paraId="7E25706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41.6</w:t>
            </w:r>
          </w:p>
        </w:tc>
        <w:tc>
          <w:tcPr>
            <w:tcW w:w="850" w:type="dxa"/>
            <w:tcBorders>
              <w:bottom w:val="single" w:sz="12" w:space="0" w:color="auto"/>
            </w:tcBorders>
            <w:noWrap/>
            <w:vAlign w:val="center"/>
            <w:hideMark/>
          </w:tcPr>
          <w:p w14:paraId="7D56EC6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11.6</w:t>
            </w:r>
          </w:p>
        </w:tc>
        <w:tc>
          <w:tcPr>
            <w:tcW w:w="567" w:type="dxa"/>
            <w:tcBorders>
              <w:bottom w:val="single" w:sz="12" w:space="0" w:color="auto"/>
            </w:tcBorders>
            <w:noWrap/>
            <w:vAlign w:val="center"/>
            <w:hideMark/>
          </w:tcPr>
          <w:p w14:paraId="0AB7E6F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14.9</w:t>
            </w:r>
          </w:p>
        </w:tc>
        <w:tc>
          <w:tcPr>
            <w:tcW w:w="567" w:type="dxa"/>
            <w:tcBorders>
              <w:bottom w:val="single" w:sz="12" w:space="0" w:color="auto"/>
            </w:tcBorders>
            <w:noWrap/>
            <w:vAlign w:val="center"/>
            <w:hideMark/>
          </w:tcPr>
          <w:p w14:paraId="4C253AF8"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25.8</w:t>
            </w:r>
          </w:p>
        </w:tc>
        <w:tc>
          <w:tcPr>
            <w:tcW w:w="709" w:type="dxa"/>
            <w:tcBorders>
              <w:bottom w:val="single" w:sz="12" w:space="0" w:color="auto"/>
            </w:tcBorders>
            <w:noWrap/>
            <w:vAlign w:val="center"/>
            <w:hideMark/>
          </w:tcPr>
          <w:p w14:paraId="4B542BBD"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8.3</w:t>
            </w:r>
          </w:p>
        </w:tc>
        <w:tc>
          <w:tcPr>
            <w:tcW w:w="850" w:type="dxa"/>
            <w:tcBorders>
              <w:bottom w:val="single" w:sz="12" w:space="0" w:color="auto"/>
            </w:tcBorders>
            <w:noWrap/>
            <w:vAlign w:val="center"/>
            <w:hideMark/>
          </w:tcPr>
          <w:p w14:paraId="771EBDDC"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9.2</w:t>
            </w:r>
          </w:p>
        </w:tc>
        <w:tc>
          <w:tcPr>
            <w:tcW w:w="993" w:type="dxa"/>
            <w:tcBorders>
              <w:bottom w:val="single" w:sz="12" w:space="0" w:color="auto"/>
            </w:tcBorders>
            <w:noWrap/>
            <w:vAlign w:val="center"/>
            <w:hideMark/>
          </w:tcPr>
          <w:p w14:paraId="716696B5"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19</w:t>
            </w:r>
          </w:p>
        </w:tc>
        <w:tc>
          <w:tcPr>
            <w:tcW w:w="708" w:type="dxa"/>
            <w:tcBorders>
              <w:bottom w:val="single" w:sz="12" w:space="0" w:color="auto"/>
            </w:tcBorders>
            <w:noWrap/>
            <w:vAlign w:val="center"/>
            <w:hideMark/>
          </w:tcPr>
          <w:p w14:paraId="07B08C47"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5.5</w:t>
            </w:r>
          </w:p>
        </w:tc>
        <w:tc>
          <w:tcPr>
            <w:tcW w:w="993" w:type="dxa"/>
            <w:tcBorders>
              <w:bottom w:val="single" w:sz="12" w:space="0" w:color="auto"/>
            </w:tcBorders>
            <w:noWrap/>
            <w:vAlign w:val="center"/>
            <w:hideMark/>
          </w:tcPr>
          <w:p w14:paraId="1B023046" w14:textId="77777777" w:rsidR="002B3A3C" w:rsidRPr="00CD304F" w:rsidRDefault="002B3A3C" w:rsidP="00924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CD304F">
              <w:rPr>
                <w:rFonts w:ascii="Calibri" w:eastAsia="Times New Roman" w:hAnsi="Calibri" w:cs="Calibri"/>
                <w:color w:val="000000"/>
                <w:sz w:val="18"/>
                <w:szCs w:val="18"/>
                <w:lang w:eastAsia="en-GB"/>
              </w:rPr>
              <w:t>14.6</w:t>
            </w:r>
          </w:p>
        </w:tc>
      </w:tr>
    </w:tbl>
    <w:p w14:paraId="08E3336D" w14:textId="77777777" w:rsidR="002B3A3C" w:rsidRDefault="002B3A3C" w:rsidP="002B3A3C">
      <w:pPr>
        <w:spacing w:line="240" w:lineRule="auto"/>
        <w:jc w:val="both"/>
        <w:rPr>
          <w:b/>
          <w:sz w:val="18"/>
          <w:szCs w:val="18"/>
        </w:rPr>
      </w:pPr>
    </w:p>
    <w:p w14:paraId="0F389BD7" w14:textId="77777777" w:rsidR="002B3A3C" w:rsidRPr="00735765" w:rsidRDefault="002B3A3C" w:rsidP="002B3A3C">
      <w:pPr>
        <w:spacing w:line="240" w:lineRule="auto"/>
        <w:jc w:val="both"/>
        <w:rPr>
          <w:b/>
          <w:sz w:val="18"/>
          <w:szCs w:val="18"/>
        </w:rPr>
      </w:pPr>
      <w:r w:rsidRPr="00735765">
        <w:rPr>
          <w:b/>
          <w:sz w:val="18"/>
          <w:szCs w:val="18"/>
        </w:rPr>
        <w:t xml:space="preserve">Table </w:t>
      </w:r>
      <w:r>
        <w:rPr>
          <w:b/>
          <w:sz w:val="18"/>
          <w:szCs w:val="18"/>
        </w:rPr>
        <w:t>4</w:t>
      </w:r>
      <w:r w:rsidRPr="00735765">
        <w:rPr>
          <w:b/>
          <w:sz w:val="18"/>
          <w:szCs w:val="18"/>
        </w:rPr>
        <w:t xml:space="preserve">. </w:t>
      </w:r>
      <w:r w:rsidRPr="006E494E">
        <w:rPr>
          <w:b/>
          <w:sz w:val="18"/>
          <w:szCs w:val="18"/>
        </w:rPr>
        <w:t xml:space="preserve">DIAMOnD recall percentage </w:t>
      </w:r>
      <w:r w:rsidRPr="00735765">
        <w:rPr>
          <w:b/>
          <w:sz w:val="18"/>
          <w:szCs w:val="18"/>
        </w:rPr>
        <w:t xml:space="preserve">of combined networks. </w:t>
      </w:r>
      <w:r>
        <w:rPr>
          <w:b/>
          <w:sz w:val="18"/>
          <w:szCs w:val="18"/>
        </w:rPr>
        <w:t>The m</w:t>
      </w:r>
      <w:r w:rsidRPr="00735765">
        <w:rPr>
          <w:b/>
          <w:sz w:val="18"/>
          <w:szCs w:val="18"/>
        </w:rPr>
        <w:t xml:space="preserve">edian </w:t>
      </w:r>
      <w:r>
        <w:rPr>
          <w:b/>
          <w:sz w:val="18"/>
          <w:szCs w:val="18"/>
        </w:rPr>
        <w:t>recall percentage</w:t>
      </w:r>
      <w:r w:rsidRPr="00735765">
        <w:rPr>
          <w:b/>
          <w:sz w:val="18"/>
          <w:szCs w:val="18"/>
        </w:rPr>
        <w:t xml:space="preserve"> across all selected muscle GO terms is given, then the </w:t>
      </w:r>
      <w:r>
        <w:rPr>
          <w:b/>
          <w:sz w:val="18"/>
          <w:szCs w:val="18"/>
        </w:rPr>
        <w:t>recall percentage</w:t>
      </w:r>
      <w:r w:rsidRPr="00735765">
        <w:rPr>
          <w:b/>
          <w:sz w:val="18"/>
          <w:szCs w:val="18"/>
        </w:rPr>
        <w:t xml:space="preserve"> for each individual GO term.</w:t>
      </w:r>
    </w:p>
    <w:p w14:paraId="09BF4646" w14:textId="77777777" w:rsidR="002B3A3C" w:rsidRDefault="002B3A3C" w:rsidP="002B3A3C">
      <w:pPr>
        <w:rPr>
          <w:lang w:val="en"/>
        </w:rPr>
      </w:pPr>
      <w:r>
        <w:rPr>
          <w:lang w:val="en"/>
        </w:rPr>
        <w:br w:type="page"/>
      </w:r>
    </w:p>
    <w:p w14:paraId="09F7A3A1" w14:textId="77777777" w:rsidR="002B3A3C" w:rsidRDefault="002B3A3C" w:rsidP="002B3A3C">
      <w:pPr>
        <w:jc w:val="both"/>
        <w:rPr>
          <w:lang w:val="en"/>
        </w:rPr>
        <w:sectPr w:rsidR="002B3A3C" w:rsidSect="00071D11">
          <w:type w:val="continuous"/>
          <w:pgSz w:w="16838" w:h="11906" w:orient="landscape"/>
          <w:pgMar w:top="1440" w:right="1440" w:bottom="1440" w:left="1440" w:header="709" w:footer="709" w:gutter="0"/>
          <w:cols w:space="708"/>
          <w:docGrid w:linePitch="360"/>
        </w:sectPr>
      </w:pPr>
    </w:p>
    <w:p w14:paraId="7C4D13CD" w14:textId="77777777" w:rsidR="002B3A3C" w:rsidRDefault="002B3A3C" w:rsidP="002B3A3C">
      <w:pPr>
        <w:jc w:val="both"/>
        <w:rPr>
          <w:lang w:val="en"/>
        </w:rPr>
      </w:pPr>
      <w:r>
        <w:rPr>
          <w:lang w:val="en"/>
        </w:rPr>
        <w:t xml:space="preserve">As an example of the additional biological information that may be retrieved by the DSD clustering algorithm when applied to the combined networks as opposed to their separate constituent networks, we compared the clusters that were enriched in genes of the T-tubule GO term (Figure 4, and downloadable as a Cytoscape session file from </w:t>
      </w:r>
      <w:hyperlink r:id="rId45" w:history="1">
        <w:r w:rsidRPr="00E04B7B">
          <w:rPr>
            <w:rStyle w:val="Hyperlink"/>
          </w:rPr>
          <w:t>https://www.sys-myo.com/myominer/</w:t>
        </w:r>
        <w:r w:rsidRPr="009739D4">
          <w:rPr>
            <w:rStyle w:val="Hyperlink"/>
          </w:rPr>
          <w:t>download.php</w:t>
        </w:r>
      </w:hyperlink>
      <w:r>
        <w:rPr>
          <w:lang w:val="en"/>
        </w:rPr>
        <w:t xml:space="preserve">). For each constituent network, the cluster having the greatest enrichment of T-tubule genes contained T-tubule genes numbering 12 for STRING (q-value 16.3), 5 for COXPRESdb (q-value 2.2), and 5 for MyoMiner (q-value 3.3). The combined networks produced top-hit T-tubule clusters which were larger but had proportionately better representation of T-tubule genes: 22 for STRING + CoXPRESdb NF (q-value 27.7), and 21 for STRING + MyoMiner Cell NF (q-value 25.3). We note that this trend was not observed for all of the selected muscle GO terms, and we provide a similar network cluster graph for the GO </w:t>
      </w:r>
      <w:r w:rsidRPr="00E04B7B">
        <w:rPr>
          <w:lang w:val="en"/>
        </w:rPr>
        <w:t xml:space="preserve">term ‘Skeletal Muscle Cell Differentiation’ as a counter-example (downloadable from </w:t>
      </w:r>
      <w:hyperlink r:id="rId46" w:history="1">
        <w:r w:rsidRPr="00E04B7B">
          <w:rPr>
            <w:rStyle w:val="Hyperlink"/>
          </w:rPr>
          <w:t>https://www.sys-myo.com/myominer/download.php</w:t>
        </w:r>
      </w:hyperlink>
      <w:r w:rsidRPr="00E04B7B">
        <w:rPr>
          <w:lang w:val="en"/>
        </w:rPr>
        <w:t xml:space="preserve">). Examination </w:t>
      </w:r>
      <w:r>
        <w:rPr>
          <w:lang w:val="en"/>
        </w:rPr>
        <w:t xml:space="preserve">of the genes involved in the T-tubule clusters suggests that STRING by itself yielded a cluster that was rich in calcium channel subunit encoding genes, such as </w:t>
      </w:r>
      <w:r w:rsidRPr="0050472A">
        <w:rPr>
          <w:lang w:val="en"/>
        </w:rPr>
        <w:t>CACNB3</w:t>
      </w:r>
      <w:r>
        <w:rPr>
          <w:lang w:val="en"/>
        </w:rPr>
        <w:t xml:space="preserve">, </w:t>
      </w:r>
      <w:r w:rsidRPr="0050472A">
        <w:rPr>
          <w:lang w:val="en"/>
        </w:rPr>
        <w:t>CACNA1C</w:t>
      </w:r>
      <w:r>
        <w:rPr>
          <w:lang w:val="en"/>
        </w:rPr>
        <w:t xml:space="preserve">, and </w:t>
      </w:r>
      <w:r w:rsidRPr="0050472A">
        <w:rPr>
          <w:lang w:val="en"/>
        </w:rPr>
        <w:t>CACNA1D</w:t>
      </w:r>
      <w:r>
        <w:rPr>
          <w:lang w:val="en"/>
        </w:rPr>
        <w:t>, the proteins of which physically bind with each other to form voltage-dependent L-type calcium channels which are found at high concentrations in the T-tubules of skeletal muscle. The co-expression networks, MyoMiner and CoXPRES, individually yielded clusters containing other key T-tubule elements that did not necessarily bind directly, such as the ryanodine receptor (RYR1), caveolin 3 (CAV3), or calsequestrin-1 calcium-storage protein (CASQ1). The combined network yielded a cluster drawing in not only the L-type calcium channel subunits, but also other structures and functions, such as calsequestrin, potassium channels (KCN3, KCN5, KCN11), sodium channels (SCN1B, SCN2A, SCN5A), and sodium/calcium exchanger (SLC8A1).</w:t>
      </w:r>
    </w:p>
    <w:p w14:paraId="33FDA825" w14:textId="77777777" w:rsidR="002B3A3C" w:rsidRDefault="002B3A3C" w:rsidP="002B3A3C">
      <w:pPr>
        <w:jc w:val="both"/>
        <w:rPr>
          <w:lang w:val="en"/>
        </w:rPr>
      </w:pPr>
      <w:r>
        <w:rPr>
          <w:noProof/>
          <w:lang w:val="en"/>
        </w:rPr>
        <w:drawing>
          <wp:inline distT="0" distB="0" distL="0" distR="0" wp14:anchorId="53768A87" wp14:editId="05AD42F3">
            <wp:extent cx="5731510" cy="3618230"/>
            <wp:effectExtent l="0" t="0" r="2540" b="1270"/>
            <wp:docPr id="9" name="Picture 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ubbl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p>
    <w:p w14:paraId="252852E8" w14:textId="77777777" w:rsidR="002B3A3C" w:rsidRDefault="002B3A3C" w:rsidP="002B3A3C">
      <w:pPr>
        <w:jc w:val="both"/>
        <w:rPr>
          <w:b/>
          <w:sz w:val="18"/>
          <w:lang w:val="en"/>
        </w:rPr>
      </w:pPr>
      <w:r>
        <w:rPr>
          <w:b/>
          <w:sz w:val="18"/>
          <w:lang w:val="en"/>
        </w:rPr>
        <w:t>Figure 4: DSD kernel clusters with the highest enrichment of T-Tubule genes for different MINs. Clusters are shown for the top performing combined MINs ranked by capture of muscle GO terms (STRING + MyoMiner NF, and STRING + CoEXPRESdb NF; lower two clusters) as well as their constituent networks (upper three clusters). The nodes colored in red represent genes that are annotated to the T-tubule GO term, and these nodes are labeled with their gene symbols. Blue unlabeled nodes represent the remaining genes of each cluster, which are not annotated to the T-Tubule GO term. Although containing more nodes, the clusters from the combined networks have proportionately greater representation of T-tubule genes.</w:t>
      </w:r>
    </w:p>
    <w:p w14:paraId="1701625B" w14:textId="77777777" w:rsidR="002B3A3C" w:rsidRDefault="002B3A3C" w:rsidP="002B3A3C">
      <w:pPr>
        <w:jc w:val="both"/>
        <w:rPr>
          <w:b/>
        </w:rPr>
      </w:pPr>
    </w:p>
    <w:p w14:paraId="2B26E8E5" w14:textId="77777777" w:rsidR="002B3A3C" w:rsidRPr="00AC4916" w:rsidRDefault="002B3A3C" w:rsidP="002B3A3C">
      <w:pPr>
        <w:pStyle w:val="Heading1"/>
        <w:jc w:val="both"/>
        <w:rPr>
          <w:b/>
        </w:rPr>
      </w:pPr>
      <w:r>
        <w:t>Discussion</w:t>
      </w:r>
    </w:p>
    <w:p w14:paraId="0EC156A3" w14:textId="77777777" w:rsidR="002B3A3C" w:rsidRDefault="002B3A3C" w:rsidP="002B3A3C">
      <w:pPr>
        <w:spacing w:after="0"/>
        <w:jc w:val="both"/>
      </w:pPr>
      <w:r>
        <w:t xml:space="preserve">The present study considered 28 different Molecular Interaction Networks generated from 6 public sources of functional association data, and a further 8 combined MINs created by the fusion of data from pairs of those sources, each pair derived from one source of protein-protein interactions and one of gene co-expression, the aim being to establish whether a combined MIN from different sources could outperform its constituent MINs. Two performance metrics were defined to compare MINs based on the outcomes of different clustering algorithms (DSD and DIAMOnD), testing the extent to which the resultant clusters captured muscle-related GO terms. In this way, the MINs most suitable for the capture of muscle-related biological processes and cell compartments were identified from among those tested. Among the single-source MINs, STRING was consistently the best performing. The combination of STRING with MyoMiner was the only combined network that notably outperformed STRING alone when compared under the DIAMOnD clustering approach, and the STRING plus MyoMiner combination was the second-top performer under DSD. The combination of STRING with the tissue-generic gene co-expression network CoXPRESSdb also performed very well under both clustering approaches. This study establishes that the combination of multiple types of functional association can improve the capacity of MINs to represent muscle-related biological processes. Optimized combined networks are available for download from </w:t>
      </w:r>
      <w:hyperlink r:id="rId47" w:history="1">
        <w:r w:rsidRPr="00E04B7B">
          <w:rPr>
            <w:rStyle w:val="Hyperlink"/>
          </w:rPr>
          <w:t>https://www.sys-myo.com/myominer/download.php</w:t>
        </w:r>
      </w:hyperlink>
      <w:r>
        <w:t>.</w:t>
      </w:r>
    </w:p>
    <w:p w14:paraId="2A255C98" w14:textId="77777777" w:rsidR="002B3A3C" w:rsidRDefault="002B3A3C" w:rsidP="002B3A3C">
      <w:pPr>
        <w:spacing w:after="0"/>
        <w:jc w:val="both"/>
      </w:pPr>
      <w:r>
        <w:t xml:space="preserve">Many metrics could be used to compare the biological relevance of different networks. The approach chosen here was inspired by that used in the DREAM Disease Module Identification challenge </w:t>
      </w:r>
      <w:r>
        <w:fldChar w:fldCharType="begin" w:fldLock="1"/>
      </w:r>
      <w: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mendeley":{"formattedCitation":"(47)","plainTextFormattedCitation":"(47)","previouslyFormattedCitation":"(47)"},"properties":{"noteIndex":0},"schema":"https://github.com/citation-style-language/schema/raw/master/csl-citation.json"}</w:instrText>
      </w:r>
      <w:r>
        <w:fldChar w:fldCharType="separate"/>
      </w:r>
      <w:r w:rsidRPr="006523A5">
        <w:rPr>
          <w:noProof/>
        </w:rPr>
        <w:t>(47)</w:t>
      </w:r>
      <w:r>
        <w:fldChar w:fldCharType="end"/>
      </w:r>
      <w:r>
        <w:t xml:space="preserve">, where clustering algorithms and networks were compared against each other for their capacity to generate clusters enriched for disease-associated genes (from GWAS studies). The DSD clustering approach was chosen in the present study because it was the top-performing method identified by the DREAM challenge. A second algorithm, DIAMOnD, was chosen because the connectivity significance measure on which it is based represents a quite distinct approach, and the manner in which DIAMOnD builds a single cluster for a given network and seed list, using iterative growth from seed nodes, offered a similarly distinct, recall-based, scoring mechanism (as opposed to multiple clusters per network and enrichment-based scoring that we applied for the DSD algorithm). We note that it could be of interest in future to extend our analysis to all three top-performing methods from the DREAM </w:t>
      </w:r>
      <w:r w:rsidRPr="009E4629">
        <w:t>Disease Module Identification</w:t>
      </w:r>
      <w:r>
        <w:t xml:space="preserve"> challenge, which are now implemented in the MONET toolbox </w:t>
      </w:r>
      <w:r>
        <w:fldChar w:fldCharType="begin" w:fldLock="1"/>
      </w:r>
      <w:r>
        <w:instrText>ADDIN CSL_CITATION {"citationItems":[{"id":"ITEM-1","itemData":{"DOI":"10.1093/bioinformatics/btaa236","ISSN":"1367-4803","author":[{"dropping-particle":"","family":"Tomasoni","given":"Mattia","non-dropping-particle":"","parse-names":false,"suffix":""},{"dropping-particle":"","family":"Gómez","given":"Sergio","non-dropping-particle":"","parse-names":false,"suffix":""},{"dropping-particle":"","family":"Crawford","given":"Jake","non-dropping-particle":"","parse-names":false,"suffix":""},{"dropping-particle":"","family":"Zhang","given":"Weijia","non-dropping-particle":"","parse-names":false,"suffix":""},{"dropping-particle":"","family":"Choobdar","given":"Sarvenaz","non-dropping-particle":"","parse-names":false,"suffix":""},{"dropping-particle":"","family":"Marbach","given":"Daniel","non-dropping-particle":"","parse-names":false,"suffix":""},{"dropping-particle":"","family":"Bergmann","given":"Sven","non-dropping-particle":"","parse-names":false,"suffix":""}],"container-title":"Bioinformatics","editor":[{"dropping-particle":"","family":"Luigi Martelli","given":"Pier","non-dropping-particle":"","parse-names":false,"suffix":""}],"id":"ITEM-1","issue":"12","issued":{"date-parts":[["2020","6","1"]]},"page":"3920-3921","title":"MONET: a toolbox integrating top-performing methods for network modularization","type":"article-journal","volume":"36"},"uris":["http://www.mendeley.com/documents/?uuid=a2395778-eec8-4169-a1f0-83fe3538f7e0"]}],"mendeley":{"formattedCitation":"(48)","plainTextFormattedCitation":"(48)"},"properties":{"noteIndex":0},"schema":"https://github.com/citation-style-language/schema/raw/master/csl-citation.json"}</w:instrText>
      </w:r>
      <w:r>
        <w:fldChar w:fldCharType="separate"/>
      </w:r>
      <w:r w:rsidRPr="009E4629">
        <w:rPr>
          <w:noProof/>
        </w:rPr>
        <w:t>(48)</w:t>
      </w:r>
      <w:r>
        <w:fldChar w:fldCharType="end"/>
      </w:r>
      <w:r>
        <w:t>.</w:t>
      </w:r>
    </w:p>
    <w:p w14:paraId="765E0197" w14:textId="77777777" w:rsidR="002B3A3C" w:rsidRDefault="002B3A3C" w:rsidP="002B3A3C">
      <w:pPr>
        <w:spacing w:after="0"/>
        <w:jc w:val="both"/>
      </w:pPr>
      <w:r>
        <w:t xml:space="preserve">Whereas the DREAM challenge tested for enrichment of disease-associated genes from GWAS studies, we tested against muscle-related GO terms. This choice was made because neuromuscular diseases tend to be monogenic, with a single genetic locus being responsible for the disease in each patient, so GWAS studies of muscle disease are less common compared to the majority of human disease for which the genetic contribution is polygenic (and for which it is therefore more useful to study genome-wide associations). The advantage of GWAS data in this context, and the reason it was chosen by the authors of the DREAM challenge, is that it is independent of the experimental evidence base on which functional association databases are constructed. Gene Ontology annotations are based on a variety of evidence types, and are sometimes transferred across genes or between species based on sequence homology, but are always supported by at least one publication establishing the basic relationship of a gene to a process, function, or cell compartment </w:t>
      </w:r>
      <w:r>
        <w:fldChar w:fldCharType="begin" w:fldLock="1"/>
      </w:r>
      <w: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diseases.","type":"article-journal","volume":"16"},"uris":["http://www.mendeley.com/documents/?uuid=773d1801-d285-4f69-8118-da29c31cf2b1"]},{"id":"ITEM-2","itemData":{"DOI":"10.1093/nar/gkaa1113","ISSN":"0305-1048","abstract":"The Gene Ontology Consortium (GOC) provides the most comprehensive resource currently available for computable knowledge regarding the functions of genes and gene products. Here, we report the advances of the consortium over the past two years. The new GO-CAM annotation framework was notably improved, and we formalized the model with a computational schema to check and validate the rapidly increasing repository of 2838 GO-CAMs. In addition, we describe the impacts of several collaborations to refine GO and report a 10% increase in the number of GO annotations, a 25% increase in annotated gene products, and over 9,400 new scientific articles annotated. As the project matures, we continue our efforts to review older annotations in light of newer findings, and, to maintain consistency with other ontologies. As a result, 20 000 annotations derived from experimental data were reviewed, corresponding to 2.5% of experimental GO annotations. The website (http://geneontology.org) was redesigned for quick access to documentation, downloads and tools. To maintain an accurate resource and support traceability and reproducibility, we have made available a historical archive covering the past 15 years of GO data with a consistent format and file structure for both the ontology and annotations.","author":[{"dropping-particle":"","family":"Carbon","given":"Seth","non-dropping-particle":"","parse-names":false,"suffix":""},{"dropping-particle":"","family":"Douglass","given":"Eric","non-dropping-particle":"","parse-names":false,"suffix":""},{"dropping-particle":"","family":"Good","given":"Benjamin M","non-dropping-particle":"","parse-names":false,"suffix":""},{"dropping-particle":"","family":"Unni","given":"Deepak R","non-dropping-particle":"","parse-names":false,"suffix":""},{"dropping-particle":"","family":"Harris","given":"Nomi L","non-dropping-particle":"","parse-names":false,"suffix":""},{"dropping-particle":"","family":"Mungall","given":"Christopher J","non-dropping-particle":"","parse-names":false,"suffix":""},{"dropping-particle":"","family":"Basu","given":"Siddartha","non-dropping-particle":"","parse-names":false,"suffix":""},{"dropping-particle":"","family":"Chisholm","given":"Rex L","non-dropping-particle":"","parse-names":false,"suffix":""},{"dropping-particle":"","family":"Dodson","given":"Robert J","non-dropping-particle":"","parse-names":false,"suffix":""},{"dropping-particle":"","family":"Hartline","given":"Eric","non-dropping-particle":"","parse-names":false,"suffix":""},{"dropping-particle":"","family":"Fey","given":"Petra","non-dropping-particle":"","parse-names":false,"suffix":""},{"dropping-particle":"","family":"Thomas","given":"Paul D","non-dropping-particle":"","parse-names":false,"suffix":""},{"dropping-particle":"","family":"Albou","given":"Laurent-Philippe","non-dropping-particle":"","parse-names":false,"suffix":""},{"dropping-particle":"","family":"Ebert","given":"Dustin","non-dropping-particle":"","parse-names":false,"suffix":""},{"dropping-particle":"","family":"Kesling","given":"Michael J","non-dropping-particle":"","parse-names":false,"suffix":""},{"dropping-particle":"","family":"Mi","given":"Huaiyu","non-dropping-particle":"","parse-names":false,"suffix":""},{"dropping-particle":"","family":"Muruganujan","given":"Anushya","non-dropping-particle":"","parse-names":false,"suffix":""},{"dropping-particle":"","family":"Huang","given":"Xiaosong","non-dropping-particle":"","parse-names":false,"suffix":""},{"dropping-particle":"","family":"Mushayahama","given":"Tremayne","non-dropping-particle":"","parse-names":false,"suffix":""},{"dropping-particle":"","family":"LaBonte","given":"Sandra A","non-dropping-particle":"","parse-names":false,"suffix":""},{"dropping-particle":"","family":"Siegele","given":"Deborah A","non-dropping-particle":"","parse-names":false,"suffix":""},{"dropping-particle":"","family":"Antonazzo","given":"Giulia","non-dropping-particle":"","parse-names":false,"suffix":""},{"dropping-particle":"","family":"Attrill","given":"Helen","non-dropping-particle":"","parse-names":false,"suffix":""},{"dropping-particle":"","family":"Brown","given":"Nick H","non-dropping-particle":"","parse-names":false,"suffix":""},{"dropping-particle":"","family":"Garapati","given":"Phani","non-dropping-particle":"","parse-names":false,"suffix":""},{"dropping-particle":"","family":"Marygold","given":"Steven J","non-dropping-particle":"","parse-names":false,"suffix":""},{"dropping-particle":"","family":"Trovisco","given":"Vitor","non-dropping-particle":"","parse-names":false,"suffix":""},{"dropping-particle":"","family":"Santos","given":"Gil","non-dropping-particle":"dos","parse-names":false,"suffix":""},{"dropping-particle":"","family":"Falls","given":"Kathleen","non-dropping-particle":"","parse-names":false,"suffix":""},{"dropping-particle":"","family":"Tabone","given":"Christopher","non-dropping-particle":"","parse-names":false,"suffix":""},{"dropping-particle":"","family":"Zhou","given":"Pinglei","non-dropping-particle":"","parse-names":false,"suffix":""},{"dropping-particle":"","family":"Goodman","given":"Joshua L","non-dropping-particle":"","parse-names":false,"suffix":""},{"dropping-particle":"","family":"Strelets","given":"Victor B","non-dropping-particle":"","parse-names":false,"suffix":""},{"dropping-particle":"","family":"Thurmond","given":"Jim","non-dropping-particle":"","parse-names":false,"suffix":""},{"dropping-particle":"","family":"Garmiri","given":"Penelope","non-dropping-particle":"","parse-names":false,"suffix":""},{"dropping-particle":"","family":"Ishtiaq","given":"Rizwan","non-dropping-particle":"","parse-names":false,"suffix":""},{"dropping-particle":"","family":"Rodríguez-López","given":"Milagros","non-dropping-particle":"","parse-names":false,"suffix":""},{"dropping-particle":"","family":"Acencio","given":"Marcio L","non-dropping-particle":"","parse-names":false,"suffix":""},{"dropping-particle":"","family":"Kuiper","given":"Martin","non-dropping-particle":"","parse-names":false,"suffix":""},{"dropping-particle":"","family":"Lægreid","given":"Astrid","non-dropping-particle":"","parse-names":false,"suffix":""},{"dropping-particle":"","family":"Logie","given":"Colin","non-dropping-particle":"","parse-names":false,"suffix":""},{"dropping-particle":"","family":"Lovering","given":"Ruth C","non-dropping-particle":"","parse-names":false,"suffix":""},{"dropping-particle":"","family":"Kramarz","given":"Barbara","non-dropping-particle":"","parse-names":false,"suffix":""},{"dropping-particle":"","family":"Saverimuttu","given":"Shirin C C","non-dropping-particle":"","parse-names":false,"suffix":""},{"dropping-particle":"","family":"Pinheiro","given":"Sandra M","non-dropping-particle":"","parse-names":false,"suffix":""},{"dropping-particle":"","family":"Gunn","given":"Heather","non-dropping-particle":"","parse-names":false,"suffix":""},{"dropping-particle":"","family":"Su","given":"Renzhi","non-dropping-particle":"","parse-names":false,"suffix":""},{"dropping-particle":"","family":"Thurlow","given":"Katherine E","non-dropping-particle":"","parse-names":false,"suffix":""},{"dropping-particle":"","family":"Chibucos","given":"Marcus","non-dropping-particle":"","parse-names":false,"suffix":""},{"dropping-particle":"","family":"Giglio","given":"Michelle","non-dropping-particle":"","parse-names":false,"suffix":""},{"dropping-particle":"","family":"Nadendla","given":"Suvarna","non-dropping-particle":"","parse-names":false,"suffix":""},{"dropping-particle":"","family":"Munro","given":"James","non-dropping-particle":"","parse-names":false,"suffix":""},{"dropping-particle":"","family":"Jackson","given":"Rebecca","non-dropping-particle":"","parse-names":false,"suffix":""},{"dropping-particle":"","family":"Duesbury","given":"Margaret J","non-dropping-particle":"","parse-names":false,"suffix":""},{"dropping-particle":"","family":"Del-Toro","given":"Noemi","non-dropping-particle":"","parse-names":false,"suffix":""},{"dropping-particle":"","family":"Meldal","given":"Birgit H M","non-dropping-particle":"","parse-names":false,"suffix":""},{"dropping-particle":"","family":"Paneerselvam","given":"Kalpana","non-dropping-particle":"","parse-names":false,"suffix":""},{"dropping-particle":"","family":"Perfetto","given":"Livia","non-dropping-particle":"","parse-names":false,"suffix":""},{"dropping-particle":"","family":"Porras","given":"Pablo","non-dropping-particle":"","parse-names":false,"suffix":""},{"dropping-particle":"","family":"Orchard","given":"Sandra","non-dropping-particle":"","parse-names":false,"suffix":""},{"dropping-particle":"","family":"Shrivastava","given":"Anjali","non-dropping-particle":"","parse-names":false,"suffix":""},{"dropping-particle":"","family":"Chang","given":"Hsin-Yu","non-dropping-particle":"","parse-names":false,"suffix":""},{"dropping-particle":"","family":"Finn","given":"Robert Daniel","non-dropping-particle":"","parse-names":false,"suffix":""},{"dropping-particle":"","family":"Mitchell","given":"Alexander Lawson","non-dropping-particle":"","parse-names":false,"suffix":""},{"dropping-particle":"","family":"Rawlings","given":"Neil David","non-dropping-particle":"","parse-names":false,"suffix":""},{"dropping-particle":"","family":"Richardson","given":"Lorna","non-dropping-particle":"","parse-names":false,"suffix":""},{"dropping-particle":"","family":"Sangrador-Vegas","given":"Amaia","non-dropping-particle":"","parse-names":false,"suffix":""},{"dropping-particle":"","family":"Blake","given":"Judith A","non-dropping-particle":"","parse-names":false,"suffix":""},{"dropping-particle":"","family":"Christie","given":"Karen R","non-dropping-particle":"","parse-names":false,"suffix":""},{"dropping-particle":"","family":"Dolan","given":"Mary E","non-dropping-particle":"","parse-names":false,"suffix":""},{"dropping-particle":"","family":"Drabkin","given":"Harold J","non-dropping-particle":"","parse-names":false,"suffix":""},{"dropping-particle":"","family":"Hill","given":"David P","non-dropping-particle":"","parse-names":false,"suffix":""},{"dropping-particle":"","family":"Ni","given":"Li","non-dropping-particle":"","parse-names":false,"suffix":""},{"dropping-particle":"","family":"Sitnikov","given":"Dmitry M","non-dropping-particle":"","parse-names":false,"suffix":""},{"dropping-particle":"","family":"Harris","given":"Midori A","non-dropping-particle":"","parse-names":false,"suffix":""},{"dropping-particle":"","family":"Oliver","given":"Stephen G","non-dropping-particle":"","parse-names":false,"suffix":""},{"dropping-particle":"","family":"Rutherford","given":"Kim","non-dropping-particle":"","parse-names":false,"suffix":""},{"dropping-particle":"","family":"Wood","given":"Valerie","non-dropping-particle":"","parse-names":false,"suffix":""},{"dropping-particle":"","family":"Hayles","given":"Jaqueline","non-dropping-particle":"","parse-names":false,"suffix":""},{"dropping-particle":"","family":"Bähler","given":"Jürg","non-dropping-particle":"","parse-names":false,"suffix":""},{"dropping-particle":"","family":"Bolton","given":"Elizabeth R","non-dropping-particle":"","parse-names":false,"suffix":""},{"dropping-particle":"","family":"Pons","given":"Jeffery L","non-dropping-particle":"De","parse-names":false,"suffix":""},{"dropping-particle":"","family":"Dwinell","given":"Melinda R","non-dropping-particle":"","parse-names":false,"suffix":""},{"dropping-particle":"","family":"Hayman","given":"G Thomas","non-dropping-particle":"","parse-names":false,"suffix":""},{"dropping-particle":"","family":"Kaldunski","given":"Mary L","non-dropping-particle":"","parse-names":false,"suffix":""},{"dropping-particle":"","family":"Kwitek","given":"Anne E","non-dropping-particle":"","parse-names":false,"suffix":""},{"dropping-particle":"","family":"Laulederkind","given":"Stanley J F","non-dropping-particle":"","parse-names":false,"suffix":""},{"dropping-particle":"","family":"Plasterer","given":"Cody","non-dropping-particle":"","parse-names":false,"suffix":""},{"dropping-particle":"","family":"Tutaj","given":"Marek A","non-dropping-particle":"","parse-names":false,"suffix":""},{"dropping-particle":"","family":"Vedi","given":"Mahima","non-dropping-particle":"","parse-names":false,"suffix":""},{"dropping-particle":"","family":"Wang","given":"Shur-Jen","non-dropping-particle":"","parse-names":false,"suffix":""},{"dropping-particle":"","family":"D’Eustachio","given":"Peter","non-dropping-particle":"","parse-names":false,"suffix":""},{"dropping-particle":"","family":"Matthews","given":"Lisa","non-dropping-particle":"","parse-names":false,"suffix":""},{"dropping-particle":"","family":"Balhoff","given":"James P","non-dropping-particle":"","parse-names":false,"suffix":""},{"dropping-particle":"","family":"Aleksander","given":"Suzi A","non-dropping-particle":"","parse-names":false,"suffix":""},{"dropping-particle":"","family":"Alexander","given":"Michael J","non-dropping-particle":"","parse-names":false,"suffix":""},{"dropping-particle":"","family":"Cherry","given":"J Michael","non-dropping-particle":"","parse-names":false,"suffix":""},{"dropping-particle":"","family":"Engel","given":"Stacia R","non-dropping-particle":"","parse-names":false,"suffix":""},{"dropping-particle":"","family":"Gondwe","given":"Felix","non-dropping-particle":"","parse-names":false,"suffix":""},{"dropping-particle":"","family":"Karra","given":"Kalpana","non-dropping-particle":"","parse-names":false,"suffix":""},{"dropping-particle":"","family":"Miyasato","given":"Stuart R","non-dropping-particle":"","parse-names":false,"suffix":""},{"dropping-particle":"","family":"Nash","given":"Robert S","non-dropping-particle":"","parse-names":false,"suffix":""},{"dropping-particle":"","family":"Simison","given":"Matt","non-dropping-particle":"","parse-names":false,"suffix":""},{"dropping-particle":"","family":"Skrzypek","given":"Marek S","non-dropping-particle":"","parse-names":false,"suffix":""},{"dropping-particle":"","family":"Weng","given":"Shuai","non-dropping-particle":"","parse-names":false,"suffix":""},{"dropping-particle":"","family":"Wong","given":"Edith D","non-dropping-particle":"","parse-names":false,"suffix":""},{"dropping-particle":"","family":"Feuermann","given":"Marc","non-dropping-particle":"","parse-names":false,"suffix":""},{"dropping-particle":"","family":"Gaudet","given":"Pascale","non-dropping-particle":"","parse-names":false,"suffix":""},{"dropping-particle":"","family":"Morgat","given":"Anne","non-dropping-particle":"","parse-names":false,"suffix":""},{"dropping-particle":"","family":"Bakker","given":"Erica","non-dropping-particle":"","parse-names":false,"suffix":""},{"dropping-particle":"","family":"Berardini","given":"Tanya Z","non-dropping-particle":"","parse-names":false,"suffix":""},{"dropping-particle":"","family":"Reiser","given":"Leonore","non-dropping-particle":"","parse-names":false,"suffix":""},{"dropping-particle":"","family":"Subramaniam","given":"Shabari","non-dropping-particle":"","parse-names":false,"suffix":""},{"dropping-particle":"","family":"Huala","given":"Eva","non-dropping-particle":"","parse-names":false,"suffix":""},{"dropping-particle":"","family":"Arighi","given":"Cecilia N","non-dropping-particle":"","parse-names":false,"suffix":""},{"dropping-particle":"","family":"Auchincloss","given":"Andrea","non-dropping-particle":"","parse-names":false,"suffix":""},{"dropping-particle":"","family":"Axelsen","given":"Kristian","non-dropping-particle":"","parse-names":false,"suffix":""},{"dropping-particle":"","family":"Argoud-Puy","given":"Ghislaine","non-dropping-particle":"","parse-names":false,"suffix":""},{"dropping-particle":"","family":"Bateman","given":"Alex","non-dropping-particle":"","parse-names":false,"suffix":""},{"dropping-particle":"","family":"Blatter","given":"Marie-Claude","non-dropping-particle":"","parse-names":false,"suffix":""},{"dropping-particle":"","family":"Boutet","given":"Emmanuel","non-dropping-particle":"","parse-names":false,"suffix":""},{"dropping-particle":"","family":"Bowler","given":"Emily","non-dropping-particle":"","parse-names":false,"suffix":""},{"dropping-particle":"","family":"Breuza","given":"Lionel","non-dropping-particle":"","parse-names":false,"suffix":""},{"dropping-particle":"","family":"Bridge","given":"Alan","non-dropping-particle":"","parse-names":false,"suffix":""},{"dropping-particle":"","family":"Britto","given":"Ramona","non-dropping-particle":"","parse-names":false,"suffix":""},{"dropping-particle":"","family":"Bye-A-Jee","given":"Hema","non-dropping-particle":"","parse-names":false,"suffix":""},{"dropping-particle":"","family":"Casas","given":"Cristina Casals","non-dropping-particle":"","parse-names":false,"suffix":""},{"dropping-particle":"","family":"Coudert","given":"Elisabeth","non-dropping-particle":"","parse-names":false,"suffix":""},{"dropping-particle":"","family":"Denny","given":"Paul","non-dropping-particle":"","parse-names":false,"suffix":""},{"dropping-particle":"","family":"Estreicher","given":"Anne","non-dropping-particle":"","parse-names":false,"suffix":""},{"dropping-particle":"","family":"Famiglietti","given":"Maria Livia","non-dropping-particle":"","parse-names":false,"suffix":""},{"dropping-particle":"","family":"Georghiou","given":"George","non-dropping-particle":"","parse-names":false,"suffix":""},{"dropping-particle":"","family":"Gos","given":"Arnaud","non-dropping-particle":"","parse-names":false,"suffix":""},{"dropping-particle":"","family":"Gruaz-Gumowski","given":"Nadine","non-dropping-particle":"","parse-names":false,"suffix":""},{"dropping-particle":"","family":"Hatton-Ellis","given":"Emma","non-dropping-particle":"","parse-names":false,"suffix":""},{"dropping-particle":"","family":"Hulo","given":"Chantal","non-dropping-particle":"","parse-names":false,"suffix":""},{"dropping-particle":"","family":"Ignatchenko","given":"Alexandr","non-dropping-particle":"","parse-names":false,"suffix":""},{"dropping-particle":"","family":"Jungo","given":"Florence","non-dropping-particle":"","parse-names":false,"suffix":""},{"dropping-particle":"","family":"Laiho","given":"Kati","non-dropping-particle":"","parse-names":false,"suffix":""},{"dropping-particle":"","family":"Mercier","given":"Philippe","non-dropping-particle":"Le","parse-names":false,"suffix":""},{"dropping-particle":"","family":"Lieberherr","given":"Damien","non-dropping-particle":"","parse-names":false,"suffix":""},{"dropping-particle":"","family":"Lock","given":"Antonia","non-dropping-particle":"","parse-names":false,"suffix":""},{"dropping-particle":"","family":"Lussi","given":"Yvonne","non-dropping-particle":"","parse-names":false,"suffix":""},{"dropping-particle":"","family":"MacDougall","given":"Alistair","non-dropping-particle":"","parse-names":false,"suffix":""},{"dropping-particle":"","family":"Magrane","given":"Michele","non-dropping-particle":"","parse-names":false,"suffix":""},{"dropping-particle":"","family":"Martin","given":"Maria J","non-dropping-particle":"","parse-names":false,"suffix":""},{"dropping-particle":"","family":"Masson","given":"Patrick","non-dropping-particle":"","parse-names":false,"suffix":""},{"dropping-particle":"","family":"Natale","given":"Darren A","non-dropping-particle":"","parse-names":false,"suffix":""},{"dropping-particle":"","family":"Hyka-Nouspikel","given":"Nevila","non-dropping-particle":"","parse-names":false,"suffix":""},{"dropping-particle":"","family":"Orchard","given":"Sandra","non-dropping-particle":"","parse-names":false,"suffix":""},{"dropping-particle":"","family":"Pedruzzi","given":"Ivo","non-dropping-particle":"","parse-names":false,"suffix":""},{"dropping-particle":"","family":"Pourcel","given":"Lucille","non-dropping-particle":"","parse-names":false,"suffix":""},{"dropping-particle":"","family":"Poux","given":"Sylvain","non-dropping-particle":"","parse-names":false,"suffix":""},{"dropping-particle":"","family":"Pundir","given":"Sangya","non-dropping-particle":"","parse-names":false,"suffix":""},{"dropping-particle":"","family":"Rivoire","given":"Catherine","non-dropping-particle":"","parse-names":false,"suffix":""},{"dropping-particle":"","family":"Speretta","given":"Elena","non-dropping-particle":"","parse-names":false,"suffix":""},{"dropping-particle":"","family":"Sundaram","given":"Shyamala","non-dropping-particle":"","parse-names":false,"suffix":""},{"dropping-particle":"","family":"Tyagi","given":"Nidhi","non-dropping-particle":"","parse-names":false,"suffix":""},{"dropping-particle":"","family":"Warner","given":"Kate","non-dropping-particle":"","parse-names":false,"suffix":""},{"dropping-particle":"","family":"Zaru","given":"Rossana","non-dropping-particle":"","parse-names":false,"suffix":""},{"dropping-particle":"","family":"Wu","given":"Cathy H","non-dropping-particle":"","parse-names":false,"suffix":""},{"dropping-particle":"","family":"Diehl","given":"Alexander D","non-dropping-particle":"","parse-names":false,"suffix":""},{"dropping-particle":"","family":"Chan","given":"Juancarlos N","non-dropping-particle":"","parse-names":false,"suffix":""},{"dropping-particle":"","family":"Grove","given":"Christian","non-dropping-particle":"","parse-names":false,"suffix":""},{"dropping-particle":"","family":"Lee","given":"Raymond Y N","non-dropping-particle":"","parse-names":false,"suffix":""},{"dropping-particle":"","family":"Muller","given":"Hans-Michael","non-dropping-particle":"","parse-names":false,"suffix":""},{"dropping-particle":"","family":"Raciti","given":"Daniela","non-dropping-particle":"","parse-names":false,"suffix":""},{"dropping-particle":"","family":"Auken","given":"Kimberly","non-dropping-particle":"Van","parse-names":false,"suffix":""},{"dropping-particle":"","family":"Sternberg","given":"Paul W","non-dropping-particle":"","parse-names":false,"suffix":""},{"dropping-particle":"","family":"Berriman","given":"Matthew","non-dropping-particle":"","parse-names":false,"suffix":""},{"dropping-particle":"","family":"Paulini","given":"Michael","non-dropping-particle":"","parse-names":false,"suffix":""},{"dropping-particle":"","family":"Howe","given":"Kevin","non-dropping-particle":"","parse-names":false,"suffix":""},{"dropping-particle":"","family":"Gao","given":"Sibyl","non-dropping-particle":"","parse-names":false,"suffix":""},{"dropping-particle":"","family":"Wright","given":"Adam","non-dropping-particle":"","parse-names":false,"suffix":""},{"dropping-particle":"","family":"Stein","given":"Lincoln","non-dropping-particle":"","parse-names":false,"suffix":""},{"dropping-particle":"","family":"Howe","given":"Douglas G","non-dropping-particle":"","parse-names":false,"suffix":""},{"dropping-particle":"","family":"Toro","given":"Sabrina","non-dropping-particle":"","parse-names":false,"suffix":""},{"dropping-particle":"","family":"Westerfield","given":"Monte","non-dropping-particle":"","parse-names":false,"suffix":""},{"dropping-particle":"","family":"Jaiswal","given":"Pankaj","non-dropping-particle":"","parse-names":false,"suffix":""},{"dropping-particle":"","family":"Cooper","given":"Laurel","non-dropping-particle":"","parse-names":false,"suffix":""},{"dropping-particle":"","family":"Elser","given":"Justin","non-dropping-particle":"","parse-names":false,"suffix":""}],"container-title":"Nucleic Acids Research","id":"ITEM-2","issue":"D1","issued":{"date-parts":[["2021","1","8"]]},"page":"D325-D334","title":"The Gene Ontology resource: enriching a GOld mine","type":"article-journal","volume":"49"},"uris":["http://www.mendeley.com/documents/?uuid=8307c825-fb53-4a2f-88b7-fa4b1bae1436"]}],"mendeley":{"formattedCitation":"(47,49)","plainTextFormattedCitation":"(47,49)","previouslyFormattedCitation":"(47,48)"},"properties":{"noteIndex":0},"schema":"https://github.com/citation-style-language/schema/raw/master/csl-citation.json"}</w:instrText>
      </w:r>
      <w:r>
        <w:fldChar w:fldCharType="separate"/>
      </w:r>
      <w:r w:rsidRPr="009E4629">
        <w:rPr>
          <w:noProof/>
        </w:rPr>
        <w:t>(47,49)</w:t>
      </w:r>
      <w:r>
        <w:fldChar w:fldCharType="end"/>
      </w:r>
      <w:r>
        <w:t>. Since a protein-binding interaction or a gene co-expression relationship would generally not be sufficient to confer annotation to a given GO term, we can consider that GO terms are also broadly independent of functional associations. However, we cannot rule out that functional associations sometimes influence the supporting evidence for an annotation (such as for the occasionally used ‘author statement’ evidence type, where the curator draws directly from a published statement).</w:t>
      </w:r>
    </w:p>
    <w:p w14:paraId="0F6FFDE9" w14:textId="77777777" w:rsidR="002B3A3C" w:rsidRDefault="002B3A3C" w:rsidP="002B3A3C">
      <w:pPr>
        <w:spacing w:after="0"/>
        <w:jc w:val="both"/>
      </w:pPr>
      <w:r>
        <w:t>Although scores from the DSD algorithm correlated moderately with those from DIAMOnD across GO terms (</w:t>
      </w:r>
      <w:r w:rsidRPr="00AF317B">
        <w:rPr>
          <w:i/>
          <w:iCs/>
        </w:rPr>
        <w:t>R</w:t>
      </w:r>
      <w:r>
        <w:t xml:space="preserve"> = 0.3; Figure S2), there was variation in which GO terms performed better using each clustering approach. For example, percentage recall of ‘Myofilament’ genes was as high as 87.4% under DIAMOnD (using the STRING + MyoMiner Cell NF network; table 4), but this term had at best a middling performance for any network under DSD (table 3). In the present study, we did not set out to compare the clustering approaches against each other or in relation to different GO terms, and our observations do not seem to suggest any obvious rules to predict which clustering algorithm will perform best for which GO term, but this may be an interesting topic for further research, as it may give insights into the best choice of clustering algorithm for a given functional genomics study, or to address a given biological question.</w:t>
      </w:r>
    </w:p>
    <w:p w14:paraId="566C9774" w14:textId="77777777" w:rsidR="002B3A3C" w:rsidRDefault="002B3A3C" w:rsidP="002B3A3C">
      <w:pPr>
        <w:spacing w:after="0"/>
        <w:jc w:val="both"/>
      </w:pPr>
      <w:r>
        <w:t xml:space="preserve">Although we did not set out to comprehensively compare tissue generic against muscle tissue-specific networks, in general we observed that there did not appear to be a major benefit of muscle tissue-specific networks, neither when compared as individual networks nor in combined networks. It would be conceivable that certain muscle-related GO terms would have greater specificity to muscle tissue, and we might have expected to see variation in the performance of individual GO terms or categories of GO term (the ‘contraction’, ‘membrane’, ‘regeneration’, and ‘other’, categories to which we assigned them; Tables 3 and 4) when comparing tissue-specific to tissue-generic networks. However, this was not the case, and no particular trend could be observed in that respect: with only a few exceptions, GO terms which showed strong recall relative to other GO terms (e.g. ‘Myofilament’ with DIAMOnD, ‘Muscle Cell Proliferation’ or ‘T-tubule’ with DSD) on tissue-specific networks generally showed strong recall on tissue-generic networks, and, conversely, poorly performing GO terms (e.g. ‘Myoblast fusion’ or ‘Muscle hypertrophy’) generally performed poorly regardless of tissue-specificity. This may not be surprising, as it has been suggested that there is extensive communication between universally expressed proteins and those with tissue-specific expression </w:t>
      </w:r>
      <w:r>
        <w:fldChar w:fldCharType="begin" w:fldLock="1"/>
      </w:r>
      <w:r>
        <w:instrText>ADDIN CSL_CITATION {"citationItems":[{"id":"ITEM-1","itemData":{"DOI":"10.1038/msb.2009.17","ISSN":"1744-4292","PMID":"19357639","abstract":"A protein interaction network describes a set of physical associations that can occur between proteins. However, within any particular cell or tissue only a subset of proteins is expressed and so only a subset of interactions can occur. Integrating interaction and expression data, we analyze here this interplay between protein expression and physical interactions in humans. Proteins only expressed in restricted cell types, like recently evolved proteins, make few physical interactions. Most tissue-specific proteins do, however, bind to universally expressed proteins, and so can function by recruiting or modifying core cellular processes. Conversely, most 'housekeeping' proteins that are expressed in all cells also make highly tissue-specific protein interactions. These results suggest a model for the evolution of tissue-specific biology, and show that most, and possibly all, 'housekeeping' proteins actually have important tissue-specific molecular interactions.","author":[{"dropping-particle":"","family":"Bossi","given":"Alice","non-dropping-particle":"","parse-names":false,"suffix":""},{"dropping-particle":"","family":"Lehner","given":"Ben","non-dropping-particle":"","parse-names":false,"suffix":""}],"container-title":"Molecular systems biology","id":"ITEM-1","issued":{"date-parts":[["2009"]]},"page":"260","title":"Tissue specificity and the human protein interaction network.","type":"article-journal","volume":"5"},"uris":["http://www.mendeley.com/documents/?uuid=fb69dfbc-474b-443a-977e-be3af6ff0588","http://www.mendeley.com/documents/?uuid=92536ffe-6c96-4d68-aa3e-d9b3c1012300"]}],"mendeley":{"formattedCitation":"(25)","plainTextFormattedCitation":"(25)","previouslyFormattedCitation":"(25)"},"properties":{"noteIndex":0},"schema":"https://github.com/citation-style-language/schema/raw/master/csl-citation.json"}</w:instrText>
      </w:r>
      <w:r>
        <w:fldChar w:fldCharType="separate"/>
      </w:r>
      <w:r w:rsidRPr="00620042">
        <w:rPr>
          <w:noProof/>
        </w:rPr>
        <w:t>(25)</w:t>
      </w:r>
      <w:r>
        <w:fldChar w:fldCharType="end"/>
      </w:r>
      <w:r>
        <w:t>. Nevertheless, it may be interesting in future work to carry out a systematic comparison to determine the effects of tissue-specificity: for example, to include both generic and tissue-specific MINs from similar sources (such as from GTEx or CoXPRESdb, which each have both complete and muscle-specific subsets).</w:t>
      </w:r>
    </w:p>
    <w:p w14:paraId="1EFB25BE" w14:textId="77777777" w:rsidR="002B3A3C" w:rsidRDefault="002B3A3C" w:rsidP="002B3A3C">
      <w:pPr>
        <w:spacing w:after="0"/>
        <w:jc w:val="both"/>
      </w:pPr>
      <w:r>
        <w:t>Our analysis to some extent incorporated other types of functional association (STRING association evidence is supported by multiple types of functional association, and HumanBase is derived from multiple types of functional association), but it was focused chiefly on the two types of functional association, protein-protein interactions and gene co-expression, that performed best in the DREAM Disease Module challenge. It may be interesting in future work to attempt to improve muscle gene recall performance by a more explicit incorporation of other types of functional association, such as protein colocalization or sequence homology, signalling relationships, or gene expression regulatory interactions of DNA and RNA (e.g. transcription factors and microRNAs).</w:t>
      </w:r>
      <w:r w:rsidRPr="00516850">
        <w:t xml:space="preserve"> </w:t>
      </w:r>
      <w:r>
        <w:t xml:space="preserve">Similarly, we focused the present study on muscle-related terms in two branches of the Gene Ontology, but it may be interesting in future to test recall of other muscle-related functional relationships, such as shared pathways (e.g. Reactome </w:t>
      </w:r>
      <w:r>
        <w:fldChar w:fldCharType="begin" w:fldLock="1"/>
      </w:r>
      <w:r>
        <w:instrText>ADDIN CSL_CITATION {"citationItems":[{"id":"ITEM-1","itemData":{"DOI":"10.1093/nar/gkz1031","ISSN":"0305-1048","abstract":"The Reactome Knowledgebase (https://reactome.org) provides molecular details of signal transduction, transport, DNA replication, metabolism and other cellular processes as an ordered network of molecular transformations in a single consistent data model, an extended version of a classic metabolic map. Reactome functions both as an archive of biological processes and as a tool for discovering functional relationships in data such as gene expression profiles or somatic mutation catalogs from tumor cells. To extend our ability to annotate human disease processes, we have implemented a new drug class and have used it initially to annotate drugs relevant to cardiovascular disease. Our annotation model depends on external domain experts to identify new areas for annotation and to review new content. New web pages facilitate recruitment of community experts and allow those who have contributed to Reactome to identify their contributions and link them to their ORCID records. To improve visualization of our content, we have implemented a new tool to automatically lay out the components of individual reactions with multiple options for downloading the reaction diagrams and associated data, and a new display of our event hierarchy that will facilitate visual interpretation of pathway analysis results.","author":[{"dropping-particle":"","family":"Jassal","given":"Bijay","non-dropping-particle":"","parse-names":false,"suffix":""},{"dropping-particle":"","family":"Matthews","given":"Lisa","non-dropping-particle":"","parse-names":false,"suffix":""},{"dropping-particle":"","family":"Viteri","given":"Guilherme","non-dropping-particle":"","parse-names":false,"suffix":""},{"dropping-particle":"","family":"Gong","given":"Chuqiao","non-dropping-particle":"","parse-names":false,"suffix":""},{"dropping-particle":"","family":"Lorente","given":"Pascual","non-dropping-particle":"","parse-names":false,"suffix":""},{"dropping-particle":"","family":"Fabregat","given":"Antonio","non-dropping-particle":"","parse-names":false,"suffix":""},{"dropping-particle":"","family":"Sidiropoulos","given":"Konstantinos","non-dropping-particle":"","parse-names":false,"suffix":""},{"dropping-particle":"","family":"Cook","given":"Justin","non-dropping-particle":"","parse-names":false,"suffix":""},{"dropping-particle":"","family":"Gillespie","given":"Marc","non-dropping-particle":"","parse-names":false,"suffix":""},{"dropping-particle":"","family":"Haw","given":"Robin","non-dropping-particle":"","parse-names":false,"suffix":""},{"dropping-particle":"","family":"Loney","given":"Fred","non-dropping-particle":"","parse-names":false,"suffix":""},{"dropping-particle":"","family":"May","given":"Bruce","non-dropping-particle":"","parse-names":false,"suffix":""},{"dropping-particle":"","family":"Milacic","given":"Marija","non-dropping-particle":"","parse-names":false,"suffix":""},{"dropping-particle":"","family":"Rothfels","given":"Karen","non-dropping-particle":"","parse-names":false,"suffix":""},{"dropping-particle":"","family":"Sevilla","given":"Cristoffer","non-dropping-particle":"","parse-names":false,"suffix":""},{"dropping-particle":"","family":"Shamovsky","given":"Veronica","non-dropping-particle":"","parse-names":false,"suffix":""},{"dropping-particle":"","family":"Shorser","given":"Solomon","non-dropping-particle":"","parse-names":false,"suffix":""},{"dropping-particle":"","family":"Varusai","given":"Thawfeek","non-dropping-particle":"","parse-names":false,"suffix":""},{"dropping-particle":"","family":"Weiser","given":"Joel","non-dropping-particle":"","parse-names":false,"suffix":""},{"dropping-particle":"","family":"Wu","given":"Guanming","non-dropping-particle":"","parse-names":false,"suffix":""},{"dropping-particle":"","family":"Stein","given":"Lincoln","non-dropping-particle":"","parse-names":false,"suffix":""},{"dropping-particle":"","family":"Hermjakob","given":"Henning","non-dropping-particle":"","parse-names":false,"suffix":""},{"dropping-particle":"","family":"D’Eustachio","given":"Peter","non-dropping-particle":"","parse-names":false,"suffix":""}],"container-title":"Nucleic Acids Research","id":"ITEM-1","issued":{"date-parts":[["2019","11","6"]]},"title":"The reactome pathway knowledgebase","type":"article-journal"},"uris":["http://www.mendeley.com/documents/?uuid=893a5f7e-ab54-4a3f-ac9b-c5d994861471"]}],"mendeley":{"formattedCitation":"(50)","plainTextFormattedCitation":"(50)","previouslyFormattedCitation":"(49)"},"properties":{"noteIndex":0},"schema":"https://github.com/citation-style-language/schema/raw/master/csl-citation.json"}</w:instrText>
      </w:r>
      <w:r>
        <w:fldChar w:fldCharType="separate"/>
      </w:r>
      <w:r w:rsidRPr="009E4629">
        <w:rPr>
          <w:noProof/>
        </w:rPr>
        <w:t>(50)</w:t>
      </w:r>
      <w:r>
        <w:fldChar w:fldCharType="end"/>
      </w:r>
      <w:r>
        <w:t xml:space="preserve">, Wikipathways </w:t>
      </w:r>
      <w:r>
        <w:fldChar w:fldCharType="begin" w:fldLock="1"/>
      </w:r>
      <w:r>
        <w:instrText>ADDIN CSL_CITATION {"citationItems":[{"id":"ITEM-1","itemData":{"DOI":"10.1093/nar/gkaa1024","ISSN":"0305-1048","abstract":"WikiPathways (https://www.wikipathways.org) is a biological pathway database known for its collaborative nature and open science approaches. With the core idea of the scientific community developing and curating biological knowledge in pathway models, WikiPathways lowers all barriers for accessing and using its content. Increasingly more content creators, initiatives, projects and tools have started using WikiPathways. Central in this growth and increased use of WikiPathways are the various communities that focus on particular subsets of molecular pathways such as for rare diseases and lipid metabolism. Knowledge from published pathway figures helps prioritize pathway development, using optical character and named entity recognition. We show the growth of WikiPathways over the last three years, highlight the new communities and collaborations of pathway authors and curators, and describe various technologies to connect to external resources and initiatives. The road toward a sustainable, community-driven pathway database goes through integration with other resources such as Wikidata and allowing more use, curation and redistribution of WikiPathways content.","author":[{"dropping-particle":"","family":"Martens","given":"Marvin","non-dropping-particle":"","parse-names":false,"suffix":""},{"dropping-particle":"","family":"Ammar","given":"Ammar","non-dropping-particle":"","parse-names":false,"suffix":""},{"dropping-particle":"","family":"Riutta","given":"Anders","non-dropping-particle":"","parse-names":false,"suffix":""},{"dropping-particle":"","family":"Waagmeester","given":"Andra","non-dropping-particle":"","parse-names":false,"suffix":""},{"dropping-particle":"","family":"Slenter","given":"Denise N","non-dropping-particle":"","parse-names":false,"suffix":""},{"dropping-particle":"","family":"Hanspers","given":"Kristina","non-dropping-particle":"","parse-names":false,"suffix":""},{"dropping-particle":"","family":"A. Miller","given":"Ryan","non-dropping-particle":"","parse-names":false,"suffix":""},{"dropping-particle":"","family":"Digles","given":"Daniela","non-dropping-particle":"","parse-names":false,"suffix":""},{"dropping-particle":"","family":"Lopes","given":"Elisson N","non-dropping-particle":"","parse-names":false,"suffix":""},{"dropping-particle":"","family":"Ehrhart","given":"Friederike","non-dropping-particle":"","parse-names":false,"suffix":""},{"dropping-particle":"","family":"Dupuis","given":"Lauren J","non-dropping-particle":"","parse-names":false,"suffix":""},{"dropping-particle":"","family":"Winckers","given":"Laurent A","non-dropping-particle":"","parse-names":false,"suffix":""},{"dropping-particle":"","family":"Coort","given":"Susan L","non-dropping-particle":"","parse-names":false,"suffix":""},{"dropping-particle":"","family":"Willighagen","given":"Egon L","non-dropping-particle":"","parse-names":false,"suffix":""},{"dropping-particle":"","family":"Evelo","given":"Chris T","non-dropping-particle":"","parse-names":false,"suffix":""},{"dropping-particle":"","family":"Pico","given":"Alexander R","non-dropping-particle":"","parse-names":false,"suffix":""},{"dropping-particle":"","family":"Kutmon","given":"Martina","non-dropping-particle":"","parse-names":false,"suffix":""}],"container-title":"Nucleic Acids Research","id":"ITEM-1","issue":"D1","issued":{"date-parts":[["2021","1","8"]]},"page":"D613-D621","title":"WikiPathways: connecting communities","type":"article-journal","volume":"49"},"uris":["http://www.mendeley.com/documents/?uuid=60cf458b-875c-4213-82ce-80900cd771d1"]}],"mendeley":{"formattedCitation":"(51)","plainTextFormattedCitation":"(51)","previouslyFormattedCitation":"(50)"},"properties":{"noteIndex":0},"schema":"https://github.com/citation-style-language/schema/raw/master/csl-citation.json"}</w:instrText>
      </w:r>
      <w:r>
        <w:fldChar w:fldCharType="separate"/>
      </w:r>
      <w:r w:rsidRPr="009E4629">
        <w:rPr>
          <w:noProof/>
        </w:rPr>
        <w:t>(51)</w:t>
      </w:r>
      <w:r>
        <w:fldChar w:fldCharType="end"/>
      </w:r>
      <w:r>
        <w:t xml:space="preserve">), or the Muscle Gene Sets </w:t>
      </w:r>
      <w:r>
        <w:fldChar w:fldCharType="begin" w:fldLock="1"/>
      </w:r>
      <w:r>
        <w:instrText>ADDIN CSL_CITATION {"citationItems":[{"id":"ITEM-1","itemData":{"DOI":"10.1186/s13395-019-0196-z","ISSN":"2044-5040","author":[{"dropping-particle":"","family":"Malatras","given":"Apostolos","non-dropping-particle":"","parse-names":false,"suffix":""},{"dropping-particle":"","family":"Duguez","given":"Stephanie","non-dropping-particle":"","parse-names":false,"suffix":""},{"dropping-particle":"","family":"Duddy","given":"William","non-dropping-particle":"","parse-names":false,"suffix":""}],"container-title":"Skeletal Muscle","id":"ITEM-1","issue":"1","issued":{"date-parts":[["2019","12","3"]]},"page":"10","title":"Muscle Gene Sets: a versatile methodological aid to functional genomics in the neuromuscular field","type":"article-journal","volume":"9"},"uris":["http://www.mendeley.com/documents/?uuid=7c121049-079f-4fdb-b75e-6e94625b5400"]}],"mendeley":{"formattedCitation":"(52)","plainTextFormattedCitation":"(52)","previouslyFormattedCitation":"(51)"},"properties":{"noteIndex":0},"schema":"https://github.com/citation-style-language/schema/raw/master/csl-citation.json"}</w:instrText>
      </w:r>
      <w:r>
        <w:fldChar w:fldCharType="separate"/>
      </w:r>
      <w:r w:rsidRPr="009E4629">
        <w:rPr>
          <w:noProof/>
        </w:rPr>
        <w:t>(52)</w:t>
      </w:r>
      <w:r>
        <w:fldChar w:fldCharType="end"/>
      </w:r>
      <w:r>
        <w:t>.</w:t>
      </w:r>
    </w:p>
    <w:p w14:paraId="23E3B361" w14:textId="77777777" w:rsidR="002B3A3C" w:rsidRDefault="002B3A3C" w:rsidP="002B3A3C">
      <w:pPr>
        <w:spacing w:after="0"/>
        <w:jc w:val="both"/>
      </w:pPr>
      <w:r>
        <w:t xml:space="preserve">Our aim was to identify optimal single networks for capture of muscle functions, but we note that certain analytical approaches can make use of multiple networks simultaneously </w:t>
      </w:r>
      <w:r>
        <w:fldChar w:fldCharType="begin" w:fldLock="1"/>
      </w:r>
      <w:r>
        <w:instrText>ADDIN CSL_CITATION {"citationItems":[{"id":"ITEM-1","itemData":{"DOI":"10.1038/s41592-019-0509-5","ISSN":"1548-7105","PMID":"31471613","abstract":"Many bioinformatics methods have been proposed for reducing the complexity of large gene or protein networks into relevant subnetworks or modules. Yet, how such methods compare to each other in terms of their ability to identify disease-relevant modules in different types of network remains poorly understood. We launched the 'Disease Module Identification DREAM Challenge', an open competition to comprehensively assess module identification methods across diverse protein-protein interaction, signaling, gene co-expression, homology and cancer-gene networks. Predicted network modules were tested for association with complex traits and diseases using a unique collection of 180 genome-wide association studies. Our robust assessment of 75 module identification methods reveals top-performing algorithms, which recover complementary trait-associated modules. We find that most of these modules correspond to core disease-relevant pathways, which often comprise therapeutic targets. This community challenge establishes biologically interpretable benchmarks, tools and guidelines for molecular network analysis to study human disease biology.","author":[{"dropping-particle":"","family":"Choobdar","given":"Sarvenaz","non-dropping-particle":"","parse-names":false,"suffix":""},{"dropping-particle":"","family":"Ahsen","given":"Mehmet E","non-dropping-particle":"","parse-names":false,"suffix":""},{"dropping-particle":"","family":"Crawford","given":"Jake","non-dropping-particle":"","parse-names":false,"suffix":""},{"dropping-particle":"","family":"Tomasoni","given":"Mattia","non-dropping-particle":"","parse-names":false,"suffix":""},{"dropping-particle":"","family":"Fang","given":"Tao","non-dropping-particle":"","parse-names":false,"suffix":""},{"dropping-particle":"","family":"Lamparter","given":"David","non-dropping-particle":"","parse-names":false,"suffix":""},{"dropping-particle":"","family":"Lin","given":"Junyuan","non-dropping-particle":"","parse-names":false,"suffix":""},{"dropping-particle":"","family":"Hescott","given":"Benjamin","non-dropping-particle":"","parse-names":false,"suffix":""},{"dropping-particle":"","family":"Hu","given":"Xiaozhe","non-dropping-particle":"","parse-names":false,"suffix":""},{"dropping-particle":"","family":"Mercer","given":"Johnathan","non-dropping-particle":"","parse-names":false,"suffix":""},{"dropping-particle":"","family":"Natoli","given":"Ted","non-dropping-particle":"","parse-names":false,"suffix":""},{"dropping-particle":"","family":"Narayan","given":"Rajiv","non-dropping-particle":"","parse-names":false,"suffix":""},{"dropping-particle":"","family":"DREAM Module Identification Challenge Consortium","given":"","non-dropping-particle":"","parse-names":false,"suffix":""},{"dropping-particle":"","family":"Subramanian","given":"Aravind","non-dropping-particle":"","parse-names":false,"suffix":""},{"dropping-particle":"","family":"Zhang","given":"Jitao D","non-dropping-particle":"","parse-names":false,"suffix":""},{"dropping-particle":"","family":"Stolovitzky","given":"Gustavo","non-dropping-particle":"","parse-names":false,"suffix":""},{"dropping-particle":"","family":"Kutalik","given":"Zoltán","non-dropping-particle":"","parse-names":false,"suffix":""},{"dropping-particle":"","family":"Lage","given":"Kasper","non-dropping-particle":"","parse-names":false,"suffix":""},{"dropping-particle":"","family":"Slonim","given":"Donna K","non-dropping-particle":"","parse-names":false,"suffix":""},{"dropping-particle":"","family":"Saez-Rodriguez","given":"Julio","non-dropping-particle":"","parse-names":false,"suffix":""},{"dropping-particle":"","family":"Cowen","given":"Lenore J","non-dropping-particle":"","parse-names":false,"suffix":""},{"dropping-particle":"","family":"Bergmann","given":"Sven","non-dropping-particle":"","parse-names":false,"suffix":""},{"dropping-particle":"","family":"Marbach","given":"Daniel","non-dropping-particle":"","parse-names":false,"suffix":""}],"container-title":"Nature methods","id":"ITEM-1","issue":"9","issued":{"date-parts":[["2019"]]},"page":"843-852","title":"Assessment of network module identification across complex diseases.","type":"article-journal","volume":"16"},"uris":["http://www.mendeley.com/documents/?uuid=773d1801-d285-4f69-8118-da29c31cf2b1"]}],"mendeley":{"formattedCitation":"(47)","plainTextFormattedCitation":"(47)","previouslyFormattedCitation":"(47)"},"properties":{"noteIndex":0},"schema":"https://github.com/citation-style-language/schema/raw/master/csl-citation.json"}</w:instrText>
      </w:r>
      <w:r>
        <w:fldChar w:fldCharType="separate"/>
      </w:r>
      <w:r w:rsidRPr="006523A5">
        <w:rPr>
          <w:noProof/>
        </w:rPr>
        <w:t>(47)</w:t>
      </w:r>
      <w:r>
        <w:fldChar w:fldCharType="end"/>
      </w:r>
      <w:r>
        <w:t>, and in those cases it may be beneficial to use the top performing single-source networks from the present study as input.</w:t>
      </w:r>
    </w:p>
    <w:p w14:paraId="71656368" w14:textId="77777777" w:rsidR="002B3A3C" w:rsidRDefault="002B3A3C" w:rsidP="002B3A3C">
      <w:pPr>
        <w:spacing w:after="0"/>
        <w:jc w:val="both"/>
      </w:pPr>
      <w:r>
        <w:t xml:space="preserve">We note the relatively poor performance of the muscle tissue gene co-expression network derived from GTEx, despite that this was based on RNA-Seq data, unlike the other two co-expression sources (MyoMiner and CoXPRESdb), which use microarray data. One possible explanation is that neither MyoMiner nor CoXPRESdb are specific to healthy tissue of a single muscle group. It is conceivable that the relatively rich variability in gene expression across different muscles, diseases, and experimental perturbations, may favour the discovery of biologically meaningful co-expression patterns, whereas variation within the same muscle of healthy individuals may be less useful in this context. However, other differences may also be responsible, such as the use of post-mortem tissue in GTEx (whereas most microarray data are from cells or biopsies): a study of post-mortem gene expression changes in the GTEx dataset found that skeletal muscle exhibited changes at the earliest post-mortem time-point compared to the other 35 tissues tested </w:t>
      </w:r>
      <w:r>
        <w:fldChar w:fldCharType="begin" w:fldLock="1"/>
      </w:r>
      <w:r>
        <w:instrText>ADDIN CSL_CITATION {"citationItems":[{"id":"ITEM-1","itemData":{"DOI":"10.1038/s41467-017-02772-x","ISSN":"2041-1723","PMID":"29440659","abstract":"Post-mortem tissues samples are a key resource for investigating patterns of gene expression. However, the processes triggered by death and the post-mortem interval (PMI) can significantly alter physiologically normal RNA levels. We investigate the impact of PMI on gene expression using data from multiple tissues of post-mortem donors obtained from the GTEx project. We find that many genes change expression over relatively short PMIs in a tissue-specific manner, but this potentially confounding effect in a biological analysis can be minimized by taking into account appropriate covariates. By comparing ante- and post-mortem blood samples, we identify the cascade of transcriptional events triggered by death of the organism. These events do not appear to simply reflect stochastic variation resulting from mRNA degradation, but active and ongoing regulation of transcription. Finally, we develop a model to predict the time since death from the analysis of the transcriptome of a few readily accessible tissues.","author":[{"dropping-particle":"","family":"Ferreira","given":"Pedro G","non-dropping-particle":"","parse-names":false,"suffix":""},{"dropping-particle":"","family":"Muñoz-Aguirre","given":"Manuel","non-dropping-particle":"","parse-names":false,"suffix":""},{"dropping-particle":"","family":"Reverter","given":"Ferran","non-dropping-particle":"","parse-names":false,"suffix":""},{"dropping-particle":"","family":"Sá Godinho","given":"Caio P","non-dropping-particle":"","parse-names":false,"suffix":""},{"dropping-particle":"","family":"Sousa","given":"Abel","non-dropping-particle":"","parse-names":false,"suffix":""},{"dropping-particle":"","family":"Amadoz","given":"Alicia","non-dropping-particle":"","parse-names":false,"suffix":""},{"dropping-particle":"","family":"Sodaei","given":"Reza","non-dropping-particle":"","parse-names":false,"suffix":""},{"dropping-particle":"","family":"Hidalgo","given":"Marta R","non-dropping-particle":"","parse-names":false,"suffix":""},{"dropping-particle":"","family":"Pervouchine","given":"Dmitri","non-dropping-particle":"","parse-names":false,"suffix":""},{"dropping-particle":"","family":"Carbonell-Caballero","given":"Jose","non-dropping-particle":"","parse-names":false,"suffix":""},{"dropping-particle":"","family":"Nurtdinov","given":"Ramil","non-dropping-particle":"","parse-names":false,"suffix":""},{"dropping-particle":"","family":"Breschi","given":"Alessandra","non-dropping-particle":"","parse-names":false,"suffix":""},{"dropping-particle":"","family":"Amador","given":"Raziel","non-dropping-particle":"","parse-names":false,"suffix":""},{"dropping-particle":"","family":"Oliveira","given":"Patrícia","non-dropping-particle":"","parse-names":false,"suffix":""},{"dropping-particle":"","family":"Çubuk","given":"Cankut","non-dropping-particle":"","parse-names":false,"suffix":""},{"dropping-particle":"","family":"Curado","given":"João","non-dropping-particle":"","parse-names":false,"suffix":""},{"dropping-particle":"","family":"Aguet","given":"François","non-dropping-particle":"","parse-names":false,"suffix":""},{"dropping-particle":"","family":"Oliveira","given":"Carla","non-dropping-particle":"","parse-names":false,"suffix":""},{"dropping-particle":"","family":"Dopazo","given":"Joaquin","non-dropping-particle":"","parse-names":false,"suffix":""},{"dropping-particle":"","family":"Sammeth","given":"Michael","non-dropping-particle":"","parse-names":false,"suffix":""},{"dropping-particle":"","family":"Ardlie","given":"Kristin G","non-dropping-particle":"","parse-names":false,"suffix":""},{"dropping-particle":"","family":"Guigó","given":"Roderic","non-dropping-particle":"","parse-names":false,"suffix":""}],"container-title":"Nature communications","id":"ITEM-1","issue":"1","issued":{"date-parts":[["2018"]]},"page":"490","title":"The effects of death and post-mortem cold ischemia on human tissue transcriptomes.","type":"article-journal","volume":"9"},"uris":["http://www.mendeley.com/documents/?uuid=d76148cd-b31a-4007-9b79-fce31f35fc0d","http://www.mendeley.com/documents/?uuid=5adc9d7f-5a7c-497e-b585-c5e936f52240"]}],"mendeley":{"formattedCitation":"(53)","plainTextFormattedCitation":"(53)","previouslyFormattedCitation":"(52)"},"properties":{"noteIndex":0},"schema":"https://github.com/citation-style-language/schema/raw/master/csl-citation.json"}</w:instrText>
      </w:r>
      <w:r>
        <w:fldChar w:fldCharType="separate"/>
      </w:r>
      <w:r w:rsidRPr="009E4629">
        <w:rPr>
          <w:noProof/>
        </w:rPr>
        <w:t>(53)</w:t>
      </w:r>
      <w:r>
        <w:fldChar w:fldCharType="end"/>
      </w:r>
      <w:r>
        <w:t>.</w:t>
      </w:r>
    </w:p>
    <w:p w14:paraId="59A37E72" w14:textId="77777777" w:rsidR="002B3A3C" w:rsidRDefault="002B3A3C" w:rsidP="002B3A3C">
      <w:pPr>
        <w:spacing w:after="0"/>
        <w:jc w:val="both"/>
      </w:pPr>
      <w:r>
        <w:t xml:space="preserve">A functional genomics analyst may wish to choose which network to use for network-based analyses based on the performance of that network for a given biological process or cell compartment (chosen based on the relevance of that process or compartment to whichever research question the analyst seeks to address). However, we note that, relative to the other networks in the study, the two top combined networks (STRING + MyoMiner Cell NF, and STRING + CoXPRESdb NF) generally performed well across all or most of the muscle-related GO terms that were tested. Thus, for network analysis of muscle omics data in a broad sense, such as to explore potential new biomarkers or disease-implicated genes (i.e. ‘guilt-by-association’ </w:t>
      </w:r>
      <w:r>
        <w:fldChar w:fldCharType="begin" w:fldLock="1"/>
      </w:r>
      <w:r>
        <w:instrText>ADDIN CSL_CITATION {"citationItems":[{"id":"ITEM-1","itemData":{"DOI":"10.1371/journal.pcbi.1002444","ISSN":"1553-7358","author":[{"dropping-particle":"","family":"Gillis","given":"Jesse","non-dropping-particle":"","parse-names":false,"suffix":""},{"dropping-particle":"","family":"Pavlidis","given":"Paul","non-dropping-particle":"","parse-names":false,"suffix":""}],"container-title":"PLoS Computational Biology","editor":[{"dropping-particle":"","family":"Rzhetsky","given":"Andrey","non-dropping-particle":"","parse-names":false,"suffix":""}],"id":"ITEM-1","issue":"3","issued":{"date-parts":[["2012","3","29"]]},"page":"e1002444","title":"“Guilt by Association” Is the Exception Rather Than the Rule in Gene Networks","type":"article-journal","volume":"8"},"uris":["http://www.mendeley.com/documents/?uuid=1d43516b-7727-440b-99c6-a164e22e058a"]}],"mendeley":{"formattedCitation":"(54)","plainTextFormattedCitation":"(54)","previouslyFormattedCitation":"(53)"},"properties":{"noteIndex":0},"schema":"https://github.com/citation-style-language/schema/raw/master/csl-citation.json"}</w:instrText>
      </w:r>
      <w:r>
        <w:fldChar w:fldCharType="separate"/>
      </w:r>
      <w:r w:rsidRPr="009E4629">
        <w:rPr>
          <w:noProof/>
        </w:rPr>
        <w:t>(54)</w:t>
      </w:r>
      <w:r>
        <w:fldChar w:fldCharType="end"/>
      </w:r>
      <w:r>
        <w:t xml:space="preserve">), or to derive gene sets for functional enrichment testing </w:t>
      </w:r>
      <w:r>
        <w:fldChar w:fldCharType="begin" w:fldLock="1"/>
      </w:r>
      <w:r>
        <w:instrText>ADDIN CSL_CITATION {"citationItems":[{"id":"ITEM-1","itemData":{"DOI":"10.1186/s13395-019-0196-z","ISSN":"2044-5040","author":[{"dropping-particle":"","family":"Malatras","given":"Apostolos","non-dropping-particle":"","parse-names":false,"suffix":""},{"dropping-particle":"","family":"Duguez","given":"Stephanie","non-dropping-particle":"","parse-names":false,"suffix":""},{"dropping-particle":"","family":"Duddy","given":"William","non-dropping-particle":"","parse-names":false,"suffix":""}],"container-title":"Skeletal Muscle","id":"ITEM-1","issue":"1","issued":{"date-parts":[["2019","12","3"]]},"page":"10","title":"Muscle Gene Sets: a versatile methodological aid to functional genomics in the neuromuscular field","type":"article-journal","volume":"9"},"uris":["http://www.mendeley.com/documents/?uuid=7c121049-079f-4fdb-b75e-6e94625b5400"]},{"id":"ITEM-2","itemData":{"DOI":"10.1186/s13395-016-0115-5","ISSN":"2044-5040","author":[{"dropping-particle":"","family":"Thorley","given":"Matthew","non-dropping-particle":"","parse-names":false,"suffix":""},{"dropping-particle":"","family":"Duguez","given":"Stéphanie","non-dropping-particle":"","parse-names":false,"suffix":""},{"dropping-particle":"","family":"Mazza","given":"Emilia Maria Cristina","non-dropping-particle":"","parse-names":false,"suffix":""},{"dropping-particle":"","family":"Valsoni","given":"Sara","non-dropping-particle":"","parse-names":false,"suffix":""},{"dropping-particle":"","family":"Bigot","given":"Anne","non-dropping-particle":"","parse-names":false,"suffix":""},{"dropping-particle":"","family":"Mamchaoui","given":"Kamel","non-dropping-particle":"","parse-names":false,"suffix":""},{"dropping-particle":"","family":"Harmon","given":"Brennan","non-dropping-particle":"","parse-names":false,"suffix":""},{"dropping-particle":"","family":"Voit","given":"Thomas","non-dropping-particle":"","parse-names":false,"suffix":""},{"dropping-particle":"","family":"Mouly","given":"Vincent","non-dropping-particle":"","parse-names":false,"suffix":""},{"dropping-particle":"","family":"Duddy","given":"William","non-dropping-particle":"","parse-names":false,"suffix":""}],"container-title":"Skeletal Muscle","id":"ITEM-2","issue":"1","issued":{"date-parts":[["2016","12","8"]]},"page":"43","title":"Skeletal muscle characteristics are preserved in hTERT/cdk4 human myogenic cell lines","type":"article-journal","volume":"6"},"uris":["http://www.mendeley.com/documents/?uuid=8c62e4f0-bc60-4e69-aa09-5474b77d24de"]}],"mendeley":{"formattedCitation":"(52,55)","plainTextFormattedCitation":"(52,55)","previouslyFormattedCitation":"(51,54)"},"properties":{"noteIndex":0},"schema":"https://github.com/citation-style-language/schema/raw/master/csl-citation.json"}</w:instrText>
      </w:r>
      <w:r>
        <w:fldChar w:fldCharType="separate"/>
      </w:r>
      <w:r w:rsidRPr="009E4629">
        <w:rPr>
          <w:noProof/>
        </w:rPr>
        <w:t>(52,55)</w:t>
      </w:r>
      <w:r>
        <w:fldChar w:fldCharType="end"/>
      </w:r>
      <w:r>
        <w:t xml:space="preserve"> or genomic association studies </w:t>
      </w:r>
      <w:r>
        <w:fldChar w:fldCharType="begin" w:fldLock="1"/>
      </w:r>
      <w:r>
        <w:instrText>ADDIN CSL_CITATION {"citationItems":[{"id":"ITEM-1","itemData":{"DOI":"10.3390/jpm8040044","ISSN":"2075-4426","abstract":"Multiple genes and mechanisms of pathophysiology have been implicated in amyotrophic lateral sclerosis (ALS), suggesting it is a complex systemic disease. With this in mind, applying personalized medicine (PM) approaches to tailor treatment pipelines for ALS patients may be necessary. The modelling and analysis of molecular interaction networks could represent valuable resources in defining ALS-associated pathways and discovering novel therapeutic targets. Here we review existing omics datasets and analytical approaches, in order to consider how molecular interaction networks could improve our understanding of the molecular pathophysiology of this fatal neuromuscular disorder.","author":[{"dropping-particle":"","family":"Morgan","given":"Stephen","non-dropping-particle":"","parse-names":false,"suffix":""},{"dropping-particle":"","family":"Duguez","given":"Stephanie","non-dropping-particle":"","parse-names":false,"suffix":""},{"dropping-particle":"","family":"Duddy","given":"William","non-dropping-particle":"","parse-names":false,"suffix":""}],"container-title":"Journal of Personalized Medicine","id":"ITEM-1","issue":"4","issued":{"date-parts":[["2018","12","13"]]},"page":"44","title":"Personalized Medicine and Molecular Interaction Networks in Amyotrophic Lateral Sclerosis (ALS): Current Knowledge","type":"article-journal","volume":"8"},"uris":["http://www.mendeley.com/documents/?uuid=bde01f2e-d114-4a30-ae34-8df99bc295e3"]},{"id":"ITEM-2","itemData":{"DOI":"10.3390/jpm10040247","ISSN":"2075-4426","abstract":"Amyotrophic Lateral Sclerosis (ALS) is the most common late-onset motor neuron disorder, but our current knowledge of the molecular mechanisms and pathways underlying this disease remain elusive. This review (1) systematically identifies machine learning studies aimed at the understanding of the genetic architecture of ALS, (2) outlines the main challenges faced and compares the different approaches that have been used to confront them, and (3) compares the experimental designs and results produced by those approaches and describes their reproducibility in terms of biological results and the performances of the machine learning models. The majority of the collected studies incorporated prior knowledge of ALS into their feature selection approaches, and trained their machine learning models using genomic data combined with other types of mined knowledge including functional associations, protein-protein interactions, disease/tissue-specific information, epigenetic data, and known ALS phenotype-genotype associations. The importance of incorporating gene-gene interactions and cis-regulatory elements into the experimental design of future ALS machine learning studies is highlighted. Lastly, it is suggested that future advances in the genomic and machine learning fields will bring about a better understanding of ALS genetic architecture, and enable improved personalized approaches to this and other devastating and complex diseases.","author":[{"dropping-particle":"","family":"Vasilopoulou","given":"Christina","non-dropping-particle":"","parse-names":false,"suffix":""},{"dropping-particle":"","family":"Morris","given":"Andrew P.","non-dropping-particle":"","parse-names":false,"suffix":""},{"dropping-particle":"","family":"Giannakopoulos","given":"George","non-dropping-particle":"","parse-names":false,"suffix":""},{"dropping-particle":"","family":"Duguez","given":"Stephanie","non-dropping-particle":"","parse-names":false,"suffix":""},{"dropping-particle":"","family":"Duddy","given":"William","non-dropping-particle":"","parse-names":false,"suffix":""}],"container-title":"Journal of Personalized Medicine","id":"ITEM-2","issue":"4","issued":{"date-parts":[["2020","11","26"]]},"page":"247","title":"What Can Machine Learning Approaches in Genomics Tell Us about the Molecular Basis of Amyotrophic Lateral Sclerosis?","type":"article-journal","volume":"10"},"uris":["http://www.mendeley.com/documents/?uuid=672489f7-e121-4aed-b0f7-7436d258b764"]}],"mendeley":{"formattedCitation":"(5,6)","plainTextFormattedCitation":"(5,6)","previouslyFormattedCitation":"(5,6)"},"properties":{"noteIndex":0},"schema":"https://github.com/citation-style-language/schema/raw/master/csl-citation.json"}</w:instrText>
      </w:r>
      <w:r>
        <w:fldChar w:fldCharType="separate"/>
      </w:r>
      <w:r w:rsidRPr="003229A8">
        <w:rPr>
          <w:noProof/>
        </w:rPr>
        <w:t>(5,6)</w:t>
      </w:r>
      <w:r>
        <w:fldChar w:fldCharType="end"/>
      </w:r>
      <w:r>
        <w:t xml:space="preserve">, we suggest that analysts use one of these two top-performing combined networks. We have made these networks available for download from </w:t>
      </w:r>
      <w:hyperlink r:id="rId48" w:history="1">
        <w:r w:rsidRPr="00E04B7B">
          <w:rPr>
            <w:rStyle w:val="Hyperlink"/>
          </w:rPr>
          <w:t>https://www.sys-myo.com/myominer/download.php</w:t>
        </w:r>
      </w:hyperlink>
      <w:r>
        <w:t>.</w:t>
      </w:r>
    </w:p>
    <w:p w14:paraId="7036CA61" w14:textId="77777777" w:rsidR="002B3A3C" w:rsidRDefault="002B3A3C" w:rsidP="002B3A3C">
      <w:pPr>
        <w:spacing w:after="0"/>
        <w:jc w:val="both"/>
      </w:pPr>
      <w:r>
        <w:t>Finally, we note that the method of applying clustering approaches to muscle-related GO terms in the manner of the present study may be of direct interest for the study of muscle functions, similar to some of the intended applications for which these algorithms were developed: the clusters generated by DSD or by DIAMOnD contain the seed genes of a given process (or compartment), but also genes that are functionally associated despite not being annotated to that process. These genes may be of interest for the study of the process in question.</w:t>
      </w:r>
    </w:p>
    <w:p w14:paraId="00FEEBD2" w14:textId="77777777" w:rsidR="002B3A3C" w:rsidRDefault="002B3A3C" w:rsidP="002B3A3C">
      <w:pPr>
        <w:spacing w:after="0"/>
        <w:jc w:val="both"/>
      </w:pPr>
      <w:r>
        <w:t xml:space="preserve">All of the networks and results that were used or produced in the study, along with gene lists of the members of the selected muscle GO terms, and analysis scripts, are available for download from </w:t>
      </w:r>
      <w:hyperlink r:id="rId49" w:history="1">
        <w:r w:rsidRPr="00E04B7B">
          <w:rPr>
            <w:rStyle w:val="Hyperlink"/>
          </w:rPr>
          <w:t>https://www.sys-myo.com/myominer/download.php</w:t>
        </w:r>
      </w:hyperlink>
      <w:r>
        <w:t>.</w:t>
      </w:r>
    </w:p>
    <w:p w14:paraId="4EA97F13" w14:textId="77777777" w:rsidR="002B3A3C" w:rsidRDefault="002B3A3C" w:rsidP="002B3A3C">
      <w:pPr>
        <w:spacing w:after="0"/>
        <w:jc w:val="both"/>
      </w:pPr>
    </w:p>
    <w:p w14:paraId="577CE70D" w14:textId="77777777" w:rsidR="002B3A3C" w:rsidRDefault="002B3A3C" w:rsidP="002B3A3C">
      <w:pPr>
        <w:spacing w:after="0"/>
      </w:pPr>
    </w:p>
    <w:p w14:paraId="6DB8B948" w14:textId="77777777" w:rsidR="002B3A3C" w:rsidRDefault="002B3A3C" w:rsidP="002B3A3C">
      <w:pPr>
        <w:spacing w:after="0"/>
      </w:pPr>
    </w:p>
    <w:p w14:paraId="62A8FE02" w14:textId="77777777" w:rsidR="002B3A3C" w:rsidRDefault="002B3A3C" w:rsidP="002B3A3C">
      <w:pPr>
        <w:spacing w:after="0"/>
      </w:pPr>
      <w:r w:rsidRPr="00AC4916">
        <w:rPr>
          <w:b/>
        </w:rPr>
        <w:t xml:space="preserve">Author Contributions: </w:t>
      </w:r>
      <w:r>
        <w:t>Conceptualization, WD and SD; source data manipulation, scripting, data analysis and interpretation, SM, AM, and WD; writing – original draft preparation, SM; writing – review and editing, WD, SM, and SD; supervision, WD and SD.</w:t>
      </w:r>
    </w:p>
    <w:p w14:paraId="08258080" w14:textId="77777777" w:rsidR="002B3A3C" w:rsidRDefault="002B3A3C" w:rsidP="002B3A3C">
      <w:pPr>
        <w:spacing w:after="0"/>
      </w:pPr>
    </w:p>
    <w:p w14:paraId="21BF65F3" w14:textId="77777777" w:rsidR="002B3A3C" w:rsidRDefault="002B3A3C" w:rsidP="002B3A3C">
      <w:pPr>
        <w:spacing w:after="0"/>
      </w:pPr>
      <w:r w:rsidRPr="00FE1841">
        <w:rPr>
          <w:b/>
        </w:rPr>
        <w:t xml:space="preserve">Funding: </w:t>
      </w:r>
      <w:r>
        <w:t xml:space="preserve">SM was supported by a studentship from the Department for Employment and Learning Northern Ireland. The work was also supported by the Target-ALS Foundation, and </w:t>
      </w:r>
      <w:r w:rsidRPr="00703596">
        <w:t>by a programme grant jointly from the European Union Regional Development Fund (ERDF) EU Sustainable Competitiveness Programme for N. Ireland/NI Public Health Agency (HSC R&amp;D) and Ulster University</w:t>
      </w:r>
      <w:r>
        <w:t>.</w:t>
      </w:r>
    </w:p>
    <w:p w14:paraId="46B6DEA3" w14:textId="77777777" w:rsidR="002B3A3C" w:rsidRDefault="002B3A3C" w:rsidP="002B3A3C">
      <w:pPr>
        <w:spacing w:after="0"/>
      </w:pPr>
    </w:p>
    <w:p w14:paraId="7087F85E" w14:textId="77777777" w:rsidR="002B3A3C" w:rsidRDefault="002B3A3C" w:rsidP="002B3A3C">
      <w:pPr>
        <w:spacing w:after="0"/>
      </w:pPr>
      <w:r w:rsidRPr="00FE1841">
        <w:rPr>
          <w:b/>
        </w:rPr>
        <w:t>Acknowledgements:</w:t>
      </w:r>
      <w:r>
        <w:t xml:space="preserve"> We thank the other members of the Ulster University neuromuscular team for lots of dynamic discussion and good craic. WD and SD wish to thank </w:t>
      </w:r>
      <w:r w:rsidRPr="00703D2B">
        <w:t>Prof. Terence Partridge</w:t>
      </w:r>
      <w:r>
        <w:t xml:space="preserve"> for his kind mentorship and rich teachings on a great many things.</w:t>
      </w:r>
    </w:p>
    <w:p w14:paraId="2B50103B" w14:textId="77777777" w:rsidR="002B3A3C" w:rsidRDefault="002B3A3C" w:rsidP="002B3A3C">
      <w:pPr>
        <w:spacing w:after="0"/>
      </w:pPr>
    </w:p>
    <w:p w14:paraId="398B786F" w14:textId="77777777" w:rsidR="002B3A3C" w:rsidRDefault="002B3A3C" w:rsidP="002B3A3C">
      <w:pPr>
        <w:spacing w:after="0"/>
      </w:pPr>
      <w:r w:rsidRPr="00FE1841">
        <w:rPr>
          <w:b/>
        </w:rPr>
        <w:t>Conflicts of Interest:</w:t>
      </w:r>
      <w:r>
        <w:t xml:space="preserve"> </w:t>
      </w:r>
      <w:r w:rsidRPr="0035328C">
        <w:t>The authors have no conflict of interest to report</w:t>
      </w:r>
      <w:r>
        <w:t>.</w:t>
      </w:r>
    </w:p>
    <w:p w14:paraId="3697FB5D" w14:textId="77777777" w:rsidR="002B3A3C" w:rsidRDefault="002B3A3C" w:rsidP="002B3A3C">
      <w:pPr>
        <w:spacing w:after="0"/>
      </w:pPr>
    </w:p>
    <w:p w14:paraId="7F92EBBC" w14:textId="77777777" w:rsidR="002B3A3C" w:rsidRDefault="002B3A3C" w:rsidP="002B3A3C">
      <w:pPr>
        <w:spacing w:after="0"/>
        <w:rPr>
          <w:b/>
        </w:rPr>
      </w:pPr>
      <w:r>
        <w:rPr>
          <w:b/>
        </w:rPr>
        <w:t>References</w:t>
      </w:r>
    </w:p>
    <w:p w14:paraId="426A7A0B"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Pr="009E4629">
        <w:rPr>
          <w:rFonts w:ascii="Calibri" w:hAnsi="Calibri" w:cs="Calibri"/>
          <w:noProof/>
          <w:szCs w:val="24"/>
        </w:rPr>
        <w:t xml:space="preserve">1. </w:t>
      </w:r>
      <w:r w:rsidRPr="009E4629">
        <w:rPr>
          <w:rFonts w:ascii="Calibri" w:hAnsi="Calibri" w:cs="Calibri"/>
          <w:noProof/>
          <w:szCs w:val="24"/>
        </w:rPr>
        <w:tab/>
        <w:t xml:space="preserve">Barabási A-L, Gulbahce N, Loscalzo J. Network medicine: a network-based approach to human disease. Nat Rev Genet. 2011 Jan;12(1):56–68. </w:t>
      </w:r>
    </w:p>
    <w:p w14:paraId="09D8BD75"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 </w:t>
      </w:r>
      <w:r w:rsidRPr="009E4629">
        <w:rPr>
          <w:rFonts w:ascii="Calibri" w:hAnsi="Calibri" w:cs="Calibri"/>
          <w:noProof/>
          <w:szCs w:val="24"/>
        </w:rPr>
        <w:tab/>
        <w:t xml:space="preserve">Fiscon G, Conte F, Farina L, Paci P. Network-Based Approaches to Explore Complex Biological Systems towards Network Medicine. Genes (Basel). 2018 Aug;9(9). </w:t>
      </w:r>
    </w:p>
    <w:p w14:paraId="5AE8F397"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 </w:t>
      </w:r>
      <w:r w:rsidRPr="009E4629">
        <w:rPr>
          <w:rFonts w:ascii="Calibri" w:hAnsi="Calibri" w:cs="Calibri"/>
          <w:noProof/>
          <w:szCs w:val="24"/>
        </w:rPr>
        <w:tab/>
        <w:t xml:space="preserve">del Sol A, Balling R, Hood L, Galas D. Diseases as network perturbations. Curr Opin Biotechnol. 2010 Aug;21(4):566–71. </w:t>
      </w:r>
    </w:p>
    <w:p w14:paraId="35D5C9A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 </w:t>
      </w:r>
      <w:r w:rsidRPr="009E4629">
        <w:rPr>
          <w:rFonts w:ascii="Calibri" w:hAnsi="Calibri" w:cs="Calibri"/>
          <w:noProof/>
          <w:szCs w:val="24"/>
        </w:rPr>
        <w:tab/>
        <w:t xml:space="preserve">Berger SI, Iyengar R. Network analyses in systems pharmacology. Bioinformatics. 2009 Oct;25(19):2466–72. </w:t>
      </w:r>
    </w:p>
    <w:p w14:paraId="65A54DA0"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 </w:t>
      </w:r>
      <w:r w:rsidRPr="009E4629">
        <w:rPr>
          <w:rFonts w:ascii="Calibri" w:hAnsi="Calibri" w:cs="Calibri"/>
          <w:noProof/>
          <w:szCs w:val="24"/>
        </w:rPr>
        <w:tab/>
        <w:t>Morgan S, Duguez S, Duddy W. Personalized Medicine and Molecular Interaction Networks in Amyotrophic Lateral Sclerosis (ALS): Current Knowledge. J Pers Med [Internet]. 2018 Dec 13;8(4):44. Available from: http://www.mdpi.com/2075-4426/8/4/44</w:t>
      </w:r>
    </w:p>
    <w:p w14:paraId="119FE40C"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6. </w:t>
      </w:r>
      <w:r w:rsidRPr="009E4629">
        <w:rPr>
          <w:rFonts w:ascii="Calibri" w:hAnsi="Calibri" w:cs="Calibri"/>
          <w:noProof/>
          <w:szCs w:val="24"/>
        </w:rPr>
        <w:tab/>
        <w:t>Vasilopoulou C, Morris AP, Giannakopoulos G, Duguez S, Duddy W. What Can Machine Learning Approaches in Genomics Tell Us about the Molecular Basis of Amyotrophic Lateral Sclerosis? J Pers Med [Internet]. 2020 Nov 26;10(4):247. Available from: https://www.mdpi.com/2075-4426/10/4/247</w:t>
      </w:r>
    </w:p>
    <w:p w14:paraId="3DFC4992"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E04B7B">
        <w:rPr>
          <w:rFonts w:ascii="Calibri" w:hAnsi="Calibri" w:cs="Calibri"/>
          <w:noProof/>
          <w:szCs w:val="24"/>
          <w:lang w:val="fr-FR"/>
        </w:rPr>
        <w:t xml:space="preserve">7. </w:t>
      </w:r>
      <w:r w:rsidRPr="00E04B7B">
        <w:rPr>
          <w:rFonts w:ascii="Calibri" w:hAnsi="Calibri" w:cs="Calibri"/>
          <w:noProof/>
          <w:szCs w:val="24"/>
          <w:lang w:val="fr-FR"/>
        </w:rPr>
        <w:tab/>
        <w:t xml:space="preserve">Cho D-Y, Kim Y-A, Przytycka TM. </w:t>
      </w:r>
      <w:r w:rsidRPr="009E4629">
        <w:rPr>
          <w:rFonts w:ascii="Calibri" w:hAnsi="Calibri" w:cs="Calibri"/>
          <w:noProof/>
          <w:szCs w:val="24"/>
        </w:rPr>
        <w:t xml:space="preserve">Chapter 5: Network biology approach to complex diseases. PLoS Comput Biol. 2012;8(12):e1002820. </w:t>
      </w:r>
    </w:p>
    <w:p w14:paraId="129F3C2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8. </w:t>
      </w:r>
      <w:r w:rsidRPr="009E4629">
        <w:rPr>
          <w:rFonts w:ascii="Calibri" w:hAnsi="Calibri" w:cs="Calibri"/>
          <w:noProof/>
          <w:szCs w:val="24"/>
        </w:rPr>
        <w:tab/>
        <w:t>Guala D, Ogris C, Müller N, Sonnhammer ELL. Genome-wide functional association networks: background, data &amp;amp; state-of-the-art resources. Brief Bioinform [Internet]. 2020 Jul 15;21(4):1224–37. Available from: https://academic.oup.com/bib/article/21/4/1224/5522018</w:t>
      </w:r>
    </w:p>
    <w:p w14:paraId="01D2B2E1"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9. </w:t>
      </w:r>
      <w:r w:rsidRPr="009E4629">
        <w:rPr>
          <w:rFonts w:ascii="Calibri" w:hAnsi="Calibri" w:cs="Calibri"/>
          <w:noProof/>
          <w:szCs w:val="24"/>
        </w:rPr>
        <w:tab/>
        <w:t xml:space="preserve">Taylor IW, Wrana JL. Protein interaction networks in medicine and disease. Proteomics. 2012 May;12(10):1706–16. </w:t>
      </w:r>
    </w:p>
    <w:p w14:paraId="0B252301"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10. </w:t>
      </w:r>
      <w:r w:rsidRPr="009E4629">
        <w:rPr>
          <w:rFonts w:ascii="Calibri" w:hAnsi="Calibri" w:cs="Calibri"/>
          <w:noProof/>
          <w:szCs w:val="24"/>
        </w:rPr>
        <w:tab/>
        <w:t xml:space="preserve">Shoemaker BA, Panchenko AR. Deciphering protein-protein interactions. Part II. Computational methods to predict protein and domain interaction partners. PLoS Comput Biol. 2007 Apr;3(4):e43. </w:t>
      </w:r>
    </w:p>
    <w:p w14:paraId="2ABC98DC"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11. </w:t>
      </w:r>
      <w:r w:rsidRPr="009E4629">
        <w:rPr>
          <w:rFonts w:ascii="Calibri" w:hAnsi="Calibri" w:cs="Calibri"/>
          <w:noProof/>
          <w:szCs w:val="24"/>
        </w:rPr>
        <w:tab/>
        <w:t xml:space="preserve">Berggård T, Linse S, James P. Methods for the detection and analysis of protein-protein interactions. Proteomics. 2007 Aug;7(16):2833–42. </w:t>
      </w:r>
    </w:p>
    <w:p w14:paraId="204102EF"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12. </w:t>
      </w:r>
      <w:r w:rsidRPr="009E4629">
        <w:rPr>
          <w:rFonts w:ascii="Calibri" w:hAnsi="Calibri" w:cs="Calibri"/>
          <w:noProof/>
          <w:szCs w:val="24"/>
        </w:rPr>
        <w:tab/>
        <w:t xml:space="preserve">Gandhi TKB, Zhong J, Mathivanan S, Karthick L, Chandrika KN, Mohan SS, et al. Analysis of the human protein interactome and comparison with yeast, worm and fly interaction datasets. Nat Genet. 2006 Mar;38(3):285–93. </w:t>
      </w:r>
    </w:p>
    <w:p w14:paraId="791A5F4D"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13. </w:t>
      </w:r>
      <w:r w:rsidRPr="009E4629">
        <w:rPr>
          <w:rFonts w:ascii="Calibri" w:hAnsi="Calibri" w:cs="Calibri"/>
          <w:noProof/>
          <w:szCs w:val="24"/>
        </w:rPr>
        <w:tab/>
        <w:t>Goh K-I, Cusick ME, Valle D, Childs B, Vidal M, Barabási A-L. The human disease network. Proc Natl Acad Sci U S A [Internet]. 2007 May 22;104(21):8685–90. Available from: http://www.ncbi.nlm.nih.gov/pubmed/17502601</w:t>
      </w:r>
    </w:p>
    <w:p w14:paraId="03C718AE"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E04B7B">
        <w:rPr>
          <w:rFonts w:ascii="Calibri" w:hAnsi="Calibri" w:cs="Calibri"/>
          <w:noProof/>
          <w:szCs w:val="24"/>
          <w:lang w:val="fr-FR"/>
        </w:rPr>
        <w:t xml:space="preserve">14. </w:t>
      </w:r>
      <w:r w:rsidRPr="00E04B7B">
        <w:rPr>
          <w:rFonts w:ascii="Calibri" w:hAnsi="Calibri" w:cs="Calibri"/>
          <w:noProof/>
          <w:szCs w:val="24"/>
          <w:lang w:val="fr-FR"/>
        </w:rPr>
        <w:tab/>
        <w:t xml:space="preserve">Oti M, Snel B, Huynen MA, Brunner HG. </w:t>
      </w:r>
      <w:r w:rsidRPr="009E4629">
        <w:rPr>
          <w:rFonts w:ascii="Calibri" w:hAnsi="Calibri" w:cs="Calibri"/>
          <w:noProof/>
          <w:szCs w:val="24"/>
        </w:rPr>
        <w:t xml:space="preserve">Predicting disease genes using protein-protein interactions. J Med Genet. 2006 Aug;43(8):691–8. </w:t>
      </w:r>
    </w:p>
    <w:p w14:paraId="080A8549"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15. </w:t>
      </w:r>
      <w:r w:rsidRPr="009E4629">
        <w:rPr>
          <w:rFonts w:ascii="Calibri" w:hAnsi="Calibri" w:cs="Calibri"/>
          <w:noProof/>
          <w:szCs w:val="24"/>
        </w:rPr>
        <w:tab/>
        <w:t xml:space="preserve">Xu J, Li Y. Discovering disease-genes by topological features in human protein-protein interaction network. Bioinformatics. 2006 Nov;22(22):2800–5. </w:t>
      </w:r>
    </w:p>
    <w:p w14:paraId="16A7EC3B"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16. </w:t>
      </w:r>
      <w:r w:rsidRPr="009E4629">
        <w:rPr>
          <w:rFonts w:ascii="Calibri" w:hAnsi="Calibri" w:cs="Calibri"/>
          <w:noProof/>
          <w:szCs w:val="24"/>
        </w:rPr>
        <w:tab/>
        <w:t xml:space="preserve">Kanhaiya K, Czeizler E, Gratie C, Petre I. Controlling Directed Protein Interaction Networks in Cancer. Sci Rep. 2017;7(1):10327. </w:t>
      </w:r>
    </w:p>
    <w:p w14:paraId="431E5B71"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17. </w:t>
      </w:r>
      <w:r w:rsidRPr="009E4629">
        <w:rPr>
          <w:rFonts w:ascii="Calibri" w:hAnsi="Calibri" w:cs="Calibri"/>
          <w:noProof/>
          <w:szCs w:val="24"/>
        </w:rPr>
        <w:tab/>
        <w:t xml:space="preserve">van Dam S, Võsa U, van der Graaf A, Franke L, de Magalhães JP. Gene co-expression analysis for functional classification and gene-disease predictions. Brief Bioinform. 2018 Jan;19(4):575–92. </w:t>
      </w:r>
    </w:p>
    <w:p w14:paraId="7EA6C6E1"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18. </w:t>
      </w:r>
      <w:r w:rsidRPr="009E4629">
        <w:rPr>
          <w:rFonts w:ascii="Calibri" w:hAnsi="Calibri" w:cs="Calibri"/>
          <w:noProof/>
          <w:szCs w:val="24"/>
        </w:rPr>
        <w:tab/>
        <w:t xml:space="preserve">Eisen MB, Spellman PT, Brown PO, Botstein D. Cluster analysis and display of genome-wide expression patterns. Proc Natl Acad Sci U S A. 1998 Dec;95(25):14863–8. </w:t>
      </w:r>
    </w:p>
    <w:p w14:paraId="5F2894DB"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19. </w:t>
      </w:r>
      <w:r w:rsidRPr="009E4629">
        <w:rPr>
          <w:rFonts w:ascii="Calibri" w:hAnsi="Calibri" w:cs="Calibri"/>
          <w:noProof/>
          <w:szCs w:val="24"/>
        </w:rPr>
        <w:tab/>
        <w:t xml:space="preserve">Athar A, Füllgrabe A, George N, Iqbal H, Huerta L, Ali A, et al. ArrayExpress update - from bulk to single-cell expression data. Nucleic Acids Res. 2019;47(D1):D711–5. </w:t>
      </w:r>
    </w:p>
    <w:p w14:paraId="32E37DC9"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20. </w:t>
      </w:r>
      <w:r w:rsidRPr="009E4629">
        <w:rPr>
          <w:rFonts w:ascii="Calibri" w:hAnsi="Calibri" w:cs="Calibri"/>
          <w:noProof/>
          <w:szCs w:val="24"/>
        </w:rPr>
        <w:tab/>
        <w:t xml:space="preserve">Clough E, Barrett T. The Gene Expression Omnibus database. In: Methods in Molecular Biology. 2016. p. 93–110. </w:t>
      </w:r>
    </w:p>
    <w:p w14:paraId="5C5D54E5"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21. </w:t>
      </w:r>
      <w:r w:rsidRPr="009E4629">
        <w:rPr>
          <w:rFonts w:ascii="Calibri" w:hAnsi="Calibri" w:cs="Calibri"/>
          <w:noProof/>
          <w:szCs w:val="24"/>
        </w:rPr>
        <w:tab/>
        <w:t xml:space="preserve">Ma C, Lv Q, Teng S, Yu Y, Niu K, Yi C. Identifying key genes in rheumatoid arthritis by weighted gene co-expression network analysis. Int J Rheum Dis. 2017 Aug;20(8):971–9. </w:t>
      </w:r>
    </w:p>
    <w:p w14:paraId="038EBCF9"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22. </w:t>
      </w:r>
      <w:r w:rsidRPr="009E4629">
        <w:rPr>
          <w:rFonts w:ascii="Calibri" w:hAnsi="Calibri" w:cs="Calibri"/>
          <w:noProof/>
          <w:szCs w:val="24"/>
        </w:rPr>
        <w:tab/>
        <w:t xml:space="preserve">Ni J, Koyuturk M, Tong H, Haines J, Xu R, Zhang X. Disease gene prioritization by integrating tissue-specific molecular networks using a robust multi-network model. BMC Bioinformatics. 2016 Nov;17(1):453. </w:t>
      </w:r>
    </w:p>
    <w:p w14:paraId="15F43F87"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23. </w:t>
      </w:r>
      <w:r w:rsidRPr="009E4629">
        <w:rPr>
          <w:rFonts w:ascii="Calibri" w:hAnsi="Calibri" w:cs="Calibri"/>
          <w:noProof/>
          <w:szCs w:val="24"/>
        </w:rPr>
        <w:tab/>
        <w:t xml:space="preserve">Magger O, Waldman YY, Ruppin E, Sharan R. Enhancing the prioritization of disease-causing genes through tissue specific protein interaction networks. PLoS Comput Biol. 2012;8(9):e1002690. </w:t>
      </w:r>
    </w:p>
    <w:p w14:paraId="5635D1D1"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24. </w:t>
      </w:r>
      <w:r w:rsidRPr="009E4629">
        <w:rPr>
          <w:rFonts w:ascii="Calibri" w:hAnsi="Calibri" w:cs="Calibri"/>
          <w:noProof/>
          <w:szCs w:val="24"/>
        </w:rPr>
        <w:tab/>
        <w:t>Bornigen D, Pers TH, Thorrez L, Huttenhower C, Moreau Y, Brunak S. Concordance of gene expression in human protein complexes reveals tissue specificity and pathology. Nucleic Acids Res [Internet]. 2013 Oct 1;41(18):e171–e171. Available from: https://academic.oup.com/nar/article-lookup/doi/10.1093/nar/gkt661</w:t>
      </w:r>
    </w:p>
    <w:p w14:paraId="69BF2C78"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25. </w:t>
      </w:r>
      <w:r w:rsidRPr="009E4629">
        <w:rPr>
          <w:rFonts w:ascii="Calibri" w:hAnsi="Calibri" w:cs="Calibri"/>
          <w:noProof/>
          <w:szCs w:val="24"/>
        </w:rPr>
        <w:tab/>
        <w:t xml:space="preserve">Bossi A, Lehner B. Tissue specificity and the human protein interaction network. Mol Syst Biol. 2009;5:260. </w:t>
      </w:r>
    </w:p>
    <w:p w14:paraId="6619E6DC"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26. </w:t>
      </w:r>
      <w:r w:rsidRPr="009E4629">
        <w:rPr>
          <w:rFonts w:ascii="Calibri" w:hAnsi="Calibri" w:cs="Calibri"/>
          <w:noProof/>
          <w:szCs w:val="24"/>
        </w:rPr>
        <w:tab/>
        <w:t xml:space="preserve">Guan Y, Gorenshteyn D, Burmeister M, Wong AK, Schimenti JC, Handel MA, et al. Tissue-specific functional networks for prioritizing phenotype and disease genes. PLoS Comput Biol. 2012;8(9):e1002694. </w:t>
      </w:r>
    </w:p>
    <w:p w14:paraId="0ABA7C0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27. </w:t>
      </w:r>
      <w:r w:rsidRPr="009E4629">
        <w:rPr>
          <w:rFonts w:ascii="Calibri" w:hAnsi="Calibri" w:cs="Calibri"/>
          <w:noProof/>
          <w:szCs w:val="24"/>
        </w:rPr>
        <w:tab/>
        <w:t xml:space="preserve">Greene CS, Krishnan A, Wong AK, Ricciotti E, Zelaya RA, Himmelstein DS, et al. Understanding multicellular function and disease with human tissue-specific networks. Nat Genet. 2015 Jun;47(6):569–76. </w:t>
      </w:r>
    </w:p>
    <w:p w14:paraId="2F343CC2"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28. </w:t>
      </w:r>
      <w:r w:rsidRPr="009E4629">
        <w:rPr>
          <w:rFonts w:ascii="Calibri" w:hAnsi="Calibri" w:cs="Calibri"/>
          <w:noProof/>
          <w:szCs w:val="24"/>
        </w:rPr>
        <w:tab/>
        <w:t>Ghiassian SD, Menche J, Barab?si A-L. A DIseAse MOdule Detection (DIAMOnD) Algorithm Derived from a Systematic Analysis of Connectivity Patterns of Disease Proteins in the Human Interactome. Rzhetsky A, editor. PLOS Comput Biol [Internet]. 2015 Apr 8;11(4):e1004120. Available from: http://dx.plos.org/10.1371/journal.pcbi.1004120</w:t>
      </w:r>
    </w:p>
    <w:p w14:paraId="020BA4C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E04B7B">
        <w:rPr>
          <w:rFonts w:ascii="Calibri" w:hAnsi="Calibri" w:cs="Calibri"/>
          <w:noProof/>
          <w:szCs w:val="24"/>
          <w:lang w:val="fr-FR"/>
        </w:rPr>
        <w:t xml:space="preserve">29. </w:t>
      </w:r>
      <w:r w:rsidRPr="00E04B7B">
        <w:rPr>
          <w:rFonts w:ascii="Calibri" w:hAnsi="Calibri" w:cs="Calibri"/>
          <w:noProof/>
          <w:szCs w:val="24"/>
          <w:lang w:val="fr-FR"/>
        </w:rPr>
        <w:tab/>
        <w:t xml:space="preserve">Cao M, Zhang H, Park J, Daniels NM, Crovella ME, Cowen LJ, et al. </w:t>
      </w:r>
      <w:r w:rsidRPr="009E4629">
        <w:rPr>
          <w:rFonts w:ascii="Calibri" w:hAnsi="Calibri" w:cs="Calibri"/>
          <w:noProof/>
          <w:szCs w:val="24"/>
        </w:rPr>
        <w:t xml:space="preserve">Going the distance for protein function prediction: a new distance metric for protein interaction networks. PLoS One. 2013;8(10):e76339. </w:t>
      </w:r>
    </w:p>
    <w:p w14:paraId="13BC8EDB"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30. </w:t>
      </w:r>
      <w:r w:rsidRPr="009E4629">
        <w:rPr>
          <w:rFonts w:ascii="Calibri" w:hAnsi="Calibri" w:cs="Calibri"/>
          <w:noProof/>
          <w:szCs w:val="24"/>
        </w:rPr>
        <w:tab/>
        <w:t xml:space="preserve">Cao M, Pietras CM, Feng X, Doroschak KJ, Schaffner T, Park J, et al. New directions for diffusion-based network prediction of protein function: incorporating pathways with confidence. Bioinformatics. 2014 Jun;30(12):i219-27. </w:t>
      </w:r>
    </w:p>
    <w:p w14:paraId="43C11C0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31. </w:t>
      </w:r>
      <w:r w:rsidRPr="009E4629">
        <w:rPr>
          <w:rFonts w:ascii="Calibri" w:hAnsi="Calibri" w:cs="Calibri"/>
          <w:noProof/>
          <w:szCs w:val="24"/>
        </w:rPr>
        <w:tab/>
        <w:t xml:space="preserve">Szklarczyk D, Franceschini A, Wyder S, Forslund K, Heller D, Huerta-Cepas J, et al. STRING v10: protein-protein interaction networks, integrated over the tree of life. Nucleic Acids Res. 2015 Jan;43(Database issue):D447-52. </w:t>
      </w:r>
    </w:p>
    <w:p w14:paraId="625C6F4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32. </w:t>
      </w:r>
      <w:r w:rsidRPr="009E4629">
        <w:rPr>
          <w:rFonts w:ascii="Calibri" w:hAnsi="Calibri" w:cs="Calibri"/>
          <w:noProof/>
          <w:szCs w:val="24"/>
        </w:rPr>
        <w:tab/>
        <w:t xml:space="preserve">Szklarczyk D, Morris JH, Cook H, Kuhn M, Wyder S, Simonovic M, et al. The STRING database in 2017: quality-controlled protein-protein association networks, made broadly accessible. Nucleic Acids Res. 2017;45(D1):D362–8. </w:t>
      </w:r>
    </w:p>
    <w:p w14:paraId="0F2544D2"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33. </w:t>
      </w:r>
      <w:r w:rsidRPr="009E4629">
        <w:rPr>
          <w:rFonts w:ascii="Calibri" w:hAnsi="Calibri" w:cs="Calibri"/>
          <w:noProof/>
          <w:szCs w:val="24"/>
        </w:rPr>
        <w:tab/>
        <w:t xml:space="preserve">Smedley D, Haider S, Durinck S, Pandini L, Provero P, Allen J, et al. The BioMart community portal: an innovative alternative to large, centralized data repositories. Nucleic Acids Res. 2015 Jul;43(W1):W589-98. </w:t>
      </w:r>
    </w:p>
    <w:p w14:paraId="23CDD9D9"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34. </w:t>
      </w:r>
      <w:r w:rsidRPr="009E4629">
        <w:rPr>
          <w:rFonts w:ascii="Calibri" w:hAnsi="Calibri" w:cs="Calibri"/>
          <w:noProof/>
          <w:szCs w:val="24"/>
        </w:rPr>
        <w:tab/>
        <w:t xml:space="preserve">Kotlyar M, Pastrello C, Malik Z, Jurisica I. IID 2018 update: context-specific physical protein-protein interactions in human, model organisms and domesticated species. Nucleic Acids Res. 2019;47(D1):D581–9. </w:t>
      </w:r>
    </w:p>
    <w:p w14:paraId="2B2B1E18"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35. </w:t>
      </w:r>
      <w:r w:rsidRPr="009E4629">
        <w:rPr>
          <w:rFonts w:ascii="Calibri" w:hAnsi="Calibri" w:cs="Calibri"/>
          <w:noProof/>
          <w:szCs w:val="24"/>
        </w:rPr>
        <w:tab/>
        <w:t>Irizarry RA, Hobbs B, Collin F, Beazer-Barclay YD, Antonellis KJ, Scherf U, et al. Exploration, normalization, and summaries of high density oligonucleotide array probe level data. Biostatistics [Internet]. 2003 Apr;4(2):249–64. Available from: http://www.ncbi.nlm.nih.gov/pubmed/12925520</w:t>
      </w:r>
    </w:p>
    <w:p w14:paraId="302E4467"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36. </w:t>
      </w:r>
      <w:r w:rsidRPr="009E4629">
        <w:rPr>
          <w:rFonts w:ascii="Calibri" w:hAnsi="Calibri" w:cs="Calibri"/>
          <w:noProof/>
          <w:szCs w:val="24"/>
        </w:rPr>
        <w:tab/>
        <w:t>Menon R, Otto EA, Sealfon R, Nair V, Wong AK, Theesfeld CL, et al. SARS-CoV-2 receptor networks in diabetic and COVID-19–associated kidney disease. Kidney Int [Internet]. 2020 Dec;98(6):1502–18. Available from: https://linkinghub.elsevier.com/retrieve/pii/S0085253820311133</w:t>
      </w:r>
    </w:p>
    <w:p w14:paraId="7A02FA68"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37. </w:t>
      </w:r>
      <w:r w:rsidRPr="009E4629">
        <w:rPr>
          <w:rFonts w:ascii="Calibri" w:hAnsi="Calibri" w:cs="Calibri"/>
          <w:noProof/>
          <w:szCs w:val="24"/>
        </w:rPr>
        <w:tab/>
        <w:t xml:space="preserve">Obayashi T, Hayashi S, Shibaoka M, Saeki M, Ohta H, Kinoshita K. COXPRESdb: a database of coexpressed gene networks in mammals. Nucleic Acids Res. 2008 Jan;36(Database issue):D77-82. </w:t>
      </w:r>
    </w:p>
    <w:p w14:paraId="5F4D6390"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38. </w:t>
      </w:r>
      <w:r w:rsidRPr="009E4629">
        <w:rPr>
          <w:rFonts w:ascii="Calibri" w:hAnsi="Calibri" w:cs="Calibri"/>
          <w:noProof/>
          <w:szCs w:val="24"/>
        </w:rPr>
        <w:tab/>
        <w:t xml:space="preserve">Obayashi T, Kagaya Y, Aoki Y, Tadaka S, Kinoshita K. COXPRESdb v7: A gene coexpression database for 11 animal species supported by 23 coexpression platforms for technical evaluation and evolutionary inference. Nucleic Acids Res. 2019 Jan;47(D1):D55–62. </w:t>
      </w:r>
    </w:p>
    <w:p w14:paraId="36F167DA"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39. </w:t>
      </w:r>
      <w:r w:rsidRPr="009E4629">
        <w:rPr>
          <w:rFonts w:ascii="Calibri" w:hAnsi="Calibri" w:cs="Calibri"/>
          <w:noProof/>
          <w:szCs w:val="24"/>
        </w:rPr>
        <w:tab/>
        <w:t xml:space="preserve">Okamura Y, Aoki Y, Obayashi T, Tadaka S, Ito S, Narise T, et al. COXPRESdb in 2015: Coexpression database for animal species by DNA-microarray and RNAseq-based expression data with multiple quality assessment systems. Nucleic Acids Res. 2015 Jan;43(D1):D82–6. </w:t>
      </w:r>
    </w:p>
    <w:p w14:paraId="6629D62F"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40. </w:t>
      </w:r>
      <w:r w:rsidRPr="009E4629">
        <w:rPr>
          <w:rFonts w:ascii="Calibri" w:hAnsi="Calibri" w:cs="Calibri"/>
          <w:noProof/>
          <w:szCs w:val="24"/>
        </w:rPr>
        <w:tab/>
        <w:t xml:space="preserve">Obayashi T, Kinoshita K. Rank of correlation coefficient as a comparable measure for biological significance of gene coexpression. DNA Res. 2009 Oct;16(5):249–60. </w:t>
      </w:r>
    </w:p>
    <w:p w14:paraId="6E0AA78E"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41. </w:t>
      </w:r>
      <w:r w:rsidRPr="009E4629">
        <w:rPr>
          <w:rFonts w:ascii="Calibri" w:hAnsi="Calibri" w:cs="Calibri"/>
          <w:noProof/>
          <w:szCs w:val="24"/>
        </w:rPr>
        <w:tab/>
        <w:t xml:space="preserve">Carithers LJ, Moore HM. The Genotype-Tissue Expression (GTEx) Project. Biopreserv Biobank. 2015 Oct;13(5):307–8. </w:t>
      </w:r>
    </w:p>
    <w:p w14:paraId="29CAF4AA"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42. </w:t>
      </w:r>
      <w:r w:rsidRPr="009E4629">
        <w:rPr>
          <w:rFonts w:ascii="Calibri" w:hAnsi="Calibri" w:cs="Calibri"/>
          <w:noProof/>
          <w:szCs w:val="24"/>
        </w:rPr>
        <w:tab/>
        <w:t xml:space="preserve">Carithers LJ, Ardlie K, Barcus M, Branton PA, Britton A, Buia SA, et al. A Novel Approach to High-Quality Postmortem Tissue Procurement: The GTEx Project. Biopreserv Biobank. 2015 Oct;13(5):311–9. </w:t>
      </w:r>
    </w:p>
    <w:p w14:paraId="6A18DDD2" w14:textId="77777777" w:rsidR="002B3A3C" w:rsidRPr="00E04B7B" w:rsidRDefault="002B3A3C" w:rsidP="002B3A3C">
      <w:pPr>
        <w:widowControl w:val="0"/>
        <w:autoSpaceDE w:val="0"/>
        <w:autoSpaceDN w:val="0"/>
        <w:adjustRightInd w:val="0"/>
        <w:spacing w:after="0"/>
        <w:ind w:left="640" w:hanging="640"/>
        <w:rPr>
          <w:rFonts w:ascii="Calibri" w:hAnsi="Calibri" w:cs="Calibri"/>
          <w:noProof/>
          <w:szCs w:val="24"/>
          <w:lang w:val="fr-FR"/>
        </w:rPr>
      </w:pPr>
      <w:r w:rsidRPr="009E4629">
        <w:rPr>
          <w:rFonts w:ascii="Calibri" w:hAnsi="Calibri" w:cs="Calibri"/>
          <w:noProof/>
          <w:szCs w:val="24"/>
        </w:rPr>
        <w:t xml:space="preserve">43. </w:t>
      </w:r>
      <w:r w:rsidRPr="009E4629">
        <w:rPr>
          <w:rFonts w:ascii="Calibri" w:hAnsi="Calibri" w:cs="Calibri"/>
          <w:noProof/>
          <w:szCs w:val="24"/>
        </w:rPr>
        <w:tab/>
        <w:t xml:space="preserve">Revelle W. psych: Procedures for Psychological, Psychometric, and Personality Research. </w:t>
      </w:r>
      <w:r w:rsidRPr="00E04B7B">
        <w:rPr>
          <w:rFonts w:ascii="Calibri" w:hAnsi="Calibri" w:cs="Calibri"/>
          <w:noProof/>
          <w:szCs w:val="24"/>
          <w:lang w:val="fr-FR"/>
        </w:rPr>
        <w:t xml:space="preserve">Evanston, Illinois; 2019. </w:t>
      </w:r>
    </w:p>
    <w:p w14:paraId="5702A6BE"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E04B7B">
        <w:rPr>
          <w:rFonts w:ascii="Calibri" w:hAnsi="Calibri" w:cs="Calibri"/>
          <w:noProof/>
          <w:szCs w:val="24"/>
          <w:lang w:val="fr-FR"/>
        </w:rPr>
        <w:t xml:space="preserve">44. </w:t>
      </w:r>
      <w:r w:rsidRPr="00E04B7B">
        <w:rPr>
          <w:rFonts w:ascii="Calibri" w:hAnsi="Calibri" w:cs="Calibri"/>
          <w:noProof/>
          <w:szCs w:val="24"/>
          <w:lang w:val="fr-FR"/>
        </w:rPr>
        <w:tab/>
        <w:t xml:space="preserve">Contreras-López O, Moyano TC, Soto DC, Gutiérrez RA. </w:t>
      </w:r>
      <w:r w:rsidRPr="009E4629">
        <w:rPr>
          <w:rFonts w:ascii="Calibri" w:hAnsi="Calibri" w:cs="Calibri"/>
          <w:noProof/>
          <w:szCs w:val="24"/>
        </w:rPr>
        <w:t xml:space="preserve">Step-by-Step Construction of Gene Co-expression Networks from High-Throughput Arabidopsis RNA Sequencing Data. Methods Mol Biol. 2018;1761:275–301. </w:t>
      </w:r>
    </w:p>
    <w:p w14:paraId="1BC39E9E"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45. </w:t>
      </w:r>
      <w:r w:rsidRPr="009E4629">
        <w:rPr>
          <w:rFonts w:ascii="Calibri" w:hAnsi="Calibri" w:cs="Calibri"/>
          <w:noProof/>
          <w:szCs w:val="24"/>
        </w:rPr>
        <w:tab/>
        <w:t xml:space="preserve">Malatras A, Michalopoulos I, Duguez S, Butler-Browne G, Spuler S, Duddy WJ. MyoMiner: explore gene co-expression in normal and pathological muscle. BMC Med Genomics. 2020;13(1):67. </w:t>
      </w:r>
    </w:p>
    <w:p w14:paraId="3AA8D3D6"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46. </w:t>
      </w:r>
      <w:r w:rsidRPr="009E4629">
        <w:rPr>
          <w:rFonts w:ascii="Calibri" w:hAnsi="Calibri" w:cs="Calibri"/>
          <w:noProof/>
          <w:szCs w:val="24"/>
        </w:rPr>
        <w:tab/>
        <w:t xml:space="preserve">Liberzon A, Birger C, Thorvaldsdóttir H, Ghandi M, Mesirov JP, Tamayo P. The Molecular Signatures Database (MSigDB) hallmark gene set collection. Cell Syst. 2015 Dec;1(6):417–25. </w:t>
      </w:r>
    </w:p>
    <w:p w14:paraId="79D39AAC"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47. </w:t>
      </w:r>
      <w:r w:rsidRPr="009E4629">
        <w:rPr>
          <w:rFonts w:ascii="Calibri" w:hAnsi="Calibri" w:cs="Calibri"/>
          <w:noProof/>
          <w:szCs w:val="24"/>
        </w:rPr>
        <w:tab/>
        <w:t xml:space="preserve">Choobdar S, Ahsen ME, Crawford J, Tomasoni M, Fang T, Lamparter D, et al. Assessment of network module identification across complex diseases. Nat Methods. 2019;16(9):843–52. </w:t>
      </w:r>
    </w:p>
    <w:p w14:paraId="45E1A1D5"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48. </w:t>
      </w:r>
      <w:r w:rsidRPr="009E4629">
        <w:rPr>
          <w:rFonts w:ascii="Calibri" w:hAnsi="Calibri" w:cs="Calibri"/>
          <w:noProof/>
          <w:szCs w:val="24"/>
        </w:rPr>
        <w:tab/>
        <w:t>Tomasoni M, Gómez S, Crawford J, Zhang W, Choobdar S, Marbach D, et al. MONET: a toolbox integrating top-performing methods for network modularization. Luigi Martelli P, editor. Bioinformatics [Internet]. 2020 Jun 1;36(12):3920–1. Available from: https://academic.oup.com/bioinformatics/article/36/12/3920/5818484</w:t>
      </w:r>
    </w:p>
    <w:p w14:paraId="7C0A5133"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49. </w:t>
      </w:r>
      <w:r w:rsidRPr="009E4629">
        <w:rPr>
          <w:rFonts w:ascii="Calibri" w:hAnsi="Calibri" w:cs="Calibri"/>
          <w:noProof/>
          <w:szCs w:val="24"/>
        </w:rPr>
        <w:tab/>
        <w:t>Carbon S, Douglass E, Good BM, Unni DR, Harris NL, Mungall CJ, et al. The Gene Ontology resource: enriching a GOld mine. Nucleic Acids Res [Internet]. 2021 Jan 8;49(D1):D325–34. Available from: https://academic.oup.com/nar/article/49/D1/D325/6027811</w:t>
      </w:r>
    </w:p>
    <w:p w14:paraId="32DA1627"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50. </w:t>
      </w:r>
      <w:r w:rsidRPr="009E4629">
        <w:rPr>
          <w:rFonts w:ascii="Calibri" w:hAnsi="Calibri" w:cs="Calibri"/>
          <w:noProof/>
          <w:szCs w:val="24"/>
        </w:rPr>
        <w:tab/>
        <w:t>Jassal B, Matthews L, Viteri G, Gong C, Lorente P, Fabregat A, et al. The reactome pathway knowledgebase. Nucleic Acids Res [Internet]. 2019 Nov 6; Available from: https://academic.oup.com/nar/advance-article/doi/10.1093/nar/gkz1031/5613674</w:t>
      </w:r>
    </w:p>
    <w:p w14:paraId="73909D1F"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51. </w:t>
      </w:r>
      <w:r w:rsidRPr="009E4629">
        <w:rPr>
          <w:rFonts w:ascii="Calibri" w:hAnsi="Calibri" w:cs="Calibri"/>
          <w:noProof/>
          <w:szCs w:val="24"/>
        </w:rPr>
        <w:tab/>
        <w:t>Martens M, Ammar A, Riutta A, Waagmeester A, Slenter DN, Hanspers K, et al. WikiPathways: connecting communities. Nucleic Acids Res [Internet]. 2021 Jan 8;49(D1):D613–21. Available from: https://academic.oup.com/nar/article/49/D1/D613/5992285</w:t>
      </w:r>
    </w:p>
    <w:p w14:paraId="0DE8AEFE"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52. </w:t>
      </w:r>
      <w:r w:rsidRPr="009E4629">
        <w:rPr>
          <w:rFonts w:ascii="Calibri" w:hAnsi="Calibri" w:cs="Calibri"/>
          <w:noProof/>
          <w:szCs w:val="24"/>
        </w:rPr>
        <w:tab/>
        <w:t>Malatras A, Duguez S, Duddy W. Muscle Gene Sets: a versatile methodological aid to functional genomics in the neuromuscular field. Skelet Muscle [Internet]. 2019 Dec 3;9(1):10. Available from: https://skeletalmusclejournal.biomedcentral.com/articles/10.1186/s13395-019-0196-z</w:t>
      </w:r>
    </w:p>
    <w:p w14:paraId="328DFC26"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53. </w:t>
      </w:r>
      <w:r w:rsidRPr="009E4629">
        <w:rPr>
          <w:rFonts w:ascii="Calibri" w:hAnsi="Calibri" w:cs="Calibri"/>
          <w:noProof/>
          <w:szCs w:val="24"/>
        </w:rPr>
        <w:tab/>
        <w:t xml:space="preserve">Ferreira PG, Muñoz-Aguirre M, Reverter F, Sá Godinho CP, Sousa A, Amadoz A, et al. The effects of death and post-mortem cold ischemia on human tissue transcriptomes. Nat Commun. 2018;9(1):490. </w:t>
      </w:r>
    </w:p>
    <w:p w14:paraId="0C0F0849" w14:textId="77777777" w:rsidR="002B3A3C" w:rsidRPr="009E4629" w:rsidRDefault="002B3A3C" w:rsidP="002B3A3C">
      <w:pPr>
        <w:widowControl w:val="0"/>
        <w:autoSpaceDE w:val="0"/>
        <w:autoSpaceDN w:val="0"/>
        <w:adjustRightInd w:val="0"/>
        <w:spacing w:after="0"/>
        <w:ind w:left="640" w:hanging="640"/>
        <w:rPr>
          <w:rFonts w:ascii="Calibri" w:hAnsi="Calibri" w:cs="Calibri"/>
          <w:noProof/>
          <w:szCs w:val="24"/>
        </w:rPr>
      </w:pPr>
      <w:r w:rsidRPr="009E4629">
        <w:rPr>
          <w:rFonts w:ascii="Calibri" w:hAnsi="Calibri" w:cs="Calibri"/>
          <w:noProof/>
          <w:szCs w:val="24"/>
        </w:rPr>
        <w:t xml:space="preserve">54. </w:t>
      </w:r>
      <w:r w:rsidRPr="009E4629">
        <w:rPr>
          <w:rFonts w:ascii="Calibri" w:hAnsi="Calibri" w:cs="Calibri"/>
          <w:noProof/>
          <w:szCs w:val="24"/>
        </w:rPr>
        <w:tab/>
        <w:t>Gillis J, Pavlidis P. “Guilt by Association” Is the Exception Rather Than the Rule in Gene Networks. Rzhetsky A, editor. PLoS Comput Biol [Internet]. 2012 Mar 29;8(3):e1002444. Available from: https://dx.plos.org/10.1371/journal.pcbi.1002444</w:t>
      </w:r>
    </w:p>
    <w:p w14:paraId="37BDA120" w14:textId="77777777" w:rsidR="002B3A3C" w:rsidRPr="009E4629" w:rsidRDefault="002B3A3C" w:rsidP="002B3A3C">
      <w:pPr>
        <w:widowControl w:val="0"/>
        <w:autoSpaceDE w:val="0"/>
        <w:autoSpaceDN w:val="0"/>
        <w:adjustRightInd w:val="0"/>
        <w:spacing w:after="0"/>
        <w:ind w:left="640" w:hanging="640"/>
        <w:rPr>
          <w:rFonts w:ascii="Calibri" w:hAnsi="Calibri" w:cs="Calibri"/>
          <w:noProof/>
        </w:rPr>
      </w:pPr>
      <w:r w:rsidRPr="009E4629">
        <w:rPr>
          <w:rFonts w:ascii="Calibri" w:hAnsi="Calibri" w:cs="Calibri"/>
          <w:noProof/>
          <w:szCs w:val="24"/>
        </w:rPr>
        <w:t xml:space="preserve">55. </w:t>
      </w:r>
      <w:r w:rsidRPr="009E4629">
        <w:rPr>
          <w:rFonts w:ascii="Calibri" w:hAnsi="Calibri" w:cs="Calibri"/>
          <w:noProof/>
          <w:szCs w:val="24"/>
        </w:rPr>
        <w:tab/>
        <w:t>Thorley M, Duguez S, Mazza EMC, Valsoni S, Bigot A, Mamchaoui K, et al. Skeletal muscle characteristics are preserved in hTERT/cdk4 human myogenic cell lines. Skelet Muscle [Internet]. 2016 Dec 8;6(1):43. Available from: http://skeletalmusclejournal.biomedcentral.com/articles/10.1186/s13395-016-0115-5</w:t>
      </w:r>
    </w:p>
    <w:p w14:paraId="00DB22D8" w14:textId="77777777" w:rsidR="002B3A3C" w:rsidRDefault="002B3A3C" w:rsidP="002B3A3C">
      <w:pPr>
        <w:spacing w:after="0"/>
        <w:rPr>
          <w:b/>
        </w:rPr>
      </w:pPr>
      <w:r>
        <w:rPr>
          <w:b/>
        </w:rPr>
        <w:fldChar w:fldCharType="end"/>
      </w:r>
    </w:p>
    <w:p w14:paraId="71D46041" w14:textId="77777777" w:rsidR="002B3A3C" w:rsidRDefault="002B3A3C" w:rsidP="002B3A3C">
      <w:pPr>
        <w:rPr>
          <w:b/>
        </w:rPr>
      </w:pPr>
    </w:p>
    <w:p w14:paraId="7B7D88C2" w14:textId="77777777" w:rsidR="002B3A3C" w:rsidRDefault="002B3A3C" w:rsidP="002B3A3C">
      <w:pPr>
        <w:rPr>
          <w:b/>
        </w:rPr>
        <w:sectPr w:rsidR="002B3A3C" w:rsidSect="00E04B7B">
          <w:type w:val="continuous"/>
          <w:pgSz w:w="11906" w:h="16838"/>
          <w:pgMar w:top="1440" w:right="1440" w:bottom="1440" w:left="1440" w:header="709" w:footer="709" w:gutter="0"/>
          <w:cols w:space="708"/>
          <w:docGrid w:linePitch="360"/>
        </w:sectPr>
      </w:pPr>
    </w:p>
    <w:p w14:paraId="19F47C7B" w14:textId="77777777" w:rsidR="002B3A3C" w:rsidRDefault="002B3A3C" w:rsidP="002B3A3C">
      <w:pPr>
        <w:rPr>
          <w:b/>
        </w:rPr>
      </w:pPr>
    </w:p>
    <w:p w14:paraId="535833DA" w14:textId="77777777" w:rsidR="002B3A3C" w:rsidRDefault="002B3A3C" w:rsidP="002B3A3C">
      <w:pPr>
        <w:rPr>
          <w:b/>
        </w:rPr>
      </w:pPr>
      <w:r>
        <w:rPr>
          <w:b/>
        </w:rPr>
        <w:t>Supplementary Materials</w:t>
      </w: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tblBorders>
        <w:tblLook w:val="04A0" w:firstRow="1" w:lastRow="0" w:firstColumn="1" w:lastColumn="0" w:noHBand="0" w:noVBand="1"/>
      </w:tblPr>
      <w:tblGrid>
        <w:gridCol w:w="4569"/>
        <w:gridCol w:w="2329"/>
        <w:gridCol w:w="1059"/>
        <w:gridCol w:w="1059"/>
      </w:tblGrid>
      <w:tr w:rsidR="002B3A3C" w:rsidRPr="0002037F" w14:paraId="7D6513BD" w14:textId="77777777" w:rsidTr="00924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bottom w:val="none" w:sz="0" w:space="0" w:color="auto"/>
            </w:tcBorders>
          </w:tcPr>
          <w:p w14:paraId="79CA22BC" w14:textId="77777777" w:rsidR="002B3A3C" w:rsidRPr="0002037F" w:rsidRDefault="002B3A3C" w:rsidP="00924A5A">
            <w:pPr>
              <w:spacing w:line="480" w:lineRule="auto"/>
              <w:rPr>
                <w:b w:val="0"/>
                <w:sz w:val="18"/>
              </w:rPr>
            </w:pPr>
            <w:r w:rsidRPr="0002037F">
              <w:rPr>
                <w:sz w:val="18"/>
              </w:rPr>
              <w:t>Standard Name</w:t>
            </w:r>
          </w:p>
        </w:tc>
        <w:tc>
          <w:tcPr>
            <w:tcW w:w="2329" w:type="dxa"/>
            <w:tcBorders>
              <w:bottom w:val="none" w:sz="0" w:space="0" w:color="auto"/>
            </w:tcBorders>
          </w:tcPr>
          <w:p w14:paraId="5AA37FC1" w14:textId="77777777" w:rsidR="002B3A3C" w:rsidRPr="0002037F" w:rsidRDefault="002B3A3C" w:rsidP="00924A5A">
            <w:pPr>
              <w:spacing w:line="480" w:lineRule="auto"/>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Exact source</w:t>
            </w:r>
          </w:p>
        </w:tc>
        <w:tc>
          <w:tcPr>
            <w:tcW w:w="1059" w:type="dxa"/>
            <w:tcBorders>
              <w:bottom w:val="none" w:sz="0" w:space="0" w:color="auto"/>
            </w:tcBorders>
          </w:tcPr>
          <w:p w14:paraId="4D68F9E3" w14:textId="77777777" w:rsidR="002B3A3C" w:rsidRPr="0002037F" w:rsidRDefault="002B3A3C" w:rsidP="00924A5A">
            <w:pPr>
              <w:spacing w:line="480" w:lineRule="auto"/>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Subset of GO</w:t>
            </w:r>
          </w:p>
        </w:tc>
        <w:tc>
          <w:tcPr>
            <w:tcW w:w="1059" w:type="dxa"/>
            <w:tcBorders>
              <w:bottom w:val="none" w:sz="0" w:space="0" w:color="auto"/>
            </w:tcBorders>
          </w:tcPr>
          <w:p w14:paraId="4F474D16" w14:textId="77777777" w:rsidR="002B3A3C" w:rsidRPr="0002037F" w:rsidRDefault="002B3A3C" w:rsidP="00924A5A">
            <w:pPr>
              <w:spacing w:line="480" w:lineRule="auto"/>
              <w:cnfStyle w:val="100000000000" w:firstRow="1" w:lastRow="0" w:firstColumn="0" w:lastColumn="0" w:oddVBand="0" w:evenVBand="0" w:oddHBand="0" w:evenHBand="0" w:firstRowFirstColumn="0" w:firstRowLastColumn="0" w:lastRowFirstColumn="0" w:lastRowLastColumn="0"/>
              <w:rPr>
                <w:b w:val="0"/>
                <w:sz w:val="18"/>
              </w:rPr>
            </w:pPr>
            <w:r w:rsidRPr="0002037F">
              <w:rPr>
                <w:sz w:val="18"/>
              </w:rPr>
              <w:t>No. Genes</w:t>
            </w:r>
          </w:p>
        </w:tc>
      </w:tr>
      <w:tr w:rsidR="002B3A3C" w:rsidRPr="0002037F" w14:paraId="6BDDDE72"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29B33631" w14:textId="77777777" w:rsidR="002B3A3C" w:rsidRPr="0002037F" w:rsidRDefault="002B3A3C" w:rsidP="00924A5A">
            <w:pPr>
              <w:spacing w:line="480" w:lineRule="auto"/>
              <w:rPr>
                <w:sz w:val="18"/>
              </w:rPr>
            </w:pPr>
            <w:r w:rsidRPr="0002037F">
              <w:rPr>
                <w:sz w:val="18"/>
              </w:rPr>
              <w:t>GO_MUSCLE_FIBER_DEVELOPMENT</w:t>
            </w:r>
          </w:p>
        </w:tc>
        <w:tc>
          <w:tcPr>
            <w:tcW w:w="2329" w:type="dxa"/>
            <w:tcBorders>
              <w:top w:val="none" w:sz="0" w:space="0" w:color="auto"/>
              <w:bottom w:val="none" w:sz="0" w:space="0" w:color="auto"/>
            </w:tcBorders>
          </w:tcPr>
          <w:p w14:paraId="5B32CB71"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GO:0048747</w:t>
            </w:r>
          </w:p>
        </w:tc>
        <w:tc>
          <w:tcPr>
            <w:tcW w:w="1059" w:type="dxa"/>
            <w:tcBorders>
              <w:top w:val="none" w:sz="0" w:space="0" w:color="auto"/>
              <w:bottom w:val="none" w:sz="0" w:space="0" w:color="auto"/>
            </w:tcBorders>
          </w:tcPr>
          <w:p w14:paraId="46B39F7E"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73FA7EC2"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60</w:t>
            </w:r>
          </w:p>
        </w:tc>
      </w:tr>
      <w:tr w:rsidR="002B3A3C" w:rsidRPr="0002037F" w14:paraId="632FC617" w14:textId="77777777" w:rsidTr="00924A5A">
        <w:tc>
          <w:tcPr>
            <w:cnfStyle w:val="001000000000" w:firstRow="0" w:lastRow="0" w:firstColumn="1" w:lastColumn="0" w:oddVBand="0" w:evenVBand="0" w:oddHBand="0" w:evenHBand="0" w:firstRowFirstColumn="0" w:firstRowLastColumn="0" w:lastRowFirstColumn="0" w:lastRowLastColumn="0"/>
            <w:tcW w:w="4569" w:type="dxa"/>
          </w:tcPr>
          <w:p w14:paraId="39ABB2ED" w14:textId="77777777" w:rsidR="002B3A3C" w:rsidRPr="0002037F" w:rsidRDefault="002B3A3C" w:rsidP="00924A5A">
            <w:pPr>
              <w:spacing w:line="480" w:lineRule="auto"/>
              <w:rPr>
                <w:sz w:val="18"/>
              </w:rPr>
            </w:pPr>
            <w:r w:rsidRPr="0002037F">
              <w:rPr>
                <w:sz w:val="18"/>
              </w:rPr>
              <w:t>GO_MUSCLE HYPERTROPHY</w:t>
            </w:r>
          </w:p>
        </w:tc>
        <w:tc>
          <w:tcPr>
            <w:tcW w:w="2329" w:type="dxa"/>
          </w:tcPr>
          <w:p w14:paraId="0AFBFD27"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GO:0014896</w:t>
            </w:r>
          </w:p>
        </w:tc>
        <w:tc>
          <w:tcPr>
            <w:tcW w:w="1059" w:type="dxa"/>
          </w:tcPr>
          <w:p w14:paraId="002B667D"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BP</w:t>
            </w:r>
          </w:p>
        </w:tc>
        <w:tc>
          <w:tcPr>
            <w:tcW w:w="1059" w:type="dxa"/>
          </w:tcPr>
          <w:p w14:paraId="1C07680F"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109</w:t>
            </w:r>
          </w:p>
        </w:tc>
      </w:tr>
      <w:tr w:rsidR="002B3A3C" w:rsidRPr="0002037F" w14:paraId="140E8653"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3ACF42E3" w14:textId="77777777" w:rsidR="002B3A3C" w:rsidRPr="0002037F" w:rsidRDefault="002B3A3C" w:rsidP="00924A5A">
            <w:pPr>
              <w:spacing w:line="480" w:lineRule="auto"/>
              <w:rPr>
                <w:sz w:val="18"/>
              </w:rPr>
            </w:pPr>
            <w:r w:rsidRPr="0002037F">
              <w:rPr>
                <w:sz w:val="18"/>
              </w:rPr>
              <w:t>GO_MYOBLAST_FUSION</w:t>
            </w:r>
          </w:p>
        </w:tc>
        <w:tc>
          <w:tcPr>
            <w:tcW w:w="2329" w:type="dxa"/>
            <w:tcBorders>
              <w:top w:val="none" w:sz="0" w:space="0" w:color="auto"/>
              <w:bottom w:val="none" w:sz="0" w:space="0" w:color="auto"/>
            </w:tcBorders>
          </w:tcPr>
          <w:p w14:paraId="3C45D2D6"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GO:0007520</w:t>
            </w:r>
          </w:p>
        </w:tc>
        <w:tc>
          <w:tcPr>
            <w:tcW w:w="1059" w:type="dxa"/>
            <w:tcBorders>
              <w:top w:val="none" w:sz="0" w:space="0" w:color="auto"/>
              <w:bottom w:val="none" w:sz="0" w:space="0" w:color="auto"/>
            </w:tcBorders>
          </w:tcPr>
          <w:p w14:paraId="5DB62372"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2F7AC619"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45</w:t>
            </w:r>
          </w:p>
        </w:tc>
      </w:tr>
      <w:tr w:rsidR="002B3A3C" w:rsidRPr="0002037F" w14:paraId="771A163C" w14:textId="77777777" w:rsidTr="00924A5A">
        <w:tc>
          <w:tcPr>
            <w:cnfStyle w:val="001000000000" w:firstRow="0" w:lastRow="0" w:firstColumn="1" w:lastColumn="0" w:oddVBand="0" w:evenVBand="0" w:oddHBand="0" w:evenHBand="0" w:firstRowFirstColumn="0" w:firstRowLastColumn="0" w:lastRowFirstColumn="0" w:lastRowLastColumn="0"/>
            <w:tcW w:w="4569" w:type="dxa"/>
          </w:tcPr>
          <w:p w14:paraId="0C43DE72" w14:textId="77777777" w:rsidR="002B3A3C" w:rsidRPr="0002037F" w:rsidRDefault="002B3A3C" w:rsidP="00924A5A">
            <w:pPr>
              <w:spacing w:line="480" w:lineRule="auto"/>
              <w:rPr>
                <w:sz w:val="18"/>
              </w:rPr>
            </w:pPr>
            <w:r w:rsidRPr="0002037F">
              <w:rPr>
                <w:sz w:val="18"/>
              </w:rPr>
              <w:t>GO_SKELETAL_MUSCLE_CELL_DIFFERENTIATION</w:t>
            </w:r>
          </w:p>
        </w:tc>
        <w:tc>
          <w:tcPr>
            <w:tcW w:w="2329" w:type="dxa"/>
          </w:tcPr>
          <w:p w14:paraId="22B9690C"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GO:0035914</w:t>
            </w:r>
          </w:p>
        </w:tc>
        <w:tc>
          <w:tcPr>
            <w:tcW w:w="1059" w:type="dxa"/>
          </w:tcPr>
          <w:p w14:paraId="3DFFBC96"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BP</w:t>
            </w:r>
          </w:p>
        </w:tc>
        <w:tc>
          <w:tcPr>
            <w:tcW w:w="1059" w:type="dxa"/>
          </w:tcPr>
          <w:p w14:paraId="16F2AE6C"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69</w:t>
            </w:r>
          </w:p>
        </w:tc>
      </w:tr>
      <w:tr w:rsidR="002B3A3C" w:rsidRPr="0002037F" w14:paraId="7A7C2DC9"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3ED3F40F" w14:textId="77777777" w:rsidR="002B3A3C" w:rsidRPr="0002037F" w:rsidRDefault="002B3A3C" w:rsidP="00924A5A">
            <w:pPr>
              <w:spacing w:line="480" w:lineRule="auto"/>
              <w:rPr>
                <w:sz w:val="18"/>
              </w:rPr>
            </w:pPr>
            <w:r w:rsidRPr="0002037F">
              <w:rPr>
                <w:sz w:val="18"/>
              </w:rPr>
              <w:t>GO_SKELETAL_MUSCLE_CONTRACTION</w:t>
            </w:r>
          </w:p>
        </w:tc>
        <w:tc>
          <w:tcPr>
            <w:tcW w:w="2329" w:type="dxa"/>
            <w:tcBorders>
              <w:top w:val="none" w:sz="0" w:space="0" w:color="auto"/>
              <w:bottom w:val="none" w:sz="0" w:space="0" w:color="auto"/>
            </w:tcBorders>
          </w:tcPr>
          <w:p w14:paraId="6446AB74"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GO:0003009</w:t>
            </w:r>
          </w:p>
        </w:tc>
        <w:tc>
          <w:tcPr>
            <w:tcW w:w="1059" w:type="dxa"/>
            <w:tcBorders>
              <w:top w:val="none" w:sz="0" w:space="0" w:color="auto"/>
              <w:bottom w:val="none" w:sz="0" w:space="0" w:color="auto"/>
            </w:tcBorders>
          </w:tcPr>
          <w:p w14:paraId="062C7057"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71DE5BFF"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43</w:t>
            </w:r>
          </w:p>
        </w:tc>
      </w:tr>
      <w:tr w:rsidR="002B3A3C" w:rsidRPr="0002037F" w14:paraId="5D289B05" w14:textId="77777777" w:rsidTr="00924A5A">
        <w:tc>
          <w:tcPr>
            <w:cnfStyle w:val="001000000000" w:firstRow="0" w:lastRow="0" w:firstColumn="1" w:lastColumn="0" w:oddVBand="0" w:evenVBand="0" w:oddHBand="0" w:evenHBand="0" w:firstRowFirstColumn="0" w:firstRowLastColumn="0" w:lastRowFirstColumn="0" w:lastRowLastColumn="0"/>
            <w:tcW w:w="4569" w:type="dxa"/>
          </w:tcPr>
          <w:p w14:paraId="08F56472" w14:textId="77777777" w:rsidR="002B3A3C" w:rsidRPr="0002037F" w:rsidRDefault="002B3A3C" w:rsidP="00924A5A">
            <w:pPr>
              <w:spacing w:line="480" w:lineRule="auto"/>
              <w:rPr>
                <w:sz w:val="18"/>
              </w:rPr>
            </w:pPr>
            <w:r w:rsidRPr="0002037F">
              <w:rPr>
                <w:sz w:val="18"/>
              </w:rPr>
              <w:t>GO_SKELETAL_MUSCLE_TISSUE_REGENERATION</w:t>
            </w:r>
          </w:p>
        </w:tc>
        <w:tc>
          <w:tcPr>
            <w:tcW w:w="2329" w:type="dxa"/>
          </w:tcPr>
          <w:p w14:paraId="491B1698"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GO:0043403</w:t>
            </w:r>
          </w:p>
        </w:tc>
        <w:tc>
          <w:tcPr>
            <w:tcW w:w="1059" w:type="dxa"/>
          </w:tcPr>
          <w:p w14:paraId="2F3EB35D"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BP</w:t>
            </w:r>
          </w:p>
        </w:tc>
        <w:tc>
          <w:tcPr>
            <w:tcW w:w="1059" w:type="dxa"/>
          </w:tcPr>
          <w:p w14:paraId="1373D114"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40</w:t>
            </w:r>
          </w:p>
        </w:tc>
      </w:tr>
      <w:tr w:rsidR="002B3A3C" w:rsidRPr="0002037F" w14:paraId="4DCDBC94"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79CFF5D7" w14:textId="77777777" w:rsidR="002B3A3C" w:rsidRPr="0002037F" w:rsidRDefault="002B3A3C" w:rsidP="00924A5A">
            <w:pPr>
              <w:spacing w:line="480" w:lineRule="auto"/>
              <w:rPr>
                <w:sz w:val="18"/>
              </w:rPr>
            </w:pPr>
            <w:r w:rsidRPr="0002037F">
              <w:rPr>
                <w:sz w:val="18"/>
              </w:rPr>
              <w:t>GO_STRIATED_MUSCLE_CELL_PROLIFERATION</w:t>
            </w:r>
          </w:p>
        </w:tc>
        <w:tc>
          <w:tcPr>
            <w:tcW w:w="2329" w:type="dxa"/>
            <w:tcBorders>
              <w:top w:val="none" w:sz="0" w:space="0" w:color="auto"/>
              <w:bottom w:val="none" w:sz="0" w:space="0" w:color="auto"/>
            </w:tcBorders>
          </w:tcPr>
          <w:p w14:paraId="3A172FF1"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GO:0014855</w:t>
            </w:r>
          </w:p>
        </w:tc>
        <w:tc>
          <w:tcPr>
            <w:tcW w:w="1059" w:type="dxa"/>
            <w:tcBorders>
              <w:top w:val="none" w:sz="0" w:space="0" w:color="auto"/>
              <w:bottom w:val="none" w:sz="0" w:space="0" w:color="auto"/>
            </w:tcBorders>
          </w:tcPr>
          <w:p w14:paraId="26970DB0"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BP</w:t>
            </w:r>
          </w:p>
        </w:tc>
        <w:tc>
          <w:tcPr>
            <w:tcW w:w="1059" w:type="dxa"/>
            <w:tcBorders>
              <w:top w:val="none" w:sz="0" w:space="0" w:color="auto"/>
              <w:bottom w:val="none" w:sz="0" w:space="0" w:color="auto"/>
            </w:tcBorders>
          </w:tcPr>
          <w:p w14:paraId="0BF4EA50"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83</w:t>
            </w:r>
          </w:p>
        </w:tc>
      </w:tr>
      <w:tr w:rsidR="002B3A3C" w:rsidRPr="0002037F" w14:paraId="3D3A9C3A" w14:textId="77777777" w:rsidTr="00924A5A">
        <w:tc>
          <w:tcPr>
            <w:cnfStyle w:val="001000000000" w:firstRow="0" w:lastRow="0" w:firstColumn="1" w:lastColumn="0" w:oddVBand="0" w:evenVBand="0" w:oddHBand="0" w:evenHBand="0" w:firstRowFirstColumn="0" w:firstRowLastColumn="0" w:lastRowFirstColumn="0" w:lastRowLastColumn="0"/>
            <w:tcW w:w="4569" w:type="dxa"/>
          </w:tcPr>
          <w:p w14:paraId="68C85879" w14:textId="77777777" w:rsidR="002B3A3C" w:rsidRPr="0002037F" w:rsidRDefault="002B3A3C" w:rsidP="00924A5A">
            <w:pPr>
              <w:spacing w:line="480" w:lineRule="auto"/>
              <w:rPr>
                <w:sz w:val="18"/>
              </w:rPr>
            </w:pPr>
            <w:r w:rsidRPr="0002037F">
              <w:rPr>
                <w:sz w:val="18"/>
              </w:rPr>
              <w:t>GO_NEUROMUSCULAR_JUNCTION</w:t>
            </w:r>
          </w:p>
        </w:tc>
        <w:tc>
          <w:tcPr>
            <w:tcW w:w="2329" w:type="dxa"/>
          </w:tcPr>
          <w:p w14:paraId="68F70A92"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GO:0031594</w:t>
            </w:r>
          </w:p>
        </w:tc>
        <w:tc>
          <w:tcPr>
            <w:tcW w:w="1059" w:type="dxa"/>
          </w:tcPr>
          <w:p w14:paraId="685D8377"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CC</w:t>
            </w:r>
          </w:p>
        </w:tc>
        <w:tc>
          <w:tcPr>
            <w:tcW w:w="1059" w:type="dxa"/>
          </w:tcPr>
          <w:p w14:paraId="668952CE"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76</w:t>
            </w:r>
          </w:p>
        </w:tc>
      </w:tr>
      <w:tr w:rsidR="002B3A3C" w:rsidRPr="0002037F" w14:paraId="334B1A43"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0C882C6C" w14:textId="77777777" w:rsidR="002B3A3C" w:rsidRPr="0002037F" w:rsidRDefault="002B3A3C" w:rsidP="00924A5A">
            <w:pPr>
              <w:spacing w:line="480" w:lineRule="auto"/>
              <w:rPr>
                <w:sz w:val="18"/>
              </w:rPr>
            </w:pPr>
            <w:r w:rsidRPr="0002037F">
              <w:rPr>
                <w:sz w:val="18"/>
              </w:rPr>
              <w:t>GO_MYOFILAMENT</w:t>
            </w:r>
          </w:p>
        </w:tc>
        <w:tc>
          <w:tcPr>
            <w:tcW w:w="2329" w:type="dxa"/>
            <w:tcBorders>
              <w:top w:val="none" w:sz="0" w:space="0" w:color="auto"/>
              <w:bottom w:val="none" w:sz="0" w:space="0" w:color="auto"/>
            </w:tcBorders>
          </w:tcPr>
          <w:p w14:paraId="5F1CEC6C"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GO:0036379</w:t>
            </w:r>
          </w:p>
        </w:tc>
        <w:tc>
          <w:tcPr>
            <w:tcW w:w="1059" w:type="dxa"/>
            <w:tcBorders>
              <w:top w:val="none" w:sz="0" w:space="0" w:color="auto"/>
              <w:bottom w:val="none" w:sz="0" w:space="0" w:color="auto"/>
            </w:tcBorders>
          </w:tcPr>
          <w:p w14:paraId="73A6C61F"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CC</w:t>
            </w:r>
          </w:p>
        </w:tc>
        <w:tc>
          <w:tcPr>
            <w:tcW w:w="1059" w:type="dxa"/>
            <w:tcBorders>
              <w:top w:val="none" w:sz="0" w:space="0" w:color="auto"/>
              <w:bottom w:val="none" w:sz="0" w:space="0" w:color="auto"/>
            </w:tcBorders>
          </w:tcPr>
          <w:p w14:paraId="600B79C3"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26</w:t>
            </w:r>
          </w:p>
        </w:tc>
      </w:tr>
      <w:tr w:rsidR="002B3A3C" w:rsidRPr="0002037F" w14:paraId="7CCAA9E2" w14:textId="77777777" w:rsidTr="00924A5A">
        <w:tc>
          <w:tcPr>
            <w:cnfStyle w:val="001000000000" w:firstRow="0" w:lastRow="0" w:firstColumn="1" w:lastColumn="0" w:oddVBand="0" w:evenVBand="0" w:oddHBand="0" w:evenHBand="0" w:firstRowFirstColumn="0" w:firstRowLastColumn="0" w:lastRowFirstColumn="0" w:lastRowLastColumn="0"/>
            <w:tcW w:w="4569" w:type="dxa"/>
          </w:tcPr>
          <w:p w14:paraId="633B4FCF" w14:textId="77777777" w:rsidR="002B3A3C" w:rsidRPr="0002037F" w:rsidRDefault="002B3A3C" w:rsidP="00924A5A">
            <w:pPr>
              <w:spacing w:line="480" w:lineRule="auto"/>
              <w:rPr>
                <w:sz w:val="18"/>
              </w:rPr>
            </w:pPr>
            <w:r w:rsidRPr="0002037F">
              <w:rPr>
                <w:sz w:val="18"/>
              </w:rPr>
              <w:t>GO_T_TUBULE</w:t>
            </w:r>
          </w:p>
        </w:tc>
        <w:tc>
          <w:tcPr>
            <w:tcW w:w="2329" w:type="dxa"/>
          </w:tcPr>
          <w:p w14:paraId="75719F5F"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GO:0030315</w:t>
            </w:r>
          </w:p>
        </w:tc>
        <w:tc>
          <w:tcPr>
            <w:tcW w:w="1059" w:type="dxa"/>
          </w:tcPr>
          <w:p w14:paraId="22FC0449"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GO CC</w:t>
            </w:r>
          </w:p>
        </w:tc>
        <w:tc>
          <w:tcPr>
            <w:tcW w:w="1059" w:type="dxa"/>
          </w:tcPr>
          <w:p w14:paraId="393D3944" w14:textId="77777777" w:rsidR="002B3A3C" w:rsidRPr="0002037F" w:rsidRDefault="002B3A3C" w:rsidP="00924A5A">
            <w:pPr>
              <w:spacing w:line="480" w:lineRule="auto"/>
              <w:cnfStyle w:val="000000000000" w:firstRow="0" w:lastRow="0" w:firstColumn="0" w:lastColumn="0" w:oddVBand="0" w:evenVBand="0" w:oddHBand="0" w:evenHBand="0" w:firstRowFirstColumn="0" w:firstRowLastColumn="0" w:lastRowFirstColumn="0" w:lastRowLastColumn="0"/>
              <w:rPr>
                <w:sz w:val="18"/>
              </w:rPr>
            </w:pPr>
            <w:r w:rsidRPr="0002037F">
              <w:rPr>
                <w:sz w:val="18"/>
              </w:rPr>
              <w:t>54</w:t>
            </w:r>
          </w:p>
        </w:tc>
      </w:tr>
      <w:tr w:rsidR="002B3A3C" w:rsidRPr="0002037F" w14:paraId="0D0E24EF" w14:textId="77777777" w:rsidTr="00924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Borders>
              <w:top w:val="none" w:sz="0" w:space="0" w:color="auto"/>
              <w:bottom w:val="none" w:sz="0" w:space="0" w:color="auto"/>
            </w:tcBorders>
          </w:tcPr>
          <w:p w14:paraId="05E44E8C" w14:textId="77777777" w:rsidR="002B3A3C" w:rsidRPr="0002037F" w:rsidRDefault="002B3A3C" w:rsidP="00924A5A">
            <w:pPr>
              <w:spacing w:line="480" w:lineRule="auto"/>
              <w:rPr>
                <w:sz w:val="18"/>
              </w:rPr>
            </w:pPr>
            <w:r w:rsidRPr="0002037F">
              <w:rPr>
                <w:sz w:val="18"/>
              </w:rPr>
              <w:t>GO_SARCOLEMMA</w:t>
            </w:r>
          </w:p>
        </w:tc>
        <w:tc>
          <w:tcPr>
            <w:tcW w:w="2329" w:type="dxa"/>
            <w:tcBorders>
              <w:top w:val="none" w:sz="0" w:space="0" w:color="auto"/>
              <w:bottom w:val="none" w:sz="0" w:space="0" w:color="auto"/>
            </w:tcBorders>
          </w:tcPr>
          <w:p w14:paraId="22A605B0"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GO:0042383</w:t>
            </w:r>
          </w:p>
        </w:tc>
        <w:tc>
          <w:tcPr>
            <w:tcW w:w="1059" w:type="dxa"/>
            <w:tcBorders>
              <w:top w:val="none" w:sz="0" w:space="0" w:color="auto"/>
              <w:bottom w:val="none" w:sz="0" w:space="0" w:color="auto"/>
            </w:tcBorders>
          </w:tcPr>
          <w:p w14:paraId="5634E696"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GO CC</w:t>
            </w:r>
          </w:p>
        </w:tc>
        <w:tc>
          <w:tcPr>
            <w:tcW w:w="1059" w:type="dxa"/>
            <w:tcBorders>
              <w:top w:val="none" w:sz="0" w:space="0" w:color="auto"/>
              <w:bottom w:val="none" w:sz="0" w:space="0" w:color="auto"/>
            </w:tcBorders>
          </w:tcPr>
          <w:p w14:paraId="467EE46E" w14:textId="77777777" w:rsidR="002B3A3C" w:rsidRPr="0002037F" w:rsidRDefault="002B3A3C" w:rsidP="00924A5A">
            <w:pPr>
              <w:spacing w:line="480" w:lineRule="auto"/>
              <w:cnfStyle w:val="000000100000" w:firstRow="0" w:lastRow="0" w:firstColumn="0" w:lastColumn="0" w:oddVBand="0" w:evenVBand="0" w:oddHBand="1" w:evenHBand="0" w:firstRowFirstColumn="0" w:firstRowLastColumn="0" w:lastRowFirstColumn="0" w:lastRowLastColumn="0"/>
              <w:rPr>
                <w:sz w:val="18"/>
              </w:rPr>
            </w:pPr>
            <w:r w:rsidRPr="0002037F">
              <w:rPr>
                <w:sz w:val="18"/>
              </w:rPr>
              <w:t>135</w:t>
            </w:r>
          </w:p>
        </w:tc>
      </w:tr>
    </w:tbl>
    <w:p w14:paraId="72AB978C" w14:textId="77777777" w:rsidR="002B3A3C" w:rsidRPr="00AB0422" w:rsidRDefault="002B3A3C" w:rsidP="002B3A3C">
      <w:pPr>
        <w:rPr>
          <w:b/>
          <w:sz w:val="16"/>
        </w:rPr>
      </w:pPr>
      <w:r>
        <w:rPr>
          <w:b/>
          <w:sz w:val="16"/>
        </w:rPr>
        <w:t>Supplementary t</w:t>
      </w:r>
      <w:r w:rsidRPr="00AB0422">
        <w:rPr>
          <w:b/>
          <w:sz w:val="16"/>
        </w:rPr>
        <w:t xml:space="preserve">able </w:t>
      </w:r>
      <w:r>
        <w:rPr>
          <w:b/>
          <w:sz w:val="16"/>
        </w:rPr>
        <w:t>S1</w:t>
      </w:r>
      <w:r w:rsidRPr="00AB0422">
        <w:rPr>
          <w:b/>
          <w:sz w:val="16"/>
        </w:rPr>
        <w:t>: This table contains the name</w:t>
      </w:r>
      <w:r>
        <w:rPr>
          <w:b/>
          <w:sz w:val="16"/>
        </w:rPr>
        <w:t>, GO ID</w:t>
      </w:r>
      <w:r w:rsidRPr="00AB0422">
        <w:rPr>
          <w:b/>
          <w:sz w:val="16"/>
        </w:rPr>
        <w:t xml:space="preserve"> and number of genes of </w:t>
      </w:r>
      <w:r>
        <w:rPr>
          <w:b/>
          <w:sz w:val="16"/>
        </w:rPr>
        <w:t>SM</w:t>
      </w:r>
      <w:r w:rsidRPr="00AB0422">
        <w:rPr>
          <w:b/>
          <w:sz w:val="16"/>
        </w:rPr>
        <w:t xml:space="preserve"> GO terms chosen as gene sets for this study</w:t>
      </w:r>
      <w:r>
        <w:rPr>
          <w:b/>
          <w:sz w:val="16"/>
        </w:rPr>
        <w:t>, taken from the MSigDB. GO terms were selected to represent a range of key muscle biological processes and cell components.</w:t>
      </w:r>
    </w:p>
    <w:p w14:paraId="3BE1D4F0" w14:textId="77777777" w:rsidR="002B3A3C" w:rsidRDefault="002B3A3C" w:rsidP="002B3A3C">
      <w:pPr>
        <w:rPr>
          <w:b/>
        </w:rPr>
      </w:pPr>
    </w:p>
    <w:p w14:paraId="61B2D76C" w14:textId="77777777" w:rsidR="002B3A3C" w:rsidRDefault="002B3A3C" w:rsidP="002B3A3C">
      <w:pPr>
        <w:spacing w:after="0"/>
        <w:rPr>
          <w:b/>
        </w:rPr>
      </w:pPr>
    </w:p>
    <w:p w14:paraId="24FF3B14" w14:textId="77777777" w:rsidR="002B3A3C" w:rsidRDefault="002B3A3C" w:rsidP="002B3A3C">
      <w:pPr>
        <w:rPr>
          <w:b/>
          <w:sz w:val="18"/>
          <w:lang w:val="en"/>
        </w:rPr>
      </w:pPr>
      <w:r>
        <w:rPr>
          <w:b/>
          <w:noProof/>
          <w:sz w:val="18"/>
          <w:lang w:eastAsia="en-GB"/>
        </w:rPr>
        <w:drawing>
          <wp:inline distT="0" distB="0" distL="0" distR="0" wp14:anchorId="62EE18F3" wp14:editId="634016B7">
            <wp:extent cx="5731510" cy="4128770"/>
            <wp:effectExtent l="0" t="0" r="2540" b="508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4128770"/>
                    </a:xfrm>
                    <a:prstGeom prst="rect">
                      <a:avLst/>
                    </a:prstGeom>
                  </pic:spPr>
                </pic:pic>
              </a:graphicData>
            </a:graphic>
          </wp:inline>
        </w:drawing>
      </w:r>
    </w:p>
    <w:p w14:paraId="6E8A36DE" w14:textId="77777777" w:rsidR="002B3A3C" w:rsidRDefault="002B3A3C" w:rsidP="002B3A3C">
      <w:pPr>
        <w:rPr>
          <w:b/>
          <w:sz w:val="18"/>
          <w:lang w:val="en"/>
        </w:rPr>
      </w:pPr>
      <w:r>
        <w:rPr>
          <w:b/>
          <w:sz w:val="18"/>
          <w:lang w:val="en"/>
        </w:rPr>
        <w:t>Supplementary Figure S1: Average percentage coverage (percentage of genes included in the network) of the 11 selected muscle-related GO terms for each MIN. An arbitrary cut-off of &gt;= 75% average percentage coverage was applied to filter out networks that had poor representation of muscle-relevant genes.</w:t>
      </w:r>
    </w:p>
    <w:p w14:paraId="4767E33A" w14:textId="77777777" w:rsidR="002B3A3C" w:rsidRDefault="002B3A3C" w:rsidP="002B3A3C">
      <w:pPr>
        <w:rPr>
          <w:b/>
          <w:sz w:val="18"/>
          <w:lang w:val="en"/>
        </w:rPr>
      </w:pPr>
    </w:p>
    <w:p w14:paraId="7784F638" w14:textId="77777777" w:rsidR="002B3A3C" w:rsidRDefault="002B3A3C" w:rsidP="002B3A3C">
      <w:pPr>
        <w:spacing w:after="0"/>
        <w:rPr>
          <w:b/>
        </w:rPr>
      </w:pPr>
      <w:r>
        <w:rPr>
          <w:b/>
          <w:noProof/>
          <w:lang w:eastAsia="en-GB"/>
        </w:rPr>
        <w:drawing>
          <wp:inline distT="0" distB="0" distL="0" distR="0" wp14:anchorId="2CB44EA9" wp14:editId="1C3A7D9E">
            <wp:extent cx="5731510" cy="4110990"/>
            <wp:effectExtent l="0" t="0" r="2540" b="381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4110990"/>
                    </a:xfrm>
                    <a:prstGeom prst="rect">
                      <a:avLst/>
                    </a:prstGeom>
                  </pic:spPr>
                </pic:pic>
              </a:graphicData>
            </a:graphic>
          </wp:inline>
        </w:drawing>
      </w:r>
    </w:p>
    <w:p w14:paraId="42E6AD7E" w14:textId="77777777" w:rsidR="002B3A3C" w:rsidRPr="00761B1F" w:rsidRDefault="002B3A3C" w:rsidP="002B3A3C">
      <w:pPr>
        <w:spacing w:after="0"/>
        <w:rPr>
          <w:b/>
          <w:sz w:val="18"/>
        </w:rPr>
      </w:pPr>
      <w:r>
        <w:rPr>
          <w:b/>
          <w:sz w:val="18"/>
          <w:lang w:val="en"/>
        </w:rPr>
        <w:t>Supplementary Figure S2: This figure represents the mean average percentage coverage of the 11 SM GO terms gene sets present in each of the combined MIN variants defined for this study. We applied an arbitrary cut of &gt;= 75% percentage coverage to filter out combined networks that do not contain enough SM GO genes. Only one combined MIN combination, IID + MyoMiner Cell Node Filter, did not pass the threshold and this was removed from the analysis.</w:t>
      </w:r>
    </w:p>
    <w:p w14:paraId="269A8B06" w14:textId="77777777" w:rsidR="002B3A3C" w:rsidRPr="00FE1841" w:rsidRDefault="002B3A3C" w:rsidP="002B3A3C">
      <w:pPr>
        <w:spacing w:after="0"/>
        <w:rPr>
          <w:b/>
        </w:rPr>
      </w:pPr>
    </w:p>
    <w:p w14:paraId="11D42D44" w14:textId="77777777" w:rsidR="002B3A3C" w:rsidRDefault="002B3A3C" w:rsidP="002B3A3C">
      <w:pPr>
        <w:spacing w:after="0"/>
      </w:pPr>
    </w:p>
    <w:p w14:paraId="13D93324" w14:textId="77777777" w:rsidR="002B3A3C" w:rsidRDefault="002B3A3C" w:rsidP="002B3A3C">
      <w:pPr>
        <w:pStyle w:val="Heading1"/>
      </w:pPr>
    </w:p>
    <w:p w14:paraId="0E8BB0B7" w14:textId="77777777" w:rsidR="002B3A3C" w:rsidRDefault="002B3A3C" w:rsidP="002B3A3C">
      <w:pPr>
        <w:rPr>
          <w:lang w:val="en"/>
        </w:rPr>
      </w:pPr>
      <w:r>
        <w:rPr>
          <w:noProof/>
          <w:lang w:eastAsia="en-GB"/>
        </w:rPr>
        <w:drawing>
          <wp:inline distT="0" distB="0" distL="0" distR="0" wp14:anchorId="0AF1D02C" wp14:editId="79CBDD2E">
            <wp:extent cx="5731510" cy="4142740"/>
            <wp:effectExtent l="0" t="0" r="254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4142740"/>
                    </a:xfrm>
                    <a:prstGeom prst="rect">
                      <a:avLst/>
                    </a:prstGeom>
                  </pic:spPr>
                </pic:pic>
              </a:graphicData>
            </a:graphic>
          </wp:inline>
        </w:drawing>
      </w:r>
    </w:p>
    <w:p w14:paraId="20071EA5" w14:textId="77777777" w:rsidR="002B3A3C" w:rsidRDefault="002B3A3C" w:rsidP="002B3A3C">
      <w:pPr>
        <w:rPr>
          <w:b/>
          <w:sz w:val="18"/>
          <w:lang w:val="en"/>
        </w:rPr>
      </w:pPr>
      <w:r>
        <w:rPr>
          <w:b/>
          <w:sz w:val="18"/>
          <w:lang w:val="en"/>
        </w:rPr>
        <w:t>Supplementary Figure S3: A comparison of the performance scores produced for the 11 SM gene ontology terms for each MIN variant in the study.</w:t>
      </w:r>
    </w:p>
    <w:p w14:paraId="4C2F6254" w14:textId="77777777" w:rsidR="002B3A3C" w:rsidRDefault="002B3A3C" w:rsidP="002B3A3C">
      <w:pPr>
        <w:spacing w:after="0"/>
      </w:pPr>
    </w:p>
    <w:p w14:paraId="50DC07CE" w14:textId="77777777" w:rsidR="002B3A3C" w:rsidRDefault="002B3A3C" w:rsidP="002B3A3C">
      <w:r>
        <w:t xml:space="preserve"> </w:t>
      </w:r>
    </w:p>
    <w:p w14:paraId="24245B21" w14:textId="77777777" w:rsidR="002B3A3C" w:rsidRPr="00823186" w:rsidRDefault="002B3A3C" w:rsidP="002B3A3C"/>
    <w:p w14:paraId="6EBBC804" w14:textId="0E2579C6" w:rsidR="00823186" w:rsidRPr="00823186" w:rsidRDefault="00823186" w:rsidP="001A3648"/>
    <w:sectPr w:rsidR="00823186" w:rsidRPr="00823186" w:rsidSect="003C5E37">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7BD3D" w14:textId="77777777" w:rsidR="00985D1B" w:rsidRDefault="00985D1B" w:rsidP="001115C1">
      <w:pPr>
        <w:spacing w:after="0" w:line="240" w:lineRule="auto"/>
      </w:pPr>
      <w:r>
        <w:separator/>
      </w:r>
    </w:p>
  </w:endnote>
  <w:endnote w:type="continuationSeparator" w:id="0">
    <w:p w14:paraId="534EAC52" w14:textId="77777777" w:rsidR="00985D1B" w:rsidRDefault="00985D1B" w:rsidP="00111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456752"/>
      <w:docPartObj>
        <w:docPartGallery w:val="Page Numbers (Bottom of Page)"/>
        <w:docPartUnique/>
      </w:docPartObj>
    </w:sdtPr>
    <w:sdtEndPr>
      <w:rPr>
        <w:noProof/>
      </w:rPr>
    </w:sdtEndPr>
    <w:sdtContent>
      <w:p w14:paraId="7D192E7F" w14:textId="5A73CCA9" w:rsidR="001B148D" w:rsidRDefault="001B14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C6B2A4" w14:textId="77777777" w:rsidR="001B148D" w:rsidRDefault="001B1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167374"/>
      <w:docPartObj>
        <w:docPartGallery w:val="Page Numbers (Bottom of Page)"/>
        <w:docPartUnique/>
      </w:docPartObj>
    </w:sdtPr>
    <w:sdtEndPr>
      <w:rPr>
        <w:noProof/>
      </w:rPr>
    </w:sdtEndPr>
    <w:sdtContent>
      <w:p w14:paraId="30BCC971" w14:textId="77777777" w:rsidR="002B3A3C" w:rsidRDefault="002B3A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88B769" w14:textId="77777777" w:rsidR="002B3A3C" w:rsidRDefault="002B3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21BAE" w14:textId="77777777" w:rsidR="00985D1B" w:rsidRDefault="00985D1B" w:rsidP="001115C1">
      <w:pPr>
        <w:spacing w:after="0" w:line="240" w:lineRule="auto"/>
      </w:pPr>
      <w:r>
        <w:separator/>
      </w:r>
    </w:p>
  </w:footnote>
  <w:footnote w:type="continuationSeparator" w:id="0">
    <w:p w14:paraId="7F9870B9" w14:textId="77777777" w:rsidR="00985D1B" w:rsidRDefault="00985D1B" w:rsidP="001115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1BF4"/>
    <w:multiLevelType w:val="hybridMultilevel"/>
    <w:tmpl w:val="AEA68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06D2F"/>
    <w:multiLevelType w:val="hybridMultilevel"/>
    <w:tmpl w:val="AEAEE0D4"/>
    <w:lvl w:ilvl="0" w:tplc="1C462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094926"/>
    <w:multiLevelType w:val="hybridMultilevel"/>
    <w:tmpl w:val="EEEA3D2E"/>
    <w:lvl w:ilvl="0" w:tplc="12A2233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55EC7"/>
    <w:multiLevelType w:val="hybridMultilevel"/>
    <w:tmpl w:val="AA4A89A6"/>
    <w:lvl w:ilvl="0" w:tplc="2D2684D6">
      <w:start w:val="2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3F5A6A"/>
    <w:multiLevelType w:val="hybridMultilevel"/>
    <w:tmpl w:val="CC42B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C76F20"/>
    <w:multiLevelType w:val="hybridMultilevel"/>
    <w:tmpl w:val="E46475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3C05E22"/>
    <w:multiLevelType w:val="hybridMultilevel"/>
    <w:tmpl w:val="D70C8464"/>
    <w:lvl w:ilvl="0" w:tplc="2F24D84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3B14DD"/>
    <w:multiLevelType w:val="hybridMultilevel"/>
    <w:tmpl w:val="65DE9568"/>
    <w:lvl w:ilvl="0" w:tplc="66786E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B8463E"/>
    <w:multiLevelType w:val="hybridMultilevel"/>
    <w:tmpl w:val="CF94F8B4"/>
    <w:lvl w:ilvl="0" w:tplc="36D045E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B819A9"/>
    <w:multiLevelType w:val="hybridMultilevel"/>
    <w:tmpl w:val="0A1056DE"/>
    <w:lvl w:ilvl="0" w:tplc="518017E4">
      <w:start w:val="1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041AA5"/>
    <w:multiLevelType w:val="hybridMultilevel"/>
    <w:tmpl w:val="AEA68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7616F5"/>
    <w:multiLevelType w:val="hybridMultilevel"/>
    <w:tmpl w:val="D6A2B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3D87A07"/>
    <w:multiLevelType w:val="hybridMultilevel"/>
    <w:tmpl w:val="FCE462B8"/>
    <w:lvl w:ilvl="0" w:tplc="464E78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096A15"/>
    <w:multiLevelType w:val="hybridMultilevel"/>
    <w:tmpl w:val="E2BCD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2"/>
  </w:num>
  <w:num w:numId="7">
    <w:abstractNumId w:val="1"/>
  </w:num>
  <w:num w:numId="8">
    <w:abstractNumId w:val="8"/>
  </w:num>
  <w:num w:numId="9">
    <w:abstractNumId w:val="12"/>
  </w:num>
  <w:num w:numId="10">
    <w:abstractNumId w:val="7"/>
  </w:num>
  <w:num w:numId="11">
    <w:abstractNumId w:val="5"/>
  </w:num>
  <w:num w:numId="12">
    <w:abstractNumId w:val="9"/>
  </w:num>
  <w:num w:numId="13">
    <w:abstractNumId w:val="3"/>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MjEzMLOwtDAwNTFW0lEKTi0uzszPAykwrAUA5/A7EywAAAA="/>
  </w:docVars>
  <w:rsids>
    <w:rsidRoot w:val="00F77628"/>
    <w:rsid w:val="000013A7"/>
    <w:rsid w:val="00003BB2"/>
    <w:rsid w:val="00007BD9"/>
    <w:rsid w:val="0001103D"/>
    <w:rsid w:val="0002037F"/>
    <w:rsid w:val="00022536"/>
    <w:rsid w:val="000266FD"/>
    <w:rsid w:val="000400A7"/>
    <w:rsid w:val="00045103"/>
    <w:rsid w:val="00046970"/>
    <w:rsid w:val="0004740B"/>
    <w:rsid w:val="000508AA"/>
    <w:rsid w:val="00057714"/>
    <w:rsid w:val="0006289A"/>
    <w:rsid w:val="00066430"/>
    <w:rsid w:val="0006694F"/>
    <w:rsid w:val="00070A3E"/>
    <w:rsid w:val="00071D11"/>
    <w:rsid w:val="00072FE4"/>
    <w:rsid w:val="000769FC"/>
    <w:rsid w:val="00076DFA"/>
    <w:rsid w:val="00081454"/>
    <w:rsid w:val="000826E4"/>
    <w:rsid w:val="00096B34"/>
    <w:rsid w:val="000A1CCC"/>
    <w:rsid w:val="000A67CF"/>
    <w:rsid w:val="000A766C"/>
    <w:rsid w:val="000B1C4F"/>
    <w:rsid w:val="000C1773"/>
    <w:rsid w:val="000C2204"/>
    <w:rsid w:val="000C255D"/>
    <w:rsid w:val="000C493F"/>
    <w:rsid w:val="000C6FA9"/>
    <w:rsid w:val="000D0669"/>
    <w:rsid w:val="000E5640"/>
    <w:rsid w:val="000E69C5"/>
    <w:rsid w:val="000F09DA"/>
    <w:rsid w:val="000F45F1"/>
    <w:rsid w:val="000F47AF"/>
    <w:rsid w:val="000F5B94"/>
    <w:rsid w:val="00100E80"/>
    <w:rsid w:val="001067A5"/>
    <w:rsid w:val="0010732B"/>
    <w:rsid w:val="001115C1"/>
    <w:rsid w:val="00115875"/>
    <w:rsid w:val="00115DDD"/>
    <w:rsid w:val="00124B53"/>
    <w:rsid w:val="00127AB8"/>
    <w:rsid w:val="00133D09"/>
    <w:rsid w:val="001342D6"/>
    <w:rsid w:val="001366C7"/>
    <w:rsid w:val="001403FE"/>
    <w:rsid w:val="00140D2D"/>
    <w:rsid w:val="0014218F"/>
    <w:rsid w:val="001452A9"/>
    <w:rsid w:val="00145321"/>
    <w:rsid w:val="001457AF"/>
    <w:rsid w:val="00147549"/>
    <w:rsid w:val="00180C0F"/>
    <w:rsid w:val="00181952"/>
    <w:rsid w:val="00187886"/>
    <w:rsid w:val="00190926"/>
    <w:rsid w:val="001A3648"/>
    <w:rsid w:val="001A4CB6"/>
    <w:rsid w:val="001A66F7"/>
    <w:rsid w:val="001B148D"/>
    <w:rsid w:val="001B29BA"/>
    <w:rsid w:val="001B3DD4"/>
    <w:rsid w:val="001C1172"/>
    <w:rsid w:val="001C704D"/>
    <w:rsid w:val="001D1375"/>
    <w:rsid w:val="001D7D38"/>
    <w:rsid w:val="001E082D"/>
    <w:rsid w:val="001E0A09"/>
    <w:rsid w:val="001E0DE3"/>
    <w:rsid w:val="001E16CC"/>
    <w:rsid w:val="001E26BA"/>
    <w:rsid w:val="001E2D74"/>
    <w:rsid w:val="001E5236"/>
    <w:rsid w:val="001F0EEC"/>
    <w:rsid w:val="001F1569"/>
    <w:rsid w:val="001F374F"/>
    <w:rsid w:val="002048AA"/>
    <w:rsid w:val="00205ABA"/>
    <w:rsid w:val="00210ADE"/>
    <w:rsid w:val="0021149E"/>
    <w:rsid w:val="002149AF"/>
    <w:rsid w:val="00214ACC"/>
    <w:rsid w:val="00216132"/>
    <w:rsid w:val="002219D7"/>
    <w:rsid w:val="002244E6"/>
    <w:rsid w:val="00224C8E"/>
    <w:rsid w:val="0022684D"/>
    <w:rsid w:val="002337AF"/>
    <w:rsid w:val="00234838"/>
    <w:rsid w:val="00237FCF"/>
    <w:rsid w:val="00240AED"/>
    <w:rsid w:val="00241BE6"/>
    <w:rsid w:val="00243A61"/>
    <w:rsid w:val="00245DC9"/>
    <w:rsid w:val="00245ED7"/>
    <w:rsid w:val="0026210B"/>
    <w:rsid w:val="0026271D"/>
    <w:rsid w:val="0026289C"/>
    <w:rsid w:val="00262D60"/>
    <w:rsid w:val="00266620"/>
    <w:rsid w:val="002678D0"/>
    <w:rsid w:val="00270B92"/>
    <w:rsid w:val="00271648"/>
    <w:rsid w:val="002742BC"/>
    <w:rsid w:val="00276AB2"/>
    <w:rsid w:val="0027793B"/>
    <w:rsid w:val="002859F0"/>
    <w:rsid w:val="00287DAF"/>
    <w:rsid w:val="002907E7"/>
    <w:rsid w:val="00292E21"/>
    <w:rsid w:val="00297BBB"/>
    <w:rsid w:val="002A6F21"/>
    <w:rsid w:val="002A7B98"/>
    <w:rsid w:val="002B083E"/>
    <w:rsid w:val="002B3A3C"/>
    <w:rsid w:val="002B3E95"/>
    <w:rsid w:val="002C17BF"/>
    <w:rsid w:val="002C29D3"/>
    <w:rsid w:val="002D011F"/>
    <w:rsid w:val="002D57D2"/>
    <w:rsid w:val="002D6214"/>
    <w:rsid w:val="002D6498"/>
    <w:rsid w:val="002E1860"/>
    <w:rsid w:val="002E37AF"/>
    <w:rsid w:val="002E4335"/>
    <w:rsid w:val="002E75A7"/>
    <w:rsid w:val="002F1066"/>
    <w:rsid w:val="002F2064"/>
    <w:rsid w:val="002F237A"/>
    <w:rsid w:val="002F6851"/>
    <w:rsid w:val="002F73F7"/>
    <w:rsid w:val="003013B7"/>
    <w:rsid w:val="0030312D"/>
    <w:rsid w:val="00306706"/>
    <w:rsid w:val="0030749B"/>
    <w:rsid w:val="003102BF"/>
    <w:rsid w:val="0031084E"/>
    <w:rsid w:val="00311BA3"/>
    <w:rsid w:val="003134C3"/>
    <w:rsid w:val="00317C0D"/>
    <w:rsid w:val="00321FC8"/>
    <w:rsid w:val="003228FA"/>
    <w:rsid w:val="003229A8"/>
    <w:rsid w:val="00322E23"/>
    <w:rsid w:val="00325D20"/>
    <w:rsid w:val="00326F58"/>
    <w:rsid w:val="00337AD1"/>
    <w:rsid w:val="00340223"/>
    <w:rsid w:val="00345123"/>
    <w:rsid w:val="0035328C"/>
    <w:rsid w:val="00360551"/>
    <w:rsid w:val="003643A4"/>
    <w:rsid w:val="003729AC"/>
    <w:rsid w:val="00372B15"/>
    <w:rsid w:val="003736D1"/>
    <w:rsid w:val="003741A1"/>
    <w:rsid w:val="00374DC2"/>
    <w:rsid w:val="0038287A"/>
    <w:rsid w:val="00387B50"/>
    <w:rsid w:val="003902A7"/>
    <w:rsid w:val="003923B3"/>
    <w:rsid w:val="003A799F"/>
    <w:rsid w:val="003B3245"/>
    <w:rsid w:val="003B6265"/>
    <w:rsid w:val="003C5E37"/>
    <w:rsid w:val="003E1AF4"/>
    <w:rsid w:val="003F0EFC"/>
    <w:rsid w:val="003F78BF"/>
    <w:rsid w:val="0040214E"/>
    <w:rsid w:val="00406F2D"/>
    <w:rsid w:val="0040749B"/>
    <w:rsid w:val="00407761"/>
    <w:rsid w:val="0041343F"/>
    <w:rsid w:val="00413B6B"/>
    <w:rsid w:val="00427BDA"/>
    <w:rsid w:val="00433A2B"/>
    <w:rsid w:val="00435DB2"/>
    <w:rsid w:val="004360BE"/>
    <w:rsid w:val="00440A85"/>
    <w:rsid w:val="00444770"/>
    <w:rsid w:val="00445ED9"/>
    <w:rsid w:val="00451CBD"/>
    <w:rsid w:val="00452358"/>
    <w:rsid w:val="00452617"/>
    <w:rsid w:val="0045595D"/>
    <w:rsid w:val="00457402"/>
    <w:rsid w:val="00457B14"/>
    <w:rsid w:val="00465155"/>
    <w:rsid w:val="004655E6"/>
    <w:rsid w:val="00480886"/>
    <w:rsid w:val="00481712"/>
    <w:rsid w:val="004845CC"/>
    <w:rsid w:val="00486CD2"/>
    <w:rsid w:val="00491C10"/>
    <w:rsid w:val="00493A90"/>
    <w:rsid w:val="004A24C7"/>
    <w:rsid w:val="004A2569"/>
    <w:rsid w:val="004A4EB8"/>
    <w:rsid w:val="004C4B6B"/>
    <w:rsid w:val="004C5259"/>
    <w:rsid w:val="004C5923"/>
    <w:rsid w:val="004D239C"/>
    <w:rsid w:val="004E1D11"/>
    <w:rsid w:val="004E2364"/>
    <w:rsid w:val="004E48D3"/>
    <w:rsid w:val="004E52EB"/>
    <w:rsid w:val="004E7F87"/>
    <w:rsid w:val="004F205A"/>
    <w:rsid w:val="0050472A"/>
    <w:rsid w:val="00505596"/>
    <w:rsid w:val="00507D0E"/>
    <w:rsid w:val="00516850"/>
    <w:rsid w:val="00526F2C"/>
    <w:rsid w:val="00527D66"/>
    <w:rsid w:val="00531158"/>
    <w:rsid w:val="00533067"/>
    <w:rsid w:val="00533C0F"/>
    <w:rsid w:val="00535B71"/>
    <w:rsid w:val="005437AF"/>
    <w:rsid w:val="005439E4"/>
    <w:rsid w:val="00545FD7"/>
    <w:rsid w:val="00554572"/>
    <w:rsid w:val="00554E53"/>
    <w:rsid w:val="0055792A"/>
    <w:rsid w:val="0056175C"/>
    <w:rsid w:val="00561D25"/>
    <w:rsid w:val="00563B58"/>
    <w:rsid w:val="0056523F"/>
    <w:rsid w:val="00575202"/>
    <w:rsid w:val="00591D8F"/>
    <w:rsid w:val="00597125"/>
    <w:rsid w:val="005A30B8"/>
    <w:rsid w:val="005A618E"/>
    <w:rsid w:val="005B34ED"/>
    <w:rsid w:val="005B54AF"/>
    <w:rsid w:val="005B7108"/>
    <w:rsid w:val="005B7893"/>
    <w:rsid w:val="005C1BA8"/>
    <w:rsid w:val="005C39C0"/>
    <w:rsid w:val="005D01A5"/>
    <w:rsid w:val="005D2CA3"/>
    <w:rsid w:val="005D6F58"/>
    <w:rsid w:val="005E4012"/>
    <w:rsid w:val="005E5356"/>
    <w:rsid w:val="005E58B4"/>
    <w:rsid w:val="005E704F"/>
    <w:rsid w:val="00603815"/>
    <w:rsid w:val="00605A0F"/>
    <w:rsid w:val="006159C7"/>
    <w:rsid w:val="006173AE"/>
    <w:rsid w:val="00620042"/>
    <w:rsid w:val="00621DF8"/>
    <w:rsid w:val="00622EF7"/>
    <w:rsid w:val="006240AA"/>
    <w:rsid w:val="0063406C"/>
    <w:rsid w:val="00645AF5"/>
    <w:rsid w:val="00646EF6"/>
    <w:rsid w:val="006523A5"/>
    <w:rsid w:val="00655138"/>
    <w:rsid w:val="006556C2"/>
    <w:rsid w:val="00655DD4"/>
    <w:rsid w:val="00660BE3"/>
    <w:rsid w:val="00664354"/>
    <w:rsid w:val="00666079"/>
    <w:rsid w:val="0068158C"/>
    <w:rsid w:val="00684A66"/>
    <w:rsid w:val="006850E3"/>
    <w:rsid w:val="00687AE3"/>
    <w:rsid w:val="00692BD2"/>
    <w:rsid w:val="00692E14"/>
    <w:rsid w:val="006940EC"/>
    <w:rsid w:val="006A14B9"/>
    <w:rsid w:val="006A1E04"/>
    <w:rsid w:val="006A3A46"/>
    <w:rsid w:val="006A5CCD"/>
    <w:rsid w:val="006B655B"/>
    <w:rsid w:val="006C2E5E"/>
    <w:rsid w:val="006C62BE"/>
    <w:rsid w:val="006C738A"/>
    <w:rsid w:val="006C7EEF"/>
    <w:rsid w:val="006D64C5"/>
    <w:rsid w:val="006D657C"/>
    <w:rsid w:val="006E12E7"/>
    <w:rsid w:val="006E494E"/>
    <w:rsid w:val="006E7C52"/>
    <w:rsid w:val="006F2169"/>
    <w:rsid w:val="006F2FE5"/>
    <w:rsid w:val="006F3017"/>
    <w:rsid w:val="006F4BD1"/>
    <w:rsid w:val="006F5B76"/>
    <w:rsid w:val="006F5B91"/>
    <w:rsid w:val="00700C72"/>
    <w:rsid w:val="00703596"/>
    <w:rsid w:val="00703D2B"/>
    <w:rsid w:val="0071131F"/>
    <w:rsid w:val="00713756"/>
    <w:rsid w:val="00716A03"/>
    <w:rsid w:val="00721695"/>
    <w:rsid w:val="00735765"/>
    <w:rsid w:val="00744D2E"/>
    <w:rsid w:val="007469BA"/>
    <w:rsid w:val="0075347A"/>
    <w:rsid w:val="007559CE"/>
    <w:rsid w:val="00757A90"/>
    <w:rsid w:val="00761B1F"/>
    <w:rsid w:val="00770CB2"/>
    <w:rsid w:val="00774C72"/>
    <w:rsid w:val="00785392"/>
    <w:rsid w:val="007974C0"/>
    <w:rsid w:val="007A5AE1"/>
    <w:rsid w:val="007A5F0C"/>
    <w:rsid w:val="007B2419"/>
    <w:rsid w:val="007B33A8"/>
    <w:rsid w:val="007B6746"/>
    <w:rsid w:val="007C1C13"/>
    <w:rsid w:val="007C4419"/>
    <w:rsid w:val="007D0323"/>
    <w:rsid w:val="007E424A"/>
    <w:rsid w:val="007E673E"/>
    <w:rsid w:val="007F46DE"/>
    <w:rsid w:val="007F53E1"/>
    <w:rsid w:val="008021EE"/>
    <w:rsid w:val="008027B2"/>
    <w:rsid w:val="00804D0A"/>
    <w:rsid w:val="00805664"/>
    <w:rsid w:val="008103E0"/>
    <w:rsid w:val="00812616"/>
    <w:rsid w:val="008155AB"/>
    <w:rsid w:val="008160AE"/>
    <w:rsid w:val="00816BE0"/>
    <w:rsid w:val="00817B3F"/>
    <w:rsid w:val="0082074F"/>
    <w:rsid w:val="00823186"/>
    <w:rsid w:val="00823D58"/>
    <w:rsid w:val="00827B7C"/>
    <w:rsid w:val="008302F0"/>
    <w:rsid w:val="00831885"/>
    <w:rsid w:val="00832A95"/>
    <w:rsid w:val="00834FC8"/>
    <w:rsid w:val="00835B1A"/>
    <w:rsid w:val="00842A00"/>
    <w:rsid w:val="00843A85"/>
    <w:rsid w:val="0084704B"/>
    <w:rsid w:val="0084737B"/>
    <w:rsid w:val="0085050B"/>
    <w:rsid w:val="008530E2"/>
    <w:rsid w:val="00862F9D"/>
    <w:rsid w:val="00866830"/>
    <w:rsid w:val="008823D1"/>
    <w:rsid w:val="00887002"/>
    <w:rsid w:val="00890302"/>
    <w:rsid w:val="00890F43"/>
    <w:rsid w:val="008B34AC"/>
    <w:rsid w:val="008B37A7"/>
    <w:rsid w:val="008B5FCC"/>
    <w:rsid w:val="008B60E6"/>
    <w:rsid w:val="008B6798"/>
    <w:rsid w:val="008B7936"/>
    <w:rsid w:val="008C00AA"/>
    <w:rsid w:val="008C2D6F"/>
    <w:rsid w:val="008D131A"/>
    <w:rsid w:val="008D14D6"/>
    <w:rsid w:val="008D41D3"/>
    <w:rsid w:val="008E14A2"/>
    <w:rsid w:val="008E331D"/>
    <w:rsid w:val="008E60B9"/>
    <w:rsid w:val="008F057D"/>
    <w:rsid w:val="00901C29"/>
    <w:rsid w:val="00906542"/>
    <w:rsid w:val="00907A6E"/>
    <w:rsid w:val="00907E7A"/>
    <w:rsid w:val="0091336A"/>
    <w:rsid w:val="00913F6D"/>
    <w:rsid w:val="00914FC0"/>
    <w:rsid w:val="00916740"/>
    <w:rsid w:val="00921AB1"/>
    <w:rsid w:val="00923961"/>
    <w:rsid w:val="00927675"/>
    <w:rsid w:val="00931252"/>
    <w:rsid w:val="0093307E"/>
    <w:rsid w:val="00934159"/>
    <w:rsid w:val="00935A3E"/>
    <w:rsid w:val="0094018F"/>
    <w:rsid w:val="009422AA"/>
    <w:rsid w:val="00945792"/>
    <w:rsid w:val="00950794"/>
    <w:rsid w:val="00956593"/>
    <w:rsid w:val="00963120"/>
    <w:rsid w:val="00965FB8"/>
    <w:rsid w:val="009743C4"/>
    <w:rsid w:val="00977E04"/>
    <w:rsid w:val="0098121B"/>
    <w:rsid w:val="00982AB4"/>
    <w:rsid w:val="00984DD6"/>
    <w:rsid w:val="00985D1B"/>
    <w:rsid w:val="00997C46"/>
    <w:rsid w:val="009A0EC6"/>
    <w:rsid w:val="009A7D39"/>
    <w:rsid w:val="009B24C4"/>
    <w:rsid w:val="009B2B70"/>
    <w:rsid w:val="009B362D"/>
    <w:rsid w:val="009B3DA8"/>
    <w:rsid w:val="009B4235"/>
    <w:rsid w:val="009E2A6C"/>
    <w:rsid w:val="009E4629"/>
    <w:rsid w:val="009F1464"/>
    <w:rsid w:val="00A00087"/>
    <w:rsid w:val="00A01526"/>
    <w:rsid w:val="00A04668"/>
    <w:rsid w:val="00A06ADA"/>
    <w:rsid w:val="00A22886"/>
    <w:rsid w:val="00A27582"/>
    <w:rsid w:val="00A3046E"/>
    <w:rsid w:val="00A311E0"/>
    <w:rsid w:val="00A357F6"/>
    <w:rsid w:val="00A40CF2"/>
    <w:rsid w:val="00A410A3"/>
    <w:rsid w:val="00A45EA8"/>
    <w:rsid w:val="00A46328"/>
    <w:rsid w:val="00A46A58"/>
    <w:rsid w:val="00A54226"/>
    <w:rsid w:val="00A542F3"/>
    <w:rsid w:val="00A61CEA"/>
    <w:rsid w:val="00A627E4"/>
    <w:rsid w:val="00A63B72"/>
    <w:rsid w:val="00A67739"/>
    <w:rsid w:val="00A71F9E"/>
    <w:rsid w:val="00A7492F"/>
    <w:rsid w:val="00A82A27"/>
    <w:rsid w:val="00A85B7B"/>
    <w:rsid w:val="00A91B15"/>
    <w:rsid w:val="00A91C3F"/>
    <w:rsid w:val="00A938CF"/>
    <w:rsid w:val="00A97ECC"/>
    <w:rsid w:val="00AA3AF1"/>
    <w:rsid w:val="00AB0422"/>
    <w:rsid w:val="00AB096F"/>
    <w:rsid w:val="00AB0CE0"/>
    <w:rsid w:val="00AB5A91"/>
    <w:rsid w:val="00AC30E2"/>
    <w:rsid w:val="00AC4916"/>
    <w:rsid w:val="00AC65FA"/>
    <w:rsid w:val="00AD0B41"/>
    <w:rsid w:val="00AD1CFA"/>
    <w:rsid w:val="00AD20A4"/>
    <w:rsid w:val="00AD71ED"/>
    <w:rsid w:val="00AE6558"/>
    <w:rsid w:val="00AF1970"/>
    <w:rsid w:val="00AF317B"/>
    <w:rsid w:val="00AF3862"/>
    <w:rsid w:val="00AF40B2"/>
    <w:rsid w:val="00AF5BD4"/>
    <w:rsid w:val="00B038AB"/>
    <w:rsid w:val="00B10786"/>
    <w:rsid w:val="00B12B23"/>
    <w:rsid w:val="00B137E5"/>
    <w:rsid w:val="00B15D96"/>
    <w:rsid w:val="00B16404"/>
    <w:rsid w:val="00B167A8"/>
    <w:rsid w:val="00B21C5B"/>
    <w:rsid w:val="00B23F24"/>
    <w:rsid w:val="00B30100"/>
    <w:rsid w:val="00B3664C"/>
    <w:rsid w:val="00B376B5"/>
    <w:rsid w:val="00B42C49"/>
    <w:rsid w:val="00B449F4"/>
    <w:rsid w:val="00B520DF"/>
    <w:rsid w:val="00B555EB"/>
    <w:rsid w:val="00B62B70"/>
    <w:rsid w:val="00B63A1E"/>
    <w:rsid w:val="00B66597"/>
    <w:rsid w:val="00B715BA"/>
    <w:rsid w:val="00B7443F"/>
    <w:rsid w:val="00B75994"/>
    <w:rsid w:val="00B828BC"/>
    <w:rsid w:val="00BA1403"/>
    <w:rsid w:val="00BA7E81"/>
    <w:rsid w:val="00BB0583"/>
    <w:rsid w:val="00BB1101"/>
    <w:rsid w:val="00BB1DA4"/>
    <w:rsid w:val="00BC3E76"/>
    <w:rsid w:val="00BD23B9"/>
    <w:rsid w:val="00BD5928"/>
    <w:rsid w:val="00BD6BF8"/>
    <w:rsid w:val="00BE36EF"/>
    <w:rsid w:val="00BF1BEF"/>
    <w:rsid w:val="00BF3A05"/>
    <w:rsid w:val="00BF42BA"/>
    <w:rsid w:val="00BF49F4"/>
    <w:rsid w:val="00BF538F"/>
    <w:rsid w:val="00BF591A"/>
    <w:rsid w:val="00C043F3"/>
    <w:rsid w:val="00C066CB"/>
    <w:rsid w:val="00C20272"/>
    <w:rsid w:val="00C20CFB"/>
    <w:rsid w:val="00C228CB"/>
    <w:rsid w:val="00C23B03"/>
    <w:rsid w:val="00C2434B"/>
    <w:rsid w:val="00C33050"/>
    <w:rsid w:val="00C33A4F"/>
    <w:rsid w:val="00C34316"/>
    <w:rsid w:val="00C53FB0"/>
    <w:rsid w:val="00C5405C"/>
    <w:rsid w:val="00C60AB2"/>
    <w:rsid w:val="00C64949"/>
    <w:rsid w:val="00C66C8B"/>
    <w:rsid w:val="00C671C6"/>
    <w:rsid w:val="00C72C9F"/>
    <w:rsid w:val="00C76401"/>
    <w:rsid w:val="00C80487"/>
    <w:rsid w:val="00C81232"/>
    <w:rsid w:val="00C83D1C"/>
    <w:rsid w:val="00C841B7"/>
    <w:rsid w:val="00C933ED"/>
    <w:rsid w:val="00C95A07"/>
    <w:rsid w:val="00CA1823"/>
    <w:rsid w:val="00CA49E5"/>
    <w:rsid w:val="00CB0AB6"/>
    <w:rsid w:val="00CB3B4C"/>
    <w:rsid w:val="00CB5629"/>
    <w:rsid w:val="00CC675F"/>
    <w:rsid w:val="00CD3F09"/>
    <w:rsid w:val="00CD50BF"/>
    <w:rsid w:val="00CE2ECE"/>
    <w:rsid w:val="00CE4191"/>
    <w:rsid w:val="00CF168E"/>
    <w:rsid w:val="00CF2442"/>
    <w:rsid w:val="00CF72E8"/>
    <w:rsid w:val="00D01B98"/>
    <w:rsid w:val="00D06CCD"/>
    <w:rsid w:val="00D071FE"/>
    <w:rsid w:val="00D11AEF"/>
    <w:rsid w:val="00D12308"/>
    <w:rsid w:val="00D13662"/>
    <w:rsid w:val="00D222AD"/>
    <w:rsid w:val="00D25912"/>
    <w:rsid w:val="00D338F5"/>
    <w:rsid w:val="00D36C63"/>
    <w:rsid w:val="00D42B3E"/>
    <w:rsid w:val="00D457C5"/>
    <w:rsid w:val="00D523D9"/>
    <w:rsid w:val="00D554BE"/>
    <w:rsid w:val="00D60EB4"/>
    <w:rsid w:val="00D62A6A"/>
    <w:rsid w:val="00D65ADF"/>
    <w:rsid w:val="00D67CD8"/>
    <w:rsid w:val="00D70F16"/>
    <w:rsid w:val="00D737F1"/>
    <w:rsid w:val="00D776C6"/>
    <w:rsid w:val="00D828E9"/>
    <w:rsid w:val="00D831E5"/>
    <w:rsid w:val="00D93138"/>
    <w:rsid w:val="00D93BBD"/>
    <w:rsid w:val="00DA31D2"/>
    <w:rsid w:val="00DB135C"/>
    <w:rsid w:val="00DB13AF"/>
    <w:rsid w:val="00DB7621"/>
    <w:rsid w:val="00DB7742"/>
    <w:rsid w:val="00DC6C0D"/>
    <w:rsid w:val="00DC74BE"/>
    <w:rsid w:val="00DD5663"/>
    <w:rsid w:val="00DE44E5"/>
    <w:rsid w:val="00DE5A66"/>
    <w:rsid w:val="00DF239C"/>
    <w:rsid w:val="00DF3927"/>
    <w:rsid w:val="00DF6F9D"/>
    <w:rsid w:val="00E0457D"/>
    <w:rsid w:val="00E0649B"/>
    <w:rsid w:val="00E077B7"/>
    <w:rsid w:val="00E10014"/>
    <w:rsid w:val="00E111CF"/>
    <w:rsid w:val="00E1441C"/>
    <w:rsid w:val="00E15580"/>
    <w:rsid w:val="00E30520"/>
    <w:rsid w:val="00E30A50"/>
    <w:rsid w:val="00E40AE0"/>
    <w:rsid w:val="00E443C8"/>
    <w:rsid w:val="00E525FF"/>
    <w:rsid w:val="00E54B3F"/>
    <w:rsid w:val="00E5503C"/>
    <w:rsid w:val="00E553EE"/>
    <w:rsid w:val="00E627A6"/>
    <w:rsid w:val="00E63B87"/>
    <w:rsid w:val="00E64171"/>
    <w:rsid w:val="00E73D86"/>
    <w:rsid w:val="00E804D2"/>
    <w:rsid w:val="00E8154A"/>
    <w:rsid w:val="00E8322C"/>
    <w:rsid w:val="00EA120C"/>
    <w:rsid w:val="00EA22F7"/>
    <w:rsid w:val="00EA5D75"/>
    <w:rsid w:val="00EA735D"/>
    <w:rsid w:val="00EB092B"/>
    <w:rsid w:val="00EB389D"/>
    <w:rsid w:val="00EB4052"/>
    <w:rsid w:val="00EB5639"/>
    <w:rsid w:val="00EB583B"/>
    <w:rsid w:val="00EC13DC"/>
    <w:rsid w:val="00EC32C9"/>
    <w:rsid w:val="00EC5F70"/>
    <w:rsid w:val="00EC6AD2"/>
    <w:rsid w:val="00ED246C"/>
    <w:rsid w:val="00ED2F33"/>
    <w:rsid w:val="00ED3DA9"/>
    <w:rsid w:val="00ED54C8"/>
    <w:rsid w:val="00ED600D"/>
    <w:rsid w:val="00EE0A2E"/>
    <w:rsid w:val="00EE1F84"/>
    <w:rsid w:val="00EE3CCA"/>
    <w:rsid w:val="00EE6B04"/>
    <w:rsid w:val="00EF2BB7"/>
    <w:rsid w:val="00EF569F"/>
    <w:rsid w:val="00EF5738"/>
    <w:rsid w:val="00F10330"/>
    <w:rsid w:val="00F13788"/>
    <w:rsid w:val="00F14754"/>
    <w:rsid w:val="00F15666"/>
    <w:rsid w:val="00F20BC4"/>
    <w:rsid w:val="00F24A1B"/>
    <w:rsid w:val="00F24CE4"/>
    <w:rsid w:val="00F2697C"/>
    <w:rsid w:val="00F31D79"/>
    <w:rsid w:val="00F36B87"/>
    <w:rsid w:val="00F53952"/>
    <w:rsid w:val="00F55BE8"/>
    <w:rsid w:val="00F57BFB"/>
    <w:rsid w:val="00F60A15"/>
    <w:rsid w:val="00F61852"/>
    <w:rsid w:val="00F61A01"/>
    <w:rsid w:val="00F61F38"/>
    <w:rsid w:val="00F6478E"/>
    <w:rsid w:val="00F7201E"/>
    <w:rsid w:val="00F77628"/>
    <w:rsid w:val="00F82BAC"/>
    <w:rsid w:val="00F8575E"/>
    <w:rsid w:val="00F867C8"/>
    <w:rsid w:val="00F940F5"/>
    <w:rsid w:val="00F97EFB"/>
    <w:rsid w:val="00FA279A"/>
    <w:rsid w:val="00FA4FFF"/>
    <w:rsid w:val="00FA75BC"/>
    <w:rsid w:val="00FB3001"/>
    <w:rsid w:val="00FB33C3"/>
    <w:rsid w:val="00FB473A"/>
    <w:rsid w:val="00FB4C8A"/>
    <w:rsid w:val="00FC4C98"/>
    <w:rsid w:val="00FD6967"/>
    <w:rsid w:val="00FE1841"/>
    <w:rsid w:val="00FE59EE"/>
    <w:rsid w:val="00FE6619"/>
    <w:rsid w:val="00FE6A0D"/>
    <w:rsid w:val="00FF0DD1"/>
    <w:rsid w:val="00FF25DF"/>
    <w:rsid w:val="00FF4B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13C985"/>
  <w15:chartTrackingRefBased/>
  <w15:docId w15:val="{383B3598-2ECB-4B00-917F-479205586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628"/>
  </w:style>
  <w:style w:type="paragraph" w:styleId="Heading1">
    <w:name w:val="heading 1"/>
    <w:basedOn w:val="Normal"/>
    <w:next w:val="Normal"/>
    <w:link w:val="Heading1Char"/>
    <w:uiPriority w:val="9"/>
    <w:qFormat/>
    <w:rsid w:val="00F776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76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7A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6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762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776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77628"/>
    <w:pPr>
      <w:ind w:left="720"/>
      <w:contextualSpacing/>
    </w:pPr>
  </w:style>
  <w:style w:type="paragraph" w:customStyle="1" w:styleId="p">
    <w:name w:val="p"/>
    <w:basedOn w:val="Normal"/>
    <w:rsid w:val="00F776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77628"/>
    <w:rPr>
      <w:i/>
      <w:iCs/>
    </w:rPr>
  </w:style>
  <w:style w:type="paragraph" w:styleId="Title">
    <w:name w:val="Title"/>
    <w:basedOn w:val="Normal"/>
    <w:next w:val="Normal"/>
    <w:link w:val="TitleChar"/>
    <w:uiPriority w:val="10"/>
    <w:qFormat/>
    <w:rsid w:val="00F776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62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37AD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13662"/>
    <w:rPr>
      <w:color w:val="0563C1" w:themeColor="hyperlink"/>
      <w:u w:val="single"/>
    </w:rPr>
  </w:style>
  <w:style w:type="table" w:styleId="TableGrid">
    <w:name w:val="Table Grid"/>
    <w:basedOn w:val="TableNormal"/>
    <w:uiPriority w:val="39"/>
    <w:rsid w:val="00E81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86CD2"/>
    <w:rPr>
      <w:b/>
      <w:bCs/>
    </w:rPr>
  </w:style>
  <w:style w:type="character" w:styleId="FollowedHyperlink">
    <w:name w:val="FollowedHyperlink"/>
    <w:basedOn w:val="DefaultParagraphFont"/>
    <w:uiPriority w:val="99"/>
    <w:semiHidden/>
    <w:unhideWhenUsed/>
    <w:rsid w:val="00486CD2"/>
    <w:rPr>
      <w:color w:val="954F72" w:themeColor="followedHyperlink"/>
      <w:u w:val="single"/>
    </w:rPr>
  </w:style>
  <w:style w:type="character" w:styleId="CommentReference">
    <w:name w:val="annotation reference"/>
    <w:basedOn w:val="DefaultParagraphFont"/>
    <w:uiPriority w:val="99"/>
    <w:semiHidden/>
    <w:unhideWhenUsed/>
    <w:rsid w:val="00EB5639"/>
    <w:rPr>
      <w:sz w:val="16"/>
      <w:szCs w:val="16"/>
    </w:rPr>
  </w:style>
  <w:style w:type="paragraph" w:styleId="CommentText">
    <w:name w:val="annotation text"/>
    <w:basedOn w:val="Normal"/>
    <w:link w:val="CommentTextChar"/>
    <w:uiPriority w:val="99"/>
    <w:semiHidden/>
    <w:unhideWhenUsed/>
    <w:rsid w:val="00EB5639"/>
    <w:pPr>
      <w:spacing w:line="240" w:lineRule="auto"/>
    </w:pPr>
    <w:rPr>
      <w:sz w:val="20"/>
      <w:szCs w:val="20"/>
    </w:rPr>
  </w:style>
  <w:style w:type="character" w:customStyle="1" w:styleId="CommentTextChar">
    <w:name w:val="Comment Text Char"/>
    <w:basedOn w:val="DefaultParagraphFont"/>
    <w:link w:val="CommentText"/>
    <w:uiPriority w:val="99"/>
    <w:semiHidden/>
    <w:rsid w:val="00EB5639"/>
    <w:rPr>
      <w:sz w:val="20"/>
      <w:szCs w:val="20"/>
    </w:rPr>
  </w:style>
  <w:style w:type="paragraph" w:styleId="CommentSubject">
    <w:name w:val="annotation subject"/>
    <w:basedOn w:val="CommentText"/>
    <w:next w:val="CommentText"/>
    <w:link w:val="CommentSubjectChar"/>
    <w:uiPriority w:val="99"/>
    <w:semiHidden/>
    <w:unhideWhenUsed/>
    <w:rsid w:val="00EB5639"/>
    <w:rPr>
      <w:b/>
      <w:bCs/>
    </w:rPr>
  </w:style>
  <w:style w:type="character" w:customStyle="1" w:styleId="CommentSubjectChar">
    <w:name w:val="Comment Subject Char"/>
    <w:basedOn w:val="CommentTextChar"/>
    <w:link w:val="CommentSubject"/>
    <w:uiPriority w:val="99"/>
    <w:semiHidden/>
    <w:rsid w:val="00EB5639"/>
    <w:rPr>
      <w:b/>
      <w:bCs/>
      <w:sz w:val="20"/>
      <w:szCs w:val="20"/>
    </w:rPr>
  </w:style>
  <w:style w:type="paragraph" w:styleId="BalloonText">
    <w:name w:val="Balloon Text"/>
    <w:basedOn w:val="Normal"/>
    <w:link w:val="BalloonTextChar"/>
    <w:uiPriority w:val="99"/>
    <w:semiHidden/>
    <w:unhideWhenUsed/>
    <w:rsid w:val="00EB5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639"/>
    <w:rPr>
      <w:rFonts w:ascii="Segoe UI" w:hAnsi="Segoe UI" w:cs="Segoe UI"/>
      <w:sz w:val="18"/>
      <w:szCs w:val="18"/>
    </w:rPr>
  </w:style>
  <w:style w:type="paragraph" w:styleId="Header">
    <w:name w:val="header"/>
    <w:basedOn w:val="Normal"/>
    <w:link w:val="HeaderChar"/>
    <w:uiPriority w:val="99"/>
    <w:unhideWhenUsed/>
    <w:rsid w:val="00111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5C1"/>
  </w:style>
  <w:style w:type="paragraph" w:styleId="Footer">
    <w:name w:val="footer"/>
    <w:basedOn w:val="Normal"/>
    <w:link w:val="FooterChar"/>
    <w:uiPriority w:val="99"/>
    <w:unhideWhenUsed/>
    <w:rsid w:val="00111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5C1"/>
  </w:style>
  <w:style w:type="table" w:styleId="PlainTable2">
    <w:name w:val="Plain Table 2"/>
    <w:basedOn w:val="TableNormal"/>
    <w:uiPriority w:val="42"/>
    <w:rsid w:val="00E73D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907E7"/>
    <w:pPr>
      <w:spacing w:after="0" w:line="240" w:lineRule="auto"/>
    </w:pPr>
  </w:style>
  <w:style w:type="table" w:styleId="GridTable1Light">
    <w:name w:val="Grid Table 1 Light"/>
    <w:basedOn w:val="TableNormal"/>
    <w:uiPriority w:val="46"/>
    <w:rsid w:val="007357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13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19303">
      <w:bodyDiv w:val="1"/>
      <w:marLeft w:val="0"/>
      <w:marRight w:val="0"/>
      <w:marTop w:val="0"/>
      <w:marBottom w:val="0"/>
      <w:divBdr>
        <w:top w:val="none" w:sz="0" w:space="0" w:color="auto"/>
        <w:left w:val="none" w:sz="0" w:space="0" w:color="auto"/>
        <w:bottom w:val="none" w:sz="0" w:space="0" w:color="auto"/>
        <w:right w:val="none" w:sz="0" w:space="0" w:color="auto"/>
      </w:divBdr>
    </w:div>
    <w:div w:id="1146161941">
      <w:bodyDiv w:val="1"/>
      <w:marLeft w:val="0"/>
      <w:marRight w:val="0"/>
      <w:marTop w:val="0"/>
      <w:marBottom w:val="0"/>
      <w:divBdr>
        <w:top w:val="none" w:sz="0" w:space="0" w:color="auto"/>
        <w:left w:val="none" w:sz="0" w:space="0" w:color="auto"/>
        <w:bottom w:val="none" w:sz="0" w:space="0" w:color="auto"/>
        <w:right w:val="none" w:sz="0" w:space="0" w:color="auto"/>
      </w:divBdr>
    </w:div>
    <w:div w:id="1150561812">
      <w:bodyDiv w:val="1"/>
      <w:marLeft w:val="0"/>
      <w:marRight w:val="0"/>
      <w:marTop w:val="0"/>
      <w:marBottom w:val="0"/>
      <w:divBdr>
        <w:top w:val="none" w:sz="0" w:space="0" w:color="auto"/>
        <w:left w:val="none" w:sz="0" w:space="0" w:color="auto"/>
        <w:bottom w:val="none" w:sz="0" w:space="0" w:color="auto"/>
        <w:right w:val="none" w:sz="0" w:space="0" w:color="auto"/>
      </w:divBdr>
    </w:div>
    <w:div w:id="1423648164">
      <w:bodyDiv w:val="1"/>
      <w:marLeft w:val="0"/>
      <w:marRight w:val="0"/>
      <w:marTop w:val="0"/>
      <w:marBottom w:val="0"/>
      <w:divBdr>
        <w:top w:val="none" w:sz="0" w:space="0" w:color="auto"/>
        <w:left w:val="none" w:sz="0" w:space="0" w:color="auto"/>
        <w:bottom w:val="none" w:sz="0" w:space="0" w:color="auto"/>
        <w:right w:val="none" w:sz="0" w:space="0" w:color="auto"/>
      </w:divBdr>
    </w:div>
    <w:div w:id="143347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sembl.org/biomart/martview/" TargetMode="External"/><Relationship Id="rId18" Type="http://schemas.openxmlformats.org/officeDocument/2006/relationships/hyperlink" Target="https://www.gtexportal.org/home/documentationPage" TargetMode="External"/><Relationship Id="rId26" Type="http://schemas.openxmlformats.org/officeDocument/2006/relationships/image" Target="media/image4.tiff"/><Relationship Id="rId39" Type="http://schemas.openxmlformats.org/officeDocument/2006/relationships/hyperlink" Target="https://coxpresdb.jp/download/" TargetMode="External"/><Relationship Id="rId21" Type="http://schemas.openxmlformats.org/officeDocument/2006/relationships/image" Target="media/image1.tif"/><Relationship Id="rId34" Type="http://schemas.openxmlformats.org/officeDocument/2006/relationships/hyperlink" Target="https://string-db.org/" TargetMode="External"/><Relationship Id="rId42" Type="http://schemas.openxmlformats.org/officeDocument/2006/relationships/hyperlink" Target="https://sys-myo.com/myominer" TargetMode="External"/><Relationship Id="rId47" Type="http://schemas.openxmlformats.org/officeDocument/2006/relationships/hyperlink" Target="https://www.sys-myo.com/myominer/download.php"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xpresdb.jp/download/" TargetMode="External"/><Relationship Id="rId29" Type="http://schemas.openxmlformats.org/officeDocument/2006/relationships/image" Target="media/image6.tiff"/><Relationship Id="rId11" Type="http://schemas.openxmlformats.org/officeDocument/2006/relationships/hyperlink" Target="https://string-db.org/" TargetMode="External"/><Relationship Id="rId24" Type="http://schemas.openxmlformats.org/officeDocument/2006/relationships/footer" Target="footer1.xml"/><Relationship Id="rId32" Type="http://schemas.openxmlformats.org/officeDocument/2006/relationships/hyperlink" Target="http://www.ncbi.nlm.nih.gov/geo/" TargetMode="External"/><Relationship Id="rId37" Type="http://schemas.openxmlformats.org/officeDocument/2006/relationships/hyperlink" Target="http://iid.ophid.utoronto.ca/" TargetMode="External"/><Relationship Id="rId40" Type="http://schemas.openxmlformats.org/officeDocument/2006/relationships/hyperlink" Target="https://www.gtexportal.org/home/datasets" TargetMode="External"/><Relationship Id="rId45" Type="http://schemas.openxmlformats.org/officeDocument/2006/relationships/hyperlink" Target="https://www.sys-myo.com/myominer/download.php"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www.ebi.ac.uk/arrayexpress" TargetMode="External"/><Relationship Id="rId19" Type="http://schemas.openxmlformats.org/officeDocument/2006/relationships/hyperlink" Target="https://sys-myo.com/myominer" TargetMode="External"/><Relationship Id="rId31" Type="http://schemas.openxmlformats.org/officeDocument/2006/relationships/hyperlink" Target="mailto:w.duddy@ulster.ac.uk" TargetMode="External"/><Relationship Id="rId44" Type="http://schemas.openxmlformats.org/officeDocument/2006/relationships/footer" Target="footer2.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ncbi.nlm.nih.gov/geo/" TargetMode="External"/><Relationship Id="rId14" Type="http://schemas.openxmlformats.org/officeDocument/2006/relationships/hyperlink" Target="http://iid.ophid.utoronto.ca/" TargetMode="External"/><Relationship Id="rId22" Type="http://schemas.openxmlformats.org/officeDocument/2006/relationships/image" Target="media/image2.tiff"/><Relationship Id="rId27" Type="http://schemas.openxmlformats.org/officeDocument/2006/relationships/hyperlink" Target="https://www.sys-myo.com/myominer/download.php" TargetMode="External"/><Relationship Id="rId30" Type="http://schemas.openxmlformats.org/officeDocument/2006/relationships/image" Target="media/image7.png"/><Relationship Id="rId35" Type="http://schemas.openxmlformats.org/officeDocument/2006/relationships/hyperlink" Target="http://www.ensembl.org/Homo_sapiens/Tools/IDMapper" TargetMode="External"/><Relationship Id="rId43" Type="http://schemas.openxmlformats.org/officeDocument/2006/relationships/hyperlink" Target="https://www.synapse.org/" TargetMode="External"/><Relationship Id="rId48" Type="http://schemas.openxmlformats.org/officeDocument/2006/relationships/hyperlink" Target="https://www.sys-myo.com/myominer/download.php" TargetMode="External"/><Relationship Id="rId8" Type="http://schemas.openxmlformats.org/officeDocument/2006/relationships/hyperlink" Target="mailto:w.duddy@ulster.ac.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nsembl.org/Homo_sapiens/Tools/IDMapper" TargetMode="External"/><Relationship Id="rId17" Type="http://schemas.openxmlformats.org/officeDocument/2006/relationships/hyperlink" Target="https://www.gtexportal.org/home/datasets" TargetMode="External"/><Relationship Id="rId25" Type="http://schemas.openxmlformats.org/officeDocument/2006/relationships/hyperlink" Target="https://www.sys-myo.com/myominer/download.php" TargetMode="External"/><Relationship Id="rId33" Type="http://schemas.openxmlformats.org/officeDocument/2006/relationships/hyperlink" Target="https://www.ebi.ac.uk/arrayexpress" TargetMode="External"/><Relationship Id="rId38" Type="http://schemas.openxmlformats.org/officeDocument/2006/relationships/hyperlink" Target="https://hb.flatironinstitute.org/download" TargetMode="External"/><Relationship Id="rId46" Type="http://schemas.openxmlformats.org/officeDocument/2006/relationships/hyperlink" Target="https://www.sys-myo.com/myominer/download.php" TargetMode="External"/><Relationship Id="rId20" Type="http://schemas.openxmlformats.org/officeDocument/2006/relationships/hyperlink" Target="https://www.synapse.org/" TargetMode="External"/><Relationship Id="rId41" Type="http://schemas.openxmlformats.org/officeDocument/2006/relationships/hyperlink" Target="https://www.gtexportal.org/home/documentationPage"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b.flatironinstitute.org/download" TargetMode="External"/><Relationship Id="rId23" Type="http://schemas.openxmlformats.org/officeDocument/2006/relationships/image" Target="media/image3.tiff"/><Relationship Id="rId28" Type="http://schemas.openxmlformats.org/officeDocument/2006/relationships/image" Target="media/image5.tiff"/><Relationship Id="rId36" Type="http://schemas.openxmlformats.org/officeDocument/2006/relationships/hyperlink" Target="https://m.ensembl.org/biomart/martview/" TargetMode="External"/><Relationship Id="rId49" Type="http://schemas.openxmlformats.org/officeDocument/2006/relationships/hyperlink" Target="https://www.sys-myo.com/myominer/download.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F60D5B-395C-4A0D-BC44-44E3B9BB31E7}">
  <we:reference id="wa104382081" version="1.7.0.0" store="en-US" storeType="OMEX"/>
  <we:alternateReferences>
    <we:reference id="WA104382081" version="1.7.0.0" store="WA1043820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971582FC6B74074A8A611ED8D6723E55" ma:contentTypeVersion="10" ma:contentTypeDescription="Create a new document." ma:contentTypeScope="" ma:versionID="7dc8b38614b58f26943fbd1311a51f08">
  <xsd:schema xmlns:xsd="http://www.w3.org/2001/XMLSchema" xmlns:xs="http://www.w3.org/2001/XMLSchema" xmlns:p="http://schemas.microsoft.com/office/2006/metadata/properties" xmlns:ns2="e0913bed-4d61-4f41-8bd5-5ecdbb49922b" xmlns:ns3="c5ad670d-f25e-4b7b-af21-5f65272d2813" targetNamespace="http://schemas.microsoft.com/office/2006/metadata/properties" ma:root="true" ma:fieldsID="fa0f25bb100e0b1c8a7512918a937b94" ns2:_="" ns3:_="">
    <xsd:import namespace="e0913bed-4d61-4f41-8bd5-5ecdbb49922b"/>
    <xsd:import namespace="c5ad670d-f25e-4b7b-af21-5f65272d28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13bed-4d61-4f41-8bd5-5ecdbb499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ad670d-f25e-4b7b-af21-5f65272d28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936633-120C-4E13-85B6-5E2790FF4B3B}">
  <ds:schemaRefs>
    <ds:schemaRef ds:uri="http://schemas.openxmlformats.org/officeDocument/2006/bibliography"/>
  </ds:schemaRefs>
</ds:datastoreItem>
</file>

<file path=customXml/itemProps2.xml><?xml version="1.0" encoding="utf-8"?>
<ds:datastoreItem xmlns:ds="http://schemas.openxmlformats.org/officeDocument/2006/customXml" ds:itemID="{10C53C44-9398-4D6A-A629-348F444EA083}"/>
</file>

<file path=customXml/itemProps3.xml><?xml version="1.0" encoding="utf-8"?>
<ds:datastoreItem xmlns:ds="http://schemas.openxmlformats.org/officeDocument/2006/customXml" ds:itemID="{7F1C5D69-00B7-425F-86A8-2A63339AA6F6}"/>
</file>

<file path=customXml/itemProps4.xml><?xml version="1.0" encoding="utf-8"?>
<ds:datastoreItem xmlns:ds="http://schemas.openxmlformats.org/officeDocument/2006/customXml" ds:itemID="{94F1D21E-F243-4AAA-8B01-E180D44DB2E5}"/>
</file>

<file path=docProps/app.xml><?xml version="1.0" encoding="utf-8"?>
<Properties xmlns="http://schemas.openxmlformats.org/officeDocument/2006/extended-properties" xmlns:vt="http://schemas.openxmlformats.org/officeDocument/2006/docPropsVTypes">
  <Template>Normal</Template>
  <TotalTime>0</TotalTime>
  <Pages>3</Pages>
  <Words>93875</Words>
  <Characters>535092</Characters>
  <Application>Microsoft Office Word</Application>
  <DocSecurity>0</DocSecurity>
  <Lines>4459</Lines>
  <Paragraphs>1255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Morgan</dc:creator>
  <cp:keywords/>
  <dc:description/>
  <cp:lastModifiedBy>Adams, Caroline</cp:lastModifiedBy>
  <cp:revision>2</cp:revision>
  <dcterms:created xsi:type="dcterms:W3CDTF">2021-09-06T11:04:00Z</dcterms:created>
  <dcterms:modified xsi:type="dcterms:W3CDTF">2021-09-06T11:04:00Z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http://www.zotero.org/styles/journal-of-personalized-medicine</vt:lpwstr>
  </property>
  <property fmtid="{D5CDD505-2E9C-101B-9397-08002B2CF9AE}" pid="15" name="Mendeley Recent Style Name 6_1">
    <vt:lpwstr>Journal of Personalized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847a622b-adfb-3ba5-bb9a-fb44fd55ad4c</vt:lpwstr>
  </property>
  <property fmtid="{D5CDD505-2E9C-101B-9397-08002B2CF9AE}" pid="24" name="Mendeley Citation Style_1">
    <vt:lpwstr>http://www.zotero.org/styles/vancouver</vt:lpwstr>
  </property>
  <property fmtid="{D5CDD505-2E9C-101B-9397-08002B2CF9AE}" pid="25" name="ContentTypeId">
    <vt:lpwstr>0x010100971582FC6B74074A8A611ED8D6723E55</vt:lpwstr>
  </property>
</Properties>
</file>