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99F7D" w14:textId="0E62A991" w:rsidR="00D331C7" w:rsidRPr="00837BF1" w:rsidRDefault="00D331C7" w:rsidP="00D331C7">
      <w:pPr>
        <w:spacing w:after="0" w:line="480" w:lineRule="auto"/>
        <w:jc w:val="both"/>
        <w:rPr>
          <w:rFonts w:ascii="Arial" w:hAnsi="Arial" w:cs="Arial"/>
          <w:b/>
          <w:bCs/>
        </w:rPr>
      </w:pPr>
      <w:r w:rsidRPr="00837BF1">
        <w:rPr>
          <w:rFonts w:ascii="Arial" w:hAnsi="Arial" w:cs="Arial"/>
          <w:b/>
          <w:bCs/>
        </w:rPr>
        <w:t>The impact of reduced working on mental health in the early months of the COVID-19 pandemic: results from the Understanding Society COVID-19 study.</w:t>
      </w:r>
    </w:p>
    <w:p w14:paraId="69F87039" w14:textId="06493D8B" w:rsidR="00D331C7" w:rsidRPr="00837BF1" w:rsidRDefault="00D331C7" w:rsidP="00D331C7">
      <w:pPr>
        <w:spacing w:after="0" w:line="480" w:lineRule="auto"/>
        <w:jc w:val="both"/>
        <w:rPr>
          <w:rFonts w:ascii="Arial" w:hAnsi="Arial" w:cs="Arial"/>
        </w:rPr>
      </w:pPr>
      <w:r w:rsidRPr="00837BF1">
        <w:rPr>
          <w:rFonts w:ascii="Arial" w:hAnsi="Arial" w:cs="Arial"/>
        </w:rPr>
        <w:t>Finola Ferry</w:t>
      </w:r>
      <w:r w:rsidR="008C1916" w:rsidRPr="00837BF1">
        <w:rPr>
          <w:rFonts w:ascii="Arial" w:hAnsi="Arial" w:cs="Arial"/>
          <w:vertAlign w:val="superscript"/>
        </w:rPr>
        <w:t>1</w:t>
      </w:r>
      <w:r w:rsidRPr="00837BF1">
        <w:rPr>
          <w:rFonts w:ascii="Arial" w:hAnsi="Arial" w:cs="Arial"/>
        </w:rPr>
        <w:t>, Brendan Bunting</w:t>
      </w:r>
      <w:r w:rsidR="008C1916" w:rsidRPr="00837BF1">
        <w:rPr>
          <w:rFonts w:ascii="Arial" w:hAnsi="Arial" w:cs="Arial"/>
          <w:vertAlign w:val="superscript"/>
        </w:rPr>
        <w:t>2</w:t>
      </w:r>
      <w:r w:rsidRPr="00837BF1">
        <w:rPr>
          <w:rFonts w:ascii="Arial" w:hAnsi="Arial" w:cs="Arial"/>
        </w:rPr>
        <w:t>, Michael Rosato</w:t>
      </w:r>
      <w:r w:rsidR="008C1916" w:rsidRPr="00837BF1">
        <w:rPr>
          <w:rFonts w:ascii="Arial" w:hAnsi="Arial" w:cs="Arial"/>
          <w:vertAlign w:val="superscript"/>
        </w:rPr>
        <w:t>1</w:t>
      </w:r>
      <w:r w:rsidRPr="00837BF1">
        <w:rPr>
          <w:rFonts w:ascii="Arial" w:hAnsi="Arial" w:cs="Arial"/>
        </w:rPr>
        <w:t>, Emma Curran</w:t>
      </w:r>
      <w:r w:rsidR="00FA1BB2" w:rsidRPr="00837BF1">
        <w:rPr>
          <w:rFonts w:ascii="Arial" w:hAnsi="Arial" w:cs="Arial"/>
          <w:vertAlign w:val="superscript"/>
        </w:rPr>
        <w:t>1</w:t>
      </w:r>
      <w:r w:rsidRPr="00837BF1">
        <w:rPr>
          <w:rFonts w:ascii="Arial" w:hAnsi="Arial" w:cs="Arial"/>
        </w:rPr>
        <w:t xml:space="preserve"> and Gerard Leavey</w:t>
      </w:r>
      <w:r w:rsidR="00FA1BB2" w:rsidRPr="00837BF1">
        <w:rPr>
          <w:rFonts w:ascii="Arial" w:hAnsi="Arial" w:cs="Arial"/>
          <w:vertAlign w:val="superscript"/>
        </w:rPr>
        <w:t>1</w:t>
      </w:r>
    </w:p>
    <w:p w14:paraId="7AF6379C" w14:textId="77777777" w:rsidR="00D331C7" w:rsidRPr="00837BF1" w:rsidRDefault="00D331C7" w:rsidP="00D331C7">
      <w:pPr>
        <w:rPr>
          <w:rFonts w:ascii="Arial" w:hAnsi="Arial" w:cs="Arial"/>
        </w:rPr>
      </w:pPr>
    </w:p>
    <w:p w14:paraId="52C05402" w14:textId="77777777" w:rsidR="00D331C7" w:rsidRPr="00837BF1" w:rsidRDefault="00D331C7" w:rsidP="00D331C7">
      <w:pPr>
        <w:rPr>
          <w:rFonts w:ascii="Arial" w:hAnsi="Arial" w:cs="Arial"/>
        </w:rPr>
      </w:pPr>
    </w:p>
    <w:p w14:paraId="37639FC7" w14:textId="78442F6A" w:rsidR="00D331C7" w:rsidRPr="00837BF1" w:rsidRDefault="00685FAC" w:rsidP="00D331C7">
      <w:pPr>
        <w:rPr>
          <w:rFonts w:ascii="Arial" w:hAnsi="Arial" w:cs="Arial"/>
        </w:rPr>
      </w:pPr>
      <w:r w:rsidRPr="00837BF1">
        <w:rPr>
          <w:rFonts w:ascii="Arial" w:hAnsi="Arial" w:cs="Arial"/>
          <w:vertAlign w:val="superscript"/>
        </w:rPr>
        <w:t>1</w:t>
      </w:r>
      <w:r w:rsidR="00D331C7" w:rsidRPr="00837BF1">
        <w:rPr>
          <w:rFonts w:ascii="Arial" w:hAnsi="Arial" w:cs="Arial"/>
          <w:vertAlign w:val="superscript"/>
        </w:rPr>
        <w:t xml:space="preserve"> </w:t>
      </w:r>
      <w:r w:rsidR="00D331C7" w:rsidRPr="00837BF1">
        <w:rPr>
          <w:rFonts w:ascii="Arial" w:hAnsi="Arial" w:cs="Arial"/>
        </w:rPr>
        <w:t>Bamford Centre for Mental Health and Wellbeing, Ulster University</w:t>
      </w:r>
      <w:r w:rsidR="005410B9" w:rsidRPr="00837BF1">
        <w:rPr>
          <w:rFonts w:ascii="Arial" w:hAnsi="Arial" w:cs="Arial"/>
        </w:rPr>
        <w:t>.</w:t>
      </w:r>
    </w:p>
    <w:p w14:paraId="03F560F9" w14:textId="74F31C06" w:rsidR="00D331C7" w:rsidRPr="00837BF1" w:rsidRDefault="00685FAC" w:rsidP="00D331C7">
      <w:pPr>
        <w:rPr>
          <w:rFonts w:ascii="Arial" w:hAnsi="Arial" w:cs="Arial"/>
        </w:rPr>
      </w:pPr>
      <w:r w:rsidRPr="00837BF1">
        <w:rPr>
          <w:rFonts w:ascii="Arial" w:hAnsi="Arial" w:cs="Arial"/>
          <w:vertAlign w:val="superscript"/>
        </w:rPr>
        <w:t>2</w:t>
      </w:r>
      <w:r w:rsidR="00D331C7" w:rsidRPr="00837BF1">
        <w:rPr>
          <w:rFonts w:ascii="Arial" w:hAnsi="Arial" w:cs="Arial"/>
        </w:rPr>
        <w:t xml:space="preserve"> School of Psychology, Ulster University</w:t>
      </w:r>
      <w:r w:rsidR="005410B9" w:rsidRPr="00837BF1">
        <w:rPr>
          <w:rFonts w:ascii="Arial" w:hAnsi="Arial" w:cs="Arial"/>
        </w:rPr>
        <w:t>.</w:t>
      </w:r>
      <w:r w:rsidR="00D331C7" w:rsidRPr="00837BF1">
        <w:rPr>
          <w:rFonts w:ascii="Arial" w:hAnsi="Arial" w:cs="Arial"/>
        </w:rPr>
        <w:t xml:space="preserve"> </w:t>
      </w:r>
    </w:p>
    <w:p w14:paraId="2D86F64A" w14:textId="2DA332DA" w:rsidR="00886598" w:rsidRPr="00837BF1" w:rsidRDefault="00886598" w:rsidP="00D331C7">
      <w:pPr>
        <w:rPr>
          <w:rFonts w:ascii="Arial" w:hAnsi="Arial" w:cs="Arial"/>
        </w:rPr>
      </w:pPr>
    </w:p>
    <w:p w14:paraId="68E290FC" w14:textId="51807914" w:rsidR="00886598" w:rsidRPr="00837BF1" w:rsidRDefault="00886598" w:rsidP="00D331C7">
      <w:pPr>
        <w:rPr>
          <w:rFonts w:ascii="Arial" w:hAnsi="Arial" w:cs="Arial"/>
        </w:rPr>
      </w:pPr>
      <w:r w:rsidRPr="00837BF1">
        <w:rPr>
          <w:rFonts w:ascii="Arial" w:hAnsi="Arial" w:cs="Arial"/>
        </w:rPr>
        <w:t xml:space="preserve">Author for correspondence: Finola Ferry, Bamford Centre for Mental Health and Wellbeing, Room H253, Ulster University, </w:t>
      </w:r>
      <w:proofErr w:type="spellStart"/>
      <w:r w:rsidRPr="00837BF1">
        <w:rPr>
          <w:rFonts w:ascii="Arial" w:hAnsi="Arial" w:cs="Arial"/>
        </w:rPr>
        <w:t>Cromore</w:t>
      </w:r>
      <w:proofErr w:type="spellEnd"/>
      <w:r w:rsidRPr="00837BF1">
        <w:rPr>
          <w:rFonts w:ascii="Arial" w:hAnsi="Arial" w:cs="Arial"/>
        </w:rPr>
        <w:t xml:space="preserve"> Road, Coleraine, Northern Ireland, BT52 1SA, </w:t>
      </w:r>
      <w:hyperlink r:id="rId11" w:history="1">
        <w:r w:rsidRPr="00837BF1">
          <w:rPr>
            <w:rStyle w:val="Hyperlink"/>
            <w:rFonts w:ascii="Arial" w:hAnsi="Arial" w:cs="Arial"/>
          </w:rPr>
          <w:t>f.ferry@ulster.ac.uk</w:t>
        </w:r>
      </w:hyperlink>
      <w:r w:rsidRPr="00837BF1">
        <w:rPr>
          <w:rFonts w:ascii="Arial" w:hAnsi="Arial" w:cs="Arial"/>
        </w:rPr>
        <w:t>, telephone: 07756523555.</w:t>
      </w:r>
    </w:p>
    <w:p w14:paraId="75C308D0" w14:textId="56361D81" w:rsidR="00FA1BB2" w:rsidRPr="00837BF1" w:rsidRDefault="00FA1BB2" w:rsidP="00D331C7">
      <w:pPr>
        <w:rPr>
          <w:rFonts w:ascii="Arial" w:hAnsi="Arial" w:cs="Arial"/>
        </w:rPr>
      </w:pPr>
    </w:p>
    <w:p w14:paraId="7516C722" w14:textId="05E26B6D" w:rsidR="00FA1BB2" w:rsidRPr="00837BF1" w:rsidRDefault="00FA1BB2" w:rsidP="00D331C7">
      <w:pPr>
        <w:rPr>
          <w:rFonts w:ascii="Arial" w:hAnsi="Arial" w:cs="Arial"/>
        </w:rPr>
      </w:pPr>
    </w:p>
    <w:p w14:paraId="2D8285A7" w14:textId="7AE9C36D" w:rsidR="00A12108" w:rsidRPr="00837BF1" w:rsidRDefault="00A12108" w:rsidP="00D331C7">
      <w:pPr>
        <w:rPr>
          <w:rFonts w:ascii="Arial" w:hAnsi="Arial" w:cs="Arial"/>
        </w:rPr>
      </w:pPr>
    </w:p>
    <w:p w14:paraId="74FB31BE" w14:textId="63B03DAF" w:rsidR="00A12108" w:rsidRPr="00837BF1" w:rsidRDefault="00A12108" w:rsidP="00D331C7">
      <w:pPr>
        <w:rPr>
          <w:rFonts w:ascii="Arial" w:hAnsi="Arial" w:cs="Arial"/>
        </w:rPr>
      </w:pPr>
    </w:p>
    <w:p w14:paraId="57AA613B" w14:textId="77777777" w:rsidR="00AC17EF" w:rsidRPr="00837BF1" w:rsidRDefault="00AC17EF" w:rsidP="00AC17EF">
      <w:pPr>
        <w:pStyle w:val="NormalWeb"/>
        <w:spacing w:before="0" w:beforeAutospacing="0" w:after="0" w:afterAutospacing="0" w:line="360" w:lineRule="auto"/>
        <w:rPr>
          <w:rFonts w:ascii="Calibri" w:hAnsi="Calibri" w:cs="Calibri"/>
          <w:sz w:val="22"/>
          <w:szCs w:val="22"/>
        </w:rPr>
      </w:pPr>
    </w:p>
    <w:p w14:paraId="10F5A393" w14:textId="77777777" w:rsidR="00E14271" w:rsidRPr="00837BF1" w:rsidRDefault="00996B34" w:rsidP="00A12108">
      <w:pPr>
        <w:autoSpaceDE w:val="0"/>
        <w:autoSpaceDN w:val="0"/>
        <w:adjustRightInd w:val="0"/>
        <w:spacing w:after="0" w:line="480" w:lineRule="auto"/>
        <w:rPr>
          <w:rFonts w:ascii="Arial" w:hAnsi="Arial" w:cs="Arial"/>
          <w:shd w:val="clear" w:color="auto" w:fill="FFFFFF"/>
        </w:rPr>
      </w:pPr>
      <w:r w:rsidRPr="00837BF1">
        <w:rPr>
          <w:rFonts w:ascii="Arial" w:hAnsi="Arial" w:cs="Arial"/>
          <w:shd w:val="clear" w:color="auto" w:fill="FFFFFF"/>
        </w:rPr>
        <w:t xml:space="preserve">Word Count: </w:t>
      </w:r>
    </w:p>
    <w:p w14:paraId="41552B5F" w14:textId="7B10AA5A" w:rsidR="00E14271" w:rsidRPr="00837BF1" w:rsidRDefault="00E14271" w:rsidP="00A12108">
      <w:pPr>
        <w:autoSpaceDE w:val="0"/>
        <w:autoSpaceDN w:val="0"/>
        <w:adjustRightInd w:val="0"/>
        <w:spacing w:after="0" w:line="480" w:lineRule="auto"/>
        <w:rPr>
          <w:rFonts w:ascii="Arial" w:hAnsi="Arial" w:cs="Arial"/>
          <w:shd w:val="clear" w:color="auto" w:fill="FFFFFF"/>
        </w:rPr>
      </w:pPr>
      <w:r w:rsidRPr="00837BF1">
        <w:rPr>
          <w:rFonts w:ascii="Arial" w:hAnsi="Arial" w:cs="Arial"/>
          <w:shd w:val="clear" w:color="auto" w:fill="FFFFFF"/>
        </w:rPr>
        <w:t xml:space="preserve">Abstract: </w:t>
      </w:r>
      <w:r w:rsidR="00A84E27" w:rsidRPr="00837BF1">
        <w:rPr>
          <w:rFonts w:ascii="Arial" w:hAnsi="Arial" w:cs="Arial"/>
          <w:shd w:val="clear" w:color="auto" w:fill="FFFFFF"/>
        </w:rPr>
        <w:t>2</w:t>
      </w:r>
      <w:r w:rsidR="00886598" w:rsidRPr="00837BF1">
        <w:rPr>
          <w:rFonts w:ascii="Arial" w:hAnsi="Arial" w:cs="Arial"/>
          <w:shd w:val="clear" w:color="auto" w:fill="FFFFFF"/>
        </w:rPr>
        <w:t>5</w:t>
      </w:r>
      <w:r w:rsidR="001E5F22" w:rsidRPr="00837BF1">
        <w:rPr>
          <w:rFonts w:ascii="Arial" w:hAnsi="Arial" w:cs="Arial"/>
          <w:shd w:val="clear" w:color="auto" w:fill="FFFFFF"/>
        </w:rPr>
        <w:t>2</w:t>
      </w:r>
    </w:p>
    <w:p w14:paraId="77A77C82" w14:textId="7E77AFD2" w:rsidR="00996B34" w:rsidRPr="00837BF1" w:rsidRDefault="00E14271" w:rsidP="00A12108">
      <w:pPr>
        <w:autoSpaceDE w:val="0"/>
        <w:autoSpaceDN w:val="0"/>
        <w:adjustRightInd w:val="0"/>
        <w:spacing w:after="0" w:line="480" w:lineRule="auto"/>
        <w:rPr>
          <w:rFonts w:ascii="Arial" w:hAnsi="Arial" w:cs="Arial"/>
          <w:shd w:val="clear" w:color="auto" w:fill="FFFFFF"/>
        </w:rPr>
      </w:pPr>
      <w:r w:rsidRPr="00837BF1">
        <w:rPr>
          <w:rFonts w:ascii="Arial" w:hAnsi="Arial" w:cs="Arial"/>
          <w:shd w:val="clear" w:color="auto" w:fill="FFFFFF"/>
        </w:rPr>
        <w:t xml:space="preserve">Text: </w:t>
      </w:r>
      <w:r w:rsidR="004635D7" w:rsidRPr="00837BF1">
        <w:rPr>
          <w:rFonts w:ascii="Arial" w:hAnsi="Arial" w:cs="Arial"/>
          <w:shd w:val="clear" w:color="auto" w:fill="FFFFFF"/>
        </w:rPr>
        <w:t>4,478</w:t>
      </w:r>
    </w:p>
    <w:p w14:paraId="7B3B3F8F" w14:textId="77777777" w:rsidR="00A12108" w:rsidRPr="00837BF1" w:rsidRDefault="00A12108" w:rsidP="00D331C7">
      <w:pPr>
        <w:rPr>
          <w:rFonts w:ascii="Arial" w:hAnsi="Arial" w:cs="Arial"/>
        </w:rPr>
      </w:pPr>
    </w:p>
    <w:p w14:paraId="70E0B9D7" w14:textId="77777777" w:rsidR="00FA3592" w:rsidRPr="00837BF1" w:rsidRDefault="00FA3592">
      <w:pPr>
        <w:rPr>
          <w:rFonts w:ascii="Arial" w:hAnsi="Arial" w:cs="Arial"/>
          <w:b/>
          <w:bCs/>
        </w:rPr>
      </w:pPr>
      <w:r w:rsidRPr="00837BF1">
        <w:rPr>
          <w:rFonts w:ascii="Arial" w:hAnsi="Arial" w:cs="Arial"/>
          <w:b/>
          <w:bCs/>
        </w:rPr>
        <w:br w:type="page"/>
      </w:r>
    </w:p>
    <w:p w14:paraId="3BEE543C" w14:textId="3D7FF4D7" w:rsidR="00D331C7" w:rsidRPr="00837BF1" w:rsidRDefault="00D331C7" w:rsidP="00D331C7">
      <w:pPr>
        <w:spacing w:after="0" w:line="480" w:lineRule="auto"/>
        <w:jc w:val="both"/>
        <w:rPr>
          <w:rFonts w:ascii="Arial" w:hAnsi="Arial" w:cs="Arial"/>
          <w:b/>
          <w:bCs/>
        </w:rPr>
      </w:pPr>
      <w:r w:rsidRPr="00837BF1">
        <w:rPr>
          <w:rFonts w:ascii="Arial" w:hAnsi="Arial" w:cs="Arial"/>
          <w:b/>
          <w:bCs/>
        </w:rPr>
        <w:lastRenderedPageBreak/>
        <w:t>Abstract</w:t>
      </w:r>
      <w:r w:rsidR="005109CB" w:rsidRPr="00837BF1">
        <w:rPr>
          <w:rFonts w:ascii="Arial" w:hAnsi="Arial" w:cs="Arial"/>
          <w:b/>
          <w:bCs/>
        </w:rPr>
        <w:t xml:space="preserve"> </w:t>
      </w:r>
    </w:p>
    <w:p w14:paraId="41224E26" w14:textId="23D72316" w:rsidR="00D331C7" w:rsidRPr="00837BF1" w:rsidRDefault="00D331C7" w:rsidP="00D331C7">
      <w:pPr>
        <w:spacing w:after="0" w:line="480" w:lineRule="auto"/>
        <w:jc w:val="both"/>
        <w:rPr>
          <w:rFonts w:ascii="Arial" w:hAnsi="Arial" w:cs="Arial"/>
          <w:b/>
          <w:bCs/>
        </w:rPr>
      </w:pPr>
      <w:r w:rsidRPr="00837BF1">
        <w:rPr>
          <w:rFonts w:ascii="Arial" w:hAnsi="Arial" w:cs="Arial"/>
          <w:b/>
          <w:bCs/>
        </w:rPr>
        <w:t>Background</w:t>
      </w:r>
    </w:p>
    <w:p w14:paraId="0F69C468" w14:textId="64759C6E" w:rsidR="006732AE" w:rsidRPr="00837BF1" w:rsidRDefault="006732AE" w:rsidP="00D331C7">
      <w:pPr>
        <w:spacing w:after="0" w:line="480" w:lineRule="auto"/>
        <w:jc w:val="both"/>
        <w:rPr>
          <w:rFonts w:ascii="Arial" w:hAnsi="Arial" w:cs="Arial"/>
        </w:rPr>
      </w:pPr>
      <w:r w:rsidRPr="00837BF1">
        <w:rPr>
          <w:rFonts w:ascii="Arial" w:hAnsi="Arial" w:cs="Arial"/>
        </w:rPr>
        <w:t xml:space="preserve">The COVID-19 pandemic has </w:t>
      </w:r>
      <w:r w:rsidR="00D147DA" w:rsidRPr="00837BF1">
        <w:rPr>
          <w:rFonts w:ascii="Arial" w:hAnsi="Arial" w:cs="Arial"/>
        </w:rPr>
        <w:t>precipitated</w:t>
      </w:r>
      <w:r w:rsidRPr="00837BF1">
        <w:rPr>
          <w:rFonts w:ascii="Arial" w:hAnsi="Arial" w:cs="Arial"/>
        </w:rPr>
        <w:t xml:space="preserve"> a</w:t>
      </w:r>
      <w:r w:rsidR="00C20D59" w:rsidRPr="00837BF1">
        <w:rPr>
          <w:rFonts w:ascii="Arial" w:hAnsi="Arial" w:cs="Arial"/>
        </w:rPr>
        <w:t xml:space="preserve">n unpredictable </w:t>
      </w:r>
      <w:r w:rsidRPr="00837BF1">
        <w:rPr>
          <w:rFonts w:ascii="Arial" w:hAnsi="Arial" w:cs="Arial"/>
        </w:rPr>
        <w:t xml:space="preserve">economic crisis, </w:t>
      </w:r>
      <w:r w:rsidR="00C20D59" w:rsidRPr="00837BF1">
        <w:rPr>
          <w:rFonts w:ascii="Arial" w:hAnsi="Arial" w:cs="Arial"/>
        </w:rPr>
        <w:t xml:space="preserve">currently </w:t>
      </w:r>
      <w:r w:rsidRPr="00837BF1">
        <w:rPr>
          <w:rFonts w:ascii="Arial" w:hAnsi="Arial" w:cs="Arial"/>
        </w:rPr>
        <w:t xml:space="preserve">affecting daily life for </w:t>
      </w:r>
      <w:r w:rsidR="00C20D59" w:rsidRPr="00837BF1">
        <w:rPr>
          <w:rFonts w:ascii="Arial" w:hAnsi="Arial" w:cs="Arial"/>
        </w:rPr>
        <w:t xml:space="preserve">millions of </w:t>
      </w:r>
      <w:r w:rsidRPr="00837BF1">
        <w:rPr>
          <w:rFonts w:ascii="Arial" w:hAnsi="Arial" w:cs="Arial"/>
        </w:rPr>
        <w:t>workers</w:t>
      </w:r>
      <w:r w:rsidR="00AD6647" w:rsidRPr="00837BF1">
        <w:rPr>
          <w:rFonts w:ascii="Arial" w:hAnsi="Arial" w:cs="Arial"/>
        </w:rPr>
        <w:t xml:space="preserve">. </w:t>
      </w:r>
      <w:r w:rsidR="00520D32" w:rsidRPr="00837BF1">
        <w:rPr>
          <w:rFonts w:ascii="Arial" w:hAnsi="Arial" w:cs="Arial"/>
        </w:rPr>
        <w:t xml:space="preserve">We </w:t>
      </w:r>
      <w:r w:rsidR="000D45E2" w:rsidRPr="00837BF1">
        <w:rPr>
          <w:rFonts w:ascii="Arial" w:hAnsi="Arial" w:cs="Arial"/>
        </w:rPr>
        <w:t>examine</w:t>
      </w:r>
      <w:r w:rsidR="00520D32" w:rsidRPr="00837BF1">
        <w:rPr>
          <w:rFonts w:ascii="Arial" w:hAnsi="Arial" w:cs="Arial"/>
        </w:rPr>
        <w:t>d</w:t>
      </w:r>
      <w:r w:rsidR="000D45E2" w:rsidRPr="00837BF1">
        <w:rPr>
          <w:rFonts w:ascii="Arial" w:hAnsi="Arial" w:cs="Arial"/>
        </w:rPr>
        <w:t xml:space="preserve"> </w:t>
      </w:r>
      <w:r w:rsidR="00AD6647" w:rsidRPr="00837BF1">
        <w:rPr>
          <w:rFonts w:ascii="Arial" w:hAnsi="Arial" w:cs="Arial"/>
        </w:rPr>
        <w:t xml:space="preserve">the </w:t>
      </w:r>
      <w:r w:rsidR="007B0E94" w:rsidRPr="00837BF1">
        <w:rPr>
          <w:rFonts w:ascii="Arial" w:hAnsi="Arial" w:cs="Arial"/>
        </w:rPr>
        <w:t xml:space="preserve">mental health </w:t>
      </w:r>
      <w:r w:rsidR="009C4A77" w:rsidRPr="00837BF1">
        <w:rPr>
          <w:rFonts w:ascii="Arial" w:hAnsi="Arial" w:cs="Arial"/>
        </w:rPr>
        <w:t xml:space="preserve">impact of reduced working </w:t>
      </w:r>
      <w:r w:rsidR="007B0E94" w:rsidRPr="00837BF1">
        <w:rPr>
          <w:rFonts w:ascii="Arial" w:hAnsi="Arial" w:cs="Arial"/>
        </w:rPr>
        <w:t>in a</w:t>
      </w:r>
      <w:r w:rsidR="009C4A77" w:rsidRPr="00837BF1">
        <w:rPr>
          <w:rFonts w:ascii="Arial" w:hAnsi="Arial" w:cs="Arial"/>
        </w:rPr>
        <w:t xml:space="preserve"> nationally representative sample of employees</w:t>
      </w:r>
      <w:r w:rsidR="007D43FE" w:rsidRPr="00837BF1">
        <w:rPr>
          <w:rFonts w:ascii="Arial" w:hAnsi="Arial" w:cs="Arial"/>
        </w:rPr>
        <w:t>.</w:t>
      </w:r>
    </w:p>
    <w:p w14:paraId="495BB809" w14:textId="77777777" w:rsidR="00A170BA" w:rsidRPr="00837BF1" w:rsidRDefault="00A170BA" w:rsidP="00D331C7">
      <w:pPr>
        <w:spacing w:after="0" w:line="480" w:lineRule="auto"/>
        <w:jc w:val="both"/>
        <w:rPr>
          <w:rFonts w:ascii="Arial" w:hAnsi="Arial" w:cs="Arial"/>
          <w:b/>
          <w:bCs/>
        </w:rPr>
      </w:pPr>
    </w:p>
    <w:p w14:paraId="5C1CE52A" w14:textId="5E8FAFE4" w:rsidR="00D331C7" w:rsidRPr="00837BF1" w:rsidRDefault="00D331C7" w:rsidP="00D331C7">
      <w:pPr>
        <w:spacing w:after="0" w:line="480" w:lineRule="auto"/>
        <w:jc w:val="both"/>
        <w:rPr>
          <w:rFonts w:ascii="Arial" w:hAnsi="Arial" w:cs="Arial"/>
          <w:b/>
          <w:bCs/>
        </w:rPr>
      </w:pPr>
      <w:r w:rsidRPr="00837BF1">
        <w:rPr>
          <w:rFonts w:ascii="Arial" w:hAnsi="Arial" w:cs="Arial"/>
          <w:b/>
          <w:bCs/>
        </w:rPr>
        <w:t>Method</w:t>
      </w:r>
    </w:p>
    <w:p w14:paraId="567AB6CC" w14:textId="0EFF0447" w:rsidR="005109CB" w:rsidRPr="00837BF1" w:rsidRDefault="00520D32" w:rsidP="00D331C7">
      <w:pPr>
        <w:spacing w:after="0" w:line="480" w:lineRule="auto"/>
        <w:jc w:val="both"/>
        <w:rPr>
          <w:rFonts w:ascii="Arial" w:hAnsi="Arial" w:cs="Arial"/>
        </w:rPr>
      </w:pPr>
      <w:r w:rsidRPr="00837BF1">
        <w:rPr>
          <w:rFonts w:ascii="Arial" w:hAnsi="Arial" w:cs="Arial"/>
        </w:rPr>
        <w:t>We used W</w:t>
      </w:r>
      <w:r w:rsidR="00A90847" w:rsidRPr="00837BF1">
        <w:rPr>
          <w:rFonts w:ascii="Arial" w:hAnsi="Arial" w:cs="Arial"/>
        </w:rPr>
        <w:t xml:space="preserve">ave </w:t>
      </w:r>
      <w:r w:rsidRPr="00837BF1">
        <w:rPr>
          <w:rFonts w:ascii="Arial" w:hAnsi="Arial" w:cs="Arial"/>
        </w:rPr>
        <w:t xml:space="preserve">one </w:t>
      </w:r>
      <w:r w:rsidR="00A90847" w:rsidRPr="00837BF1">
        <w:rPr>
          <w:rFonts w:ascii="Arial" w:hAnsi="Arial" w:cs="Arial"/>
        </w:rPr>
        <w:t xml:space="preserve">(April 2020) of </w:t>
      </w:r>
      <w:r w:rsidRPr="00837BF1">
        <w:rPr>
          <w:rFonts w:ascii="Arial" w:hAnsi="Arial" w:cs="Arial"/>
        </w:rPr>
        <w:t xml:space="preserve">the </w:t>
      </w:r>
      <w:r w:rsidR="00D95F8C" w:rsidRPr="00837BF1">
        <w:rPr>
          <w:rFonts w:ascii="Arial" w:hAnsi="Arial" w:cs="Arial"/>
        </w:rPr>
        <w:t xml:space="preserve">Understanding Society UK Household Longitudinal Study (UKHLS) </w:t>
      </w:r>
      <w:r w:rsidR="00A90847" w:rsidRPr="00837BF1">
        <w:rPr>
          <w:rFonts w:ascii="Arial" w:hAnsi="Arial" w:cs="Arial"/>
        </w:rPr>
        <w:t>COVID-19 study</w:t>
      </w:r>
      <w:r w:rsidR="00712EE6" w:rsidRPr="00837BF1">
        <w:rPr>
          <w:rFonts w:ascii="Arial" w:hAnsi="Arial" w:cs="Arial"/>
        </w:rPr>
        <w:t xml:space="preserve">, with linkage to </w:t>
      </w:r>
      <w:r w:rsidR="00F327DA" w:rsidRPr="00837BF1">
        <w:rPr>
          <w:rFonts w:ascii="Arial" w:hAnsi="Arial" w:cs="Arial"/>
        </w:rPr>
        <w:t xml:space="preserve">baseline mental health data from </w:t>
      </w:r>
      <w:r w:rsidR="00712EE6" w:rsidRPr="00837BF1">
        <w:rPr>
          <w:rFonts w:ascii="Arial" w:hAnsi="Arial" w:cs="Arial"/>
        </w:rPr>
        <w:t xml:space="preserve">the </w:t>
      </w:r>
      <w:r w:rsidR="00D95F8C" w:rsidRPr="00837BF1">
        <w:rPr>
          <w:rFonts w:ascii="Arial" w:hAnsi="Arial" w:cs="Arial"/>
        </w:rPr>
        <w:t>UKHLS</w:t>
      </w:r>
      <w:r w:rsidR="00712EE6" w:rsidRPr="00837BF1">
        <w:rPr>
          <w:rFonts w:ascii="Arial" w:hAnsi="Arial" w:cs="Arial"/>
        </w:rPr>
        <w:t xml:space="preserve"> </w:t>
      </w:r>
      <w:r w:rsidR="00E63F35" w:rsidRPr="00837BF1">
        <w:rPr>
          <w:rFonts w:ascii="Arial" w:hAnsi="Arial" w:cs="Arial"/>
        </w:rPr>
        <w:t xml:space="preserve">annual survey </w:t>
      </w:r>
      <w:r w:rsidR="00EF4836" w:rsidRPr="00837BF1">
        <w:rPr>
          <w:rFonts w:ascii="Arial" w:hAnsi="Arial" w:cs="Arial"/>
        </w:rPr>
        <w:t>(</w:t>
      </w:r>
      <w:r w:rsidR="001802C3" w:rsidRPr="00837BF1">
        <w:rPr>
          <w:rFonts w:ascii="Arial" w:hAnsi="Arial" w:cs="Arial"/>
        </w:rPr>
        <w:t>January 2017- December 2018</w:t>
      </w:r>
      <w:r w:rsidR="00EF4836" w:rsidRPr="00837BF1">
        <w:rPr>
          <w:rFonts w:ascii="Arial" w:hAnsi="Arial" w:cs="Arial"/>
        </w:rPr>
        <w:t>)</w:t>
      </w:r>
      <w:r w:rsidR="00E63F35" w:rsidRPr="00837BF1">
        <w:rPr>
          <w:rFonts w:ascii="Arial" w:hAnsi="Arial" w:cs="Arial"/>
        </w:rPr>
        <w:t>.</w:t>
      </w:r>
      <w:r w:rsidR="00581249" w:rsidRPr="00837BF1">
        <w:rPr>
          <w:rFonts w:ascii="Arial" w:hAnsi="Arial" w:cs="Arial"/>
        </w:rPr>
        <w:t xml:space="preserve"> </w:t>
      </w:r>
      <w:r w:rsidR="006B3D1E" w:rsidRPr="00837BF1">
        <w:rPr>
          <w:rFonts w:ascii="Arial" w:hAnsi="Arial" w:cs="Arial"/>
        </w:rPr>
        <w:t xml:space="preserve">Analysis was based on </w:t>
      </w:r>
      <w:r w:rsidR="00322672" w:rsidRPr="00837BF1">
        <w:rPr>
          <w:rFonts w:ascii="Arial" w:hAnsi="Arial" w:cs="Arial"/>
        </w:rPr>
        <w:t xml:space="preserve">adults aged </w:t>
      </w:r>
      <w:r w:rsidR="00324636" w:rsidRPr="00837BF1">
        <w:rPr>
          <w:rFonts w:ascii="Arial" w:hAnsi="Arial" w:cs="Arial"/>
        </w:rPr>
        <w:t>18-65 who were employees in January/February 2020 (n=</w:t>
      </w:r>
      <w:r w:rsidR="004A56B2" w:rsidRPr="00837BF1">
        <w:rPr>
          <w:rFonts w:ascii="Arial" w:hAnsi="Arial" w:cs="Arial"/>
        </w:rPr>
        <w:t>8,708</w:t>
      </w:r>
      <w:r w:rsidR="00324636" w:rsidRPr="00837BF1">
        <w:rPr>
          <w:rFonts w:ascii="Arial" w:hAnsi="Arial" w:cs="Arial"/>
        </w:rPr>
        <w:t>)</w:t>
      </w:r>
      <w:r w:rsidR="00776AAE" w:rsidRPr="00837BF1">
        <w:rPr>
          <w:rFonts w:ascii="Arial" w:hAnsi="Arial" w:cs="Arial"/>
        </w:rPr>
        <w:t xml:space="preserve">, with psychological distress </w:t>
      </w:r>
      <w:r w:rsidR="00C434EA" w:rsidRPr="00837BF1">
        <w:rPr>
          <w:rFonts w:ascii="Arial" w:hAnsi="Arial" w:cs="Arial"/>
        </w:rPr>
        <w:t>assessed</w:t>
      </w:r>
      <w:r w:rsidR="00EF4836" w:rsidRPr="00837BF1">
        <w:rPr>
          <w:rFonts w:ascii="Arial" w:hAnsi="Arial" w:cs="Arial"/>
        </w:rPr>
        <w:t xml:space="preserve"> using </w:t>
      </w:r>
      <w:r w:rsidR="00C434EA" w:rsidRPr="00837BF1">
        <w:rPr>
          <w:rFonts w:ascii="Arial" w:hAnsi="Arial" w:cs="Arial"/>
        </w:rPr>
        <w:t>the GHQ-12</w:t>
      </w:r>
      <w:r w:rsidR="00A170BA" w:rsidRPr="00837BF1">
        <w:rPr>
          <w:rFonts w:ascii="Arial" w:hAnsi="Arial" w:cs="Arial"/>
        </w:rPr>
        <w:t>.</w:t>
      </w:r>
      <w:r w:rsidR="00462D0F" w:rsidRPr="00837BF1">
        <w:rPr>
          <w:rFonts w:ascii="Arial" w:hAnsi="Arial" w:cs="Arial"/>
        </w:rPr>
        <w:t xml:space="preserve"> </w:t>
      </w:r>
      <w:r w:rsidR="0031139F" w:rsidRPr="00837BF1">
        <w:rPr>
          <w:rFonts w:ascii="Arial" w:hAnsi="Arial" w:cs="Arial"/>
        </w:rPr>
        <w:t>Logistic regression</w:t>
      </w:r>
      <w:r w:rsidR="00EF4836" w:rsidRPr="00837BF1">
        <w:rPr>
          <w:rFonts w:ascii="Arial" w:hAnsi="Arial" w:cs="Arial"/>
        </w:rPr>
        <w:t xml:space="preserve"> examined the </w:t>
      </w:r>
      <w:r w:rsidR="006F6A5E" w:rsidRPr="00837BF1">
        <w:rPr>
          <w:rFonts w:ascii="Arial" w:hAnsi="Arial" w:cs="Arial"/>
        </w:rPr>
        <w:t xml:space="preserve">mental health impact of </w:t>
      </w:r>
      <w:r w:rsidR="00EF4836" w:rsidRPr="00837BF1">
        <w:rPr>
          <w:rFonts w:ascii="Arial" w:hAnsi="Arial" w:cs="Arial"/>
        </w:rPr>
        <w:t xml:space="preserve">reduced </w:t>
      </w:r>
      <w:r w:rsidR="00EA6872" w:rsidRPr="00837BF1">
        <w:rPr>
          <w:rFonts w:ascii="Arial" w:hAnsi="Arial" w:cs="Arial"/>
        </w:rPr>
        <w:t>working</w:t>
      </w:r>
      <w:r w:rsidR="00F257F2" w:rsidRPr="00837BF1">
        <w:rPr>
          <w:rFonts w:ascii="Arial" w:hAnsi="Arial" w:cs="Arial"/>
        </w:rPr>
        <w:t xml:space="preserve"> </w:t>
      </w:r>
      <w:r w:rsidR="005109CB" w:rsidRPr="00837BF1">
        <w:rPr>
          <w:rFonts w:ascii="Arial" w:hAnsi="Arial" w:cs="Arial"/>
        </w:rPr>
        <w:t>and reasons for the reduction</w:t>
      </w:r>
      <w:r w:rsidR="005537AE" w:rsidRPr="00837BF1">
        <w:rPr>
          <w:rFonts w:ascii="Arial" w:hAnsi="Arial" w:cs="Arial"/>
        </w:rPr>
        <w:t>.</w:t>
      </w:r>
    </w:p>
    <w:p w14:paraId="7BD96219" w14:textId="77777777" w:rsidR="008B154C" w:rsidRPr="00837BF1" w:rsidRDefault="008B154C" w:rsidP="00F97875">
      <w:pPr>
        <w:spacing w:after="0" w:line="480" w:lineRule="auto"/>
        <w:jc w:val="both"/>
        <w:rPr>
          <w:rFonts w:ascii="Arial" w:hAnsi="Arial" w:cs="Arial"/>
          <w:b/>
          <w:bCs/>
        </w:rPr>
      </w:pPr>
    </w:p>
    <w:p w14:paraId="5DA28600" w14:textId="194EB744" w:rsidR="00F97875" w:rsidRPr="00837BF1" w:rsidRDefault="00D331C7" w:rsidP="00F97875">
      <w:pPr>
        <w:spacing w:after="0" w:line="480" w:lineRule="auto"/>
        <w:jc w:val="both"/>
        <w:rPr>
          <w:rFonts w:ascii="Arial" w:hAnsi="Arial" w:cs="Arial"/>
          <w:b/>
          <w:bCs/>
        </w:rPr>
      </w:pPr>
      <w:r w:rsidRPr="00837BF1">
        <w:rPr>
          <w:rFonts w:ascii="Arial" w:hAnsi="Arial" w:cs="Arial"/>
          <w:b/>
          <w:bCs/>
        </w:rPr>
        <w:t>Results</w:t>
      </w:r>
    </w:p>
    <w:p w14:paraId="2E22BD13" w14:textId="3B7CF70A" w:rsidR="00F97875" w:rsidRPr="00837BF1" w:rsidRDefault="00520D32" w:rsidP="00F97875">
      <w:pPr>
        <w:spacing w:after="0" w:line="480" w:lineRule="auto"/>
        <w:jc w:val="both"/>
        <w:rPr>
          <w:rFonts w:ascii="Arial" w:hAnsi="Arial" w:cs="Arial"/>
        </w:rPr>
      </w:pPr>
      <w:r w:rsidRPr="00837BF1">
        <w:rPr>
          <w:rFonts w:ascii="Arial" w:hAnsi="Arial" w:cs="Arial"/>
        </w:rPr>
        <w:t xml:space="preserve">Forty </w:t>
      </w:r>
      <w:r w:rsidR="00D17575" w:rsidRPr="00837BF1">
        <w:rPr>
          <w:rFonts w:ascii="Arial" w:hAnsi="Arial" w:cs="Arial"/>
        </w:rPr>
        <w:t xml:space="preserve">two </w:t>
      </w:r>
      <w:r w:rsidRPr="00837BF1">
        <w:rPr>
          <w:rFonts w:ascii="Arial" w:hAnsi="Arial" w:cs="Arial"/>
        </w:rPr>
        <w:t xml:space="preserve">percent </w:t>
      </w:r>
      <w:r w:rsidR="00E16EE9" w:rsidRPr="00837BF1">
        <w:rPr>
          <w:rFonts w:ascii="Arial" w:hAnsi="Arial" w:cs="Arial"/>
        </w:rPr>
        <w:t>of</w:t>
      </w:r>
      <w:r w:rsidR="00C67F8D" w:rsidRPr="00837BF1">
        <w:rPr>
          <w:rFonts w:ascii="Arial" w:hAnsi="Arial" w:cs="Arial"/>
        </w:rPr>
        <w:t xml:space="preserve"> employees reported reduced working </w:t>
      </w:r>
      <w:r w:rsidR="008064AE" w:rsidRPr="00837BF1">
        <w:rPr>
          <w:rFonts w:ascii="Arial" w:hAnsi="Arial" w:cs="Arial"/>
        </w:rPr>
        <w:t>by</w:t>
      </w:r>
      <w:r w:rsidR="00BF2D15" w:rsidRPr="00837BF1">
        <w:rPr>
          <w:rFonts w:ascii="Arial" w:hAnsi="Arial" w:cs="Arial"/>
        </w:rPr>
        <w:t xml:space="preserve"> April 2020</w:t>
      </w:r>
      <w:r w:rsidR="00C67F8D" w:rsidRPr="00837BF1">
        <w:rPr>
          <w:rFonts w:ascii="Arial" w:hAnsi="Arial" w:cs="Arial"/>
        </w:rPr>
        <w:t xml:space="preserve">, with </w:t>
      </w:r>
      <w:r w:rsidR="0025471C" w:rsidRPr="00837BF1">
        <w:rPr>
          <w:rFonts w:ascii="Arial" w:hAnsi="Arial" w:cs="Arial"/>
        </w:rPr>
        <w:t>2</w:t>
      </w:r>
      <w:r w:rsidR="00D17575" w:rsidRPr="00837BF1">
        <w:rPr>
          <w:rFonts w:ascii="Arial" w:hAnsi="Arial" w:cs="Arial"/>
        </w:rPr>
        <w:t>2</w:t>
      </w:r>
      <w:r w:rsidR="008A40E7" w:rsidRPr="00837BF1">
        <w:rPr>
          <w:rFonts w:ascii="Arial" w:hAnsi="Arial" w:cs="Arial"/>
        </w:rPr>
        <w:t xml:space="preserve">% </w:t>
      </w:r>
      <w:r w:rsidR="000C18F2" w:rsidRPr="00837BF1">
        <w:rPr>
          <w:rFonts w:ascii="Arial" w:hAnsi="Arial" w:cs="Arial"/>
        </w:rPr>
        <w:t xml:space="preserve">furloughed. </w:t>
      </w:r>
      <w:r w:rsidR="00C865E3" w:rsidRPr="00837BF1">
        <w:rPr>
          <w:rFonts w:ascii="Arial" w:hAnsi="Arial" w:cs="Arial"/>
        </w:rPr>
        <w:t>There was no ev</w:t>
      </w:r>
      <w:r w:rsidR="00791592" w:rsidRPr="00837BF1">
        <w:rPr>
          <w:rFonts w:ascii="Arial" w:hAnsi="Arial" w:cs="Arial"/>
        </w:rPr>
        <w:t>i</w:t>
      </w:r>
      <w:r w:rsidR="00C865E3" w:rsidRPr="00837BF1">
        <w:rPr>
          <w:rFonts w:ascii="Arial" w:hAnsi="Arial" w:cs="Arial"/>
        </w:rPr>
        <w:t xml:space="preserve">dence of </w:t>
      </w:r>
      <w:r w:rsidR="001B4D1B" w:rsidRPr="00837BF1">
        <w:rPr>
          <w:rFonts w:ascii="Arial" w:hAnsi="Arial" w:cs="Arial"/>
        </w:rPr>
        <w:t xml:space="preserve">an </w:t>
      </w:r>
      <w:r w:rsidR="00C865E3" w:rsidRPr="00837BF1">
        <w:rPr>
          <w:rFonts w:ascii="Arial" w:hAnsi="Arial" w:cs="Arial"/>
        </w:rPr>
        <w:t xml:space="preserve">association between reduced working </w:t>
      </w:r>
      <w:r w:rsidR="00C865E3" w:rsidRPr="00837BF1">
        <w:rPr>
          <w:rFonts w:ascii="Arial" w:hAnsi="Arial" w:cs="Arial"/>
          <w:i/>
          <w:iCs/>
        </w:rPr>
        <w:t>per se</w:t>
      </w:r>
      <w:r w:rsidR="00C865E3" w:rsidRPr="00837BF1">
        <w:rPr>
          <w:rFonts w:ascii="Arial" w:hAnsi="Arial" w:cs="Arial"/>
        </w:rPr>
        <w:t xml:space="preserve"> </w:t>
      </w:r>
      <w:r w:rsidR="00791592" w:rsidRPr="00837BF1">
        <w:rPr>
          <w:rFonts w:ascii="Arial" w:hAnsi="Arial" w:cs="Arial"/>
        </w:rPr>
        <w:t xml:space="preserve">and psychological distress </w:t>
      </w:r>
      <w:r w:rsidR="006F29C9" w:rsidRPr="00837BF1">
        <w:rPr>
          <w:rFonts w:ascii="Arial" w:hAnsi="Arial" w:cs="Arial"/>
        </w:rPr>
        <w:t>in the fully adjusted model</w:t>
      </w:r>
      <w:r w:rsidR="00791592" w:rsidRPr="00837BF1">
        <w:rPr>
          <w:rFonts w:ascii="Arial" w:hAnsi="Arial" w:cs="Arial"/>
        </w:rPr>
        <w:t xml:space="preserve"> (OR=</w:t>
      </w:r>
      <w:r w:rsidR="00920C1B" w:rsidRPr="00837BF1">
        <w:rPr>
          <w:rFonts w:ascii="Arial" w:hAnsi="Arial" w:cs="Arial"/>
        </w:rPr>
        <w:t>1.0</w:t>
      </w:r>
      <w:r w:rsidR="00CD2D4E" w:rsidRPr="00837BF1">
        <w:rPr>
          <w:rFonts w:ascii="Arial" w:hAnsi="Arial" w:cs="Arial"/>
        </w:rPr>
        <w:t>6</w:t>
      </w:r>
      <w:r w:rsidR="00920C1B" w:rsidRPr="00837BF1">
        <w:rPr>
          <w:rFonts w:ascii="Arial" w:hAnsi="Arial" w:cs="Arial"/>
        </w:rPr>
        <w:t>, 95%CI 0.9</w:t>
      </w:r>
      <w:r w:rsidR="003B3E53" w:rsidRPr="00837BF1">
        <w:rPr>
          <w:rFonts w:ascii="Arial" w:hAnsi="Arial" w:cs="Arial"/>
        </w:rPr>
        <w:t>1</w:t>
      </w:r>
      <w:r w:rsidR="00920C1B" w:rsidRPr="00837BF1">
        <w:rPr>
          <w:rFonts w:ascii="Arial" w:hAnsi="Arial" w:cs="Arial"/>
        </w:rPr>
        <w:t>-1.2</w:t>
      </w:r>
      <w:r w:rsidR="007D0BCC" w:rsidRPr="00837BF1">
        <w:rPr>
          <w:rFonts w:ascii="Arial" w:hAnsi="Arial" w:cs="Arial"/>
        </w:rPr>
        <w:t>3</w:t>
      </w:r>
      <w:r w:rsidR="00920C1B" w:rsidRPr="00837BF1">
        <w:rPr>
          <w:rFonts w:ascii="Arial" w:hAnsi="Arial" w:cs="Arial"/>
        </w:rPr>
        <w:t>)</w:t>
      </w:r>
      <w:r w:rsidR="0073107A" w:rsidRPr="00837BF1">
        <w:rPr>
          <w:rFonts w:ascii="Arial" w:hAnsi="Arial" w:cs="Arial"/>
        </w:rPr>
        <w:t xml:space="preserve">. </w:t>
      </w:r>
      <w:r w:rsidR="00776AAE" w:rsidRPr="00837BF1">
        <w:rPr>
          <w:rFonts w:ascii="Arial" w:hAnsi="Arial" w:cs="Arial"/>
        </w:rPr>
        <w:t>T</w:t>
      </w:r>
      <w:r w:rsidR="0073107A" w:rsidRPr="00837BF1">
        <w:rPr>
          <w:rFonts w:ascii="Arial" w:hAnsi="Arial" w:cs="Arial"/>
        </w:rPr>
        <w:t>hose permanently laid</w:t>
      </w:r>
      <w:r w:rsidRPr="00837BF1">
        <w:rPr>
          <w:rFonts w:ascii="Arial" w:hAnsi="Arial" w:cs="Arial"/>
        </w:rPr>
        <w:t>-</w:t>
      </w:r>
      <w:r w:rsidR="0073107A" w:rsidRPr="00837BF1">
        <w:rPr>
          <w:rFonts w:ascii="Arial" w:hAnsi="Arial" w:cs="Arial"/>
        </w:rPr>
        <w:t xml:space="preserve">off </w:t>
      </w:r>
      <w:r w:rsidR="00776AAE" w:rsidRPr="00837BF1">
        <w:rPr>
          <w:rFonts w:ascii="Arial" w:hAnsi="Arial" w:cs="Arial"/>
        </w:rPr>
        <w:t>(</w:t>
      </w:r>
      <w:r w:rsidR="0073107A" w:rsidRPr="00837BF1">
        <w:rPr>
          <w:rFonts w:ascii="Arial" w:hAnsi="Arial" w:cs="Arial"/>
        </w:rPr>
        <w:t>l</w:t>
      </w:r>
      <w:r w:rsidR="008A40E7" w:rsidRPr="00837BF1">
        <w:rPr>
          <w:rFonts w:ascii="Arial" w:hAnsi="Arial" w:cs="Arial"/>
        </w:rPr>
        <w:t xml:space="preserve">ess than </w:t>
      </w:r>
      <w:r w:rsidRPr="00837BF1">
        <w:rPr>
          <w:rFonts w:ascii="Arial" w:hAnsi="Arial" w:cs="Arial"/>
        </w:rPr>
        <w:t>1%</w:t>
      </w:r>
      <w:r w:rsidR="008A40E7" w:rsidRPr="00837BF1">
        <w:rPr>
          <w:rFonts w:ascii="Arial" w:hAnsi="Arial" w:cs="Arial"/>
        </w:rPr>
        <w:t xml:space="preserve"> of employees</w:t>
      </w:r>
      <w:r w:rsidR="00776AAE" w:rsidRPr="00837BF1">
        <w:rPr>
          <w:rFonts w:ascii="Arial" w:hAnsi="Arial" w:cs="Arial"/>
        </w:rPr>
        <w:t>)</w:t>
      </w:r>
      <w:r w:rsidR="008064AE" w:rsidRPr="00837BF1">
        <w:rPr>
          <w:rFonts w:ascii="Arial" w:hAnsi="Arial" w:cs="Arial"/>
        </w:rPr>
        <w:t xml:space="preserve"> </w:t>
      </w:r>
      <w:r w:rsidR="00743242" w:rsidRPr="00837BF1">
        <w:rPr>
          <w:rFonts w:ascii="Arial" w:hAnsi="Arial" w:cs="Arial"/>
        </w:rPr>
        <w:t>were most vulnerable to adverse mental health effects in the early mo</w:t>
      </w:r>
      <w:r w:rsidR="00227B3D" w:rsidRPr="00837BF1">
        <w:rPr>
          <w:rFonts w:ascii="Arial" w:hAnsi="Arial" w:cs="Arial"/>
        </w:rPr>
        <w:t>n</w:t>
      </w:r>
      <w:r w:rsidR="00743242" w:rsidRPr="00837BF1">
        <w:rPr>
          <w:rFonts w:ascii="Arial" w:hAnsi="Arial" w:cs="Arial"/>
        </w:rPr>
        <w:t xml:space="preserve">ths of </w:t>
      </w:r>
      <w:r w:rsidR="00E83C0F" w:rsidRPr="00837BF1">
        <w:rPr>
          <w:rFonts w:ascii="Arial" w:hAnsi="Arial" w:cs="Arial"/>
        </w:rPr>
        <w:t>the pandemic</w:t>
      </w:r>
      <w:r w:rsidR="0073107A" w:rsidRPr="00837BF1">
        <w:rPr>
          <w:rFonts w:ascii="Arial" w:hAnsi="Arial" w:cs="Arial"/>
        </w:rPr>
        <w:t xml:space="preserve"> (OR=</w:t>
      </w:r>
      <w:r w:rsidR="006D2DF6" w:rsidRPr="00837BF1">
        <w:rPr>
          <w:rFonts w:ascii="Arial" w:hAnsi="Arial" w:cs="Arial"/>
        </w:rPr>
        <w:t>3.60</w:t>
      </w:r>
      <w:r w:rsidR="00E80F78" w:rsidRPr="00837BF1">
        <w:rPr>
          <w:rFonts w:ascii="Arial" w:hAnsi="Arial" w:cs="Arial"/>
        </w:rPr>
        <w:t>, 95%CI 1.</w:t>
      </w:r>
      <w:r w:rsidR="006D2DF6" w:rsidRPr="00837BF1">
        <w:rPr>
          <w:rFonts w:ascii="Arial" w:hAnsi="Arial" w:cs="Arial"/>
        </w:rPr>
        <w:t>55</w:t>
      </w:r>
      <w:r w:rsidR="00E80F78" w:rsidRPr="00837BF1">
        <w:rPr>
          <w:rFonts w:ascii="Arial" w:hAnsi="Arial" w:cs="Arial"/>
        </w:rPr>
        <w:t>-</w:t>
      </w:r>
      <w:r w:rsidR="006D2DF6" w:rsidRPr="00837BF1">
        <w:rPr>
          <w:rFonts w:ascii="Arial" w:hAnsi="Arial" w:cs="Arial"/>
        </w:rPr>
        <w:t>8.37</w:t>
      </w:r>
      <w:r w:rsidR="00E80F78" w:rsidRPr="00837BF1">
        <w:rPr>
          <w:rFonts w:ascii="Arial" w:hAnsi="Arial" w:cs="Arial"/>
        </w:rPr>
        <w:t>)</w:t>
      </w:r>
      <w:r w:rsidR="00743242" w:rsidRPr="00837BF1">
        <w:rPr>
          <w:rFonts w:ascii="Arial" w:hAnsi="Arial" w:cs="Arial"/>
        </w:rPr>
        <w:t>.</w:t>
      </w:r>
      <w:r w:rsidR="00FF7CE1" w:rsidRPr="00837BF1">
        <w:rPr>
          <w:rFonts w:ascii="Arial" w:hAnsi="Arial" w:cs="Arial"/>
        </w:rPr>
        <w:t xml:space="preserve"> </w:t>
      </w:r>
      <w:r w:rsidR="00F70728" w:rsidRPr="00837BF1">
        <w:rPr>
          <w:rFonts w:ascii="Arial" w:hAnsi="Arial" w:cs="Arial"/>
        </w:rPr>
        <w:t xml:space="preserve">We </w:t>
      </w:r>
      <w:r w:rsidR="00C4438B" w:rsidRPr="00837BF1">
        <w:rPr>
          <w:rFonts w:ascii="Arial" w:hAnsi="Arial" w:cs="Arial"/>
        </w:rPr>
        <w:t xml:space="preserve">also </w:t>
      </w:r>
      <w:r w:rsidR="00F70728" w:rsidRPr="00837BF1">
        <w:rPr>
          <w:rFonts w:ascii="Arial" w:hAnsi="Arial" w:cs="Arial"/>
        </w:rPr>
        <w:t>found</w:t>
      </w:r>
      <w:r w:rsidR="00576F0F" w:rsidRPr="00837BF1">
        <w:rPr>
          <w:rFonts w:ascii="Arial" w:hAnsi="Arial" w:cs="Arial"/>
        </w:rPr>
        <w:t xml:space="preserve"> evidence of higher </w:t>
      </w:r>
      <w:r w:rsidR="0055402D" w:rsidRPr="00837BF1">
        <w:rPr>
          <w:rFonts w:ascii="Arial" w:hAnsi="Arial" w:cs="Arial"/>
        </w:rPr>
        <w:t>levels</w:t>
      </w:r>
      <w:r w:rsidR="00576F0F" w:rsidRPr="00837BF1">
        <w:rPr>
          <w:rFonts w:ascii="Arial" w:hAnsi="Arial" w:cs="Arial"/>
        </w:rPr>
        <w:t xml:space="preserve"> of psychological distress among those sick or self-isolating</w:t>
      </w:r>
      <w:r w:rsidRPr="00837BF1">
        <w:rPr>
          <w:rFonts w:ascii="Arial" w:hAnsi="Arial" w:cs="Arial"/>
        </w:rPr>
        <w:t>,</w:t>
      </w:r>
      <w:r w:rsidR="00576F0F" w:rsidRPr="00837BF1">
        <w:rPr>
          <w:rFonts w:ascii="Arial" w:hAnsi="Arial" w:cs="Arial"/>
        </w:rPr>
        <w:t xml:space="preserve"> and those </w:t>
      </w:r>
      <w:r w:rsidR="00573691" w:rsidRPr="00837BF1">
        <w:rPr>
          <w:rFonts w:ascii="Arial" w:hAnsi="Arial" w:cs="Arial"/>
        </w:rPr>
        <w:t>with reduced working</w:t>
      </w:r>
      <w:r w:rsidR="00576F0F" w:rsidRPr="00837BF1">
        <w:rPr>
          <w:rFonts w:ascii="Arial" w:hAnsi="Arial" w:cs="Arial"/>
        </w:rPr>
        <w:t xml:space="preserve"> due to caring responsibilities</w:t>
      </w:r>
      <w:r w:rsidR="007B0E94" w:rsidRPr="00837BF1">
        <w:rPr>
          <w:rFonts w:ascii="Arial" w:hAnsi="Arial" w:cs="Arial"/>
        </w:rPr>
        <w:t>.</w:t>
      </w:r>
      <w:r w:rsidR="00576F0F" w:rsidRPr="00837BF1">
        <w:rPr>
          <w:rFonts w:ascii="Arial" w:hAnsi="Arial" w:cs="Arial"/>
        </w:rPr>
        <w:t xml:space="preserve"> </w:t>
      </w:r>
    </w:p>
    <w:p w14:paraId="5C748B6B" w14:textId="7E156707" w:rsidR="00C6240B" w:rsidRPr="00837BF1" w:rsidRDefault="00C6240B" w:rsidP="00F97875">
      <w:pPr>
        <w:spacing w:after="0" w:line="480" w:lineRule="auto"/>
        <w:jc w:val="both"/>
        <w:rPr>
          <w:rFonts w:ascii="Arial" w:hAnsi="Arial" w:cs="Arial"/>
        </w:rPr>
      </w:pPr>
    </w:p>
    <w:p w14:paraId="161E6B9C" w14:textId="1B7820EF" w:rsidR="00C6240B" w:rsidRPr="00837BF1" w:rsidRDefault="00C6240B" w:rsidP="00F97875">
      <w:pPr>
        <w:spacing w:after="0" w:line="480" w:lineRule="auto"/>
        <w:jc w:val="both"/>
        <w:rPr>
          <w:rFonts w:ascii="Arial" w:hAnsi="Arial" w:cs="Arial"/>
          <w:b/>
          <w:bCs/>
        </w:rPr>
      </w:pPr>
      <w:r w:rsidRPr="00837BF1">
        <w:rPr>
          <w:rFonts w:ascii="Arial" w:hAnsi="Arial" w:cs="Arial"/>
          <w:b/>
          <w:bCs/>
        </w:rPr>
        <w:t>Limitations</w:t>
      </w:r>
    </w:p>
    <w:p w14:paraId="6A94268C" w14:textId="5097ABC4" w:rsidR="00C6240B" w:rsidRPr="00837BF1" w:rsidRDefault="00C6240B" w:rsidP="00F97875">
      <w:pPr>
        <w:spacing w:after="0" w:line="480" w:lineRule="auto"/>
        <w:jc w:val="both"/>
        <w:rPr>
          <w:rFonts w:ascii="Arial" w:hAnsi="Arial" w:cs="Arial"/>
          <w:b/>
          <w:bCs/>
        </w:rPr>
      </w:pPr>
      <w:r w:rsidRPr="00837BF1">
        <w:rPr>
          <w:rFonts w:ascii="Arial" w:hAnsi="Arial" w:cs="Arial"/>
        </w:rPr>
        <w:t xml:space="preserve">While the GHQ is a widely used and validated </w:t>
      </w:r>
      <w:r w:rsidRPr="00837BF1">
        <w:rPr>
          <w:rFonts w:ascii="Arial" w:hAnsi="Arial" w:cs="Arial"/>
          <w:noProof/>
        </w:rPr>
        <w:t>instrument in identifying potential psychiatric disorders, it is important to note that it does not represent a clinical assessment.</w:t>
      </w:r>
    </w:p>
    <w:p w14:paraId="7897AF0F" w14:textId="05BC5E11" w:rsidR="00D077C9" w:rsidRPr="00837BF1" w:rsidRDefault="00D077C9" w:rsidP="00D331C7">
      <w:pPr>
        <w:spacing w:after="0" w:line="480" w:lineRule="auto"/>
        <w:jc w:val="both"/>
        <w:rPr>
          <w:rFonts w:ascii="Arial" w:hAnsi="Arial" w:cs="Arial"/>
        </w:rPr>
      </w:pPr>
    </w:p>
    <w:p w14:paraId="0508455B" w14:textId="19B0FE51" w:rsidR="00D331C7" w:rsidRPr="00837BF1" w:rsidRDefault="00D331C7" w:rsidP="00D331C7">
      <w:pPr>
        <w:spacing w:after="0" w:line="480" w:lineRule="auto"/>
        <w:jc w:val="both"/>
        <w:rPr>
          <w:rFonts w:ascii="Arial" w:hAnsi="Arial" w:cs="Arial"/>
          <w:b/>
          <w:bCs/>
        </w:rPr>
      </w:pPr>
      <w:r w:rsidRPr="00837BF1">
        <w:rPr>
          <w:rFonts w:ascii="Arial" w:hAnsi="Arial" w:cs="Arial"/>
          <w:b/>
          <w:bCs/>
        </w:rPr>
        <w:t>Conclusions</w:t>
      </w:r>
    </w:p>
    <w:p w14:paraId="295973C0" w14:textId="12A89A4D" w:rsidR="00D331C7" w:rsidRPr="00837BF1" w:rsidRDefault="00A47AFE" w:rsidP="00D331C7">
      <w:pPr>
        <w:spacing w:after="0" w:line="480" w:lineRule="auto"/>
        <w:jc w:val="both"/>
        <w:rPr>
          <w:rFonts w:ascii="Arial" w:hAnsi="Arial" w:cs="Arial"/>
        </w:rPr>
      </w:pPr>
      <w:r w:rsidRPr="00837BF1">
        <w:rPr>
          <w:rFonts w:ascii="Arial" w:hAnsi="Arial" w:cs="Arial"/>
        </w:rPr>
        <w:lastRenderedPageBreak/>
        <w:t>Longitudinal examination of employment transitions and mental ill-health related to pandemic outcomes is imperative and should help inform public health responses and ongoing government policy in supporting those adversely affected.</w:t>
      </w:r>
    </w:p>
    <w:p w14:paraId="6934391D" w14:textId="77777777" w:rsidR="00023406" w:rsidRPr="00837BF1" w:rsidRDefault="00023406" w:rsidP="00D331C7">
      <w:pPr>
        <w:spacing w:after="0" w:line="480" w:lineRule="auto"/>
        <w:jc w:val="both"/>
        <w:rPr>
          <w:rFonts w:ascii="Arial" w:hAnsi="Arial" w:cs="Arial"/>
        </w:rPr>
      </w:pPr>
    </w:p>
    <w:p w14:paraId="67BA4F5C" w14:textId="5ABFBF64" w:rsidR="00D331C7" w:rsidRPr="00837BF1" w:rsidRDefault="00D331C7" w:rsidP="00D331C7">
      <w:pPr>
        <w:spacing w:after="0" w:line="480" w:lineRule="auto"/>
        <w:jc w:val="both"/>
        <w:rPr>
          <w:rFonts w:ascii="Arial" w:hAnsi="Arial" w:cs="Arial"/>
        </w:rPr>
      </w:pPr>
      <w:r w:rsidRPr="00837BF1">
        <w:rPr>
          <w:rFonts w:ascii="Arial" w:hAnsi="Arial" w:cs="Arial"/>
          <w:b/>
          <w:bCs/>
        </w:rPr>
        <w:t xml:space="preserve">Keywords: </w:t>
      </w:r>
      <w:r w:rsidRPr="00837BF1">
        <w:rPr>
          <w:rFonts w:ascii="Arial" w:hAnsi="Arial" w:cs="Arial"/>
        </w:rPr>
        <w:t xml:space="preserve">employment, mental health, </w:t>
      </w:r>
      <w:r w:rsidR="00E0781C" w:rsidRPr="00837BF1">
        <w:rPr>
          <w:rFonts w:ascii="Arial" w:hAnsi="Arial" w:cs="Arial"/>
        </w:rPr>
        <w:t xml:space="preserve">redundancy, </w:t>
      </w:r>
      <w:r w:rsidRPr="00837BF1">
        <w:rPr>
          <w:rFonts w:ascii="Arial" w:hAnsi="Arial" w:cs="Arial"/>
        </w:rPr>
        <w:t xml:space="preserve">economic crisis, </w:t>
      </w:r>
      <w:r w:rsidR="00D17575" w:rsidRPr="00837BF1">
        <w:rPr>
          <w:rFonts w:ascii="Arial" w:hAnsi="Arial" w:cs="Arial"/>
        </w:rPr>
        <w:t>COVID-19</w:t>
      </w:r>
    </w:p>
    <w:p w14:paraId="5DB4BD87" w14:textId="1A55AFBC" w:rsidR="00C4033D" w:rsidRPr="00837BF1" w:rsidRDefault="00C061D4" w:rsidP="00A922D2">
      <w:pPr>
        <w:rPr>
          <w:rFonts w:ascii="Arial" w:hAnsi="Arial" w:cs="Arial"/>
          <w:b/>
          <w:bCs/>
        </w:rPr>
      </w:pPr>
      <w:r w:rsidRPr="00837BF1">
        <w:rPr>
          <w:rFonts w:ascii="Arial" w:hAnsi="Arial" w:cs="Arial"/>
          <w:b/>
          <w:bCs/>
        </w:rPr>
        <w:br w:type="page"/>
      </w:r>
      <w:r w:rsidR="00C4033D" w:rsidRPr="00837BF1">
        <w:rPr>
          <w:rFonts w:ascii="Arial" w:hAnsi="Arial" w:cs="Arial"/>
          <w:b/>
          <w:bCs/>
        </w:rPr>
        <w:lastRenderedPageBreak/>
        <w:t>Introduction</w:t>
      </w:r>
    </w:p>
    <w:p w14:paraId="2BB42A1B" w14:textId="2141EBC8" w:rsidR="00B31C72" w:rsidRPr="00837BF1" w:rsidRDefault="00B31C72" w:rsidP="00B31C72">
      <w:pPr>
        <w:spacing w:after="0" w:line="480" w:lineRule="auto"/>
        <w:jc w:val="both"/>
        <w:rPr>
          <w:rFonts w:ascii="Arial" w:hAnsi="Arial" w:cs="Arial"/>
        </w:rPr>
      </w:pPr>
      <w:r w:rsidRPr="00837BF1">
        <w:rPr>
          <w:rFonts w:ascii="Arial" w:hAnsi="Arial" w:cs="Arial"/>
        </w:rPr>
        <w:t>Since the outbreak of the global Coronavirus (COVID-19) pandemic daily working life has changed dramatically for millions of workers. The closure of non-essential business in many countries has forced employers across all sectors into rapid decisions about how and where work is conducted, and whether business can continue at all. Employees have experienced fundamental change to their daily lives</w:t>
      </w:r>
      <w:r w:rsidR="00E14271" w:rsidRPr="00837BF1">
        <w:rPr>
          <w:rFonts w:ascii="Arial" w:hAnsi="Arial" w:cs="Arial"/>
        </w:rPr>
        <w:t>: m</w:t>
      </w:r>
      <w:r w:rsidRPr="00837BF1">
        <w:rPr>
          <w:rFonts w:ascii="Arial" w:hAnsi="Arial" w:cs="Arial"/>
        </w:rPr>
        <w:t>any have availed of job retention schemes</w:t>
      </w:r>
      <w:r w:rsidR="00E14271" w:rsidRPr="00837BF1">
        <w:rPr>
          <w:rFonts w:ascii="Arial" w:hAnsi="Arial" w:cs="Arial"/>
        </w:rPr>
        <w:t xml:space="preserve">; </w:t>
      </w:r>
      <w:r w:rsidRPr="00837BF1">
        <w:rPr>
          <w:rFonts w:ascii="Arial" w:hAnsi="Arial" w:cs="Arial"/>
        </w:rPr>
        <w:t>others made redundant</w:t>
      </w:r>
      <w:r w:rsidR="00E14271" w:rsidRPr="00837BF1">
        <w:rPr>
          <w:rFonts w:ascii="Arial" w:hAnsi="Arial" w:cs="Arial"/>
        </w:rPr>
        <w:t xml:space="preserve">; </w:t>
      </w:r>
      <w:r w:rsidRPr="00837BF1">
        <w:rPr>
          <w:rFonts w:ascii="Arial" w:hAnsi="Arial" w:cs="Arial"/>
        </w:rPr>
        <w:t xml:space="preserve">face reduced working hours and earnings </w:t>
      </w:r>
      <w:r w:rsidR="00E14271" w:rsidRPr="00837BF1">
        <w:rPr>
          <w:rFonts w:ascii="Arial" w:hAnsi="Arial" w:cs="Arial"/>
        </w:rPr>
        <w:t>or</w:t>
      </w:r>
      <w:r w:rsidRPr="00837BF1">
        <w:rPr>
          <w:rFonts w:ascii="Arial" w:hAnsi="Arial" w:cs="Arial"/>
        </w:rPr>
        <w:t xml:space="preserve"> precarious and insecure work </w:t>
      </w:r>
      <w:r w:rsidR="00E14271" w:rsidRPr="00837BF1">
        <w:rPr>
          <w:rFonts w:ascii="Arial" w:hAnsi="Arial" w:cs="Arial"/>
        </w:rPr>
        <w:t>patterns for the foreseeable future</w:t>
      </w:r>
      <w:r w:rsidRPr="00837BF1">
        <w:rPr>
          <w:rFonts w:ascii="Arial" w:hAnsi="Arial" w:cs="Arial"/>
        </w:rPr>
        <w:t xml:space="preserve">. </w:t>
      </w:r>
      <w:r w:rsidR="00E14271" w:rsidRPr="00837BF1">
        <w:rPr>
          <w:rFonts w:ascii="Arial" w:hAnsi="Arial" w:cs="Arial"/>
        </w:rPr>
        <w:t>Additionally, m</w:t>
      </w:r>
      <w:r w:rsidRPr="00837BF1">
        <w:rPr>
          <w:rFonts w:ascii="Arial" w:hAnsi="Arial" w:cs="Arial"/>
        </w:rPr>
        <w:t xml:space="preserve">any working families </w:t>
      </w:r>
      <w:r w:rsidR="00E14271" w:rsidRPr="00837BF1">
        <w:rPr>
          <w:rFonts w:ascii="Arial" w:hAnsi="Arial" w:cs="Arial"/>
        </w:rPr>
        <w:t>must</w:t>
      </w:r>
      <w:r w:rsidRPr="00837BF1">
        <w:rPr>
          <w:rFonts w:ascii="Arial" w:hAnsi="Arial" w:cs="Arial"/>
        </w:rPr>
        <w:t xml:space="preserve"> juggl</w:t>
      </w:r>
      <w:r w:rsidR="00E14271" w:rsidRPr="00837BF1">
        <w:rPr>
          <w:rFonts w:ascii="Arial" w:hAnsi="Arial" w:cs="Arial"/>
        </w:rPr>
        <w:t>e</w:t>
      </w:r>
      <w:r w:rsidRPr="00837BF1">
        <w:rPr>
          <w:rFonts w:ascii="Arial" w:hAnsi="Arial" w:cs="Arial"/>
        </w:rPr>
        <w:t xml:space="preserve"> working from home with home-schooling and childcare demands. </w:t>
      </w:r>
    </w:p>
    <w:p w14:paraId="3C2438F6" w14:textId="77777777" w:rsidR="00EA2115" w:rsidRPr="00837BF1" w:rsidRDefault="00EA2115" w:rsidP="00E213C8">
      <w:pPr>
        <w:spacing w:after="0" w:line="480" w:lineRule="auto"/>
        <w:jc w:val="both"/>
        <w:rPr>
          <w:rFonts w:ascii="Arial" w:hAnsi="Arial" w:cs="Arial"/>
        </w:rPr>
      </w:pPr>
    </w:p>
    <w:p w14:paraId="105F34EE" w14:textId="26B752DA" w:rsidR="002717A3" w:rsidRPr="00837BF1" w:rsidRDefault="00B30463" w:rsidP="00E213C8">
      <w:pPr>
        <w:spacing w:after="0" w:line="480" w:lineRule="auto"/>
        <w:jc w:val="both"/>
        <w:rPr>
          <w:rFonts w:ascii="Arial" w:hAnsi="Arial" w:cs="Arial"/>
        </w:rPr>
      </w:pPr>
      <w:r w:rsidRPr="00837BF1">
        <w:rPr>
          <w:rFonts w:ascii="Arial" w:hAnsi="Arial" w:cs="Arial"/>
        </w:rPr>
        <w:t>On 23</w:t>
      </w:r>
      <w:r w:rsidRPr="00837BF1">
        <w:rPr>
          <w:rFonts w:ascii="Arial" w:hAnsi="Arial" w:cs="Arial"/>
          <w:vertAlign w:val="superscript"/>
        </w:rPr>
        <w:t>rd</w:t>
      </w:r>
      <w:r w:rsidRPr="00837BF1">
        <w:rPr>
          <w:rFonts w:ascii="Arial" w:hAnsi="Arial" w:cs="Arial"/>
        </w:rPr>
        <w:t xml:space="preserve"> </w:t>
      </w:r>
      <w:r w:rsidR="003C7B50" w:rsidRPr="00837BF1">
        <w:rPr>
          <w:rFonts w:ascii="Arial" w:hAnsi="Arial" w:cs="Arial"/>
        </w:rPr>
        <w:t>M</w:t>
      </w:r>
      <w:r w:rsidRPr="00837BF1">
        <w:rPr>
          <w:rFonts w:ascii="Arial" w:hAnsi="Arial" w:cs="Arial"/>
        </w:rPr>
        <w:t xml:space="preserve">arch 2020 the </w:t>
      </w:r>
      <w:r w:rsidR="000272D5" w:rsidRPr="00837BF1">
        <w:rPr>
          <w:rFonts w:ascii="Arial" w:hAnsi="Arial" w:cs="Arial"/>
        </w:rPr>
        <w:t>United Kingdom (</w:t>
      </w:r>
      <w:r w:rsidRPr="00837BF1">
        <w:rPr>
          <w:rFonts w:ascii="Arial" w:hAnsi="Arial" w:cs="Arial"/>
        </w:rPr>
        <w:t>UK</w:t>
      </w:r>
      <w:r w:rsidR="000272D5" w:rsidRPr="00837BF1">
        <w:rPr>
          <w:rFonts w:ascii="Arial" w:hAnsi="Arial" w:cs="Arial"/>
        </w:rPr>
        <w:t>)</w:t>
      </w:r>
      <w:r w:rsidR="00986AD1" w:rsidRPr="00837BF1">
        <w:rPr>
          <w:rFonts w:ascii="Arial" w:hAnsi="Arial" w:cs="Arial"/>
        </w:rPr>
        <w:t xml:space="preserve"> </w:t>
      </w:r>
      <w:r w:rsidR="00286DE2" w:rsidRPr="00837BF1">
        <w:rPr>
          <w:rFonts w:ascii="Arial" w:hAnsi="Arial" w:cs="Arial"/>
        </w:rPr>
        <w:t xml:space="preserve">government </w:t>
      </w:r>
      <w:r w:rsidR="003C7B50" w:rsidRPr="00837BF1">
        <w:rPr>
          <w:rFonts w:ascii="Arial" w:hAnsi="Arial" w:cs="Arial"/>
        </w:rPr>
        <w:t>impos</w:t>
      </w:r>
      <w:r w:rsidR="00353CDD" w:rsidRPr="00837BF1">
        <w:rPr>
          <w:rFonts w:ascii="Arial" w:hAnsi="Arial" w:cs="Arial"/>
        </w:rPr>
        <w:t>ed</w:t>
      </w:r>
      <w:r w:rsidR="003C7B50" w:rsidRPr="00837BF1">
        <w:rPr>
          <w:rFonts w:ascii="Arial" w:hAnsi="Arial" w:cs="Arial"/>
        </w:rPr>
        <w:t xml:space="preserve"> a strict lockdown of society, including closure of </w:t>
      </w:r>
      <w:r w:rsidR="00990000" w:rsidRPr="00837BF1">
        <w:rPr>
          <w:rFonts w:ascii="Arial" w:hAnsi="Arial" w:cs="Arial"/>
        </w:rPr>
        <w:t xml:space="preserve">all non-essential businesses. </w:t>
      </w:r>
      <w:r w:rsidR="008A724B" w:rsidRPr="00837BF1">
        <w:rPr>
          <w:rFonts w:ascii="Arial" w:hAnsi="Arial" w:cs="Arial"/>
        </w:rPr>
        <w:t xml:space="preserve">In April </w:t>
      </w:r>
      <w:r w:rsidR="00CA480E" w:rsidRPr="00837BF1">
        <w:rPr>
          <w:rFonts w:ascii="Arial" w:hAnsi="Arial" w:cs="Arial"/>
        </w:rPr>
        <w:t>an additional</w:t>
      </w:r>
      <w:r w:rsidR="009A2CD0" w:rsidRPr="00837BF1">
        <w:rPr>
          <w:rFonts w:ascii="Arial" w:hAnsi="Arial" w:cs="Arial"/>
        </w:rPr>
        <w:t xml:space="preserve"> 85</w:t>
      </w:r>
      <w:r w:rsidR="009373AE" w:rsidRPr="00837BF1">
        <w:rPr>
          <w:rFonts w:ascii="Arial" w:hAnsi="Arial" w:cs="Arial"/>
        </w:rPr>
        <w:t>8</w:t>
      </w:r>
      <w:r w:rsidR="009A2CD0" w:rsidRPr="00837BF1">
        <w:rPr>
          <w:rFonts w:ascii="Arial" w:hAnsi="Arial" w:cs="Arial"/>
        </w:rPr>
        <w:t>,000 individuals signed up for job-seekers allowance</w:t>
      </w:r>
      <w:r w:rsidR="00BE3924" w:rsidRPr="00837BF1">
        <w:rPr>
          <w:rFonts w:ascii="Arial" w:hAnsi="Arial" w:cs="Arial"/>
        </w:rPr>
        <w:t>, representing an increase in the un</w:t>
      </w:r>
      <w:r w:rsidR="008A724B" w:rsidRPr="00837BF1">
        <w:rPr>
          <w:rFonts w:ascii="Arial" w:hAnsi="Arial" w:cs="Arial"/>
        </w:rPr>
        <w:t>employment</w:t>
      </w:r>
      <w:r w:rsidR="00634B08" w:rsidRPr="00837BF1">
        <w:rPr>
          <w:rFonts w:ascii="Arial" w:hAnsi="Arial" w:cs="Arial"/>
        </w:rPr>
        <w:t xml:space="preserve"> claimant </w:t>
      </w:r>
      <w:r w:rsidR="00F679D3" w:rsidRPr="00837BF1">
        <w:rPr>
          <w:rFonts w:ascii="Arial" w:hAnsi="Arial" w:cs="Arial"/>
        </w:rPr>
        <w:t>count</w:t>
      </w:r>
      <w:r w:rsidR="00634B08" w:rsidRPr="00837BF1">
        <w:rPr>
          <w:rFonts w:ascii="Arial" w:hAnsi="Arial" w:cs="Arial"/>
        </w:rPr>
        <w:t xml:space="preserve"> </w:t>
      </w:r>
      <w:r w:rsidR="00F679D3" w:rsidRPr="00837BF1">
        <w:rPr>
          <w:rFonts w:ascii="Arial" w:hAnsi="Arial" w:cs="Arial"/>
        </w:rPr>
        <w:t>of almost 70% in a single month</w:t>
      </w:r>
      <w:r w:rsidR="0005502A" w:rsidRPr="00837BF1">
        <w:rPr>
          <w:rFonts w:ascii="Arial" w:hAnsi="Arial" w:cs="Arial"/>
        </w:rPr>
        <w:t xml:space="preserve"> (Office for National Statistics, 2020). By 23</w:t>
      </w:r>
      <w:r w:rsidR="0005502A" w:rsidRPr="00837BF1">
        <w:rPr>
          <w:rFonts w:ascii="Arial" w:hAnsi="Arial" w:cs="Arial"/>
          <w:vertAlign w:val="superscript"/>
        </w:rPr>
        <w:t>rd</w:t>
      </w:r>
      <w:r w:rsidR="0005502A" w:rsidRPr="00837BF1">
        <w:rPr>
          <w:rFonts w:ascii="Arial" w:hAnsi="Arial" w:cs="Arial"/>
        </w:rPr>
        <w:t xml:space="preserve"> April, </w:t>
      </w:r>
      <w:r w:rsidR="00721C41" w:rsidRPr="00837BF1">
        <w:rPr>
          <w:rFonts w:ascii="Arial" w:hAnsi="Arial" w:cs="Arial"/>
        </w:rPr>
        <w:t>3</w:t>
      </w:r>
      <w:r w:rsidR="001A5206" w:rsidRPr="00837BF1">
        <w:rPr>
          <w:rFonts w:ascii="Arial" w:hAnsi="Arial" w:cs="Arial"/>
        </w:rPr>
        <w:t>.8 million worker</w:t>
      </w:r>
      <w:r w:rsidR="009451DD" w:rsidRPr="00837BF1">
        <w:rPr>
          <w:rFonts w:ascii="Arial" w:hAnsi="Arial" w:cs="Arial"/>
        </w:rPr>
        <w:t>s</w:t>
      </w:r>
      <w:r w:rsidR="001A5206" w:rsidRPr="00837BF1">
        <w:rPr>
          <w:rFonts w:ascii="Arial" w:hAnsi="Arial" w:cs="Arial"/>
        </w:rPr>
        <w:t xml:space="preserve"> were </w:t>
      </w:r>
      <w:r w:rsidR="001A5206" w:rsidRPr="00837BF1">
        <w:rPr>
          <w:rFonts w:ascii="Arial" w:hAnsi="Arial" w:cs="Arial"/>
          <w:i/>
          <w:iCs/>
        </w:rPr>
        <w:t>furloughed</w:t>
      </w:r>
      <w:r w:rsidR="001A5206" w:rsidRPr="00837BF1">
        <w:rPr>
          <w:rFonts w:ascii="Arial" w:hAnsi="Arial" w:cs="Arial"/>
        </w:rPr>
        <w:t xml:space="preserve"> by 512,000 employers, supported </w:t>
      </w:r>
      <w:r w:rsidR="000F6D09" w:rsidRPr="00837BF1">
        <w:rPr>
          <w:rFonts w:ascii="Arial" w:hAnsi="Arial" w:cs="Arial"/>
        </w:rPr>
        <w:t>through the government job retention scheme</w:t>
      </w:r>
      <w:r w:rsidR="007C75EF" w:rsidRPr="00837BF1">
        <w:rPr>
          <w:rFonts w:ascii="Arial" w:hAnsi="Arial" w:cs="Arial"/>
        </w:rPr>
        <w:t xml:space="preserve"> (</w:t>
      </w:r>
      <w:r w:rsidR="007B75FA" w:rsidRPr="00837BF1">
        <w:rPr>
          <w:rFonts w:ascii="Arial" w:hAnsi="Arial" w:cs="Arial"/>
        </w:rPr>
        <w:t>HM Revenue and Customs, 2020</w:t>
      </w:r>
      <w:r w:rsidR="007C75EF" w:rsidRPr="00837BF1">
        <w:rPr>
          <w:rFonts w:ascii="Arial" w:hAnsi="Arial" w:cs="Arial"/>
        </w:rPr>
        <w:t>)</w:t>
      </w:r>
      <w:r w:rsidR="000F6D09" w:rsidRPr="00837BF1">
        <w:rPr>
          <w:rFonts w:ascii="Arial" w:hAnsi="Arial" w:cs="Arial"/>
        </w:rPr>
        <w:t xml:space="preserve">. </w:t>
      </w:r>
      <w:r w:rsidR="00634B08" w:rsidRPr="00837BF1">
        <w:rPr>
          <w:rFonts w:ascii="Arial" w:hAnsi="Arial" w:cs="Arial"/>
        </w:rPr>
        <w:t xml:space="preserve"> </w:t>
      </w:r>
      <w:r w:rsidR="00612D9C" w:rsidRPr="00837BF1">
        <w:rPr>
          <w:rFonts w:ascii="Arial" w:hAnsi="Arial" w:cs="Arial"/>
        </w:rPr>
        <w:t>The putative effects of further redundancy and job insecurity on increasing rates of mental illness is a key public health concern.</w:t>
      </w:r>
    </w:p>
    <w:p w14:paraId="7EB90C7D" w14:textId="77777777" w:rsidR="00D054B7" w:rsidRPr="00837BF1" w:rsidRDefault="00D054B7" w:rsidP="00E213C8">
      <w:pPr>
        <w:spacing w:after="0" w:line="480" w:lineRule="auto"/>
        <w:jc w:val="both"/>
        <w:rPr>
          <w:rFonts w:ascii="Arial" w:hAnsi="Arial" w:cs="Arial"/>
        </w:rPr>
      </w:pPr>
    </w:p>
    <w:p w14:paraId="3FDDE9F5" w14:textId="06D4AEBE" w:rsidR="00507415" w:rsidRPr="00837BF1" w:rsidRDefault="00507415" w:rsidP="00E213C8">
      <w:pPr>
        <w:spacing w:after="0" w:line="480" w:lineRule="auto"/>
        <w:jc w:val="both"/>
        <w:rPr>
          <w:rFonts w:ascii="Arial" w:hAnsi="Arial" w:cs="Arial"/>
        </w:rPr>
      </w:pPr>
      <w:r w:rsidRPr="00837BF1">
        <w:rPr>
          <w:rFonts w:ascii="Arial" w:hAnsi="Arial" w:cs="Arial"/>
          <w:color w:val="000000" w:themeColor="text1"/>
        </w:rPr>
        <w:t>Holmes et al. (2020) suggest that the psychological and social effects of the pandemic are pervasive</w:t>
      </w:r>
      <w:r w:rsidR="00F323CE" w:rsidRPr="00837BF1">
        <w:rPr>
          <w:rFonts w:ascii="Arial" w:hAnsi="Arial" w:cs="Arial"/>
          <w:color w:val="000000" w:themeColor="text1"/>
        </w:rPr>
        <w:t>.</w:t>
      </w:r>
      <w:r w:rsidRPr="00837BF1">
        <w:rPr>
          <w:rFonts w:ascii="Arial" w:hAnsi="Arial" w:cs="Arial"/>
          <w:color w:val="000000" w:themeColor="text1"/>
        </w:rPr>
        <w:t xml:space="preserve"> </w:t>
      </w:r>
      <w:r w:rsidR="000E4A01" w:rsidRPr="00837BF1">
        <w:rPr>
          <w:rFonts w:ascii="Arial" w:hAnsi="Arial" w:cs="Arial"/>
          <w:color w:val="000000" w:themeColor="text1"/>
        </w:rPr>
        <w:t xml:space="preserve">Their </w:t>
      </w:r>
      <w:r w:rsidR="00B75108" w:rsidRPr="00837BF1">
        <w:rPr>
          <w:rFonts w:ascii="Arial" w:hAnsi="Arial" w:cs="Arial"/>
          <w:color w:val="000000" w:themeColor="text1"/>
        </w:rPr>
        <w:t xml:space="preserve">position </w:t>
      </w:r>
      <w:r w:rsidR="000A6A84" w:rsidRPr="00837BF1">
        <w:rPr>
          <w:rFonts w:ascii="Arial" w:hAnsi="Arial" w:cs="Arial"/>
          <w:color w:val="000000" w:themeColor="text1"/>
        </w:rPr>
        <w:t>paper</w:t>
      </w:r>
      <w:r w:rsidR="00437BDD" w:rsidRPr="00837BF1">
        <w:rPr>
          <w:rFonts w:ascii="Arial" w:hAnsi="Arial" w:cs="Arial"/>
          <w:color w:val="000000" w:themeColor="text1"/>
        </w:rPr>
        <w:t>,</w:t>
      </w:r>
      <w:r w:rsidR="009144E4" w:rsidRPr="00837BF1">
        <w:rPr>
          <w:rFonts w:ascii="Arial" w:hAnsi="Arial" w:cs="Arial"/>
          <w:color w:val="000000" w:themeColor="text1"/>
        </w:rPr>
        <w:t xml:space="preserve"> </w:t>
      </w:r>
      <w:r w:rsidR="000A6A84" w:rsidRPr="00837BF1">
        <w:rPr>
          <w:rFonts w:ascii="Arial" w:hAnsi="Arial" w:cs="Arial"/>
          <w:color w:val="000000" w:themeColor="text1"/>
        </w:rPr>
        <w:t xml:space="preserve">informed by </w:t>
      </w:r>
      <w:r w:rsidR="00982717" w:rsidRPr="00837BF1">
        <w:rPr>
          <w:rFonts w:ascii="Arial" w:hAnsi="Arial" w:cs="Arial"/>
          <w:color w:val="000000" w:themeColor="text1"/>
        </w:rPr>
        <w:t>a general</w:t>
      </w:r>
      <w:r w:rsidRPr="00837BF1">
        <w:rPr>
          <w:rFonts w:ascii="Arial" w:hAnsi="Arial" w:cs="Arial"/>
          <w:color w:val="000000" w:themeColor="text1"/>
        </w:rPr>
        <w:t xml:space="preserve"> population survey </w:t>
      </w:r>
      <w:r w:rsidR="00414B1B" w:rsidRPr="00837BF1">
        <w:rPr>
          <w:rFonts w:ascii="Arial" w:hAnsi="Arial" w:cs="Arial"/>
          <w:color w:val="000000" w:themeColor="text1"/>
        </w:rPr>
        <w:t>(</w:t>
      </w:r>
      <w:r w:rsidR="009237BF" w:rsidRPr="00837BF1">
        <w:rPr>
          <w:rFonts w:ascii="Arial" w:hAnsi="Arial" w:cs="Arial"/>
          <w:color w:val="000000" w:themeColor="text1"/>
        </w:rPr>
        <w:t>IPSOS MORI</w:t>
      </w:r>
      <w:r w:rsidR="000A6A84" w:rsidRPr="00837BF1">
        <w:rPr>
          <w:rFonts w:ascii="Arial" w:hAnsi="Arial" w:cs="Arial"/>
          <w:color w:val="000000" w:themeColor="text1"/>
        </w:rPr>
        <w:t>,</w:t>
      </w:r>
      <w:r w:rsidR="009237BF" w:rsidRPr="00837BF1">
        <w:rPr>
          <w:rFonts w:ascii="Arial" w:hAnsi="Arial" w:cs="Arial"/>
          <w:color w:val="000000" w:themeColor="text1"/>
        </w:rPr>
        <w:t xml:space="preserve"> 2020)</w:t>
      </w:r>
      <w:r w:rsidR="00437BDD" w:rsidRPr="00837BF1">
        <w:rPr>
          <w:rFonts w:ascii="Arial" w:hAnsi="Arial" w:cs="Arial"/>
          <w:color w:val="000000" w:themeColor="text1"/>
        </w:rPr>
        <w:t>,</w:t>
      </w:r>
      <w:r w:rsidR="00045E38" w:rsidRPr="00837BF1">
        <w:rPr>
          <w:rFonts w:ascii="Arial" w:hAnsi="Arial" w:cs="Arial"/>
          <w:color w:val="000000" w:themeColor="text1"/>
        </w:rPr>
        <w:t xml:space="preserve"> </w:t>
      </w:r>
      <w:r w:rsidR="005E29FA" w:rsidRPr="00837BF1">
        <w:rPr>
          <w:rFonts w:ascii="Arial" w:hAnsi="Arial" w:cs="Arial"/>
          <w:color w:val="000000" w:themeColor="text1"/>
        </w:rPr>
        <w:t>indicated</w:t>
      </w:r>
      <w:r w:rsidRPr="00837BF1">
        <w:rPr>
          <w:rFonts w:ascii="Arial" w:hAnsi="Arial" w:cs="Arial"/>
          <w:color w:val="000000" w:themeColor="text1"/>
        </w:rPr>
        <w:t xml:space="preserve"> widespread concerns </w:t>
      </w:r>
      <w:r w:rsidR="006615F7" w:rsidRPr="00837BF1">
        <w:rPr>
          <w:rFonts w:ascii="Arial" w:hAnsi="Arial" w:cs="Arial"/>
          <w:color w:val="000000" w:themeColor="text1"/>
        </w:rPr>
        <w:t xml:space="preserve">about </w:t>
      </w:r>
      <w:r w:rsidR="00943D38" w:rsidRPr="00837BF1">
        <w:rPr>
          <w:rFonts w:ascii="Arial" w:hAnsi="Arial" w:cs="Arial"/>
          <w:color w:val="000000" w:themeColor="text1"/>
        </w:rPr>
        <w:t>mental illness and</w:t>
      </w:r>
      <w:r w:rsidRPr="00837BF1">
        <w:rPr>
          <w:rFonts w:ascii="Arial" w:hAnsi="Arial" w:cs="Arial"/>
          <w:color w:val="000000" w:themeColor="text1"/>
        </w:rPr>
        <w:t xml:space="preserve"> practical implications</w:t>
      </w:r>
      <w:r w:rsidR="00887C74" w:rsidRPr="00837BF1">
        <w:rPr>
          <w:rFonts w:ascii="Arial" w:hAnsi="Arial" w:cs="Arial"/>
          <w:color w:val="000000" w:themeColor="text1"/>
        </w:rPr>
        <w:t xml:space="preserve"> </w:t>
      </w:r>
      <w:r w:rsidR="00B927EA" w:rsidRPr="00837BF1">
        <w:rPr>
          <w:rFonts w:ascii="Arial" w:hAnsi="Arial" w:cs="Arial"/>
          <w:color w:val="000000" w:themeColor="text1"/>
        </w:rPr>
        <w:t>- including financial difficulties</w:t>
      </w:r>
      <w:r w:rsidR="004E2259" w:rsidRPr="00837BF1">
        <w:rPr>
          <w:rFonts w:ascii="Arial" w:hAnsi="Arial" w:cs="Arial"/>
          <w:color w:val="000000" w:themeColor="text1"/>
        </w:rPr>
        <w:t xml:space="preserve"> </w:t>
      </w:r>
      <w:r w:rsidR="00B927EA" w:rsidRPr="00837BF1">
        <w:rPr>
          <w:rFonts w:ascii="Arial" w:hAnsi="Arial" w:cs="Arial"/>
          <w:color w:val="000000" w:themeColor="text1"/>
        </w:rPr>
        <w:t xml:space="preserve">- </w:t>
      </w:r>
      <w:r w:rsidR="005E29FA" w:rsidRPr="00837BF1">
        <w:rPr>
          <w:rFonts w:ascii="Arial" w:hAnsi="Arial" w:cs="Arial"/>
          <w:color w:val="000000" w:themeColor="text1"/>
        </w:rPr>
        <w:t>of the pandemic response</w:t>
      </w:r>
      <w:r w:rsidR="00637B8F" w:rsidRPr="00837BF1">
        <w:rPr>
          <w:rFonts w:ascii="Arial" w:hAnsi="Arial" w:cs="Arial"/>
          <w:color w:val="000000" w:themeColor="text1"/>
        </w:rPr>
        <w:t>. Such c</w:t>
      </w:r>
      <w:r w:rsidR="005E29FA" w:rsidRPr="00837BF1">
        <w:rPr>
          <w:rFonts w:ascii="Arial" w:hAnsi="Arial" w:cs="Arial"/>
          <w:color w:val="000000" w:themeColor="text1"/>
        </w:rPr>
        <w:t xml:space="preserve">oncerns ranked above </w:t>
      </w:r>
      <w:r w:rsidR="004A00FE" w:rsidRPr="00837BF1">
        <w:rPr>
          <w:rFonts w:ascii="Arial" w:hAnsi="Arial" w:cs="Arial"/>
          <w:color w:val="000000" w:themeColor="text1"/>
        </w:rPr>
        <w:t>worries</w:t>
      </w:r>
      <w:r w:rsidR="005E29FA" w:rsidRPr="00837BF1">
        <w:rPr>
          <w:rFonts w:ascii="Arial" w:hAnsi="Arial" w:cs="Arial"/>
          <w:color w:val="000000" w:themeColor="text1"/>
        </w:rPr>
        <w:t xml:space="preserve"> about becoming unwell with COVID-19.</w:t>
      </w:r>
      <w:r w:rsidR="008D537D" w:rsidRPr="00837BF1">
        <w:rPr>
          <w:rFonts w:ascii="Arial" w:hAnsi="Arial" w:cs="Arial"/>
          <w:color w:val="000000" w:themeColor="text1"/>
        </w:rPr>
        <w:t xml:space="preserve"> </w:t>
      </w:r>
      <w:r w:rsidR="00FF04A8" w:rsidRPr="00837BF1">
        <w:rPr>
          <w:rFonts w:ascii="Arial" w:hAnsi="Arial" w:cs="Arial"/>
        </w:rPr>
        <w:t xml:space="preserve">In an analysis of the </w:t>
      </w:r>
      <w:r w:rsidR="009C5A0A" w:rsidRPr="00837BF1">
        <w:rPr>
          <w:rFonts w:ascii="Arial" w:hAnsi="Arial" w:cs="Arial"/>
        </w:rPr>
        <w:t>general adult population</w:t>
      </w:r>
      <w:r w:rsidR="00CE495C" w:rsidRPr="00837BF1">
        <w:rPr>
          <w:rFonts w:ascii="Arial" w:hAnsi="Arial" w:cs="Arial"/>
        </w:rPr>
        <w:t>,</w:t>
      </w:r>
      <w:r w:rsidR="009C5A0A" w:rsidRPr="00837BF1">
        <w:rPr>
          <w:rFonts w:ascii="Arial" w:hAnsi="Arial" w:cs="Arial"/>
        </w:rPr>
        <w:t xml:space="preserve"> </w:t>
      </w:r>
      <w:r w:rsidR="00D24E76" w:rsidRPr="00837BF1">
        <w:rPr>
          <w:rFonts w:ascii="Arial" w:hAnsi="Arial" w:cs="Arial"/>
        </w:rPr>
        <w:t>Pierce et al. (2020)</w:t>
      </w:r>
      <w:r w:rsidR="009C5A0A" w:rsidRPr="00837BF1">
        <w:rPr>
          <w:rFonts w:ascii="Arial" w:hAnsi="Arial" w:cs="Arial"/>
        </w:rPr>
        <w:t xml:space="preserve"> found </w:t>
      </w:r>
      <w:r w:rsidR="0033238E" w:rsidRPr="00837BF1">
        <w:rPr>
          <w:rFonts w:ascii="Arial" w:hAnsi="Arial" w:cs="Arial"/>
        </w:rPr>
        <w:t>evidence</w:t>
      </w:r>
      <w:r w:rsidR="009C5A0A" w:rsidRPr="00837BF1">
        <w:rPr>
          <w:rFonts w:ascii="Arial" w:hAnsi="Arial" w:cs="Arial"/>
        </w:rPr>
        <w:t xml:space="preserve"> of a differential mental health impact of the pandemic </w:t>
      </w:r>
      <w:r w:rsidR="007E4B47" w:rsidRPr="00837BF1">
        <w:rPr>
          <w:rFonts w:ascii="Arial" w:hAnsi="Arial" w:cs="Arial"/>
        </w:rPr>
        <w:t xml:space="preserve">according to employment status. </w:t>
      </w:r>
      <w:r w:rsidR="00B97B44" w:rsidRPr="00837BF1">
        <w:rPr>
          <w:rFonts w:ascii="Arial" w:hAnsi="Arial" w:cs="Arial"/>
        </w:rPr>
        <w:t>Being employed or in retirement before the pandemic were associated with a higher than expected deterioration in men</w:t>
      </w:r>
      <w:r w:rsidR="008222C7" w:rsidRPr="00837BF1">
        <w:rPr>
          <w:rFonts w:ascii="Arial" w:hAnsi="Arial" w:cs="Arial"/>
        </w:rPr>
        <w:t>tal</w:t>
      </w:r>
      <w:r w:rsidR="00B97B44" w:rsidRPr="00837BF1">
        <w:rPr>
          <w:rFonts w:ascii="Arial" w:hAnsi="Arial" w:cs="Arial"/>
        </w:rPr>
        <w:t xml:space="preserve"> health</w:t>
      </w:r>
      <w:r w:rsidR="00B21190" w:rsidRPr="00837BF1">
        <w:rPr>
          <w:rFonts w:ascii="Arial" w:hAnsi="Arial" w:cs="Arial"/>
        </w:rPr>
        <w:t xml:space="preserve">. </w:t>
      </w:r>
      <w:r w:rsidR="00465BFE" w:rsidRPr="00837BF1">
        <w:rPr>
          <w:rFonts w:ascii="Arial" w:hAnsi="Arial" w:cs="Arial"/>
        </w:rPr>
        <w:t xml:space="preserve">These findings point to particular stressors experienced by those in </w:t>
      </w:r>
      <w:r w:rsidR="00465BFE" w:rsidRPr="00837BF1">
        <w:rPr>
          <w:rFonts w:ascii="Arial" w:hAnsi="Arial" w:cs="Arial"/>
        </w:rPr>
        <w:lastRenderedPageBreak/>
        <w:t xml:space="preserve">employment during the </w:t>
      </w:r>
      <w:r w:rsidR="0033238E" w:rsidRPr="00837BF1">
        <w:rPr>
          <w:rFonts w:ascii="Arial" w:hAnsi="Arial" w:cs="Arial"/>
        </w:rPr>
        <w:t>e</w:t>
      </w:r>
      <w:r w:rsidR="00465BFE" w:rsidRPr="00837BF1">
        <w:rPr>
          <w:rFonts w:ascii="Arial" w:hAnsi="Arial" w:cs="Arial"/>
        </w:rPr>
        <w:t>arly months of the pandemic, which m</w:t>
      </w:r>
      <w:r w:rsidR="0033238E" w:rsidRPr="00837BF1">
        <w:rPr>
          <w:rFonts w:ascii="Arial" w:hAnsi="Arial" w:cs="Arial"/>
        </w:rPr>
        <w:t>erit a focused analysis on this sub-group.</w:t>
      </w:r>
    </w:p>
    <w:p w14:paraId="59CFEFC8" w14:textId="77777777" w:rsidR="00480E05" w:rsidRPr="00837BF1" w:rsidRDefault="00480E05" w:rsidP="00E213C8">
      <w:pPr>
        <w:spacing w:after="0" w:line="480" w:lineRule="auto"/>
        <w:jc w:val="both"/>
        <w:rPr>
          <w:rFonts w:ascii="Arial" w:hAnsi="Arial" w:cs="Arial"/>
        </w:rPr>
      </w:pPr>
    </w:p>
    <w:p w14:paraId="79E7F0C5" w14:textId="13B2E629" w:rsidR="005E29FA" w:rsidRPr="00837BF1" w:rsidRDefault="00BA2071" w:rsidP="00E213C8">
      <w:pPr>
        <w:spacing w:after="0" w:line="480" w:lineRule="auto"/>
        <w:jc w:val="both"/>
        <w:rPr>
          <w:rFonts w:ascii="Arial" w:hAnsi="Arial" w:cs="Arial"/>
        </w:rPr>
      </w:pPr>
      <w:r w:rsidRPr="00837BF1">
        <w:rPr>
          <w:rFonts w:ascii="Arial" w:hAnsi="Arial" w:cs="Arial"/>
        </w:rPr>
        <w:t xml:space="preserve">Studies comparing health status before and after recession generally show an increase in psychiatric disorders. </w:t>
      </w:r>
      <w:r w:rsidR="00493ADA" w:rsidRPr="00837BF1">
        <w:rPr>
          <w:rFonts w:ascii="Arial" w:hAnsi="Arial" w:cs="Arial"/>
        </w:rPr>
        <w:t>However, c</w:t>
      </w:r>
      <w:r w:rsidR="00BE3B96" w:rsidRPr="00837BF1">
        <w:rPr>
          <w:rFonts w:ascii="Arial" w:hAnsi="Arial" w:cs="Arial"/>
        </w:rPr>
        <w:t>ross-sectional studies dominate the evidence-base, limiting the ability to draw conclu</w:t>
      </w:r>
      <w:r w:rsidR="00150E81" w:rsidRPr="00837BF1">
        <w:rPr>
          <w:rFonts w:ascii="Arial" w:hAnsi="Arial" w:cs="Arial"/>
        </w:rPr>
        <w:t>s</w:t>
      </w:r>
      <w:r w:rsidR="00BE3B96" w:rsidRPr="00837BF1">
        <w:rPr>
          <w:rFonts w:ascii="Arial" w:hAnsi="Arial" w:cs="Arial"/>
        </w:rPr>
        <w:t>ions o</w:t>
      </w:r>
      <w:r w:rsidR="00493ADA" w:rsidRPr="00837BF1">
        <w:rPr>
          <w:rFonts w:ascii="Arial" w:hAnsi="Arial" w:cs="Arial"/>
        </w:rPr>
        <w:t>n</w:t>
      </w:r>
      <w:r w:rsidR="00BE3B96" w:rsidRPr="00837BF1">
        <w:rPr>
          <w:rFonts w:ascii="Arial" w:hAnsi="Arial" w:cs="Arial"/>
        </w:rPr>
        <w:t xml:space="preserve"> causality </w:t>
      </w:r>
      <w:r w:rsidR="009237BF" w:rsidRPr="00837BF1">
        <w:rPr>
          <w:rFonts w:ascii="Arial" w:hAnsi="Arial" w:cs="Arial"/>
        </w:rPr>
        <w:fldChar w:fldCharType="begin" w:fldLock="1"/>
      </w:r>
      <w:r w:rsidR="009237BF" w:rsidRPr="00837BF1">
        <w:rPr>
          <w:rFonts w:ascii="Arial" w:hAnsi="Arial" w:cs="Arial"/>
        </w:rPr>
        <w:instrText>ADDIN CSL_CITATION {"citationItems":[{"id":"ITEM-1","itemData":{"DOI":"10.1186/s12889-016-2720-y","ISSN":"14712458","PMID":"26847554","abstract":"Background: Countries in recession experience high unemployment rates and a decline in living conditions, which, it has been suggested, negatively influences their populations' health. The present review examines the recent evidence of the possible association between economic recessions and mental health outcomes. Methods: Literature review of records identified through Medline, PsycINFO, SciELO, and EBSCO Host. Only original research papers, published between 2004 and 2014, peer-reviewed, non-qualitative research, and reporting on associations between economic factors and proxies of mental health were considered. Results: One-hundred-one papers met the inclusion criteria. The evidence was consistent that economic recessions and mediators such as unemployment, income decline, and unmanageable debts are significantly associated with poor mental wellbeing, increased rates of common mental disorders, substance-related disorders, and suicidal behaviours. Conclusion: On the basis of a thorough analysis of the selected investigations, we conclude that periods of economic recession are possibly associated with a higher prevalence of mental health problems, including common mental disorders, substance disorders, and ultimately suicidal behaviour. Most of the research is based on cross-sectional studies, which seriously limits causality inferences. Conclusions are summarised, taking into account international policy recommendations concerning the cost-effective measures that can possibly reduce the occurrence of negative mental health outcomes in populations during periods of economic recession.","author":[{"dropping-particle":"","family":"Frasquilho","given":"Diana","non-dropping-particle":"","parse-names":false,"suffix":""},{"dropping-particle":"","family":"Matos","given":"Margarida Gaspar","non-dropping-particle":"","parse-names":false,"suffix":""},{"dropping-particle":"","family":"Salonna","given":"Ferdinand","non-dropping-particle":"","parse-names":false,"suffix":""},{"dropping-particle":"","family":"Guerreiro","given":"Diogo","non-dropping-particle":"","parse-names":false,"suffix":""},{"dropping-particle":"","family":"Storti","given":"Cláudia C.","non-dropping-particle":"","parse-names":false,"suffix":""},{"dropping-particle":"","family":"Gaspar","given":"Tânia","non-dropping-particle":"","parse-names":false,"suffix":""},{"dropping-particle":"","family":"Caldas-De-Almeida","given":"José M.","non-dropping-particle":"","parse-names":false,"suffix":""}],"container-title":"BMC Public Health","id":"ITEM-1","issue":"1","issued":{"date-parts":[["2016","2","3"]]},"publisher":"BioMed Central Ltd.","title":"Mental health outcomes in times of economic recession: A systematic literature review Health behavior, health promotion and society","type":"article","volume":"16"},"uris":["http://www.mendeley.com/documents/?uuid=1dbac984-54bb-33f9-8940-40e8b0af5058"]}],"mendeley":{"formattedCitation":"(Frasquilho et al., 2016)","plainTextFormattedCitation":"(Frasquilho et al., 2016)","previouslyFormattedCitation":"(Frasquilho et al., 2016)"},"properties":{"noteIndex":0},"schema":"https://github.com/citation-style-language/schema/raw/master/csl-citation.json"}</w:instrText>
      </w:r>
      <w:r w:rsidR="009237BF" w:rsidRPr="00837BF1">
        <w:rPr>
          <w:rFonts w:ascii="Arial" w:hAnsi="Arial" w:cs="Arial"/>
        </w:rPr>
        <w:fldChar w:fldCharType="separate"/>
      </w:r>
      <w:r w:rsidR="009237BF" w:rsidRPr="00837BF1">
        <w:rPr>
          <w:rFonts w:ascii="Arial" w:hAnsi="Arial" w:cs="Arial"/>
          <w:noProof/>
        </w:rPr>
        <w:t>(Frasquilho et al., 2016)</w:t>
      </w:r>
      <w:r w:rsidR="009237BF" w:rsidRPr="00837BF1">
        <w:rPr>
          <w:rFonts w:ascii="Arial" w:hAnsi="Arial" w:cs="Arial"/>
        </w:rPr>
        <w:fldChar w:fldCharType="end"/>
      </w:r>
      <w:r w:rsidR="00150E81" w:rsidRPr="00837BF1">
        <w:rPr>
          <w:rFonts w:ascii="Arial" w:hAnsi="Arial" w:cs="Arial"/>
        </w:rPr>
        <w:t xml:space="preserve">. </w:t>
      </w:r>
      <w:r w:rsidR="00E07C1C" w:rsidRPr="00837BF1">
        <w:rPr>
          <w:rFonts w:ascii="Arial" w:hAnsi="Arial" w:cs="Arial"/>
        </w:rPr>
        <w:t>P</w:t>
      </w:r>
      <w:r w:rsidR="00150E81" w:rsidRPr="00837BF1">
        <w:rPr>
          <w:rFonts w:ascii="Arial" w:hAnsi="Arial" w:cs="Arial"/>
        </w:rPr>
        <w:t xml:space="preserve">eople who lose their job in times of recession are more vulnerable </w:t>
      </w:r>
      <w:r w:rsidR="00A94DE4" w:rsidRPr="00837BF1">
        <w:rPr>
          <w:rFonts w:ascii="Arial" w:hAnsi="Arial" w:cs="Arial"/>
        </w:rPr>
        <w:t xml:space="preserve">to </w:t>
      </w:r>
      <w:r w:rsidR="00150E81" w:rsidRPr="00837BF1">
        <w:rPr>
          <w:rFonts w:ascii="Arial" w:hAnsi="Arial" w:cs="Arial"/>
        </w:rPr>
        <w:t xml:space="preserve">poor mental health outcomes </w:t>
      </w:r>
      <w:r w:rsidR="009237BF" w:rsidRPr="00837BF1">
        <w:rPr>
          <w:rFonts w:ascii="Arial" w:hAnsi="Arial" w:cs="Arial"/>
        </w:rPr>
        <w:fldChar w:fldCharType="begin" w:fldLock="1"/>
      </w:r>
      <w:r w:rsidR="004B3A36" w:rsidRPr="00837BF1">
        <w:rPr>
          <w:rFonts w:ascii="Arial" w:hAnsi="Arial" w:cs="Arial"/>
        </w:rPr>
        <w:instrText>ADDIN CSL_CITATION {"citationItems":[{"id":"ITEM-1","itemData":{"abstract":"Background: The considerable increase of non-standard labor contracts, unemployment and inactivity rates raises the question of whether job insecurity and the lack of job opportunities affect physical and mental well-being differently from being employed with an open-ended contract. In this paper we offer evidence on the relationship between self-reported health and the employment status in Italy using the Survey on Household Income and Wealth (SHIW); another aim is to investigate whether these potential inequalities have changed with the recent economic downturn (time period 2006-2010). Methods: We estimate an ordered logit model with self-reported health status (SRHS) as response variable based on a fixed-effects approach which has certain advantages with respect to the random-effects formulation: the fixed-effects nature of the model also allows us to solve the problems of incidental parameters and non-random selection of individuals into different labor market categories. Results: We find that temporary workers, first-job seekers and unemployed individuals are worse off than permanent employees, especially males, young workers, and those living in the center and south of Italy. Conclusion: Health inequalities between permanent workers and job seekers widen over time for male and young workers, and arise in the north of the country as well.","author":[{"dropping-particle":"","family":"Minelli","given":"Liliana","non-dropping-particle":"","parse-names":false,"suffix":""},{"dropping-particle":"","family":"Pigini","given":"Claudia","non-dropping-particle":"","parse-names":false,"suffix":""},{"dropping-particle":"","family":"Chiavarini","given":"Manuela","non-dropping-particle":"","parse-names":false,"suffix":""},{"dropping-particle":"","family":"Bartolucci","given":"Francesco","non-dropping-particle":"","parse-names":false,"suffix":""}],"id":"ITEM-1","issued":{"date-parts":[["2014"]]},"title":"Employment status and perceived health condition: longitudinal data from Italy","type":"report"},"uris":["http://www.mendeley.com/documents/?uuid=8ffb0998-6bd3-3b40-9706-d2cc0fa9d3e3"]},{"id":"ITEM-2","itemData":{"DOI":"https://doi.org/10.1016/j.socscimed.2014.12.025","ISSN":"0277-9536","abstract":"The current study uses six annual waves of the Longitudinal Labor Market Study (LLMS) covering the 2008–2013 period to obtain longitudinal estimations suggesting statistically significant negative effects from unemployment on self-reported health and mental health in Greece. The specifications suggest that unemployment results in lower health and the deterioration of mental health during the 2008–2009 period compared with the 2010–2013 period, i.e., a period in which the country's unemployment doubled as a consequence of the financial crisis. Unemployment seems to be more detrimental to health/mental health in periods of high unemployment, suggesting that the unemployment crisis in Greece is more devastating as it concerns more people. Importantly, in all specifications, comparable qualitative patterns are found by controlling for unemployment due to firm closure, which allows us to minimize potential bias due to unemployment-health related reverse causality. Moreover, in all cases, women are more negatively affected by unemployment in relation to their health and mental health statuses than are men. Greece has been more deeply affected by the financial crisis than any other EU country, and this study contributes by offering estimates for before and during the financial crisis and considering causality issues. Because health and mental health indicators increase more rapidly in a context of higher surrounding unemployment, policy action must place greater emphasis on unemployment reduction and supporting women's employment.","author":[{"dropping-particle":"","family":"Drydakis","given":"Nick","non-dropping-particle":"","parse-names":false,"suffix":""}],"container-title":"Social Science &amp; Medicine","id":"ITEM-2","issued":{"date-parts":[["2015"]]},"page":"43-51","title":"The effect of unemployment on self-reported health and mental health in Greece from 2008 to 2013: A longitudinal study before and during the financial crisis","type":"article-journal","volume":"128"},"uris":["http://www.mendeley.com/documents/?uuid=a6914b33-61eb-302f-b62b-e5a4f30005e9"]},{"id":"ITEM-3","itemData":{"DOI":"10.1037/1076-8998.7.4.302","ISSN":"10768998","abstract":"The authors tested hypotheses concerning risk mechanisms that follow involuntary job loss resulting in depression and the link between depression and poor health and functioning. A 2-year longitudinal study of 756 people experiencing job loss indicates that the critical mediating mechanisms in the chain of adversity from job loss to poor health and functioning are financial strain (FS) and a reduction in personal control (PC). FS mediates the relationship of job loss with depression and PC, whereas reduced PC mediates the adverse impacts of FS and depression on poor functioning and self-reports of poor health. Results suggest that loss of PC is a pathway through which economic adversity is transformed into chronic problems of poor health and impaired role and emotional functioning. Copyright 2002 by the Educational Publishing Foundation.","author":[{"dropping-particle":"","family":"Price","given":"Richard H.","non-dropping-particle":"","parse-names":false,"suffix":""},{"dropping-particle":"","family":"Choi","given":"Jin Nam","non-dropping-particle":"","parse-names":false,"suffix":""},{"dropping-particle":"","family":"Vinokur","given":"Amiram D.","non-dropping-particle":"","parse-names":false,"suffix":""}],"container-title":"Journal of Occupational Health Psychology","id":"ITEM-3","issue":"4","issued":{"date-parts":[["2002","10"]]},"page":"302-312","title":"Links in the chain of adversity following job loss: How financial strain and loss of personal control lead to depression, impaired functioning, and poor health","type":"article-journal","volume":"7"},"uris":["http://www.mendeley.com/documents/?uuid=6f871502-b2b4-3759-8913-c8978622a648"]}],"mendeley":{"formattedCitation":"(Drydakis, 2015; Minelli et al., 2014; Price et al., 2002)","plainTextFormattedCitation":"(Drydakis, 2015; Minelli et al., 2014; Price et al., 2002)","previouslyFormattedCitation":"(Drydakis, 2015; Minelli et al., 2014; Price et al., 2002)"},"properties":{"noteIndex":0},"schema":"https://github.com/citation-style-language/schema/raw/master/csl-citation.json"}</w:instrText>
      </w:r>
      <w:r w:rsidR="009237BF" w:rsidRPr="00837BF1">
        <w:rPr>
          <w:rFonts w:ascii="Arial" w:hAnsi="Arial" w:cs="Arial"/>
        </w:rPr>
        <w:fldChar w:fldCharType="separate"/>
      </w:r>
      <w:r w:rsidR="009237BF" w:rsidRPr="00837BF1">
        <w:rPr>
          <w:rFonts w:ascii="Arial" w:hAnsi="Arial" w:cs="Arial"/>
          <w:noProof/>
        </w:rPr>
        <w:t>(Drydakis, 2015; Minelli</w:t>
      </w:r>
      <w:r w:rsidR="00FD6EA2" w:rsidRPr="00837BF1">
        <w:rPr>
          <w:rFonts w:ascii="Arial" w:hAnsi="Arial" w:cs="Arial"/>
          <w:noProof/>
        </w:rPr>
        <w:t>, Pigini</w:t>
      </w:r>
      <w:r w:rsidR="007C633F" w:rsidRPr="00837BF1">
        <w:rPr>
          <w:rFonts w:ascii="Arial" w:hAnsi="Arial" w:cs="Arial"/>
          <w:noProof/>
        </w:rPr>
        <w:t>, Chiavarini</w:t>
      </w:r>
      <w:r w:rsidR="009237BF" w:rsidRPr="00837BF1">
        <w:rPr>
          <w:rFonts w:ascii="Arial" w:hAnsi="Arial" w:cs="Arial"/>
          <w:noProof/>
        </w:rPr>
        <w:t>,</w:t>
      </w:r>
      <w:r w:rsidR="007C633F" w:rsidRPr="00837BF1">
        <w:rPr>
          <w:rFonts w:ascii="Arial" w:hAnsi="Arial" w:cs="Arial"/>
          <w:noProof/>
        </w:rPr>
        <w:t xml:space="preserve"> &amp; Bartolucci</w:t>
      </w:r>
      <w:r w:rsidR="000357EF" w:rsidRPr="00837BF1">
        <w:rPr>
          <w:rFonts w:ascii="Arial" w:hAnsi="Arial" w:cs="Arial"/>
          <w:noProof/>
        </w:rPr>
        <w:t>,</w:t>
      </w:r>
      <w:r w:rsidR="009237BF" w:rsidRPr="00837BF1">
        <w:rPr>
          <w:rFonts w:ascii="Arial" w:hAnsi="Arial" w:cs="Arial"/>
          <w:noProof/>
        </w:rPr>
        <w:t xml:space="preserve"> 2014; Price</w:t>
      </w:r>
      <w:r w:rsidR="000357EF" w:rsidRPr="00837BF1">
        <w:rPr>
          <w:rFonts w:ascii="Arial" w:hAnsi="Arial" w:cs="Arial"/>
          <w:noProof/>
        </w:rPr>
        <w:t>, Choi, &amp;</w:t>
      </w:r>
      <w:r w:rsidR="00CB538A" w:rsidRPr="00837BF1">
        <w:rPr>
          <w:rFonts w:ascii="Arial" w:hAnsi="Arial" w:cs="Arial"/>
          <w:noProof/>
        </w:rPr>
        <w:t xml:space="preserve"> Vinokur</w:t>
      </w:r>
      <w:r w:rsidR="009237BF" w:rsidRPr="00837BF1">
        <w:rPr>
          <w:rFonts w:ascii="Arial" w:hAnsi="Arial" w:cs="Arial"/>
          <w:noProof/>
        </w:rPr>
        <w:t>, 2002)</w:t>
      </w:r>
      <w:r w:rsidR="009237BF" w:rsidRPr="00837BF1">
        <w:rPr>
          <w:rFonts w:ascii="Arial" w:hAnsi="Arial" w:cs="Arial"/>
        </w:rPr>
        <w:fldChar w:fldCharType="end"/>
      </w:r>
      <w:r w:rsidR="00142ACD" w:rsidRPr="00837BF1">
        <w:rPr>
          <w:rFonts w:ascii="Arial" w:hAnsi="Arial" w:cs="Arial"/>
        </w:rPr>
        <w:t xml:space="preserve">. </w:t>
      </w:r>
      <w:r w:rsidR="00150E81" w:rsidRPr="00837BF1">
        <w:rPr>
          <w:rFonts w:ascii="Arial" w:hAnsi="Arial" w:cs="Arial"/>
        </w:rPr>
        <w:t>Similarly, adverse mental health outcomes are associat</w:t>
      </w:r>
      <w:r w:rsidR="00A04704" w:rsidRPr="00837BF1">
        <w:rPr>
          <w:rFonts w:ascii="Arial" w:hAnsi="Arial" w:cs="Arial"/>
        </w:rPr>
        <w:t>ed</w:t>
      </w:r>
      <w:r w:rsidR="00150E81" w:rsidRPr="00837BF1">
        <w:rPr>
          <w:rFonts w:ascii="Arial" w:hAnsi="Arial" w:cs="Arial"/>
        </w:rPr>
        <w:t xml:space="preserve"> with precarious work </w:t>
      </w:r>
      <w:r w:rsidR="00BD25B8" w:rsidRPr="00837BF1">
        <w:rPr>
          <w:rFonts w:ascii="Arial" w:hAnsi="Arial" w:cs="Arial"/>
        </w:rPr>
        <w:t>and high job insecurity (</w:t>
      </w:r>
      <w:proofErr w:type="spellStart"/>
      <w:r w:rsidR="00F94ED5" w:rsidRPr="00837BF1">
        <w:rPr>
          <w:rFonts w:ascii="Arial" w:hAnsi="Arial" w:cs="Arial"/>
        </w:rPr>
        <w:t>Sirvi</w:t>
      </w:r>
      <w:r w:rsidR="00961886" w:rsidRPr="00837BF1">
        <w:rPr>
          <w:rFonts w:ascii="Arial" w:hAnsi="Arial" w:cs="Arial"/>
        </w:rPr>
        <w:t>ö</w:t>
      </w:r>
      <w:proofErr w:type="spellEnd"/>
      <w:r w:rsidR="00F94ED5" w:rsidRPr="00837BF1">
        <w:rPr>
          <w:rFonts w:ascii="Arial" w:hAnsi="Arial" w:cs="Arial"/>
        </w:rPr>
        <w:t xml:space="preserve"> et al.,</w:t>
      </w:r>
      <w:r w:rsidR="00565872" w:rsidRPr="00837BF1">
        <w:rPr>
          <w:rFonts w:ascii="Arial" w:hAnsi="Arial" w:cs="Arial"/>
        </w:rPr>
        <w:t xml:space="preserve"> 2012</w:t>
      </w:r>
      <w:r w:rsidR="00BD25B8" w:rsidRPr="00837BF1">
        <w:rPr>
          <w:rFonts w:ascii="Arial" w:hAnsi="Arial" w:cs="Arial"/>
        </w:rPr>
        <w:t>)</w:t>
      </w:r>
      <w:r w:rsidR="00565872" w:rsidRPr="00837BF1">
        <w:rPr>
          <w:rFonts w:ascii="Arial" w:hAnsi="Arial" w:cs="Arial"/>
        </w:rPr>
        <w:t>.</w:t>
      </w:r>
      <w:r w:rsidR="00D26E57" w:rsidRPr="00837BF1">
        <w:rPr>
          <w:rFonts w:ascii="Arial" w:hAnsi="Arial" w:cs="Arial"/>
        </w:rPr>
        <w:t xml:space="preserve"> The Covid-19 pandemic</w:t>
      </w:r>
      <w:r w:rsidR="003E3601" w:rsidRPr="00837BF1">
        <w:rPr>
          <w:rFonts w:ascii="Arial" w:hAnsi="Arial" w:cs="Arial"/>
        </w:rPr>
        <w:t>, however,</w:t>
      </w:r>
      <w:r w:rsidR="00D26E57" w:rsidRPr="00837BF1">
        <w:rPr>
          <w:rFonts w:ascii="Arial" w:hAnsi="Arial" w:cs="Arial"/>
        </w:rPr>
        <w:t xml:space="preserve"> </w:t>
      </w:r>
      <w:r w:rsidR="00C656F7" w:rsidRPr="00837BF1">
        <w:rPr>
          <w:rFonts w:ascii="Arial" w:hAnsi="Arial" w:cs="Arial"/>
        </w:rPr>
        <w:t xml:space="preserve">has resulted in employment transitions that are less well evidenced in terms of the mental health consequences, with little known about the impact among </w:t>
      </w:r>
      <w:r w:rsidR="005F5F0E" w:rsidRPr="00837BF1">
        <w:rPr>
          <w:rFonts w:ascii="Arial" w:hAnsi="Arial" w:cs="Arial"/>
        </w:rPr>
        <w:t>f</w:t>
      </w:r>
      <w:r w:rsidR="00C656F7" w:rsidRPr="00837BF1">
        <w:rPr>
          <w:rFonts w:ascii="Arial" w:hAnsi="Arial" w:cs="Arial"/>
        </w:rPr>
        <w:t>urloughed workers, for example.</w:t>
      </w:r>
    </w:p>
    <w:p w14:paraId="15309591" w14:textId="77777777" w:rsidR="00565872" w:rsidRPr="00837BF1" w:rsidRDefault="00565872" w:rsidP="00E213C8">
      <w:pPr>
        <w:spacing w:after="0" w:line="480" w:lineRule="auto"/>
        <w:jc w:val="both"/>
        <w:rPr>
          <w:rFonts w:ascii="Arial" w:hAnsi="Arial" w:cs="Arial"/>
        </w:rPr>
      </w:pPr>
    </w:p>
    <w:p w14:paraId="424F0B8D" w14:textId="2547ECA6" w:rsidR="00BD25B8" w:rsidRPr="00837BF1" w:rsidRDefault="00F0431D" w:rsidP="00E213C8">
      <w:pPr>
        <w:spacing w:after="0" w:line="480" w:lineRule="auto"/>
        <w:jc w:val="both"/>
        <w:rPr>
          <w:rFonts w:ascii="Arial" w:hAnsi="Arial" w:cs="Arial"/>
        </w:rPr>
      </w:pPr>
      <w:r w:rsidRPr="00837BF1">
        <w:rPr>
          <w:rFonts w:ascii="Arial" w:hAnsi="Arial" w:cs="Arial"/>
        </w:rPr>
        <w:t xml:space="preserve">The new Understanding Society </w:t>
      </w:r>
      <w:r w:rsidR="00AB4F10" w:rsidRPr="00837BF1">
        <w:rPr>
          <w:rFonts w:ascii="Arial" w:hAnsi="Arial" w:cs="Arial"/>
        </w:rPr>
        <w:t xml:space="preserve">UK Household Longitudinal </w:t>
      </w:r>
      <w:r w:rsidR="008577EE" w:rsidRPr="00837BF1">
        <w:rPr>
          <w:rFonts w:ascii="Arial" w:hAnsi="Arial" w:cs="Arial"/>
        </w:rPr>
        <w:t xml:space="preserve">Study </w:t>
      </w:r>
      <w:r w:rsidR="00D95F8C" w:rsidRPr="00837BF1">
        <w:rPr>
          <w:rFonts w:ascii="Arial" w:hAnsi="Arial" w:cs="Arial"/>
        </w:rPr>
        <w:t>(UKHLS)</w:t>
      </w:r>
      <w:r w:rsidRPr="00837BF1">
        <w:rPr>
          <w:rFonts w:ascii="Arial" w:hAnsi="Arial" w:cs="Arial"/>
        </w:rPr>
        <w:t xml:space="preserve"> COVID-19 study permits examination of th</w:t>
      </w:r>
      <w:r w:rsidR="004D69BC" w:rsidRPr="00837BF1">
        <w:rPr>
          <w:rFonts w:ascii="Arial" w:hAnsi="Arial" w:cs="Arial"/>
        </w:rPr>
        <w:t xml:space="preserve">e impact of the pandemic and </w:t>
      </w:r>
      <w:r w:rsidR="00A81789" w:rsidRPr="00837BF1">
        <w:rPr>
          <w:rFonts w:ascii="Arial" w:hAnsi="Arial" w:cs="Arial"/>
        </w:rPr>
        <w:t>practical responses</w:t>
      </w:r>
      <w:r w:rsidRPr="00837BF1">
        <w:rPr>
          <w:rFonts w:ascii="Arial" w:hAnsi="Arial" w:cs="Arial"/>
        </w:rPr>
        <w:t xml:space="preserve"> on work and mental health in the general population. </w:t>
      </w:r>
      <w:r w:rsidR="0022646D" w:rsidRPr="00837BF1">
        <w:rPr>
          <w:rFonts w:ascii="Arial" w:hAnsi="Arial" w:cs="Arial"/>
        </w:rPr>
        <w:t xml:space="preserve">The mental health </w:t>
      </w:r>
      <w:r w:rsidR="00094ADC" w:rsidRPr="00837BF1">
        <w:rPr>
          <w:rFonts w:ascii="Arial" w:hAnsi="Arial" w:cs="Arial"/>
        </w:rPr>
        <w:t xml:space="preserve">impact of the pandemic </w:t>
      </w:r>
      <w:r w:rsidR="00366C8F" w:rsidRPr="00837BF1">
        <w:rPr>
          <w:rFonts w:ascii="Arial" w:hAnsi="Arial" w:cs="Arial"/>
        </w:rPr>
        <w:t xml:space="preserve">connected with the widespread change in </w:t>
      </w:r>
      <w:r w:rsidR="005F4D24" w:rsidRPr="00837BF1">
        <w:rPr>
          <w:rFonts w:ascii="Arial" w:hAnsi="Arial" w:cs="Arial"/>
        </w:rPr>
        <w:t>daily working life poses</w:t>
      </w:r>
      <w:r w:rsidR="00094ADC" w:rsidRPr="00837BF1">
        <w:rPr>
          <w:rFonts w:ascii="Arial" w:hAnsi="Arial" w:cs="Arial"/>
        </w:rPr>
        <w:t xml:space="preserve"> </w:t>
      </w:r>
      <w:r w:rsidR="00245C35" w:rsidRPr="00837BF1">
        <w:rPr>
          <w:rFonts w:ascii="Arial" w:hAnsi="Arial" w:cs="Arial"/>
        </w:rPr>
        <w:t>substantial</w:t>
      </w:r>
      <w:r w:rsidR="00094ADC" w:rsidRPr="00837BF1">
        <w:rPr>
          <w:rFonts w:ascii="Arial" w:hAnsi="Arial" w:cs="Arial"/>
        </w:rPr>
        <w:t xml:space="preserve"> </w:t>
      </w:r>
      <w:r w:rsidR="005F4D24" w:rsidRPr="00837BF1">
        <w:rPr>
          <w:rFonts w:ascii="Arial" w:hAnsi="Arial" w:cs="Arial"/>
        </w:rPr>
        <w:t>challenges</w:t>
      </w:r>
      <w:r w:rsidR="00094ADC" w:rsidRPr="00837BF1">
        <w:rPr>
          <w:rFonts w:ascii="Arial" w:hAnsi="Arial" w:cs="Arial"/>
        </w:rPr>
        <w:t xml:space="preserve"> </w:t>
      </w:r>
      <w:r w:rsidR="005F4D24" w:rsidRPr="00837BF1">
        <w:rPr>
          <w:rFonts w:ascii="Arial" w:hAnsi="Arial" w:cs="Arial"/>
        </w:rPr>
        <w:t>for mental health policy and practice</w:t>
      </w:r>
      <w:r w:rsidR="00567B8A" w:rsidRPr="00837BF1">
        <w:rPr>
          <w:rFonts w:ascii="Arial" w:hAnsi="Arial" w:cs="Arial"/>
        </w:rPr>
        <w:t xml:space="preserve">. </w:t>
      </w:r>
      <w:r w:rsidR="00421D69" w:rsidRPr="00837BF1">
        <w:rPr>
          <w:rFonts w:ascii="Arial" w:hAnsi="Arial" w:cs="Arial"/>
        </w:rPr>
        <w:t xml:space="preserve">The monitoring of mental health needs among </w:t>
      </w:r>
      <w:r w:rsidR="00A63A93" w:rsidRPr="00837BF1">
        <w:rPr>
          <w:rFonts w:ascii="Arial" w:hAnsi="Arial" w:cs="Arial"/>
        </w:rPr>
        <w:t>workers, as well as the wider population, is imperative</w:t>
      </w:r>
      <w:r w:rsidR="001A1089" w:rsidRPr="00837BF1">
        <w:rPr>
          <w:rFonts w:ascii="Arial" w:hAnsi="Arial" w:cs="Arial"/>
        </w:rPr>
        <w:t xml:space="preserve"> to help inform government, service providers and employers of </w:t>
      </w:r>
      <w:r w:rsidR="005F184E" w:rsidRPr="00837BF1">
        <w:rPr>
          <w:rFonts w:ascii="Arial" w:hAnsi="Arial" w:cs="Arial"/>
        </w:rPr>
        <w:t xml:space="preserve">groups that </w:t>
      </w:r>
      <w:r w:rsidR="00377341" w:rsidRPr="00837BF1">
        <w:rPr>
          <w:rFonts w:ascii="Arial" w:hAnsi="Arial" w:cs="Arial"/>
        </w:rPr>
        <w:t xml:space="preserve">should be prioritised in terms of mental health support. </w:t>
      </w:r>
      <w:r w:rsidR="00D162E1" w:rsidRPr="00837BF1">
        <w:rPr>
          <w:rFonts w:ascii="Arial" w:hAnsi="Arial" w:cs="Arial"/>
        </w:rPr>
        <w:t xml:space="preserve">In this analysis we test the hypothesis that </w:t>
      </w:r>
      <w:r w:rsidR="00D162E1" w:rsidRPr="00837BF1">
        <w:rPr>
          <w:rFonts w:ascii="Arial" w:hAnsi="Arial" w:cs="Arial"/>
          <w:i/>
          <w:iCs/>
        </w:rPr>
        <w:t>reduced working</w:t>
      </w:r>
      <w:r w:rsidR="00D162E1" w:rsidRPr="00837BF1">
        <w:rPr>
          <w:rFonts w:ascii="Arial" w:hAnsi="Arial" w:cs="Arial"/>
        </w:rPr>
        <w:t xml:space="preserve"> </w:t>
      </w:r>
      <w:r w:rsidR="00A85CB1" w:rsidRPr="00837BF1">
        <w:rPr>
          <w:rFonts w:ascii="Arial" w:hAnsi="Arial" w:cs="Arial"/>
        </w:rPr>
        <w:t>impacted</w:t>
      </w:r>
      <w:r w:rsidR="000C383C" w:rsidRPr="00837BF1">
        <w:rPr>
          <w:rFonts w:ascii="Arial" w:hAnsi="Arial" w:cs="Arial"/>
        </w:rPr>
        <w:t xml:space="preserve"> on mental health in the early months of </w:t>
      </w:r>
      <w:r w:rsidR="0018365F" w:rsidRPr="00837BF1">
        <w:rPr>
          <w:rFonts w:ascii="Arial" w:hAnsi="Arial" w:cs="Arial"/>
        </w:rPr>
        <w:t>COVID-19</w:t>
      </w:r>
      <w:r w:rsidR="00CB5C4F" w:rsidRPr="00837BF1">
        <w:rPr>
          <w:rFonts w:ascii="Arial" w:hAnsi="Arial" w:cs="Arial"/>
        </w:rPr>
        <w:t>, with</w:t>
      </w:r>
      <w:r w:rsidR="00832840" w:rsidRPr="00837BF1">
        <w:rPr>
          <w:rFonts w:ascii="Arial" w:hAnsi="Arial" w:cs="Arial"/>
        </w:rPr>
        <w:t xml:space="preserve"> </w:t>
      </w:r>
      <w:r w:rsidR="00AA7A17" w:rsidRPr="00837BF1">
        <w:rPr>
          <w:rFonts w:ascii="Arial" w:hAnsi="Arial" w:cs="Arial"/>
        </w:rPr>
        <w:t xml:space="preserve">further </w:t>
      </w:r>
      <w:r w:rsidR="00530D65" w:rsidRPr="00837BF1">
        <w:rPr>
          <w:rFonts w:ascii="Arial" w:hAnsi="Arial" w:cs="Arial"/>
        </w:rPr>
        <w:t>examin</w:t>
      </w:r>
      <w:r w:rsidR="00CB5C4F" w:rsidRPr="00837BF1">
        <w:rPr>
          <w:rFonts w:ascii="Arial" w:hAnsi="Arial" w:cs="Arial"/>
        </w:rPr>
        <w:t>ation</w:t>
      </w:r>
      <w:r w:rsidR="00530D65" w:rsidRPr="00837BF1">
        <w:rPr>
          <w:rFonts w:ascii="Arial" w:hAnsi="Arial" w:cs="Arial"/>
        </w:rPr>
        <w:t xml:space="preserve"> </w:t>
      </w:r>
      <w:r w:rsidR="00CB5C4F" w:rsidRPr="00837BF1">
        <w:rPr>
          <w:rFonts w:ascii="Arial" w:hAnsi="Arial" w:cs="Arial"/>
        </w:rPr>
        <w:t xml:space="preserve">of </w:t>
      </w:r>
      <w:r w:rsidR="00AA7EBD" w:rsidRPr="00837BF1">
        <w:rPr>
          <w:rFonts w:ascii="Arial" w:hAnsi="Arial" w:cs="Arial"/>
        </w:rPr>
        <w:t xml:space="preserve">whether </w:t>
      </w:r>
      <w:r w:rsidR="00712429" w:rsidRPr="00837BF1">
        <w:rPr>
          <w:rFonts w:ascii="Arial" w:hAnsi="Arial" w:cs="Arial"/>
        </w:rPr>
        <w:t xml:space="preserve">different </w:t>
      </w:r>
      <w:r w:rsidR="009E6B6F" w:rsidRPr="00837BF1">
        <w:rPr>
          <w:rFonts w:ascii="Arial" w:hAnsi="Arial" w:cs="Arial"/>
          <w:i/>
          <w:iCs/>
        </w:rPr>
        <w:t xml:space="preserve">reasons for </w:t>
      </w:r>
      <w:r w:rsidR="00BD25B8" w:rsidRPr="00837BF1">
        <w:rPr>
          <w:rFonts w:ascii="Arial" w:hAnsi="Arial" w:cs="Arial"/>
          <w:i/>
          <w:iCs/>
        </w:rPr>
        <w:t>reduced working</w:t>
      </w:r>
      <w:r w:rsidR="00BD25B8" w:rsidRPr="00837BF1">
        <w:rPr>
          <w:rFonts w:ascii="Arial" w:hAnsi="Arial" w:cs="Arial"/>
        </w:rPr>
        <w:t xml:space="preserve"> </w:t>
      </w:r>
      <w:r w:rsidR="0018365F" w:rsidRPr="00837BF1">
        <w:rPr>
          <w:rFonts w:ascii="Arial" w:hAnsi="Arial" w:cs="Arial"/>
        </w:rPr>
        <w:t xml:space="preserve">impacted </w:t>
      </w:r>
      <w:r w:rsidR="009A1904" w:rsidRPr="00837BF1">
        <w:rPr>
          <w:rFonts w:ascii="Arial" w:hAnsi="Arial" w:cs="Arial"/>
        </w:rPr>
        <w:t>on mental health</w:t>
      </w:r>
      <w:r w:rsidR="00C27F3D" w:rsidRPr="00837BF1">
        <w:rPr>
          <w:rFonts w:ascii="Arial" w:hAnsi="Arial" w:cs="Arial"/>
        </w:rPr>
        <w:t xml:space="preserve">, controlling for other individual characteristics. </w:t>
      </w:r>
      <w:r w:rsidR="00BD25B8" w:rsidRPr="00837BF1">
        <w:rPr>
          <w:rFonts w:ascii="Arial" w:hAnsi="Arial" w:cs="Arial"/>
        </w:rPr>
        <w:t xml:space="preserve"> </w:t>
      </w:r>
    </w:p>
    <w:p w14:paraId="4F1AAF69" w14:textId="4DC83FB0" w:rsidR="00C4033D" w:rsidRPr="00837BF1" w:rsidRDefault="00C4033D" w:rsidP="00E213C8">
      <w:pPr>
        <w:spacing w:after="0" w:line="480" w:lineRule="auto"/>
        <w:jc w:val="both"/>
        <w:rPr>
          <w:rFonts w:ascii="Arial" w:hAnsi="Arial" w:cs="Arial"/>
        </w:rPr>
      </w:pPr>
    </w:p>
    <w:p w14:paraId="2CA76590" w14:textId="77777777" w:rsidR="00143002" w:rsidRPr="00837BF1" w:rsidRDefault="00143002">
      <w:pPr>
        <w:rPr>
          <w:rFonts w:ascii="Arial" w:hAnsi="Arial" w:cs="Arial"/>
          <w:b/>
          <w:bCs/>
        </w:rPr>
      </w:pPr>
      <w:r w:rsidRPr="00837BF1">
        <w:rPr>
          <w:rFonts w:ascii="Arial" w:hAnsi="Arial" w:cs="Arial"/>
          <w:b/>
          <w:bCs/>
        </w:rPr>
        <w:br w:type="page"/>
      </w:r>
    </w:p>
    <w:p w14:paraId="16401609" w14:textId="066D5D78" w:rsidR="00C4033D" w:rsidRPr="00837BF1" w:rsidRDefault="00C4033D" w:rsidP="00E213C8">
      <w:pPr>
        <w:spacing w:after="0" w:line="480" w:lineRule="auto"/>
        <w:jc w:val="both"/>
        <w:rPr>
          <w:rFonts w:ascii="Arial" w:hAnsi="Arial" w:cs="Arial"/>
          <w:b/>
          <w:bCs/>
        </w:rPr>
      </w:pPr>
      <w:r w:rsidRPr="00837BF1">
        <w:rPr>
          <w:rFonts w:ascii="Arial" w:hAnsi="Arial" w:cs="Arial"/>
          <w:b/>
          <w:bCs/>
        </w:rPr>
        <w:lastRenderedPageBreak/>
        <w:t>Methods</w:t>
      </w:r>
    </w:p>
    <w:p w14:paraId="2209A70F" w14:textId="22E52782" w:rsidR="00C4033D" w:rsidRPr="00837BF1" w:rsidRDefault="00C4033D" w:rsidP="00E213C8">
      <w:pPr>
        <w:spacing w:after="0" w:line="480" w:lineRule="auto"/>
        <w:jc w:val="both"/>
        <w:rPr>
          <w:rFonts w:ascii="Arial" w:hAnsi="Arial" w:cs="Arial"/>
        </w:rPr>
      </w:pPr>
      <w:r w:rsidRPr="00837BF1">
        <w:rPr>
          <w:rFonts w:ascii="Arial" w:hAnsi="Arial" w:cs="Arial"/>
        </w:rPr>
        <w:t>Data</w:t>
      </w:r>
    </w:p>
    <w:p w14:paraId="4C296338" w14:textId="1D24AC44" w:rsidR="00C4033D" w:rsidRPr="00837BF1" w:rsidRDefault="00C4033D" w:rsidP="00E213C8">
      <w:pPr>
        <w:spacing w:after="0" w:line="480" w:lineRule="auto"/>
        <w:jc w:val="both"/>
        <w:rPr>
          <w:rFonts w:ascii="Arial" w:hAnsi="Arial" w:cs="Arial"/>
        </w:rPr>
      </w:pPr>
      <w:r w:rsidRPr="00837BF1">
        <w:rPr>
          <w:rFonts w:ascii="Arial" w:hAnsi="Arial" w:cs="Arial"/>
        </w:rPr>
        <w:t xml:space="preserve">The study </w:t>
      </w:r>
      <w:r w:rsidR="00493ADA" w:rsidRPr="00837BF1">
        <w:rPr>
          <w:rFonts w:ascii="Arial" w:hAnsi="Arial" w:cs="Arial"/>
        </w:rPr>
        <w:t>is</w:t>
      </w:r>
      <w:r w:rsidRPr="00837BF1">
        <w:rPr>
          <w:rFonts w:ascii="Arial" w:hAnsi="Arial" w:cs="Arial"/>
        </w:rPr>
        <w:t xml:space="preserve"> based on the </w:t>
      </w:r>
      <w:r w:rsidR="004041FC" w:rsidRPr="00837BF1">
        <w:rPr>
          <w:rFonts w:ascii="Arial" w:hAnsi="Arial" w:cs="Arial"/>
        </w:rPr>
        <w:t xml:space="preserve">first wave (April 2020) of the </w:t>
      </w:r>
      <w:r w:rsidR="00D95F8C" w:rsidRPr="00837BF1">
        <w:rPr>
          <w:rFonts w:ascii="Arial" w:hAnsi="Arial" w:cs="Arial"/>
        </w:rPr>
        <w:t>UKHLS</w:t>
      </w:r>
      <w:r w:rsidR="00E97D43" w:rsidRPr="00837BF1">
        <w:rPr>
          <w:rFonts w:ascii="Arial" w:hAnsi="Arial" w:cs="Arial"/>
        </w:rPr>
        <w:t xml:space="preserve"> </w:t>
      </w:r>
      <w:r w:rsidR="004041FC" w:rsidRPr="00837BF1">
        <w:rPr>
          <w:rFonts w:ascii="Arial" w:hAnsi="Arial" w:cs="Arial"/>
        </w:rPr>
        <w:t>COVID-19 study</w:t>
      </w:r>
      <w:r w:rsidR="000F4E3D" w:rsidRPr="00837BF1">
        <w:rPr>
          <w:rFonts w:ascii="Arial" w:hAnsi="Arial" w:cs="Arial"/>
        </w:rPr>
        <w:t xml:space="preserve"> </w:t>
      </w:r>
      <w:r w:rsidR="00484223" w:rsidRPr="00837BF1">
        <w:rPr>
          <w:rFonts w:ascii="Arial" w:hAnsi="Arial" w:cs="Arial"/>
        </w:rPr>
        <w:t xml:space="preserve">(the COVID-19 </w:t>
      </w:r>
      <w:r w:rsidR="00034C70" w:rsidRPr="00837BF1">
        <w:rPr>
          <w:rFonts w:ascii="Arial" w:hAnsi="Arial" w:cs="Arial"/>
        </w:rPr>
        <w:t>s</w:t>
      </w:r>
      <w:r w:rsidR="00927D49" w:rsidRPr="00837BF1">
        <w:rPr>
          <w:rFonts w:ascii="Arial" w:hAnsi="Arial" w:cs="Arial"/>
        </w:rPr>
        <w:t>tudy</w:t>
      </w:r>
      <w:r w:rsidR="00484223" w:rsidRPr="00837BF1">
        <w:rPr>
          <w:rFonts w:ascii="Arial" w:hAnsi="Arial" w:cs="Arial"/>
        </w:rPr>
        <w:t>)</w:t>
      </w:r>
      <w:r w:rsidR="00493ADA" w:rsidRPr="00837BF1">
        <w:rPr>
          <w:rFonts w:ascii="Arial" w:hAnsi="Arial" w:cs="Arial"/>
        </w:rPr>
        <w:t xml:space="preserve"> </w:t>
      </w:r>
      <w:r w:rsidR="004041FC" w:rsidRPr="00837BF1">
        <w:rPr>
          <w:rFonts w:ascii="Arial" w:hAnsi="Arial" w:cs="Arial"/>
        </w:rPr>
        <w:t>- a new</w:t>
      </w:r>
      <w:r w:rsidR="001D4872" w:rsidRPr="00837BF1">
        <w:rPr>
          <w:rFonts w:ascii="Arial" w:hAnsi="Arial" w:cs="Arial"/>
        </w:rPr>
        <w:t xml:space="preserve"> general population survey</w:t>
      </w:r>
      <w:r w:rsidR="00203A10" w:rsidRPr="00837BF1">
        <w:rPr>
          <w:rFonts w:ascii="Arial" w:hAnsi="Arial" w:cs="Arial"/>
        </w:rPr>
        <w:t xml:space="preserve"> on the experiences and reactions of the UK population to the pandemic</w:t>
      </w:r>
      <w:r w:rsidR="0001623C" w:rsidRPr="00837BF1">
        <w:rPr>
          <w:rFonts w:ascii="Arial" w:hAnsi="Arial" w:cs="Arial"/>
        </w:rPr>
        <w:t xml:space="preserve"> (University of Essex, In</w:t>
      </w:r>
      <w:r w:rsidR="00BA36E9" w:rsidRPr="00837BF1">
        <w:rPr>
          <w:rFonts w:ascii="Arial" w:hAnsi="Arial" w:cs="Arial"/>
        </w:rPr>
        <w:t>s</w:t>
      </w:r>
      <w:r w:rsidR="0001623C" w:rsidRPr="00837BF1">
        <w:rPr>
          <w:rFonts w:ascii="Arial" w:hAnsi="Arial" w:cs="Arial"/>
        </w:rPr>
        <w:t>titute</w:t>
      </w:r>
      <w:r w:rsidR="00BA36E9" w:rsidRPr="00837BF1">
        <w:rPr>
          <w:rFonts w:ascii="Arial" w:hAnsi="Arial" w:cs="Arial"/>
        </w:rPr>
        <w:t xml:space="preserve"> for Social and Economic Research, 2020)</w:t>
      </w:r>
      <w:r w:rsidR="00203A10" w:rsidRPr="00837BF1">
        <w:rPr>
          <w:rFonts w:ascii="Arial" w:hAnsi="Arial" w:cs="Arial"/>
        </w:rPr>
        <w:t>.</w:t>
      </w:r>
      <w:r w:rsidR="00E97D43" w:rsidRPr="00837BF1">
        <w:rPr>
          <w:rFonts w:ascii="Arial" w:hAnsi="Arial" w:cs="Arial"/>
        </w:rPr>
        <w:t xml:space="preserve"> The survey </w:t>
      </w:r>
      <w:r w:rsidR="008C2027" w:rsidRPr="00837BF1">
        <w:rPr>
          <w:rFonts w:ascii="Arial" w:hAnsi="Arial" w:cs="Arial"/>
        </w:rPr>
        <w:t xml:space="preserve">is a representative study of the UK </w:t>
      </w:r>
      <w:r w:rsidR="007371EE" w:rsidRPr="00837BF1">
        <w:rPr>
          <w:rFonts w:ascii="Arial" w:hAnsi="Arial" w:cs="Arial"/>
        </w:rPr>
        <w:t xml:space="preserve">general population and </w:t>
      </w:r>
      <w:r w:rsidR="00E97D43" w:rsidRPr="00837BF1">
        <w:rPr>
          <w:rFonts w:ascii="Arial" w:hAnsi="Arial" w:cs="Arial"/>
        </w:rPr>
        <w:t xml:space="preserve">includes all members of the main </w:t>
      </w:r>
      <w:r w:rsidR="00D95F8C" w:rsidRPr="00837BF1">
        <w:rPr>
          <w:rFonts w:ascii="Arial" w:hAnsi="Arial" w:cs="Arial"/>
        </w:rPr>
        <w:t>UKHLS</w:t>
      </w:r>
      <w:r w:rsidR="003958D7" w:rsidRPr="00837BF1">
        <w:rPr>
          <w:rFonts w:ascii="Arial" w:hAnsi="Arial" w:cs="Arial"/>
        </w:rPr>
        <w:t xml:space="preserve"> samples, with the </w:t>
      </w:r>
      <w:r w:rsidR="003958D7" w:rsidRPr="00837BF1">
        <w:rPr>
          <w:rFonts w:ascii="Arial" w:hAnsi="Arial" w:cs="Arial"/>
          <w:i/>
          <w:iCs/>
        </w:rPr>
        <w:t>active</w:t>
      </w:r>
      <w:r w:rsidR="003958D7" w:rsidRPr="00837BF1">
        <w:rPr>
          <w:rFonts w:ascii="Arial" w:hAnsi="Arial" w:cs="Arial"/>
        </w:rPr>
        <w:t xml:space="preserve"> sample including everyone in households </w:t>
      </w:r>
      <w:r w:rsidR="007F7DF1" w:rsidRPr="00837BF1">
        <w:rPr>
          <w:rFonts w:ascii="Arial" w:hAnsi="Arial" w:cs="Arial"/>
        </w:rPr>
        <w:t xml:space="preserve">that participated in at least one of the </w:t>
      </w:r>
      <w:r w:rsidR="00F50B02" w:rsidRPr="00837BF1">
        <w:rPr>
          <w:rFonts w:ascii="Arial" w:hAnsi="Arial" w:cs="Arial"/>
        </w:rPr>
        <w:t>previous</w:t>
      </w:r>
      <w:r w:rsidR="007F7DF1" w:rsidRPr="00837BF1">
        <w:rPr>
          <w:rFonts w:ascii="Arial" w:hAnsi="Arial" w:cs="Arial"/>
        </w:rPr>
        <w:t xml:space="preserve"> two waves of the main annual survey</w:t>
      </w:r>
      <w:r w:rsidR="007336D3" w:rsidRPr="00837BF1">
        <w:rPr>
          <w:rFonts w:ascii="Arial" w:hAnsi="Arial" w:cs="Arial"/>
        </w:rPr>
        <w:t xml:space="preserve">. The April web-based survey included 17,452 individuals, including 15,835 individuals </w:t>
      </w:r>
      <w:r w:rsidR="005B4E56" w:rsidRPr="00837BF1">
        <w:rPr>
          <w:rFonts w:ascii="Arial" w:hAnsi="Arial" w:cs="Arial"/>
        </w:rPr>
        <w:t>who</w:t>
      </w:r>
      <w:r w:rsidR="007336D3" w:rsidRPr="00837BF1">
        <w:rPr>
          <w:rFonts w:ascii="Arial" w:hAnsi="Arial" w:cs="Arial"/>
        </w:rPr>
        <w:t xml:space="preserve"> had completed </w:t>
      </w:r>
      <w:r w:rsidR="00752B4F" w:rsidRPr="00837BF1">
        <w:rPr>
          <w:rFonts w:ascii="Arial" w:hAnsi="Arial" w:cs="Arial"/>
        </w:rPr>
        <w:t xml:space="preserve">wave 9 of the </w:t>
      </w:r>
      <w:r w:rsidR="003E24C6" w:rsidRPr="00837BF1">
        <w:rPr>
          <w:rFonts w:ascii="Arial" w:hAnsi="Arial" w:cs="Arial"/>
        </w:rPr>
        <w:t>main</w:t>
      </w:r>
      <w:r w:rsidR="00752B4F" w:rsidRPr="00837BF1">
        <w:rPr>
          <w:rFonts w:ascii="Arial" w:hAnsi="Arial" w:cs="Arial"/>
        </w:rPr>
        <w:t xml:space="preserve"> </w:t>
      </w:r>
      <w:r w:rsidR="00D95F8C" w:rsidRPr="00837BF1">
        <w:rPr>
          <w:rFonts w:ascii="Arial" w:hAnsi="Arial" w:cs="Arial"/>
        </w:rPr>
        <w:t>UKHLS</w:t>
      </w:r>
      <w:r w:rsidR="00752B4F" w:rsidRPr="00837BF1">
        <w:rPr>
          <w:rFonts w:ascii="Arial" w:hAnsi="Arial" w:cs="Arial"/>
        </w:rPr>
        <w:t xml:space="preserve"> study</w:t>
      </w:r>
      <w:r w:rsidR="00493ADA" w:rsidRPr="00837BF1">
        <w:rPr>
          <w:rFonts w:ascii="Arial" w:hAnsi="Arial" w:cs="Arial"/>
        </w:rPr>
        <w:t xml:space="preserve"> (</w:t>
      </w:r>
      <w:r w:rsidR="001802C3" w:rsidRPr="00837BF1">
        <w:rPr>
          <w:rFonts w:ascii="Arial" w:hAnsi="Arial" w:cs="Arial"/>
        </w:rPr>
        <w:t>January 2017 and December 2018</w:t>
      </w:r>
      <w:r w:rsidR="00493ADA" w:rsidRPr="00837BF1">
        <w:rPr>
          <w:rFonts w:ascii="Arial" w:hAnsi="Arial" w:cs="Arial"/>
        </w:rPr>
        <w:t>)</w:t>
      </w:r>
      <w:r w:rsidR="00752B4F" w:rsidRPr="00837BF1">
        <w:rPr>
          <w:rFonts w:ascii="Arial" w:hAnsi="Arial" w:cs="Arial"/>
        </w:rPr>
        <w:t>. More information on the COVID-19</w:t>
      </w:r>
      <w:r w:rsidR="002857B4" w:rsidRPr="00837BF1">
        <w:rPr>
          <w:rFonts w:ascii="Arial" w:hAnsi="Arial" w:cs="Arial"/>
        </w:rPr>
        <w:t xml:space="preserve"> study, sample, fieldwork and data content are detailed in the study user guide (</w:t>
      </w:r>
      <w:r w:rsidR="0001623C" w:rsidRPr="00837BF1">
        <w:rPr>
          <w:rFonts w:ascii="Arial" w:hAnsi="Arial" w:cs="Arial"/>
        </w:rPr>
        <w:t>Institute for Social and Economic Research, 2020)</w:t>
      </w:r>
      <w:r w:rsidR="00BA36E9" w:rsidRPr="00837BF1">
        <w:rPr>
          <w:rFonts w:ascii="Arial" w:hAnsi="Arial" w:cs="Arial"/>
        </w:rPr>
        <w:t>. The COVID-19 data</w:t>
      </w:r>
      <w:r w:rsidR="00122FEF" w:rsidRPr="00837BF1">
        <w:rPr>
          <w:rFonts w:ascii="Arial" w:hAnsi="Arial" w:cs="Arial"/>
        </w:rPr>
        <w:t xml:space="preserve"> w</w:t>
      </w:r>
      <w:r w:rsidR="004B1E90" w:rsidRPr="00837BF1">
        <w:rPr>
          <w:rFonts w:ascii="Arial" w:hAnsi="Arial" w:cs="Arial"/>
        </w:rPr>
        <w:t>ere</w:t>
      </w:r>
      <w:r w:rsidR="00122FEF" w:rsidRPr="00837BF1">
        <w:rPr>
          <w:rFonts w:ascii="Arial" w:hAnsi="Arial" w:cs="Arial"/>
        </w:rPr>
        <w:t xml:space="preserve"> linked to data from wave 9 of the annual </w:t>
      </w:r>
      <w:r w:rsidR="00D95F8C" w:rsidRPr="00837BF1">
        <w:rPr>
          <w:rFonts w:ascii="Arial" w:hAnsi="Arial" w:cs="Arial"/>
        </w:rPr>
        <w:t>UKHLS</w:t>
      </w:r>
      <w:r w:rsidR="00122FEF" w:rsidRPr="00837BF1">
        <w:rPr>
          <w:rFonts w:ascii="Arial" w:hAnsi="Arial" w:cs="Arial"/>
        </w:rPr>
        <w:t xml:space="preserve"> survey to obtain baseline information on mental health</w:t>
      </w:r>
      <w:r w:rsidR="00BA5184" w:rsidRPr="00837BF1">
        <w:rPr>
          <w:rFonts w:ascii="Arial" w:hAnsi="Arial" w:cs="Arial"/>
        </w:rPr>
        <w:t xml:space="preserve"> from before the pandemic</w:t>
      </w:r>
      <w:r w:rsidR="0088543E" w:rsidRPr="00837BF1">
        <w:rPr>
          <w:rFonts w:ascii="Arial" w:hAnsi="Arial" w:cs="Arial"/>
        </w:rPr>
        <w:t xml:space="preserve"> (University of Essex, Institute for Social and Economic Research, </w:t>
      </w:r>
      <w:proofErr w:type="spellStart"/>
      <w:r w:rsidR="0088543E" w:rsidRPr="00837BF1">
        <w:rPr>
          <w:rFonts w:ascii="Arial" w:hAnsi="Arial" w:cs="Arial"/>
        </w:rPr>
        <w:t>NatCen</w:t>
      </w:r>
      <w:proofErr w:type="spellEnd"/>
      <w:r w:rsidR="0088543E" w:rsidRPr="00837BF1">
        <w:rPr>
          <w:rFonts w:ascii="Arial" w:hAnsi="Arial" w:cs="Arial"/>
        </w:rPr>
        <w:t xml:space="preserve"> Social Research, Kantar Public</w:t>
      </w:r>
      <w:r w:rsidR="0003784C" w:rsidRPr="00837BF1">
        <w:rPr>
          <w:rFonts w:ascii="Arial" w:hAnsi="Arial" w:cs="Arial"/>
        </w:rPr>
        <w:t xml:space="preserve">, </w:t>
      </w:r>
      <w:r w:rsidR="0088543E" w:rsidRPr="00837BF1">
        <w:rPr>
          <w:rFonts w:ascii="Arial" w:hAnsi="Arial" w:cs="Arial"/>
        </w:rPr>
        <w:t>2019)</w:t>
      </w:r>
      <w:r w:rsidR="00BA5184" w:rsidRPr="00837BF1">
        <w:rPr>
          <w:rFonts w:ascii="Arial" w:hAnsi="Arial" w:cs="Arial"/>
        </w:rPr>
        <w:t>. All data w</w:t>
      </w:r>
      <w:r w:rsidR="004B1E90" w:rsidRPr="00837BF1">
        <w:rPr>
          <w:rFonts w:ascii="Arial" w:hAnsi="Arial" w:cs="Arial"/>
        </w:rPr>
        <w:t>ere</w:t>
      </w:r>
      <w:r w:rsidR="00BA5184" w:rsidRPr="00837BF1">
        <w:rPr>
          <w:rFonts w:ascii="Arial" w:hAnsi="Arial" w:cs="Arial"/>
        </w:rPr>
        <w:t xml:space="preserve"> accessed from the UK</w:t>
      </w:r>
      <w:r w:rsidR="005227F3" w:rsidRPr="00837BF1">
        <w:rPr>
          <w:rFonts w:ascii="Arial" w:hAnsi="Arial" w:cs="Arial"/>
        </w:rPr>
        <w:t xml:space="preserve"> data service.</w:t>
      </w:r>
    </w:p>
    <w:p w14:paraId="19669B3C" w14:textId="105E152E" w:rsidR="005227F3" w:rsidRPr="00837BF1" w:rsidRDefault="005227F3" w:rsidP="00E213C8">
      <w:pPr>
        <w:spacing w:after="0" w:line="480" w:lineRule="auto"/>
        <w:jc w:val="both"/>
        <w:rPr>
          <w:rFonts w:ascii="Arial" w:hAnsi="Arial" w:cs="Arial"/>
        </w:rPr>
      </w:pPr>
    </w:p>
    <w:p w14:paraId="045F4B06" w14:textId="39F9DA43" w:rsidR="005227F3" w:rsidRPr="00837BF1" w:rsidRDefault="005227F3" w:rsidP="00E213C8">
      <w:pPr>
        <w:spacing w:after="0" w:line="480" w:lineRule="auto"/>
        <w:jc w:val="both"/>
        <w:rPr>
          <w:rFonts w:ascii="Arial" w:hAnsi="Arial" w:cs="Arial"/>
        </w:rPr>
      </w:pPr>
      <w:r w:rsidRPr="00837BF1">
        <w:rPr>
          <w:rFonts w:ascii="Arial" w:hAnsi="Arial" w:cs="Arial"/>
        </w:rPr>
        <w:t>Measures</w:t>
      </w:r>
    </w:p>
    <w:p w14:paraId="4C5EC356" w14:textId="77777777" w:rsidR="00500263" w:rsidRPr="00837BF1" w:rsidRDefault="00500263" w:rsidP="00E213C8">
      <w:pPr>
        <w:spacing w:after="0" w:line="480" w:lineRule="auto"/>
        <w:ind w:left="720"/>
        <w:jc w:val="both"/>
        <w:rPr>
          <w:rFonts w:ascii="Arial" w:hAnsi="Arial" w:cs="Arial"/>
        </w:rPr>
      </w:pPr>
      <w:r w:rsidRPr="00837BF1">
        <w:rPr>
          <w:rFonts w:ascii="Arial" w:hAnsi="Arial" w:cs="Arial"/>
        </w:rPr>
        <w:t>Mental health</w:t>
      </w:r>
    </w:p>
    <w:p w14:paraId="41370EFC" w14:textId="68D7F58D" w:rsidR="005227F3" w:rsidRPr="00837BF1" w:rsidRDefault="00500263" w:rsidP="00E213C8">
      <w:pPr>
        <w:spacing w:after="0" w:line="480" w:lineRule="auto"/>
        <w:jc w:val="both"/>
        <w:rPr>
          <w:rFonts w:ascii="Arial" w:hAnsi="Arial" w:cs="Arial"/>
        </w:rPr>
      </w:pPr>
      <w:r w:rsidRPr="00837BF1">
        <w:rPr>
          <w:rFonts w:ascii="Arial" w:hAnsi="Arial" w:cs="Arial"/>
        </w:rPr>
        <w:t xml:space="preserve">The primary outcome measure, </w:t>
      </w:r>
      <w:r w:rsidR="00310F50" w:rsidRPr="00837BF1">
        <w:rPr>
          <w:rFonts w:ascii="Arial" w:hAnsi="Arial" w:cs="Arial"/>
          <w:i/>
          <w:iCs/>
        </w:rPr>
        <w:t>psychological distress</w:t>
      </w:r>
      <w:r w:rsidR="002610CE" w:rsidRPr="00837BF1">
        <w:rPr>
          <w:rFonts w:ascii="Arial" w:hAnsi="Arial" w:cs="Arial"/>
        </w:rPr>
        <w:t>, was assessed based on responses to the GHQ-12</w:t>
      </w:r>
      <w:r w:rsidR="006F3586" w:rsidRPr="00837BF1">
        <w:rPr>
          <w:rFonts w:ascii="Arial" w:hAnsi="Arial" w:cs="Arial"/>
        </w:rPr>
        <w:t xml:space="preserve">, </w:t>
      </w:r>
      <w:r w:rsidR="002610CE" w:rsidRPr="00837BF1">
        <w:rPr>
          <w:rFonts w:ascii="Arial" w:hAnsi="Arial" w:cs="Arial"/>
        </w:rPr>
        <w:t xml:space="preserve">a </w:t>
      </w:r>
      <w:r w:rsidR="006F3586" w:rsidRPr="00837BF1">
        <w:rPr>
          <w:rFonts w:ascii="Arial" w:hAnsi="Arial" w:cs="Arial"/>
        </w:rPr>
        <w:t xml:space="preserve">widely used and validated </w:t>
      </w:r>
      <w:r w:rsidR="009C6B63" w:rsidRPr="00837BF1">
        <w:rPr>
          <w:rFonts w:ascii="Arial" w:hAnsi="Arial" w:cs="Arial"/>
        </w:rPr>
        <w:t>12</w:t>
      </w:r>
      <w:r w:rsidR="006F3586" w:rsidRPr="00837BF1">
        <w:rPr>
          <w:rFonts w:ascii="Arial" w:hAnsi="Arial" w:cs="Arial"/>
        </w:rPr>
        <w:t>-</w:t>
      </w:r>
      <w:r w:rsidR="009C6B63" w:rsidRPr="00837BF1">
        <w:rPr>
          <w:rFonts w:ascii="Arial" w:hAnsi="Arial" w:cs="Arial"/>
        </w:rPr>
        <w:t xml:space="preserve">item screening </w:t>
      </w:r>
      <w:r w:rsidR="00FB38D5" w:rsidRPr="00837BF1">
        <w:rPr>
          <w:rFonts w:ascii="Arial" w:hAnsi="Arial" w:cs="Arial"/>
        </w:rPr>
        <w:t>tool</w:t>
      </w:r>
      <w:r w:rsidR="009C6B63" w:rsidRPr="00837BF1">
        <w:rPr>
          <w:rFonts w:ascii="Arial" w:hAnsi="Arial" w:cs="Arial"/>
        </w:rPr>
        <w:t xml:space="preserve"> for assessing mental health within the general population</w:t>
      </w:r>
      <w:r w:rsidR="006F3586" w:rsidRPr="00837BF1">
        <w:rPr>
          <w:rFonts w:ascii="Arial" w:hAnsi="Arial" w:cs="Arial"/>
        </w:rPr>
        <w:t xml:space="preserve"> (Goldberg </w:t>
      </w:r>
      <w:r w:rsidR="004B10E2" w:rsidRPr="00837BF1">
        <w:rPr>
          <w:rFonts w:ascii="Arial" w:hAnsi="Arial" w:cs="Arial"/>
        </w:rPr>
        <w:t>&amp;</w:t>
      </w:r>
      <w:r w:rsidR="006F3586" w:rsidRPr="00837BF1">
        <w:rPr>
          <w:rFonts w:ascii="Arial" w:hAnsi="Arial" w:cs="Arial"/>
        </w:rPr>
        <w:t xml:space="preserve"> Williams, 1988</w:t>
      </w:r>
      <w:r w:rsidR="00A024B9" w:rsidRPr="00837BF1">
        <w:rPr>
          <w:rFonts w:ascii="Arial" w:hAnsi="Arial" w:cs="Arial"/>
        </w:rPr>
        <w:t xml:space="preserve">; </w:t>
      </w:r>
      <w:proofErr w:type="spellStart"/>
      <w:r w:rsidR="00A024B9" w:rsidRPr="00837BF1">
        <w:rPr>
          <w:rFonts w:ascii="Arial" w:hAnsi="Arial" w:cs="Arial"/>
        </w:rPr>
        <w:t>Pevalin</w:t>
      </w:r>
      <w:proofErr w:type="spellEnd"/>
      <w:r w:rsidR="003A76E5" w:rsidRPr="00837BF1">
        <w:rPr>
          <w:rFonts w:ascii="Arial" w:hAnsi="Arial" w:cs="Arial"/>
        </w:rPr>
        <w:t>, 2000</w:t>
      </w:r>
      <w:r w:rsidR="006F3586" w:rsidRPr="00837BF1">
        <w:rPr>
          <w:rFonts w:ascii="Arial" w:hAnsi="Arial" w:cs="Arial"/>
        </w:rPr>
        <w:t>)</w:t>
      </w:r>
      <w:r w:rsidR="009C6B63" w:rsidRPr="00837BF1">
        <w:rPr>
          <w:rFonts w:ascii="Arial" w:hAnsi="Arial" w:cs="Arial"/>
        </w:rPr>
        <w:t xml:space="preserve">. </w:t>
      </w:r>
      <w:r w:rsidR="00BF5802" w:rsidRPr="00837BF1">
        <w:rPr>
          <w:rFonts w:ascii="Arial" w:hAnsi="Arial" w:cs="Arial"/>
        </w:rPr>
        <w:t xml:space="preserve"> </w:t>
      </w:r>
      <w:r w:rsidR="00532331" w:rsidRPr="00837BF1">
        <w:rPr>
          <w:rFonts w:ascii="Arial" w:hAnsi="Arial" w:cs="Arial"/>
        </w:rPr>
        <w:t xml:space="preserve">Respondents </w:t>
      </w:r>
      <w:r w:rsidR="007539D0" w:rsidRPr="00837BF1">
        <w:rPr>
          <w:rFonts w:ascii="Arial" w:hAnsi="Arial" w:cs="Arial"/>
        </w:rPr>
        <w:t>rate</w:t>
      </w:r>
      <w:r w:rsidR="003B6349" w:rsidRPr="00837BF1">
        <w:rPr>
          <w:rFonts w:ascii="Arial" w:hAnsi="Arial" w:cs="Arial"/>
        </w:rPr>
        <w:t>d</w:t>
      </w:r>
      <w:r w:rsidR="007539D0" w:rsidRPr="00837BF1">
        <w:rPr>
          <w:rFonts w:ascii="Arial" w:hAnsi="Arial" w:cs="Arial"/>
        </w:rPr>
        <w:t xml:space="preserve"> their experience of </w:t>
      </w:r>
      <w:r w:rsidR="003B6349" w:rsidRPr="00837BF1">
        <w:rPr>
          <w:rFonts w:ascii="Arial" w:hAnsi="Arial" w:cs="Arial"/>
        </w:rPr>
        <w:t xml:space="preserve">the </w:t>
      </w:r>
      <w:r w:rsidR="007539D0" w:rsidRPr="00837BF1">
        <w:rPr>
          <w:rFonts w:ascii="Arial" w:hAnsi="Arial" w:cs="Arial"/>
        </w:rPr>
        <w:t>symptoms</w:t>
      </w:r>
      <w:r w:rsidR="00AE4712" w:rsidRPr="00837BF1">
        <w:rPr>
          <w:rFonts w:ascii="Arial" w:hAnsi="Arial" w:cs="Arial"/>
        </w:rPr>
        <w:t xml:space="preserve"> </w:t>
      </w:r>
      <w:r w:rsidR="003B6349" w:rsidRPr="00837BF1">
        <w:rPr>
          <w:rFonts w:ascii="Arial" w:hAnsi="Arial" w:cs="Arial"/>
        </w:rPr>
        <w:t xml:space="preserve">in each item </w:t>
      </w:r>
      <w:r w:rsidR="00AE4712" w:rsidRPr="00837BF1">
        <w:rPr>
          <w:rFonts w:ascii="Arial" w:hAnsi="Arial" w:cs="Arial"/>
        </w:rPr>
        <w:t>on a four</w:t>
      </w:r>
      <w:r w:rsidR="003B6349" w:rsidRPr="00837BF1">
        <w:rPr>
          <w:rFonts w:ascii="Arial" w:hAnsi="Arial" w:cs="Arial"/>
        </w:rPr>
        <w:t>-</w:t>
      </w:r>
      <w:r w:rsidR="00AE4712" w:rsidRPr="00837BF1">
        <w:rPr>
          <w:rFonts w:ascii="Arial" w:hAnsi="Arial" w:cs="Arial"/>
        </w:rPr>
        <w:t>point scale (</w:t>
      </w:r>
      <w:r w:rsidR="00D54C53" w:rsidRPr="00837BF1">
        <w:rPr>
          <w:rFonts w:ascii="Arial" w:hAnsi="Arial" w:cs="Arial"/>
        </w:rPr>
        <w:t>less</w:t>
      </w:r>
      <w:r w:rsidR="00A6763E" w:rsidRPr="00837BF1">
        <w:rPr>
          <w:rFonts w:ascii="Arial" w:hAnsi="Arial" w:cs="Arial"/>
        </w:rPr>
        <w:t xml:space="preserve"> than usual, no more than usual, rather more than usual, and much more than usual)</w:t>
      </w:r>
      <w:r w:rsidR="009558CD" w:rsidRPr="00837BF1">
        <w:rPr>
          <w:rFonts w:ascii="Arial" w:hAnsi="Arial" w:cs="Arial"/>
        </w:rPr>
        <w:t>;</w:t>
      </w:r>
      <w:r w:rsidR="003B6349" w:rsidRPr="00837BF1">
        <w:rPr>
          <w:rFonts w:ascii="Arial" w:hAnsi="Arial" w:cs="Arial"/>
        </w:rPr>
        <w:t xml:space="preserve"> </w:t>
      </w:r>
      <w:r w:rsidR="009558CD" w:rsidRPr="00837BF1">
        <w:rPr>
          <w:rFonts w:ascii="Arial" w:hAnsi="Arial" w:cs="Arial"/>
        </w:rPr>
        <w:t>this</w:t>
      </w:r>
      <w:r w:rsidR="003B6349" w:rsidRPr="00837BF1">
        <w:rPr>
          <w:rFonts w:ascii="Arial" w:hAnsi="Arial" w:cs="Arial"/>
        </w:rPr>
        <w:t xml:space="preserve"> was summarised bimodally (0-0-1-1), and a t</w:t>
      </w:r>
      <w:r w:rsidR="007C6DA0" w:rsidRPr="00837BF1">
        <w:rPr>
          <w:rFonts w:ascii="Arial" w:hAnsi="Arial" w:cs="Arial"/>
        </w:rPr>
        <w:t xml:space="preserve">otal </w:t>
      </w:r>
      <w:r w:rsidR="009558CD" w:rsidRPr="00837BF1">
        <w:rPr>
          <w:rFonts w:ascii="Arial" w:hAnsi="Arial" w:cs="Arial"/>
        </w:rPr>
        <w:t xml:space="preserve"> </w:t>
      </w:r>
      <w:r w:rsidR="007C6DA0" w:rsidRPr="00837BF1">
        <w:rPr>
          <w:rFonts w:ascii="Arial" w:hAnsi="Arial" w:cs="Arial"/>
        </w:rPr>
        <w:t xml:space="preserve">score </w:t>
      </w:r>
      <w:r w:rsidR="00CE5420" w:rsidRPr="00837BF1">
        <w:rPr>
          <w:rFonts w:ascii="Arial" w:hAnsi="Arial" w:cs="Arial"/>
        </w:rPr>
        <w:t xml:space="preserve">ranging from </w:t>
      </w:r>
      <w:r w:rsidR="003B6349" w:rsidRPr="00837BF1">
        <w:rPr>
          <w:rFonts w:ascii="Arial" w:hAnsi="Arial" w:cs="Arial"/>
        </w:rPr>
        <w:t>0</w:t>
      </w:r>
      <w:r w:rsidR="00CE5420" w:rsidRPr="00837BF1">
        <w:rPr>
          <w:rFonts w:ascii="Arial" w:hAnsi="Arial" w:cs="Arial"/>
        </w:rPr>
        <w:t xml:space="preserve"> to 12 was </w:t>
      </w:r>
      <w:r w:rsidR="003B6349" w:rsidRPr="00837BF1">
        <w:rPr>
          <w:rFonts w:ascii="Arial" w:hAnsi="Arial" w:cs="Arial"/>
        </w:rPr>
        <w:t>derived</w:t>
      </w:r>
      <w:r w:rsidR="00274FCD" w:rsidRPr="00837BF1">
        <w:rPr>
          <w:rFonts w:ascii="Arial" w:hAnsi="Arial" w:cs="Arial"/>
        </w:rPr>
        <w:t xml:space="preserve">. A </w:t>
      </w:r>
      <w:r w:rsidR="00D248F3" w:rsidRPr="00837BF1">
        <w:rPr>
          <w:rFonts w:ascii="Arial" w:hAnsi="Arial" w:cs="Arial"/>
        </w:rPr>
        <w:t xml:space="preserve">score of four or more </w:t>
      </w:r>
      <w:r w:rsidR="002F6A5B" w:rsidRPr="00837BF1">
        <w:rPr>
          <w:rFonts w:ascii="Arial" w:hAnsi="Arial" w:cs="Arial"/>
        </w:rPr>
        <w:t>indicat</w:t>
      </w:r>
      <w:r w:rsidR="00274FCD" w:rsidRPr="00837BF1">
        <w:rPr>
          <w:rFonts w:ascii="Arial" w:hAnsi="Arial" w:cs="Arial"/>
        </w:rPr>
        <w:t>ed</w:t>
      </w:r>
      <w:r w:rsidR="009558CD" w:rsidRPr="00837BF1">
        <w:rPr>
          <w:rFonts w:ascii="Arial" w:hAnsi="Arial" w:cs="Arial"/>
        </w:rPr>
        <w:t xml:space="preserve"> </w:t>
      </w:r>
      <w:proofErr w:type="spellStart"/>
      <w:r w:rsidR="009558CD" w:rsidRPr="00837BF1">
        <w:rPr>
          <w:rFonts w:ascii="Arial" w:hAnsi="Arial" w:cs="Arial"/>
          <w:i/>
          <w:iCs/>
        </w:rPr>
        <w:t>caseness</w:t>
      </w:r>
      <w:proofErr w:type="spellEnd"/>
      <w:r w:rsidR="009558CD" w:rsidRPr="00837BF1">
        <w:rPr>
          <w:rFonts w:ascii="Arial" w:hAnsi="Arial" w:cs="Arial"/>
          <w:i/>
          <w:iCs/>
        </w:rPr>
        <w:t xml:space="preserve">, </w:t>
      </w:r>
      <w:r w:rsidR="009558CD" w:rsidRPr="00837BF1">
        <w:rPr>
          <w:rFonts w:ascii="Arial" w:hAnsi="Arial" w:cs="Arial"/>
        </w:rPr>
        <w:t>or</w:t>
      </w:r>
      <w:r w:rsidR="009558CD" w:rsidRPr="00837BF1">
        <w:rPr>
          <w:rFonts w:ascii="Arial" w:hAnsi="Arial" w:cs="Arial"/>
          <w:i/>
          <w:iCs/>
        </w:rPr>
        <w:t xml:space="preserve"> </w:t>
      </w:r>
      <w:r w:rsidR="002F6A5B" w:rsidRPr="00837BF1">
        <w:rPr>
          <w:rFonts w:ascii="Arial" w:hAnsi="Arial" w:cs="Arial"/>
        </w:rPr>
        <w:t xml:space="preserve"> </w:t>
      </w:r>
      <w:r w:rsidR="002F6A5B" w:rsidRPr="00837BF1">
        <w:rPr>
          <w:rFonts w:ascii="Arial" w:hAnsi="Arial" w:cs="Arial"/>
          <w:i/>
          <w:iCs/>
        </w:rPr>
        <w:t>psychological distress</w:t>
      </w:r>
      <w:r w:rsidR="00540587" w:rsidRPr="00837BF1">
        <w:rPr>
          <w:rFonts w:ascii="Arial" w:hAnsi="Arial" w:cs="Arial"/>
        </w:rPr>
        <w:t xml:space="preserve">, as used previously </w:t>
      </w:r>
      <w:r w:rsidR="00CA4742" w:rsidRPr="00837BF1">
        <w:rPr>
          <w:rFonts w:ascii="Arial" w:hAnsi="Arial" w:cs="Arial"/>
        </w:rPr>
        <w:t xml:space="preserve">by the Office for National Statistics </w:t>
      </w:r>
      <w:r w:rsidR="00C764C4" w:rsidRPr="00837BF1">
        <w:rPr>
          <w:rFonts w:ascii="Arial" w:hAnsi="Arial" w:cs="Arial"/>
        </w:rPr>
        <w:t xml:space="preserve">in the Mental Health Survey for England </w:t>
      </w:r>
      <w:r w:rsidR="00CA4742" w:rsidRPr="00837BF1">
        <w:rPr>
          <w:rFonts w:ascii="Arial" w:hAnsi="Arial" w:cs="Arial"/>
        </w:rPr>
        <w:t>(</w:t>
      </w:r>
      <w:r w:rsidR="002C7303" w:rsidRPr="00837BF1">
        <w:rPr>
          <w:rFonts w:ascii="Arial" w:hAnsi="Arial" w:cs="Arial"/>
        </w:rPr>
        <w:t>Morris, Earl &amp; Neave</w:t>
      </w:r>
      <w:r w:rsidR="00497916" w:rsidRPr="00837BF1">
        <w:rPr>
          <w:rFonts w:ascii="Arial" w:hAnsi="Arial" w:cs="Arial"/>
        </w:rPr>
        <w:t xml:space="preserve">, 2017) </w:t>
      </w:r>
      <w:r w:rsidR="00C764C4" w:rsidRPr="00837BF1">
        <w:rPr>
          <w:rFonts w:ascii="Arial" w:hAnsi="Arial" w:cs="Arial"/>
        </w:rPr>
        <w:t xml:space="preserve">and </w:t>
      </w:r>
      <w:r w:rsidR="00661A14" w:rsidRPr="00837BF1">
        <w:rPr>
          <w:rFonts w:ascii="Arial" w:hAnsi="Arial" w:cs="Arial"/>
        </w:rPr>
        <w:t>UKHLS Covid-10 study</w:t>
      </w:r>
      <w:r w:rsidR="00E703CB" w:rsidRPr="00837BF1">
        <w:rPr>
          <w:rFonts w:ascii="Arial" w:hAnsi="Arial" w:cs="Arial"/>
        </w:rPr>
        <w:t xml:space="preserve"> ‘Health and Caring’ briefing report (</w:t>
      </w:r>
      <w:proofErr w:type="spellStart"/>
      <w:r w:rsidR="00E703CB" w:rsidRPr="00837BF1">
        <w:rPr>
          <w:rFonts w:ascii="Arial" w:hAnsi="Arial" w:cs="Arial"/>
        </w:rPr>
        <w:t>Benzeval</w:t>
      </w:r>
      <w:proofErr w:type="spellEnd"/>
      <w:r w:rsidR="00E703CB" w:rsidRPr="00837BF1">
        <w:rPr>
          <w:rFonts w:ascii="Arial" w:hAnsi="Arial" w:cs="Arial"/>
        </w:rPr>
        <w:t xml:space="preserve"> et al</w:t>
      </w:r>
      <w:r w:rsidR="00274FCD" w:rsidRPr="00837BF1">
        <w:rPr>
          <w:rFonts w:ascii="Arial" w:hAnsi="Arial" w:cs="Arial"/>
        </w:rPr>
        <w:t>., 2020).</w:t>
      </w:r>
      <w:r w:rsidR="00661A14" w:rsidRPr="00837BF1">
        <w:rPr>
          <w:rFonts w:ascii="Arial" w:hAnsi="Arial" w:cs="Arial"/>
        </w:rPr>
        <w:t xml:space="preserve"> </w:t>
      </w:r>
    </w:p>
    <w:p w14:paraId="24EC47C8" w14:textId="341D242D" w:rsidR="00F03B98" w:rsidRPr="00837BF1" w:rsidRDefault="00F03B98" w:rsidP="00E213C8">
      <w:pPr>
        <w:spacing w:after="0" w:line="480" w:lineRule="auto"/>
        <w:ind w:left="720"/>
        <w:jc w:val="both"/>
        <w:rPr>
          <w:rFonts w:ascii="Arial" w:hAnsi="Arial" w:cs="Arial"/>
        </w:rPr>
      </w:pPr>
      <w:r w:rsidRPr="00837BF1">
        <w:rPr>
          <w:rFonts w:ascii="Arial" w:hAnsi="Arial" w:cs="Arial"/>
        </w:rPr>
        <w:lastRenderedPageBreak/>
        <w:t>Explanatory variables</w:t>
      </w:r>
    </w:p>
    <w:p w14:paraId="3C8452C9" w14:textId="6639F12B" w:rsidR="004B3952" w:rsidRPr="00837BF1" w:rsidRDefault="00CF6CB0" w:rsidP="00E213C8">
      <w:pPr>
        <w:spacing w:after="0" w:line="480" w:lineRule="auto"/>
        <w:jc w:val="both"/>
        <w:rPr>
          <w:rFonts w:ascii="Arial" w:hAnsi="Arial" w:cs="Arial"/>
        </w:rPr>
      </w:pPr>
      <w:r w:rsidRPr="00837BF1">
        <w:rPr>
          <w:rFonts w:ascii="Arial" w:hAnsi="Arial" w:cs="Arial"/>
        </w:rPr>
        <w:t xml:space="preserve">The study examined the impact of reduced working (dichotomous indicator) and reasons for reduced </w:t>
      </w:r>
      <w:r w:rsidR="00BA279C" w:rsidRPr="00837BF1">
        <w:rPr>
          <w:rFonts w:ascii="Arial" w:hAnsi="Arial" w:cs="Arial"/>
        </w:rPr>
        <w:t>working</w:t>
      </w:r>
      <w:r w:rsidRPr="00837BF1">
        <w:rPr>
          <w:rFonts w:ascii="Arial" w:hAnsi="Arial" w:cs="Arial"/>
        </w:rPr>
        <w:t xml:space="preserve"> (a series of six dichotomous indicators) on mental health. </w:t>
      </w:r>
      <w:r w:rsidR="00F86040" w:rsidRPr="00837BF1">
        <w:rPr>
          <w:rFonts w:ascii="Arial" w:hAnsi="Arial" w:cs="Arial"/>
        </w:rPr>
        <w:t xml:space="preserve">The </w:t>
      </w:r>
      <w:r w:rsidR="00EA0D83" w:rsidRPr="00837BF1">
        <w:rPr>
          <w:rFonts w:ascii="Arial" w:hAnsi="Arial" w:cs="Arial"/>
        </w:rPr>
        <w:t xml:space="preserve">COVID-19 </w:t>
      </w:r>
      <w:r w:rsidR="00F86040" w:rsidRPr="00837BF1">
        <w:rPr>
          <w:rFonts w:ascii="Arial" w:hAnsi="Arial" w:cs="Arial"/>
        </w:rPr>
        <w:t>survey data included information</w:t>
      </w:r>
      <w:r w:rsidR="00EA0D83" w:rsidRPr="00837BF1">
        <w:rPr>
          <w:rFonts w:ascii="Arial" w:hAnsi="Arial" w:cs="Arial"/>
        </w:rPr>
        <w:t xml:space="preserve"> on </w:t>
      </w:r>
      <w:r w:rsidR="005E18EA" w:rsidRPr="00837BF1">
        <w:rPr>
          <w:rFonts w:ascii="Arial" w:hAnsi="Arial" w:cs="Arial"/>
        </w:rPr>
        <w:t>pre-pandemic</w:t>
      </w:r>
      <w:r w:rsidR="00944EDF" w:rsidRPr="00837BF1">
        <w:rPr>
          <w:rFonts w:ascii="Arial" w:hAnsi="Arial" w:cs="Arial"/>
        </w:rPr>
        <w:t xml:space="preserve"> (January/February 2020) and </w:t>
      </w:r>
      <w:r w:rsidR="00754807" w:rsidRPr="00837BF1">
        <w:rPr>
          <w:rFonts w:ascii="Arial" w:hAnsi="Arial" w:cs="Arial"/>
        </w:rPr>
        <w:t xml:space="preserve">current (April 2020) </w:t>
      </w:r>
      <w:r w:rsidR="005E18EA" w:rsidRPr="00837BF1">
        <w:rPr>
          <w:rFonts w:ascii="Arial" w:hAnsi="Arial" w:cs="Arial"/>
        </w:rPr>
        <w:t xml:space="preserve">employment status and </w:t>
      </w:r>
      <w:r w:rsidR="00EA0D83" w:rsidRPr="00837BF1">
        <w:rPr>
          <w:rFonts w:ascii="Arial" w:hAnsi="Arial" w:cs="Arial"/>
        </w:rPr>
        <w:t>working hours</w:t>
      </w:r>
      <w:r w:rsidR="00944EDF" w:rsidRPr="00837BF1">
        <w:rPr>
          <w:rFonts w:ascii="Arial" w:hAnsi="Arial" w:cs="Arial"/>
        </w:rPr>
        <w:t xml:space="preserve">. </w:t>
      </w:r>
      <w:r w:rsidR="00F57E27" w:rsidRPr="00837BF1">
        <w:rPr>
          <w:rFonts w:ascii="Arial" w:hAnsi="Arial" w:cs="Arial"/>
        </w:rPr>
        <w:t xml:space="preserve">A dichotomous indicator </w:t>
      </w:r>
      <w:r w:rsidR="001D0F8D" w:rsidRPr="00837BF1">
        <w:rPr>
          <w:rFonts w:ascii="Arial" w:hAnsi="Arial" w:cs="Arial"/>
        </w:rPr>
        <w:t xml:space="preserve">of reduced working </w:t>
      </w:r>
      <w:r w:rsidR="004F09A4" w:rsidRPr="00837BF1">
        <w:rPr>
          <w:rFonts w:ascii="Arial" w:hAnsi="Arial" w:cs="Arial"/>
        </w:rPr>
        <w:t>identified individuals</w:t>
      </w:r>
      <w:r w:rsidR="00437B13" w:rsidRPr="00837BF1">
        <w:rPr>
          <w:rFonts w:ascii="Arial" w:hAnsi="Arial" w:cs="Arial"/>
        </w:rPr>
        <w:t xml:space="preserve"> who were employe</w:t>
      </w:r>
      <w:r w:rsidR="00065338" w:rsidRPr="00837BF1">
        <w:rPr>
          <w:rFonts w:ascii="Arial" w:hAnsi="Arial" w:cs="Arial"/>
        </w:rPr>
        <w:t>es</w:t>
      </w:r>
      <w:r w:rsidR="00437B13" w:rsidRPr="00837BF1">
        <w:rPr>
          <w:rFonts w:ascii="Arial" w:hAnsi="Arial" w:cs="Arial"/>
        </w:rPr>
        <w:t xml:space="preserve"> </w:t>
      </w:r>
      <w:r w:rsidR="001C7765" w:rsidRPr="00837BF1">
        <w:rPr>
          <w:rFonts w:ascii="Arial" w:hAnsi="Arial" w:cs="Arial"/>
        </w:rPr>
        <w:t>in January/February 2020</w:t>
      </w:r>
      <w:r w:rsidR="00437B13" w:rsidRPr="00837BF1">
        <w:rPr>
          <w:rFonts w:ascii="Arial" w:hAnsi="Arial" w:cs="Arial"/>
        </w:rPr>
        <w:t xml:space="preserve"> and </w:t>
      </w:r>
      <w:r w:rsidR="00F66F04" w:rsidRPr="00837BF1">
        <w:rPr>
          <w:rFonts w:ascii="Arial" w:hAnsi="Arial" w:cs="Arial"/>
        </w:rPr>
        <w:t xml:space="preserve">either </w:t>
      </w:r>
      <w:r w:rsidR="00165C7A" w:rsidRPr="00837BF1">
        <w:rPr>
          <w:rFonts w:ascii="Arial" w:hAnsi="Arial" w:cs="Arial"/>
        </w:rPr>
        <w:t xml:space="preserve">reported </w:t>
      </w:r>
      <w:r w:rsidR="00320D4B" w:rsidRPr="00837BF1">
        <w:rPr>
          <w:rFonts w:ascii="Arial" w:hAnsi="Arial" w:cs="Arial"/>
        </w:rPr>
        <w:t xml:space="preserve">working </w:t>
      </w:r>
      <w:r w:rsidR="000E7B29" w:rsidRPr="00837BF1">
        <w:rPr>
          <w:rFonts w:ascii="Arial" w:hAnsi="Arial" w:cs="Arial"/>
        </w:rPr>
        <w:t xml:space="preserve">fewer </w:t>
      </w:r>
      <w:r w:rsidR="00320D4B" w:rsidRPr="00837BF1">
        <w:rPr>
          <w:rFonts w:ascii="Arial" w:hAnsi="Arial" w:cs="Arial"/>
        </w:rPr>
        <w:t>hours</w:t>
      </w:r>
      <w:r w:rsidR="000E7B29" w:rsidRPr="00837BF1">
        <w:rPr>
          <w:rFonts w:ascii="Arial" w:hAnsi="Arial" w:cs="Arial"/>
        </w:rPr>
        <w:t>,</w:t>
      </w:r>
      <w:r w:rsidR="00320D4B" w:rsidRPr="00837BF1">
        <w:rPr>
          <w:rFonts w:ascii="Arial" w:hAnsi="Arial" w:cs="Arial"/>
        </w:rPr>
        <w:t xml:space="preserve"> </w:t>
      </w:r>
      <w:r w:rsidR="001C7765" w:rsidRPr="00837BF1">
        <w:rPr>
          <w:rFonts w:ascii="Arial" w:hAnsi="Arial" w:cs="Arial"/>
        </w:rPr>
        <w:t>or were not in employment in April 2020</w:t>
      </w:r>
      <w:r w:rsidR="00FB12B4" w:rsidRPr="00837BF1">
        <w:rPr>
          <w:rFonts w:ascii="Arial" w:hAnsi="Arial" w:cs="Arial"/>
        </w:rPr>
        <w:t>.</w:t>
      </w:r>
      <w:r w:rsidR="00C322FD" w:rsidRPr="00837BF1">
        <w:rPr>
          <w:rFonts w:ascii="Arial" w:hAnsi="Arial" w:cs="Arial"/>
        </w:rPr>
        <w:t xml:space="preserve"> Individuals</w:t>
      </w:r>
      <w:r w:rsidR="00404C36" w:rsidRPr="00837BF1">
        <w:rPr>
          <w:rFonts w:ascii="Arial" w:hAnsi="Arial" w:cs="Arial"/>
        </w:rPr>
        <w:t xml:space="preserve"> employed at baseline </w:t>
      </w:r>
      <w:r w:rsidR="006B3E70" w:rsidRPr="00837BF1">
        <w:rPr>
          <w:rFonts w:ascii="Arial" w:hAnsi="Arial" w:cs="Arial"/>
        </w:rPr>
        <w:t xml:space="preserve">with </w:t>
      </w:r>
      <w:r w:rsidR="00C322FD" w:rsidRPr="00837BF1">
        <w:rPr>
          <w:rFonts w:ascii="Arial" w:hAnsi="Arial" w:cs="Arial"/>
        </w:rPr>
        <w:t>reduced working</w:t>
      </w:r>
      <w:r w:rsidR="00404C36" w:rsidRPr="00837BF1">
        <w:rPr>
          <w:rFonts w:ascii="Arial" w:hAnsi="Arial" w:cs="Arial"/>
        </w:rPr>
        <w:t xml:space="preserve"> </w:t>
      </w:r>
      <w:r w:rsidR="001D4D99" w:rsidRPr="00837BF1">
        <w:rPr>
          <w:rFonts w:ascii="Arial" w:hAnsi="Arial" w:cs="Arial"/>
        </w:rPr>
        <w:t>provided</w:t>
      </w:r>
      <w:r w:rsidR="0037251B" w:rsidRPr="00837BF1">
        <w:rPr>
          <w:rFonts w:ascii="Arial" w:hAnsi="Arial" w:cs="Arial"/>
        </w:rPr>
        <w:t xml:space="preserve"> reasons for the reduction, with responses:</w:t>
      </w:r>
      <w:r w:rsidR="006D10F4" w:rsidRPr="00837BF1">
        <w:rPr>
          <w:rFonts w:ascii="Arial" w:hAnsi="Arial" w:cs="Arial"/>
        </w:rPr>
        <w:t xml:space="preserve"> </w:t>
      </w:r>
      <w:r w:rsidR="004B3952" w:rsidRPr="00837BF1">
        <w:rPr>
          <w:rFonts w:ascii="Arial" w:hAnsi="Arial" w:cs="Arial"/>
        </w:rPr>
        <w:t xml:space="preserve">(1) </w:t>
      </w:r>
      <w:r w:rsidR="001D0F8D" w:rsidRPr="00837BF1">
        <w:rPr>
          <w:rFonts w:ascii="Arial" w:hAnsi="Arial" w:cs="Arial"/>
        </w:rPr>
        <w:t>l</w:t>
      </w:r>
      <w:r w:rsidR="004B3952" w:rsidRPr="00837BF1">
        <w:rPr>
          <w:rFonts w:ascii="Arial" w:hAnsi="Arial" w:cs="Arial"/>
        </w:rPr>
        <w:t>aid off with certain recall date; (2) laid off with prospect of recall; (3)</w:t>
      </w:r>
      <w:r w:rsidR="001D0F8D" w:rsidRPr="00837BF1">
        <w:rPr>
          <w:rFonts w:ascii="Arial" w:hAnsi="Arial" w:cs="Arial"/>
        </w:rPr>
        <w:t xml:space="preserve"> </w:t>
      </w:r>
      <w:r w:rsidR="0052681F" w:rsidRPr="00837BF1">
        <w:rPr>
          <w:rFonts w:ascii="Arial" w:hAnsi="Arial" w:cs="Arial"/>
        </w:rPr>
        <w:t>p</w:t>
      </w:r>
      <w:r w:rsidR="004B3952" w:rsidRPr="00837BF1">
        <w:rPr>
          <w:rFonts w:ascii="Arial" w:hAnsi="Arial" w:cs="Arial"/>
        </w:rPr>
        <w:t>ermanently laid off</w:t>
      </w:r>
      <w:r w:rsidR="0052681F" w:rsidRPr="00837BF1">
        <w:rPr>
          <w:rFonts w:ascii="Arial" w:hAnsi="Arial" w:cs="Arial"/>
        </w:rPr>
        <w:t xml:space="preserve">; (4) </w:t>
      </w:r>
      <w:r w:rsidR="001D0F8D" w:rsidRPr="00837BF1">
        <w:rPr>
          <w:rFonts w:ascii="Arial" w:hAnsi="Arial" w:cs="Arial"/>
        </w:rPr>
        <w:t>e</w:t>
      </w:r>
      <w:r w:rsidR="004B3952" w:rsidRPr="00837BF1">
        <w:rPr>
          <w:rFonts w:ascii="Arial" w:hAnsi="Arial" w:cs="Arial"/>
        </w:rPr>
        <w:t>mployer cut hours</w:t>
      </w:r>
      <w:r w:rsidR="0052681F" w:rsidRPr="00837BF1">
        <w:rPr>
          <w:rFonts w:ascii="Arial" w:hAnsi="Arial" w:cs="Arial"/>
        </w:rPr>
        <w:t>; (5)</w:t>
      </w:r>
      <w:r w:rsidR="001D0F8D" w:rsidRPr="00837BF1">
        <w:rPr>
          <w:rFonts w:ascii="Arial" w:hAnsi="Arial" w:cs="Arial"/>
        </w:rPr>
        <w:t xml:space="preserve"> </w:t>
      </w:r>
      <w:r w:rsidR="004B3952" w:rsidRPr="00837BF1">
        <w:rPr>
          <w:rFonts w:ascii="Arial" w:hAnsi="Arial" w:cs="Arial"/>
        </w:rPr>
        <w:t>on furlough/paid leave</w:t>
      </w:r>
      <w:r w:rsidR="0052681F" w:rsidRPr="00837BF1">
        <w:rPr>
          <w:rFonts w:ascii="Arial" w:hAnsi="Arial" w:cs="Arial"/>
        </w:rPr>
        <w:t>; (6) u</w:t>
      </w:r>
      <w:r w:rsidR="004B3952" w:rsidRPr="00837BF1">
        <w:rPr>
          <w:rFonts w:ascii="Arial" w:hAnsi="Arial" w:cs="Arial"/>
        </w:rPr>
        <w:t>sing annual leave</w:t>
      </w:r>
      <w:r w:rsidR="0052681F" w:rsidRPr="00837BF1">
        <w:rPr>
          <w:rFonts w:ascii="Arial" w:hAnsi="Arial" w:cs="Arial"/>
        </w:rPr>
        <w:t>; (7) s</w:t>
      </w:r>
      <w:r w:rsidR="004B3952" w:rsidRPr="00837BF1">
        <w:rPr>
          <w:rFonts w:ascii="Arial" w:hAnsi="Arial" w:cs="Arial"/>
        </w:rPr>
        <w:t>elf</w:t>
      </w:r>
      <w:r w:rsidR="0052681F" w:rsidRPr="00837BF1">
        <w:rPr>
          <w:rFonts w:ascii="Arial" w:hAnsi="Arial" w:cs="Arial"/>
        </w:rPr>
        <w:t>-isolating</w:t>
      </w:r>
      <w:r w:rsidR="004B3952" w:rsidRPr="00837BF1">
        <w:rPr>
          <w:rFonts w:ascii="Arial" w:hAnsi="Arial" w:cs="Arial"/>
        </w:rPr>
        <w:t>/sick with company sick pay</w:t>
      </w:r>
      <w:r w:rsidR="0052681F" w:rsidRPr="00837BF1">
        <w:rPr>
          <w:rFonts w:ascii="Arial" w:hAnsi="Arial" w:cs="Arial"/>
        </w:rPr>
        <w:t>; (8)</w:t>
      </w:r>
      <w:r w:rsidR="009558CD" w:rsidRPr="00837BF1">
        <w:rPr>
          <w:rFonts w:ascii="Arial" w:hAnsi="Arial" w:cs="Arial"/>
        </w:rPr>
        <w:t xml:space="preserve"> </w:t>
      </w:r>
      <w:r w:rsidR="00441163" w:rsidRPr="00837BF1">
        <w:rPr>
          <w:rFonts w:ascii="Arial" w:hAnsi="Arial" w:cs="Arial"/>
        </w:rPr>
        <w:t>s</w:t>
      </w:r>
      <w:r w:rsidR="004B3952" w:rsidRPr="00837BF1">
        <w:rPr>
          <w:rFonts w:ascii="Arial" w:hAnsi="Arial" w:cs="Arial"/>
        </w:rPr>
        <w:t>elf</w:t>
      </w:r>
      <w:r w:rsidR="00441163" w:rsidRPr="00837BF1">
        <w:rPr>
          <w:rFonts w:ascii="Arial" w:hAnsi="Arial" w:cs="Arial"/>
        </w:rPr>
        <w:t>-</w:t>
      </w:r>
      <w:r w:rsidR="004B3952" w:rsidRPr="00837BF1">
        <w:rPr>
          <w:rFonts w:ascii="Arial" w:hAnsi="Arial" w:cs="Arial"/>
        </w:rPr>
        <w:t>isol</w:t>
      </w:r>
      <w:r w:rsidR="00441163" w:rsidRPr="00837BF1">
        <w:rPr>
          <w:rFonts w:ascii="Arial" w:hAnsi="Arial" w:cs="Arial"/>
        </w:rPr>
        <w:t>ating</w:t>
      </w:r>
      <w:r w:rsidR="004B3952" w:rsidRPr="00837BF1">
        <w:rPr>
          <w:rFonts w:ascii="Arial" w:hAnsi="Arial" w:cs="Arial"/>
        </w:rPr>
        <w:t>/sick with statutory sick pay</w:t>
      </w:r>
      <w:r w:rsidR="00441163" w:rsidRPr="00837BF1">
        <w:rPr>
          <w:rFonts w:ascii="Arial" w:hAnsi="Arial" w:cs="Arial"/>
        </w:rPr>
        <w:t>; (</w:t>
      </w:r>
      <w:r w:rsidR="00165C35" w:rsidRPr="00837BF1">
        <w:rPr>
          <w:rFonts w:ascii="Arial" w:hAnsi="Arial" w:cs="Arial"/>
        </w:rPr>
        <w:t>9) self-isolating/sick without sick pay; (10) c</w:t>
      </w:r>
      <w:r w:rsidR="004B3952" w:rsidRPr="00837BF1">
        <w:rPr>
          <w:rFonts w:ascii="Arial" w:hAnsi="Arial" w:cs="Arial"/>
        </w:rPr>
        <w:t>aring for children or others/parental leave</w:t>
      </w:r>
      <w:r w:rsidR="00165C35" w:rsidRPr="00837BF1">
        <w:rPr>
          <w:rFonts w:ascii="Arial" w:hAnsi="Arial" w:cs="Arial"/>
        </w:rPr>
        <w:t xml:space="preserve">; </w:t>
      </w:r>
      <w:r w:rsidR="001D0F8D" w:rsidRPr="00837BF1">
        <w:rPr>
          <w:rFonts w:ascii="Arial" w:hAnsi="Arial" w:cs="Arial"/>
        </w:rPr>
        <w:t xml:space="preserve">and </w:t>
      </w:r>
      <w:r w:rsidR="00165C35" w:rsidRPr="00837BF1">
        <w:rPr>
          <w:rFonts w:ascii="Arial" w:hAnsi="Arial" w:cs="Arial"/>
        </w:rPr>
        <w:t>(11) other reason</w:t>
      </w:r>
      <w:r w:rsidR="00FD11D6" w:rsidRPr="00837BF1">
        <w:rPr>
          <w:rFonts w:ascii="Arial" w:hAnsi="Arial" w:cs="Arial"/>
        </w:rPr>
        <w:t>s</w:t>
      </w:r>
      <w:r w:rsidR="00165C35" w:rsidRPr="00837BF1">
        <w:rPr>
          <w:rFonts w:ascii="Arial" w:hAnsi="Arial" w:cs="Arial"/>
        </w:rPr>
        <w:t>.</w:t>
      </w:r>
      <w:r w:rsidR="0033168B" w:rsidRPr="00837BF1">
        <w:rPr>
          <w:rFonts w:ascii="Arial" w:hAnsi="Arial" w:cs="Arial"/>
        </w:rPr>
        <w:t xml:space="preserve"> </w:t>
      </w:r>
      <w:r w:rsidR="00FD11D6" w:rsidRPr="00837BF1">
        <w:rPr>
          <w:rFonts w:ascii="Arial" w:hAnsi="Arial" w:cs="Arial"/>
        </w:rPr>
        <w:t>Because r</w:t>
      </w:r>
      <w:r w:rsidR="00904F01" w:rsidRPr="00837BF1">
        <w:rPr>
          <w:rFonts w:ascii="Arial" w:hAnsi="Arial" w:cs="Arial"/>
        </w:rPr>
        <w:t xml:space="preserve">espondents could indicate multiple reasons </w:t>
      </w:r>
      <w:r w:rsidR="009050CB" w:rsidRPr="00837BF1">
        <w:rPr>
          <w:rFonts w:ascii="Arial" w:hAnsi="Arial" w:cs="Arial"/>
        </w:rPr>
        <w:t xml:space="preserve">for </w:t>
      </w:r>
      <w:r w:rsidR="009558CD" w:rsidRPr="00837BF1">
        <w:rPr>
          <w:rFonts w:ascii="Arial" w:hAnsi="Arial" w:cs="Arial"/>
        </w:rPr>
        <w:t xml:space="preserve">the </w:t>
      </w:r>
      <w:r w:rsidR="009050CB" w:rsidRPr="00837BF1">
        <w:rPr>
          <w:rFonts w:ascii="Arial" w:hAnsi="Arial" w:cs="Arial"/>
        </w:rPr>
        <w:t xml:space="preserve">reduction </w:t>
      </w:r>
      <w:r w:rsidR="00667D91" w:rsidRPr="00837BF1">
        <w:rPr>
          <w:rFonts w:ascii="Arial" w:hAnsi="Arial" w:cs="Arial"/>
        </w:rPr>
        <w:t>the eleven responses were summarised as</w:t>
      </w:r>
      <w:r w:rsidR="00907F3E" w:rsidRPr="00837BF1">
        <w:rPr>
          <w:rFonts w:ascii="Arial" w:hAnsi="Arial" w:cs="Arial"/>
        </w:rPr>
        <w:t xml:space="preserve"> </w:t>
      </w:r>
      <w:r w:rsidR="007F73D4" w:rsidRPr="00837BF1">
        <w:rPr>
          <w:rFonts w:ascii="Arial" w:hAnsi="Arial" w:cs="Arial"/>
        </w:rPr>
        <w:t xml:space="preserve">six dichotomous </w:t>
      </w:r>
      <w:r w:rsidR="009F3346" w:rsidRPr="00837BF1">
        <w:rPr>
          <w:rFonts w:ascii="Arial" w:hAnsi="Arial" w:cs="Arial"/>
        </w:rPr>
        <w:t>indicators</w:t>
      </w:r>
      <w:r w:rsidR="007F73D4" w:rsidRPr="00837BF1">
        <w:rPr>
          <w:rFonts w:ascii="Arial" w:hAnsi="Arial" w:cs="Arial"/>
        </w:rPr>
        <w:t xml:space="preserve">: </w:t>
      </w:r>
      <w:r w:rsidR="007F73D4" w:rsidRPr="00837BF1">
        <w:rPr>
          <w:rFonts w:ascii="Arial" w:hAnsi="Arial" w:cs="Arial"/>
          <w:i/>
          <w:iCs/>
        </w:rPr>
        <w:t>employer cuts,</w:t>
      </w:r>
      <w:r w:rsidR="009F3346" w:rsidRPr="00837BF1">
        <w:rPr>
          <w:rFonts w:ascii="Arial" w:hAnsi="Arial" w:cs="Arial"/>
          <w:i/>
          <w:iCs/>
        </w:rPr>
        <w:t xml:space="preserve"> furloughed/paid leave, self-isolating</w:t>
      </w:r>
      <w:r w:rsidR="00FD11D6" w:rsidRPr="00837BF1">
        <w:rPr>
          <w:rFonts w:ascii="Arial" w:hAnsi="Arial" w:cs="Arial"/>
          <w:i/>
          <w:iCs/>
        </w:rPr>
        <w:t>/</w:t>
      </w:r>
      <w:r w:rsidR="009F3346" w:rsidRPr="00837BF1">
        <w:rPr>
          <w:rFonts w:ascii="Arial" w:hAnsi="Arial" w:cs="Arial"/>
          <w:i/>
          <w:iCs/>
        </w:rPr>
        <w:t>sic</w:t>
      </w:r>
      <w:r w:rsidR="005E06AA" w:rsidRPr="00837BF1">
        <w:rPr>
          <w:rFonts w:ascii="Arial" w:hAnsi="Arial" w:cs="Arial"/>
          <w:i/>
          <w:iCs/>
        </w:rPr>
        <w:t>k</w:t>
      </w:r>
      <w:r w:rsidR="009F3346" w:rsidRPr="00837BF1">
        <w:rPr>
          <w:rFonts w:ascii="Arial" w:hAnsi="Arial" w:cs="Arial"/>
          <w:i/>
          <w:iCs/>
        </w:rPr>
        <w:t>, permanently laid off</w:t>
      </w:r>
      <w:r w:rsidR="00EA3A91" w:rsidRPr="00837BF1">
        <w:rPr>
          <w:rFonts w:ascii="Arial" w:hAnsi="Arial" w:cs="Arial"/>
          <w:i/>
          <w:iCs/>
        </w:rPr>
        <w:t>, caring for children</w:t>
      </w:r>
      <w:r w:rsidR="00FD11D6" w:rsidRPr="00837BF1">
        <w:rPr>
          <w:rFonts w:ascii="Arial" w:hAnsi="Arial" w:cs="Arial"/>
          <w:i/>
          <w:iCs/>
        </w:rPr>
        <w:t>/</w:t>
      </w:r>
      <w:r w:rsidR="00EA3A91" w:rsidRPr="00837BF1">
        <w:rPr>
          <w:rFonts w:ascii="Arial" w:hAnsi="Arial" w:cs="Arial"/>
          <w:i/>
          <w:iCs/>
        </w:rPr>
        <w:t xml:space="preserve">others, </w:t>
      </w:r>
      <w:r w:rsidR="00EA3A91" w:rsidRPr="00837BF1">
        <w:rPr>
          <w:rFonts w:ascii="Arial" w:hAnsi="Arial" w:cs="Arial"/>
        </w:rPr>
        <w:t>and</w:t>
      </w:r>
      <w:r w:rsidR="00EA3A91" w:rsidRPr="00837BF1">
        <w:rPr>
          <w:rFonts w:ascii="Arial" w:hAnsi="Arial" w:cs="Arial"/>
          <w:i/>
          <w:iCs/>
        </w:rPr>
        <w:t xml:space="preserve"> other reasons.</w:t>
      </w:r>
      <w:r w:rsidR="00EA3A91" w:rsidRPr="00837BF1">
        <w:rPr>
          <w:rFonts w:ascii="Arial" w:hAnsi="Arial" w:cs="Arial"/>
        </w:rPr>
        <w:t xml:space="preserve"> </w:t>
      </w:r>
    </w:p>
    <w:p w14:paraId="143C400C" w14:textId="77777777" w:rsidR="00480E05" w:rsidRPr="00837BF1" w:rsidRDefault="00480E05" w:rsidP="00E213C8">
      <w:pPr>
        <w:spacing w:after="0" w:line="480" w:lineRule="auto"/>
        <w:jc w:val="both"/>
        <w:rPr>
          <w:rFonts w:ascii="Arial" w:hAnsi="Arial" w:cs="Arial"/>
        </w:rPr>
      </w:pPr>
    </w:p>
    <w:p w14:paraId="468270AC" w14:textId="7E17169F" w:rsidR="00BC5D41" w:rsidRPr="00837BF1" w:rsidRDefault="003A532E" w:rsidP="00E213C8">
      <w:pPr>
        <w:spacing w:after="0" w:line="480" w:lineRule="auto"/>
        <w:jc w:val="both"/>
        <w:rPr>
          <w:rFonts w:ascii="Arial" w:hAnsi="Arial" w:cs="Arial"/>
        </w:rPr>
      </w:pPr>
      <w:r w:rsidRPr="00837BF1">
        <w:rPr>
          <w:rFonts w:ascii="Arial" w:hAnsi="Arial" w:cs="Arial"/>
        </w:rPr>
        <w:t xml:space="preserve">Individual characteristics known to be associated with mental health and/or working status were controlled for in the models. </w:t>
      </w:r>
      <w:r w:rsidR="001B69FD" w:rsidRPr="00837BF1">
        <w:rPr>
          <w:rFonts w:ascii="Arial" w:hAnsi="Arial" w:cs="Arial"/>
        </w:rPr>
        <w:t>These included age-group (</w:t>
      </w:r>
      <w:r w:rsidR="00C17ABB" w:rsidRPr="00837BF1">
        <w:rPr>
          <w:rFonts w:ascii="Arial" w:hAnsi="Arial" w:cs="Arial"/>
        </w:rPr>
        <w:t>10-year</w:t>
      </w:r>
      <w:r w:rsidR="001B69FD" w:rsidRPr="00837BF1">
        <w:rPr>
          <w:rFonts w:ascii="Arial" w:hAnsi="Arial" w:cs="Arial"/>
        </w:rPr>
        <w:t xml:space="preserve"> </w:t>
      </w:r>
      <w:r w:rsidR="00C17ABB" w:rsidRPr="00837BF1">
        <w:rPr>
          <w:rFonts w:ascii="Arial" w:hAnsi="Arial" w:cs="Arial"/>
        </w:rPr>
        <w:t xml:space="preserve">age </w:t>
      </w:r>
      <w:r w:rsidR="001B69FD" w:rsidRPr="00837BF1">
        <w:rPr>
          <w:rFonts w:ascii="Arial" w:hAnsi="Arial" w:cs="Arial"/>
        </w:rPr>
        <w:t>bands); sex; living in a couple (</w:t>
      </w:r>
      <w:r w:rsidR="00C17ABB" w:rsidRPr="00837BF1">
        <w:rPr>
          <w:rFonts w:ascii="Arial" w:hAnsi="Arial" w:cs="Arial"/>
        </w:rPr>
        <w:t>yes/no</w:t>
      </w:r>
      <w:r w:rsidR="001B69FD" w:rsidRPr="00837BF1">
        <w:rPr>
          <w:rFonts w:ascii="Arial" w:hAnsi="Arial" w:cs="Arial"/>
        </w:rPr>
        <w:t>); ethnicity (</w:t>
      </w:r>
      <w:r w:rsidR="008D16D7" w:rsidRPr="00837BF1">
        <w:rPr>
          <w:rFonts w:ascii="Arial" w:hAnsi="Arial" w:cs="Arial"/>
        </w:rPr>
        <w:t>white</w:t>
      </w:r>
      <w:r w:rsidR="002F5890" w:rsidRPr="00837BF1">
        <w:rPr>
          <w:rFonts w:ascii="Arial" w:hAnsi="Arial" w:cs="Arial"/>
        </w:rPr>
        <w:t xml:space="preserve"> </w:t>
      </w:r>
      <w:r w:rsidR="003D70EB" w:rsidRPr="00837BF1">
        <w:rPr>
          <w:rFonts w:ascii="Arial" w:hAnsi="Arial" w:cs="Arial"/>
        </w:rPr>
        <w:t>(</w:t>
      </w:r>
      <w:r w:rsidR="002F5890" w:rsidRPr="00837BF1">
        <w:rPr>
          <w:rFonts w:ascii="Arial" w:hAnsi="Arial" w:cs="Arial"/>
        </w:rPr>
        <w:t>British</w:t>
      </w:r>
      <w:r w:rsidR="003D70EB" w:rsidRPr="00837BF1">
        <w:rPr>
          <w:rFonts w:ascii="Arial" w:hAnsi="Arial" w:cs="Arial"/>
        </w:rPr>
        <w:t>)</w:t>
      </w:r>
      <w:r w:rsidR="002F5890" w:rsidRPr="00837BF1">
        <w:rPr>
          <w:rFonts w:ascii="Arial" w:hAnsi="Arial" w:cs="Arial"/>
        </w:rPr>
        <w:t>, white</w:t>
      </w:r>
      <w:r w:rsidR="00BA1D4F" w:rsidRPr="00837BF1">
        <w:rPr>
          <w:rFonts w:ascii="Arial" w:hAnsi="Arial" w:cs="Arial"/>
        </w:rPr>
        <w:t xml:space="preserve"> </w:t>
      </w:r>
      <w:r w:rsidR="003D70EB" w:rsidRPr="00837BF1">
        <w:rPr>
          <w:rFonts w:ascii="Arial" w:hAnsi="Arial" w:cs="Arial"/>
        </w:rPr>
        <w:t>(</w:t>
      </w:r>
      <w:r w:rsidR="00BA1D4F" w:rsidRPr="00837BF1">
        <w:rPr>
          <w:rFonts w:ascii="Arial" w:hAnsi="Arial" w:cs="Arial"/>
        </w:rPr>
        <w:t>non-British</w:t>
      </w:r>
      <w:r w:rsidR="003D70EB" w:rsidRPr="00837BF1">
        <w:rPr>
          <w:rFonts w:ascii="Arial" w:hAnsi="Arial" w:cs="Arial"/>
        </w:rPr>
        <w:t>)</w:t>
      </w:r>
      <w:r w:rsidR="00A77C79" w:rsidRPr="00837BF1">
        <w:rPr>
          <w:rFonts w:ascii="Arial" w:hAnsi="Arial" w:cs="Arial"/>
        </w:rPr>
        <w:t xml:space="preserve">, mixed </w:t>
      </w:r>
      <w:r w:rsidR="00FD11D6" w:rsidRPr="00837BF1">
        <w:rPr>
          <w:rFonts w:ascii="Arial" w:hAnsi="Arial" w:cs="Arial"/>
        </w:rPr>
        <w:t>ethnicities</w:t>
      </w:r>
      <w:r w:rsidR="00A77C79" w:rsidRPr="00837BF1">
        <w:rPr>
          <w:rFonts w:ascii="Arial" w:hAnsi="Arial" w:cs="Arial"/>
        </w:rPr>
        <w:t>, Asian, black, and other</w:t>
      </w:r>
      <w:r w:rsidR="00677057" w:rsidRPr="00837BF1">
        <w:rPr>
          <w:rFonts w:ascii="Arial" w:hAnsi="Arial" w:cs="Arial"/>
        </w:rPr>
        <w:t>);</w:t>
      </w:r>
      <w:r w:rsidR="009018DD" w:rsidRPr="00837BF1">
        <w:rPr>
          <w:rFonts w:ascii="Arial" w:hAnsi="Arial" w:cs="Arial"/>
        </w:rPr>
        <w:t xml:space="preserve"> baseline household weekly earnings (</w:t>
      </w:r>
      <w:r w:rsidR="0011545E" w:rsidRPr="00837BF1">
        <w:rPr>
          <w:rFonts w:ascii="Arial" w:hAnsi="Arial" w:cs="Arial"/>
        </w:rPr>
        <w:t>in quintiles)</w:t>
      </w:r>
      <w:r w:rsidR="00B725D5" w:rsidRPr="00837BF1">
        <w:rPr>
          <w:rFonts w:ascii="Arial" w:hAnsi="Arial" w:cs="Arial"/>
        </w:rPr>
        <w:t>;</w:t>
      </w:r>
      <w:r w:rsidR="001B032C" w:rsidRPr="00837BF1">
        <w:rPr>
          <w:rFonts w:ascii="Arial" w:hAnsi="Arial" w:cs="Arial"/>
        </w:rPr>
        <w:t xml:space="preserve"> </w:t>
      </w:r>
      <w:r w:rsidR="00D6187A" w:rsidRPr="00837BF1">
        <w:rPr>
          <w:rFonts w:ascii="Arial" w:hAnsi="Arial" w:cs="Arial"/>
        </w:rPr>
        <w:t xml:space="preserve">and </w:t>
      </w:r>
      <w:r w:rsidR="001B032C" w:rsidRPr="00837BF1">
        <w:rPr>
          <w:rFonts w:ascii="Arial" w:hAnsi="Arial" w:cs="Arial"/>
        </w:rPr>
        <w:t>subjective assessment of current financial situation (</w:t>
      </w:r>
      <w:r w:rsidR="00EE12AB" w:rsidRPr="00837BF1">
        <w:rPr>
          <w:rFonts w:ascii="Arial" w:hAnsi="Arial" w:cs="Arial"/>
        </w:rPr>
        <w:t>group</w:t>
      </w:r>
      <w:r w:rsidR="00C17ABB" w:rsidRPr="00837BF1">
        <w:rPr>
          <w:rFonts w:ascii="Arial" w:hAnsi="Arial" w:cs="Arial"/>
        </w:rPr>
        <w:t>ed</w:t>
      </w:r>
      <w:r w:rsidR="00EE12AB" w:rsidRPr="00837BF1">
        <w:rPr>
          <w:rFonts w:ascii="Arial" w:hAnsi="Arial" w:cs="Arial"/>
        </w:rPr>
        <w:t xml:space="preserve"> as</w:t>
      </w:r>
      <w:r w:rsidR="00C17ABB" w:rsidRPr="00837BF1">
        <w:rPr>
          <w:rFonts w:ascii="Arial" w:hAnsi="Arial" w:cs="Arial"/>
        </w:rPr>
        <w:t>:</w:t>
      </w:r>
      <w:r w:rsidR="00EE12AB" w:rsidRPr="00837BF1">
        <w:rPr>
          <w:rFonts w:ascii="Arial" w:hAnsi="Arial" w:cs="Arial"/>
        </w:rPr>
        <w:t xml:space="preserve"> </w:t>
      </w:r>
      <w:r w:rsidR="00800BA8" w:rsidRPr="00837BF1">
        <w:rPr>
          <w:rFonts w:ascii="Arial" w:hAnsi="Arial" w:cs="Arial"/>
        </w:rPr>
        <w:t>co</w:t>
      </w:r>
      <w:r w:rsidR="00793733" w:rsidRPr="00837BF1">
        <w:rPr>
          <w:rFonts w:ascii="Arial" w:hAnsi="Arial" w:cs="Arial"/>
        </w:rPr>
        <w:t>mfortable</w:t>
      </w:r>
      <w:r w:rsidR="00C17ABB" w:rsidRPr="00837BF1">
        <w:rPr>
          <w:rFonts w:ascii="Arial" w:hAnsi="Arial" w:cs="Arial"/>
        </w:rPr>
        <w:t>;</w:t>
      </w:r>
      <w:r w:rsidR="004D3C33" w:rsidRPr="00837BF1">
        <w:rPr>
          <w:rFonts w:ascii="Arial" w:hAnsi="Arial" w:cs="Arial"/>
        </w:rPr>
        <w:t xml:space="preserve"> just about getting by</w:t>
      </w:r>
      <w:r w:rsidR="00C17ABB" w:rsidRPr="00837BF1">
        <w:rPr>
          <w:rFonts w:ascii="Arial" w:hAnsi="Arial" w:cs="Arial"/>
        </w:rPr>
        <w:t>;</w:t>
      </w:r>
      <w:r w:rsidR="0009389D" w:rsidRPr="00837BF1">
        <w:rPr>
          <w:rFonts w:ascii="Arial" w:hAnsi="Arial" w:cs="Arial"/>
        </w:rPr>
        <w:t xml:space="preserve"> </w:t>
      </w:r>
      <w:r w:rsidR="00C17ABB" w:rsidRPr="00837BF1">
        <w:rPr>
          <w:rFonts w:ascii="Arial" w:hAnsi="Arial" w:cs="Arial"/>
        </w:rPr>
        <w:t>or</w:t>
      </w:r>
      <w:r w:rsidR="004D3C33" w:rsidRPr="00837BF1">
        <w:rPr>
          <w:rFonts w:ascii="Arial" w:hAnsi="Arial" w:cs="Arial"/>
        </w:rPr>
        <w:t xml:space="preserve"> finding it difficult</w:t>
      </w:r>
      <w:r w:rsidR="00685FAC" w:rsidRPr="00837BF1">
        <w:rPr>
          <w:rFonts w:ascii="Arial" w:hAnsi="Arial" w:cs="Arial"/>
        </w:rPr>
        <w:t>/</w:t>
      </w:r>
      <w:r w:rsidR="004D3C33" w:rsidRPr="00837BF1">
        <w:rPr>
          <w:rFonts w:ascii="Arial" w:hAnsi="Arial" w:cs="Arial"/>
        </w:rPr>
        <w:t>very difficult)</w:t>
      </w:r>
      <w:r w:rsidR="0021414E" w:rsidRPr="00837BF1">
        <w:rPr>
          <w:rFonts w:ascii="Arial" w:hAnsi="Arial" w:cs="Arial"/>
        </w:rPr>
        <w:t xml:space="preserve">. Final models controlled for </w:t>
      </w:r>
      <w:r w:rsidR="001E7C17" w:rsidRPr="00837BF1">
        <w:rPr>
          <w:rFonts w:ascii="Arial" w:hAnsi="Arial" w:cs="Arial"/>
        </w:rPr>
        <w:t>psychological distress at baseline</w:t>
      </w:r>
      <w:r w:rsidR="00650B32" w:rsidRPr="00837BF1">
        <w:rPr>
          <w:rFonts w:ascii="Arial" w:hAnsi="Arial" w:cs="Arial"/>
        </w:rPr>
        <w:t xml:space="preserve"> to account for individuals with pre-existing</w:t>
      </w:r>
      <w:r w:rsidR="002775B5" w:rsidRPr="00837BF1">
        <w:rPr>
          <w:rFonts w:ascii="Arial" w:hAnsi="Arial" w:cs="Arial"/>
        </w:rPr>
        <w:t xml:space="preserve"> mental conditions</w:t>
      </w:r>
      <w:r w:rsidR="007A1863" w:rsidRPr="00837BF1">
        <w:rPr>
          <w:rFonts w:ascii="Arial" w:hAnsi="Arial" w:cs="Arial"/>
        </w:rPr>
        <w:t xml:space="preserve">, </w:t>
      </w:r>
      <w:r w:rsidR="00427013" w:rsidRPr="00837BF1">
        <w:rPr>
          <w:rFonts w:ascii="Arial" w:hAnsi="Arial" w:cs="Arial"/>
        </w:rPr>
        <w:t>as indicated by</w:t>
      </w:r>
      <w:r w:rsidR="007B6925" w:rsidRPr="00837BF1">
        <w:rPr>
          <w:rFonts w:ascii="Arial" w:hAnsi="Arial" w:cs="Arial"/>
        </w:rPr>
        <w:t xml:space="preserve"> </w:t>
      </w:r>
      <w:r w:rsidR="00427013" w:rsidRPr="00837BF1">
        <w:rPr>
          <w:rFonts w:ascii="Arial" w:hAnsi="Arial" w:cs="Arial"/>
        </w:rPr>
        <w:t xml:space="preserve">GHQ </w:t>
      </w:r>
      <w:proofErr w:type="spellStart"/>
      <w:r w:rsidR="00FD11D6" w:rsidRPr="00837BF1">
        <w:rPr>
          <w:rFonts w:ascii="Arial" w:hAnsi="Arial" w:cs="Arial"/>
          <w:i/>
          <w:iCs/>
        </w:rPr>
        <w:t>caseness</w:t>
      </w:r>
      <w:proofErr w:type="spellEnd"/>
      <w:r w:rsidR="00457EE8" w:rsidRPr="00837BF1">
        <w:rPr>
          <w:rFonts w:ascii="Arial" w:hAnsi="Arial" w:cs="Arial"/>
          <w:i/>
          <w:iCs/>
        </w:rPr>
        <w:t xml:space="preserve"> </w:t>
      </w:r>
      <w:r w:rsidR="00FD11D6" w:rsidRPr="00837BF1">
        <w:rPr>
          <w:rFonts w:ascii="Arial" w:hAnsi="Arial" w:cs="Arial"/>
        </w:rPr>
        <w:t xml:space="preserve">derived </w:t>
      </w:r>
      <w:r w:rsidR="0033302A" w:rsidRPr="00837BF1">
        <w:rPr>
          <w:rFonts w:ascii="Arial" w:hAnsi="Arial" w:cs="Arial"/>
        </w:rPr>
        <w:t xml:space="preserve">from the main </w:t>
      </w:r>
      <w:r w:rsidR="00C17ABB" w:rsidRPr="00837BF1">
        <w:rPr>
          <w:rFonts w:ascii="Arial" w:hAnsi="Arial" w:cs="Arial"/>
        </w:rPr>
        <w:t>UKHLS</w:t>
      </w:r>
      <w:r w:rsidR="0033302A" w:rsidRPr="00837BF1">
        <w:rPr>
          <w:rFonts w:ascii="Arial" w:hAnsi="Arial" w:cs="Arial"/>
        </w:rPr>
        <w:t xml:space="preserve"> Wave 9 survey</w:t>
      </w:r>
      <w:r w:rsidR="00022023" w:rsidRPr="00837BF1">
        <w:rPr>
          <w:rFonts w:ascii="Arial" w:hAnsi="Arial" w:cs="Arial"/>
        </w:rPr>
        <w:t xml:space="preserve"> (2017/18)</w:t>
      </w:r>
      <w:r w:rsidR="00893FC6" w:rsidRPr="00837BF1">
        <w:rPr>
          <w:rFonts w:ascii="Arial" w:hAnsi="Arial" w:cs="Arial"/>
        </w:rPr>
        <w:t>.</w:t>
      </w:r>
    </w:p>
    <w:p w14:paraId="685423E3" w14:textId="7EF19C7E" w:rsidR="00893FC6" w:rsidRPr="00837BF1" w:rsidRDefault="00893FC6" w:rsidP="00E213C8">
      <w:pPr>
        <w:spacing w:after="0" w:line="480" w:lineRule="auto"/>
        <w:jc w:val="both"/>
        <w:rPr>
          <w:rFonts w:ascii="Arial" w:hAnsi="Arial" w:cs="Arial"/>
        </w:rPr>
      </w:pPr>
    </w:p>
    <w:p w14:paraId="160D9698" w14:textId="5CDD36D1" w:rsidR="00893FC6" w:rsidRPr="00837BF1" w:rsidRDefault="00893FC6" w:rsidP="00E213C8">
      <w:pPr>
        <w:spacing w:after="0" w:line="480" w:lineRule="auto"/>
        <w:ind w:left="720"/>
        <w:jc w:val="both"/>
        <w:rPr>
          <w:rFonts w:ascii="Arial" w:hAnsi="Arial" w:cs="Arial"/>
        </w:rPr>
      </w:pPr>
      <w:r w:rsidRPr="00837BF1">
        <w:rPr>
          <w:rFonts w:ascii="Arial" w:hAnsi="Arial" w:cs="Arial"/>
        </w:rPr>
        <w:t>Analysis</w:t>
      </w:r>
    </w:p>
    <w:p w14:paraId="2B98D7AC" w14:textId="7B1FCCF2" w:rsidR="00C421FB" w:rsidRPr="00837BF1" w:rsidRDefault="00220268" w:rsidP="00C421FB">
      <w:pPr>
        <w:spacing w:after="0" w:line="480" w:lineRule="auto"/>
        <w:jc w:val="both"/>
        <w:rPr>
          <w:rFonts w:ascii="Arial" w:hAnsi="Arial" w:cs="Arial"/>
        </w:rPr>
      </w:pPr>
      <w:r w:rsidRPr="00837BF1">
        <w:rPr>
          <w:rFonts w:ascii="Arial" w:hAnsi="Arial" w:cs="Arial"/>
        </w:rPr>
        <w:t>A</w:t>
      </w:r>
      <w:r w:rsidR="006C3A7A" w:rsidRPr="00837BF1">
        <w:rPr>
          <w:rFonts w:ascii="Arial" w:hAnsi="Arial" w:cs="Arial"/>
        </w:rPr>
        <w:t xml:space="preserve">nalysis </w:t>
      </w:r>
      <w:r w:rsidRPr="00837BF1">
        <w:rPr>
          <w:rFonts w:ascii="Arial" w:hAnsi="Arial" w:cs="Arial"/>
        </w:rPr>
        <w:t xml:space="preserve">was based on </w:t>
      </w:r>
      <w:r w:rsidR="002D7E1A" w:rsidRPr="00837BF1">
        <w:rPr>
          <w:rFonts w:ascii="Arial" w:hAnsi="Arial" w:cs="Arial"/>
        </w:rPr>
        <w:t xml:space="preserve">all </w:t>
      </w:r>
      <w:r w:rsidR="006C3A7A" w:rsidRPr="00837BF1">
        <w:rPr>
          <w:rFonts w:ascii="Arial" w:hAnsi="Arial" w:cs="Arial"/>
        </w:rPr>
        <w:t xml:space="preserve">individuals aged 18-65 </w:t>
      </w:r>
      <w:r w:rsidR="00C6307D" w:rsidRPr="00837BF1">
        <w:rPr>
          <w:rFonts w:ascii="Arial" w:hAnsi="Arial" w:cs="Arial"/>
        </w:rPr>
        <w:t xml:space="preserve">years </w:t>
      </w:r>
      <w:r w:rsidR="005068E7" w:rsidRPr="00837BF1">
        <w:rPr>
          <w:rFonts w:ascii="Arial" w:hAnsi="Arial" w:cs="Arial"/>
        </w:rPr>
        <w:t>who indicated</w:t>
      </w:r>
      <w:r w:rsidR="00292CCB" w:rsidRPr="00837BF1">
        <w:rPr>
          <w:rFonts w:ascii="Arial" w:hAnsi="Arial" w:cs="Arial"/>
        </w:rPr>
        <w:t xml:space="preserve"> </w:t>
      </w:r>
      <w:r w:rsidR="006C3A7A" w:rsidRPr="00837BF1">
        <w:rPr>
          <w:rFonts w:ascii="Arial" w:hAnsi="Arial" w:cs="Arial"/>
        </w:rPr>
        <w:t xml:space="preserve">that </w:t>
      </w:r>
      <w:r w:rsidR="00B7414D" w:rsidRPr="00837BF1">
        <w:rPr>
          <w:rFonts w:ascii="Arial" w:hAnsi="Arial" w:cs="Arial"/>
        </w:rPr>
        <w:t xml:space="preserve">they </w:t>
      </w:r>
      <w:r w:rsidR="006C3A7A" w:rsidRPr="00837BF1">
        <w:rPr>
          <w:rFonts w:ascii="Arial" w:hAnsi="Arial" w:cs="Arial"/>
        </w:rPr>
        <w:t>were employe</w:t>
      </w:r>
      <w:r w:rsidR="003D70EB" w:rsidRPr="00837BF1">
        <w:rPr>
          <w:rFonts w:ascii="Arial" w:hAnsi="Arial" w:cs="Arial"/>
        </w:rPr>
        <w:t>es</w:t>
      </w:r>
      <w:r w:rsidR="006C3A7A" w:rsidRPr="00837BF1">
        <w:rPr>
          <w:rFonts w:ascii="Arial" w:hAnsi="Arial" w:cs="Arial"/>
        </w:rPr>
        <w:t xml:space="preserve"> </w:t>
      </w:r>
      <w:r w:rsidR="00B7414D" w:rsidRPr="00837BF1">
        <w:rPr>
          <w:rFonts w:ascii="Arial" w:hAnsi="Arial" w:cs="Arial"/>
        </w:rPr>
        <w:t xml:space="preserve">in January/February 2020 </w:t>
      </w:r>
      <w:r w:rsidR="006C3A7A" w:rsidRPr="00837BF1">
        <w:rPr>
          <w:rFonts w:ascii="Arial" w:hAnsi="Arial" w:cs="Arial"/>
        </w:rPr>
        <w:t>(n=</w:t>
      </w:r>
      <w:r w:rsidR="00AA5233" w:rsidRPr="00837BF1">
        <w:rPr>
          <w:rFonts w:ascii="Arial" w:hAnsi="Arial" w:cs="Arial"/>
        </w:rPr>
        <w:t>8,708</w:t>
      </w:r>
      <w:r w:rsidR="006C3A7A" w:rsidRPr="00837BF1">
        <w:rPr>
          <w:rFonts w:ascii="Arial" w:hAnsi="Arial" w:cs="Arial"/>
        </w:rPr>
        <w:t>)</w:t>
      </w:r>
      <w:r w:rsidR="00F64B4B" w:rsidRPr="00837BF1">
        <w:rPr>
          <w:rFonts w:ascii="Arial" w:hAnsi="Arial" w:cs="Arial"/>
        </w:rPr>
        <w:t xml:space="preserve">. </w:t>
      </w:r>
      <w:r w:rsidR="00853F84" w:rsidRPr="00837BF1">
        <w:rPr>
          <w:rFonts w:ascii="Arial" w:hAnsi="Arial" w:cs="Arial"/>
        </w:rPr>
        <w:t xml:space="preserve">Throughout the paper, the term </w:t>
      </w:r>
      <w:r w:rsidR="00853F84" w:rsidRPr="00837BF1">
        <w:rPr>
          <w:rFonts w:ascii="Arial" w:hAnsi="Arial" w:cs="Arial"/>
          <w:i/>
          <w:iCs/>
        </w:rPr>
        <w:t>employees</w:t>
      </w:r>
      <w:r w:rsidR="00853F84" w:rsidRPr="00837BF1">
        <w:rPr>
          <w:rFonts w:ascii="Arial" w:hAnsi="Arial" w:cs="Arial"/>
        </w:rPr>
        <w:t xml:space="preserve"> </w:t>
      </w:r>
      <w:r w:rsidR="00853F84" w:rsidRPr="00837BF1">
        <w:rPr>
          <w:rFonts w:ascii="Arial" w:hAnsi="Arial" w:cs="Arial"/>
        </w:rPr>
        <w:lastRenderedPageBreak/>
        <w:t>refers to those who were employees at baseline</w:t>
      </w:r>
      <w:r w:rsidR="006D5AF5" w:rsidRPr="00837BF1">
        <w:rPr>
          <w:rFonts w:ascii="Arial" w:hAnsi="Arial" w:cs="Arial"/>
        </w:rPr>
        <w:t xml:space="preserve">. </w:t>
      </w:r>
      <w:r w:rsidR="00331FC0" w:rsidRPr="00837BF1">
        <w:rPr>
          <w:rFonts w:ascii="Arial" w:hAnsi="Arial" w:cs="Arial"/>
        </w:rPr>
        <w:t>Frequenc</w:t>
      </w:r>
      <w:r w:rsidR="00FD11D6" w:rsidRPr="00837BF1">
        <w:rPr>
          <w:rFonts w:ascii="Arial" w:hAnsi="Arial" w:cs="Arial"/>
        </w:rPr>
        <w:t>ies</w:t>
      </w:r>
      <w:r w:rsidR="00331FC0" w:rsidRPr="00837BF1">
        <w:rPr>
          <w:rFonts w:ascii="Arial" w:hAnsi="Arial" w:cs="Arial"/>
        </w:rPr>
        <w:t xml:space="preserve"> examined </w:t>
      </w:r>
      <w:r w:rsidR="00A35C61" w:rsidRPr="00837BF1">
        <w:rPr>
          <w:rFonts w:ascii="Arial" w:hAnsi="Arial" w:cs="Arial"/>
        </w:rPr>
        <w:t xml:space="preserve">sample </w:t>
      </w:r>
      <w:r w:rsidR="00331FC0" w:rsidRPr="00837BF1">
        <w:rPr>
          <w:rFonts w:ascii="Arial" w:hAnsi="Arial" w:cs="Arial"/>
        </w:rPr>
        <w:t xml:space="preserve">characteristics of </w:t>
      </w:r>
      <w:r w:rsidR="005E480D" w:rsidRPr="00837BF1">
        <w:rPr>
          <w:rFonts w:ascii="Arial" w:hAnsi="Arial" w:cs="Arial"/>
        </w:rPr>
        <w:t>employees</w:t>
      </w:r>
      <w:r w:rsidR="00E32B54" w:rsidRPr="00837BF1">
        <w:rPr>
          <w:rFonts w:ascii="Arial" w:hAnsi="Arial" w:cs="Arial"/>
        </w:rPr>
        <w:t>. The</w:t>
      </w:r>
      <w:r w:rsidR="003D1772" w:rsidRPr="00837BF1">
        <w:rPr>
          <w:rFonts w:ascii="Arial" w:hAnsi="Arial" w:cs="Arial"/>
        </w:rPr>
        <w:t xml:space="preserve"> </w:t>
      </w:r>
      <w:r w:rsidR="005E480D" w:rsidRPr="00837BF1">
        <w:rPr>
          <w:rFonts w:ascii="Arial" w:hAnsi="Arial" w:cs="Arial"/>
        </w:rPr>
        <w:t xml:space="preserve">prevalence of psychological distress </w:t>
      </w:r>
      <w:r w:rsidR="0082451E" w:rsidRPr="00837BF1">
        <w:rPr>
          <w:rFonts w:ascii="Arial" w:hAnsi="Arial" w:cs="Arial"/>
        </w:rPr>
        <w:t xml:space="preserve">at baseline and April 2020 </w:t>
      </w:r>
      <w:r w:rsidR="00621523" w:rsidRPr="00837BF1">
        <w:rPr>
          <w:rFonts w:ascii="Arial" w:hAnsi="Arial" w:cs="Arial"/>
        </w:rPr>
        <w:t xml:space="preserve">was estimated </w:t>
      </w:r>
      <w:r w:rsidR="008B75D6" w:rsidRPr="00837BF1">
        <w:rPr>
          <w:rFonts w:ascii="Arial" w:hAnsi="Arial" w:cs="Arial"/>
        </w:rPr>
        <w:t>across all characteristics</w:t>
      </w:r>
      <w:r w:rsidR="000267D4" w:rsidRPr="00837BF1">
        <w:rPr>
          <w:rFonts w:ascii="Arial" w:hAnsi="Arial" w:cs="Arial"/>
        </w:rPr>
        <w:t>.</w:t>
      </w:r>
      <w:r w:rsidR="00101F24" w:rsidRPr="00837BF1">
        <w:rPr>
          <w:rFonts w:ascii="Arial" w:hAnsi="Arial" w:cs="Arial"/>
        </w:rPr>
        <w:t xml:space="preserve"> This was</w:t>
      </w:r>
      <w:r w:rsidR="001356D1" w:rsidRPr="00837BF1">
        <w:rPr>
          <w:rFonts w:ascii="Arial" w:hAnsi="Arial" w:cs="Arial"/>
        </w:rPr>
        <w:t xml:space="preserve"> </w:t>
      </w:r>
      <w:r w:rsidR="008B75D6" w:rsidRPr="00837BF1">
        <w:rPr>
          <w:rFonts w:ascii="Arial" w:hAnsi="Arial" w:cs="Arial"/>
        </w:rPr>
        <w:t xml:space="preserve">determined </w:t>
      </w:r>
      <w:r w:rsidR="00101F24" w:rsidRPr="00837BF1">
        <w:rPr>
          <w:rFonts w:ascii="Arial" w:hAnsi="Arial" w:cs="Arial"/>
        </w:rPr>
        <w:t>as</w:t>
      </w:r>
      <w:r w:rsidR="008B75D6" w:rsidRPr="00837BF1">
        <w:rPr>
          <w:rFonts w:ascii="Arial" w:hAnsi="Arial" w:cs="Arial"/>
        </w:rPr>
        <w:t xml:space="preserve"> the p</w:t>
      </w:r>
      <w:r w:rsidR="0082451E" w:rsidRPr="00837BF1">
        <w:rPr>
          <w:rFonts w:ascii="Arial" w:hAnsi="Arial" w:cs="Arial"/>
        </w:rPr>
        <w:t xml:space="preserve">roportion </w:t>
      </w:r>
      <w:r w:rsidR="00215A10" w:rsidRPr="00837BF1">
        <w:rPr>
          <w:rFonts w:ascii="Arial" w:hAnsi="Arial" w:cs="Arial"/>
        </w:rPr>
        <w:t xml:space="preserve">within each group </w:t>
      </w:r>
      <w:r w:rsidR="0082451E" w:rsidRPr="00837BF1">
        <w:rPr>
          <w:rFonts w:ascii="Arial" w:hAnsi="Arial" w:cs="Arial"/>
        </w:rPr>
        <w:t xml:space="preserve">with GHQ scores of </w:t>
      </w:r>
      <w:r w:rsidR="00BA2AB1" w:rsidRPr="00837BF1">
        <w:rPr>
          <w:rFonts w:ascii="Arial" w:hAnsi="Arial" w:cs="Arial"/>
        </w:rPr>
        <w:t>four</w:t>
      </w:r>
      <w:r w:rsidR="0082451E" w:rsidRPr="00837BF1">
        <w:rPr>
          <w:rFonts w:ascii="Arial" w:hAnsi="Arial" w:cs="Arial"/>
        </w:rPr>
        <w:t xml:space="preserve"> and above.</w:t>
      </w:r>
      <w:r w:rsidR="003C55DF" w:rsidRPr="00837BF1">
        <w:rPr>
          <w:rFonts w:ascii="Arial" w:hAnsi="Arial" w:cs="Arial"/>
        </w:rPr>
        <w:t xml:space="preserve"> </w:t>
      </w:r>
      <w:r w:rsidR="00586E91" w:rsidRPr="00837BF1">
        <w:rPr>
          <w:rFonts w:ascii="Arial" w:hAnsi="Arial" w:cs="Arial"/>
        </w:rPr>
        <w:t>Prevalence estimates presented in tables represent weighted estimate</w:t>
      </w:r>
      <w:r w:rsidR="00101F24" w:rsidRPr="00837BF1">
        <w:rPr>
          <w:rFonts w:ascii="Arial" w:hAnsi="Arial" w:cs="Arial"/>
        </w:rPr>
        <w:t>s</w:t>
      </w:r>
      <w:r w:rsidR="008F20F5" w:rsidRPr="00837BF1">
        <w:rPr>
          <w:rFonts w:ascii="Arial" w:hAnsi="Arial" w:cs="Arial"/>
        </w:rPr>
        <w:t xml:space="preserve">, with weighting of analysis described </w:t>
      </w:r>
      <w:r w:rsidR="00621523" w:rsidRPr="00837BF1">
        <w:rPr>
          <w:rFonts w:ascii="Arial" w:hAnsi="Arial" w:cs="Arial"/>
        </w:rPr>
        <w:t>below.</w:t>
      </w:r>
      <w:r w:rsidR="00DD2876" w:rsidRPr="00837BF1">
        <w:rPr>
          <w:rFonts w:ascii="Arial" w:hAnsi="Arial" w:cs="Arial"/>
        </w:rPr>
        <w:t xml:space="preserve"> Two-tailed p</w:t>
      </w:r>
      <w:r w:rsidR="0082451E" w:rsidRPr="00837BF1">
        <w:rPr>
          <w:rFonts w:ascii="Arial" w:hAnsi="Arial" w:cs="Arial"/>
        </w:rPr>
        <w:t>aired</w:t>
      </w:r>
      <w:r w:rsidR="00985D9F" w:rsidRPr="00837BF1">
        <w:rPr>
          <w:rFonts w:ascii="Arial" w:hAnsi="Arial" w:cs="Arial"/>
        </w:rPr>
        <w:t>-proportions tests</w:t>
      </w:r>
      <w:r w:rsidR="007B411D" w:rsidRPr="00837BF1">
        <w:rPr>
          <w:rFonts w:ascii="Arial" w:hAnsi="Arial" w:cs="Arial"/>
        </w:rPr>
        <w:t xml:space="preserve"> examined </w:t>
      </w:r>
      <w:r w:rsidR="000D7B94" w:rsidRPr="00837BF1">
        <w:rPr>
          <w:rFonts w:ascii="Arial" w:hAnsi="Arial" w:cs="Arial"/>
        </w:rPr>
        <w:t xml:space="preserve">differences in </w:t>
      </w:r>
      <w:r w:rsidR="003D1772" w:rsidRPr="00837BF1">
        <w:rPr>
          <w:rFonts w:ascii="Arial" w:hAnsi="Arial" w:cs="Arial"/>
        </w:rPr>
        <w:t>baseline</w:t>
      </w:r>
      <w:r w:rsidR="000D7B94" w:rsidRPr="00837BF1">
        <w:rPr>
          <w:rFonts w:ascii="Arial" w:hAnsi="Arial" w:cs="Arial"/>
        </w:rPr>
        <w:t xml:space="preserve"> and April 2020 psychological distress. </w:t>
      </w:r>
      <w:r w:rsidR="001356D1" w:rsidRPr="00837BF1">
        <w:rPr>
          <w:rFonts w:ascii="Arial" w:hAnsi="Arial" w:cs="Arial"/>
        </w:rPr>
        <w:t>Mean GHQ scores</w:t>
      </w:r>
      <w:r w:rsidR="004D7583" w:rsidRPr="00837BF1">
        <w:rPr>
          <w:rFonts w:ascii="Arial" w:hAnsi="Arial" w:cs="Arial"/>
        </w:rPr>
        <w:t xml:space="preserve"> were </w:t>
      </w:r>
      <w:r w:rsidR="003967D0" w:rsidRPr="00837BF1">
        <w:rPr>
          <w:rFonts w:ascii="Arial" w:hAnsi="Arial" w:cs="Arial"/>
        </w:rPr>
        <w:t xml:space="preserve">also </w:t>
      </w:r>
      <w:r w:rsidR="004D7583" w:rsidRPr="00837BF1">
        <w:rPr>
          <w:rFonts w:ascii="Arial" w:hAnsi="Arial" w:cs="Arial"/>
        </w:rPr>
        <w:t>graphed an</w:t>
      </w:r>
      <w:r w:rsidR="00E2488F" w:rsidRPr="00837BF1">
        <w:rPr>
          <w:rFonts w:ascii="Arial" w:hAnsi="Arial" w:cs="Arial"/>
        </w:rPr>
        <w:t>d presented for selected characteristics</w:t>
      </w:r>
      <w:r w:rsidR="00065338" w:rsidRPr="00837BF1">
        <w:rPr>
          <w:rFonts w:ascii="Arial" w:hAnsi="Arial" w:cs="Arial"/>
        </w:rPr>
        <w:t xml:space="preserve"> relat</w:t>
      </w:r>
      <w:r w:rsidR="00DA7F4C" w:rsidRPr="00837BF1">
        <w:rPr>
          <w:rFonts w:ascii="Arial" w:hAnsi="Arial" w:cs="Arial"/>
        </w:rPr>
        <w:t>ed</w:t>
      </w:r>
      <w:r w:rsidR="00065338" w:rsidRPr="00837BF1">
        <w:rPr>
          <w:rFonts w:ascii="Arial" w:hAnsi="Arial" w:cs="Arial"/>
        </w:rPr>
        <w:t xml:space="preserve"> to reduced workin</w:t>
      </w:r>
      <w:r w:rsidR="001D1A96" w:rsidRPr="00837BF1">
        <w:rPr>
          <w:rFonts w:ascii="Arial" w:hAnsi="Arial" w:cs="Arial"/>
        </w:rPr>
        <w:t>g</w:t>
      </w:r>
      <w:r w:rsidR="00E2488F" w:rsidRPr="00837BF1">
        <w:rPr>
          <w:rFonts w:ascii="Arial" w:hAnsi="Arial" w:cs="Arial"/>
        </w:rPr>
        <w:t xml:space="preserve"> in supplementary material</w:t>
      </w:r>
      <w:r w:rsidR="009F77CE" w:rsidRPr="00837BF1">
        <w:rPr>
          <w:rFonts w:ascii="Arial" w:hAnsi="Arial" w:cs="Arial"/>
        </w:rPr>
        <w:t xml:space="preserve">. </w:t>
      </w:r>
    </w:p>
    <w:p w14:paraId="52D27B92" w14:textId="77777777" w:rsidR="003869C7" w:rsidRPr="00837BF1" w:rsidRDefault="003869C7" w:rsidP="00C421FB">
      <w:pPr>
        <w:spacing w:after="0" w:line="480" w:lineRule="auto"/>
        <w:jc w:val="both"/>
        <w:rPr>
          <w:rFonts w:ascii="Arial" w:hAnsi="Arial" w:cs="Arial"/>
        </w:rPr>
      </w:pPr>
    </w:p>
    <w:p w14:paraId="502F36EC" w14:textId="21C451D1" w:rsidR="00E16972" w:rsidRPr="00837BF1" w:rsidRDefault="006B4BE4" w:rsidP="006A72C8">
      <w:pPr>
        <w:shd w:val="clear" w:color="auto" w:fill="FFFFFF"/>
        <w:spacing w:after="0" w:line="480" w:lineRule="auto"/>
        <w:jc w:val="both"/>
        <w:rPr>
          <w:rFonts w:ascii="Arial" w:hAnsi="Arial" w:cs="Arial"/>
          <w:color w:val="000000"/>
          <w:shd w:val="clear" w:color="auto" w:fill="FFFFFF"/>
        </w:rPr>
      </w:pPr>
      <w:r w:rsidRPr="00837BF1">
        <w:rPr>
          <w:rFonts w:ascii="Arial" w:eastAsia="Times New Roman" w:hAnsi="Arial" w:cs="Arial"/>
          <w:color w:val="000000"/>
          <w:bdr w:val="none" w:sz="0" w:space="0" w:color="auto" w:frame="1"/>
          <w:shd w:val="clear" w:color="auto" w:fill="FFFFFF"/>
          <w:lang w:eastAsia="en-GB"/>
        </w:rPr>
        <w:t>In order to maximise the sample, while taking into account the sample stratification, clusters and weights, a Monte Carlo integration algorithm was used.  Model estimates were obtained using a robust maximum likelihood with a logit link function.</w:t>
      </w:r>
      <w:r w:rsidRPr="00837BF1">
        <w:rPr>
          <w:rFonts w:ascii="Calibri" w:eastAsia="Times New Roman" w:hAnsi="Calibri" w:cs="Calibri"/>
          <w:color w:val="000000"/>
          <w:lang w:eastAsia="en-GB"/>
        </w:rPr>
        <w:t xml:space="preserve"> </w:t>
      </w:r>
      <w:r w:rsidR="00BA2AB1" w:rsidRPr="00837BF1">
        <w:rPr>
          <w:rFonts w:ascii="Arial" w:hAnsi="Arial" w:cs="Arial"/>
        </w:rPr>
        <w:t xml:space="preserve">Logistic regression </w:t>
      </w:r>
      <w:r w:rsidR="00C44072" w:rsidRPr="00837BF1">
        <w:rPr>
          <w:rFonts w:ascii="Arial" w:hAnsi="Arial" w:cs="Arial"/>
        </w:rPr>
        <w:t xml:space="preserve">firstly </w:t>
      </w:r>
      <w:r w:rsidR="00BA2AB1" w:rsidRPr="00837BF1">
        <w:rPr>
          <w:rFonts w:ascii="Arial" w:hAnsi="Arial" w:cs="Arial"/>
        </w:rPr>
        <w:t xml:space="preserve">examined crude associations of each explanatory variable with psychological distress. </w:t>
      </w:r>
      <w:r w:rsidR="007A52E1" w:rsidRPr="00837BF1">
        <w:rPr>
          <w:rFonts w:ascii="Arial" w:hAnsi="Arial" w:cs="Arial"/>
        </w:rPr>
        <w:t>Likelihood ratio tests</w:t>
      </w:r>
      <w:r w:rsidR="00DC030A" w:rsidRPr="00837BF1">
        <w:rPr>
          <w:rFonts w:ascii="Arial" w:hAnsi="Arial" w:cs="Arial"/>
        </w:rPr>
        <w:t xml:space="preserve"> </w:t>
      </w:r>
      <w:r w:rsidR="00B16FA0" w:rsidRPr="00837BF1">
        <w:rPr>
          <w:rFonts w:ascii="Arial" w:hAnsi="Arial" w:cs="Arial"/>
        </w:rPr>
        <w:t>assessed</w:t>
      </w:r>
      <w:r w:rsidR="00DC030A" w:rsidRPr="00837BF1">
        <w:rPr>
          <w:rFonts w:ascii="Arial" w:hAnsi="Arial" w:cs="Arial"/>
        </w:rPr>
        <w:t xml:space="preserve"> for a linear trend</w:t>
      </w:r>
      <w:r w:rsidR="00A2452E" w:rsidRPr="00837BF1">
        <w:rPr>
          <w:rFonts w:ascii="Arial" w:hAnsi="Arial" w:cs="Arial"/>
        </w:rPr>
        <w:t xml:space="preserve"> for both age-group and baseline weekly household earnings</w:t>
      </w:r>
      <w:r w:rsidR="00A635CF" w:rsidRPr="00837BF1">
        <w:rPr>
          <w:rFonts w:ascii="Arial" w:hAnsi="Arial" w:cs="Arial"/>
        </w:rPr>
        <w:t xml:space="preserve">. Based on comparison of models, age was retained as a categorical variable, while a linear trend </w:t>
      </w:r>
      <w:r w:rsidR="005264EF" w:rsidRPr="00837BF1">
        <w:rPr>
          <w:rFonts w:ascii="Arial" w:hAnsi="Arial" w:cs="Arial"/>
        </w:rPr>
        <w:t xml:space="preserve">was assumed for household earnings. Two sets of </w:t>
      </w:r>
      <w:r w:rsidR="00EF6190" w:rsidRPr="00837BF1">
        <w:rPr>
          <w:rFonts w:ascii="Arial" w:hAnsi="Arial" w:cs="Arial"/>
        </w:rPr>
        <w:t xml:space="preserve">incrementally developed </w:t>
      </w:r>
      <w:r w:rsidR="00F0276D" w:rsidRPr="00837BF1">
        <w:rPr>
          <w:rFonts w:ascii="Arial" w:hAnsi="Arial" w:cs="Arial"/>
        </w:rPr>
        <w:t>logistic</w:t>
      </w:r>
      <w:r w:rsidR="005264EF" w:rsidRPr="00837BF1">
        <w:rPr>
          <w:rFonts w:ascii="Arial" w:hAnsi="Arial" w:cs="Arial"/>
        </w:rPr>
        <w:t xml:space="preserve"> regression models</w:t>
      </w:r>
      <w:r w:rsidR="00EF6190" w:rsidRPr="00837BF1">
        <w:rPr>
          <w:rFonts w:ascii="Arial" w:hAnsi="Arial" w:cs="Arial"/>
        </w:rPr>
        <w:t xml:space="preserve"> </w:t>
      </w:r>
      <w:r w:rsidR="00023128" w:rsidRPr="00837BF1">
        <w:rPr>
          <w:rFonts w:ascii="Arial" w:hAnsi="Arial" w:cs="Arial"/>
        </w:rPr>
        <w:t xml:space="preserve">examined the association </w:t>
      </w:r>
      <w:r w:rsidR="00EF6190" w:rsidRPr="00837BF1">
        <w:rPr>
          <w:rFonts w:ascii="Arial" w:hAnsi="Arial" w:cs="Arial"/>
        </w:rPr>
        <w:t>between</w:t>
      </w:r>
      <w:r w:rsidR="00023128" w:rsidRPr="00837BF1">
        <w:rPr>
          <w:rFonts w:ascii="Arial" w:hAnsi="Arial" w:cs="Arial"/>
        </w:rPr>
        <w:t xml:space="preserve"> </w:t>
      </w:r>
      <w:r w:rsidR="00F0276D" w:rsidRPr="00837BF1">
        <w:rPr>
          <w:rFonts w:ascii="Arial" w:hAnsi="Arial" w:cs="Arial"/>
          <w:i/>
          <w:iCs/>
        </w:rPr>
        <w:t>psychological distress</w:t>
      </w:r>
      <w:r w:rsidR="00F0276D" w:rsidRPr="00837BF1">
        <w:rPr>
          <w:rFonts w:ascii="Arial" w:hAnsi="Arial" w:cs="Arial"/>
        </w:rPr>
        <w:t xml:space="preserve"> in </w:t>
      </w:r>
      <w:r w:rsidR="00EF6190" w:rsidRPr="00837BF1">
        <w:rPr>
          <w:rFonts w:ascii="Arial" w:hAnsi="Arial" w:cs="Arial"/>
        </w:rPr>
        <w:t>the early pandemic phase</w:t>
      </w:r>
      <w:r w:rsidR="00173EC5" w:rsidRPr="00837BF1">
        <w:rPr>
          <w:rFonts w:ascii="Arial" w:hAnsi="Arial" w:cs="Arial"/>
        </w:rPr>
        <w:t xml:space="preserve"> with </w:t>
      </w:r>
      <w:r w:rsidR="00EF6190" w:rsidRPr="00837BF1">
        <w:rPr>
          <w:rFonts w:ascii="Arial" w:hAnsi="Arial" w:cs="Arial"/>
        </w:rPr>
        <w:t xml:space="preserve">both </w:t>
      </w:r>
      <w:r w:rsidR="00023128" w:rsidRPr="00837BF1">
        <w:rPr>
          <w:rFonts w:ascii="Arial" w:hAnsi="Arial" w:cs="Arial"/>
        </w:rPr>
        <w:t>(</w:t>
      </w:r>
      <w:r w:rsidR="00EF6190" w:rsidRPr="00837BF1">
        <w:rPr>
          <w:rFonts w:ascii="Arial" w:hAnsi="Arial" w:cs="Arial"/>
        </w:rPr>
        <w:t>a</w:t>
      </w:r>
      <w:r w:rsidR="00023128" w:rsidRPr="00837BF1">
        <w:rPr>
          <w:rFonts w:ascii="Arial" w:hAnsi="Arial" w:cs="Arial"/>
        </w:rPr>
        <w:t>)</w:t>
      </w:r>
      <w:r w:rsidR="00173EC5" w:rsidRPr="00837BF1">
        <w:rPr>
          <w:rFonts w:ascii="Arial" w:hAnsi="Arial" w:cs="Arial"/>
        </w:rPr>
        <w:t xml:space="preserve"> reduced working</w:t>
      </w:r>
      <w:r w:rsidR="00EF6190" w:rsidRPr="00837BF1">
        <w:rPr>
          <w:rFonts w:ascii="Arial" w:hAnsi="Arial" w:cs="Arial"/>
        </w:rPr>
        <w:t>,</w:t>
      </w:r>
      <w:r w:rsidR="00173EC5" w:rsidRPr="00837BF1">
        <w:rPr>
          <w:rFonts w:ascii="Arial" w:hAnsi="Arial" w:cs="Arial"/>
        </w:rPr>
        <w:t xml:space="preserve"> and (</w:t>
      </w:r>
      <w:r w:rsidR="00EF6190" w:rsidRPr="00837BF1">
        <w:rPr>
          <w:rFonts w:ascii="Arial" w:hAnsi="Arial" w:cs="Arial"/>
        </w:rPr>
        <w:t>b</w:t>
      </w:r>
      <w:r w:rsidR="00173EC5" w:rsidRPr="00837BF1">
        <w:rPr>
          <w:rFonts w:ascii="Arial" w:hAnsi="Arial" w:cs="Arial"/>
        </w:rPr>
        <w:t xml:space="preserve">) </w:t>
      </w:r>
      <w:r w:rsidR="00EF6190" w:rsidRPr="00837BF1">
        <w:rPr>
          <w:rFonts w:ascii="Arial" w:hAnsi="Arial" w:cs="Arial"/>
        </w:rPr>
        <w:t xml:space="preserve">the </w:t>
      </w:r>
      <w:r w:rsidR="0045092C" w:rsidRPr="00837BF1">
        <w:rPr>
          <w:rFonts w:ascii="Arial" w:hAnsi="Arial" w:cs="Arial"/>
        </w:rPr>
        <w:t xml:space="preserve">six </w:t>
      </w:r>
      <w:r w:rsidR="00173EC5" w:rsidRPr="00837BF1">
        <w:rPr>
          <w:rFonts w:ascii="Arial" w:hAnsi="Arial" w:cs="Arial"/>
        </w:rPr>
        <w:t xml:space="preserve">reasons for reduced working. In </w:t>
      </w:r>
      <w:r w:rsidR="00585190" w:rsidRPr="00837BF1">
        <w:rPr>
          <w:rFonts w:ascii="Arial" w:hAnsi="Arial" w:cs="Arial"/>
        </w:rPr>
        <w:t>both</w:t>
      </w:r>
      <w:r w:rsidR="00EF6190" w:rsidRPr="00837BF1">
        <w:rPr>
          <w:rFonts w:ascii="Arial" w:hAnsi="Arial" w:cs="Arial"/>
        </w:rPr>
        <w:t>:</w:t>
      </w:r>
      <w:r w:rsidR="00F85FA3" w:rsidRPr="00837BF1">
        <w:rPr>
          <w:rFonts w:ascii="Arial" w:hAnsi="Arial" w:cs="Arial"/>
        </w:rPr>
        <w:t xml:space="preserve"> </w:t>
      </w:r>
      <w:r w:rsidR="00EF6190" w:rsidRPr="00837BF1">
        <w:rPr>
          <w:rFonts w:ascii="Arial" w:hAnsi="Arial" w:cs="Arial"/>
        </w:rPr>
        <w:t>M</w:t>
      </w:r>
      <w:r w:rsidR="00F85FA3" w:rsidRPr="00837BF1">
        <w:rPr>
          <w:rFonts w:ascii="Arial" w:hAnsi="Arial" w:cs="Arial"/>
        </w:rPr>
        <w:t>odel 1 adjusted for age</w:t>
      </w:r>
      <w:r w:rsidR="00ED298F" w:rsidRPr="00837BF1">
        <w:rPr>
          <w:rFonts w:ascii="Arial" w:hAnsi="Arial" w:cs="Arial"/>
        </w:rPr>
        <w:t xml:space="preserve">, </w:t>
      </w:r>
      <w:r w:rsidR="00F85FA3" w:rsidRPr="00837BF1">
        <w:rPr>
          <w:rFonts w:ascii="Arial" w:hAnsi="Arial" w:cs="Arial"/>
        </w:rPr>
        <w:t>sex</w:t>
      </w:r>
      <w:r w:rsidR="00ED298F" w:rsidRPr="00837BF1">
        <w:rPr>
          <w:rFonts w:ascii="Arial" w:hAnsi="Arial" w:cs="Arial"/>
        </w:rPr>
        <w:t>,</w:t>
      </w:r>
      <w:r w:rsidR="00424BAA" w:rsidRPr="00837BF1">
        <w:rPr>
          <w:rFonts w:ascii="Arial" w:hAnsi="Arial" w:cs="Arial"/>
        </w:rPr>
        <w:t xml:space="preserve"> living in a couple and ethnicity; </w:t>
      </w:r>
      <w:r w:rsidR="00EF6190" w:rsidRPr="00837BF1">
        <w:rPr>
          <w:rFonts w:ascii="Arial" w:hAnsi="Arial" w:cs="Arial"/>
        </w:rPr>
        <w:t>M</w:t>
      </w:r>
      <w:r w:rsidR="00424BAA" w:rsidRPr="00837BF1">
        <w:rPr>
          <w:rFonts w:ascii="Arial" w:hAnsi="Arial" w:cs="Arial"/>
        </w:rPr>
        <w:t xml:space="preserve">odel </w:t>
      </w:r>
      <w:r w:rsidR="00ED298F" w:rsidRPr="00837BF1">
        <w:rPr>
          <w:rFonts w:ascii="Arial" w:hAnsi="Arial" w:cs="Arial"/>
        </w:rPr>
        <w:t>2</w:t>
      </w:r>
      <w:r w:rsidR="00424BAA" w:rsidRPr="00837BF1">
        <w:rPr>
          <w:rFonts w:ascii="Arial" w:hAnsi="Arial" w:cs="Arial"/>
        </w:rPr>
        <w:t xml:space="preserve"> </w:t>
      </w:r>
      <w:r w:rsidR="00EF6190" w:rsidRPr="00837BF1">
        <w:rPr>
          <w:rFonts w:ascii="Arial" w:hAnsi="Arial" w:cs="Arial"/>
        </w:rPr>
        <w:t>additionally includ</w:t>
      </w:r>
      <w:r w:rsidR="009665FC" w:rsidRPr="00837BF1">
        <w:rPr>
          <w:rFonts w:ascii="Arial" w:hAnsi="Arial" w:cs="Arial"/>
        </w:rPr>
        <w:t>ing</w:t>
      </w:r>
      <w:r w:rsidR="00424BAA" w:rsidRPr="00837BF1">
        <w:rPr>
          <w:rFonts w:ascii="Arial" w:hAnsi="Arial" w:cs="Arial"/>
        </w:rPr>
        <w:t xml:space="preserve"> baseline weekly household earnings and subjective assessment of current financial situation</w:t>
      </w:r>
      <w:r w:rsidR="00CD7C5F" w:rsidRPr="00837BF1">
        <w:rPr>
          <w:rFonts w:ascii="Arial" w:hAnsi="Arial" w:cs="Arial"/>
        </w:rPr>
        <w:t xml:space="preserve">; and </w:t>
      </w:r>
      <w:r w:rsidR="00EF6190" w:rsidRPr="00837BF1">
        <w:rPr>
          <w:rFonts w:ascii="Arial" w:hAnsi="Arial" w:cs="Arial"/>
        </w:rPr>
        <w:t>finally M</w:t>
      </w:r>
      <w:r w:rsidR="00CD7C5F" w:rsidRPr="00837BF1">
        <w:rPr>
          <w:rFonts w:ascii="Arial" w:hAnsi="Arial" w:cs="Arial"/>
        </w:rPr>
        <w:t xml:space="preserve">odel </w:t>
      </w:r>
      <w:r w:rsidR="00ED298F" w:rsidRPr="00837BF1">
        <w:rPr>
          <w:rFonts w:ascii="Arial" w:hAnsi="Arial" w:cs="Arial"/>
        </w:rPr>
        <w:t>3</w:t>
      </w:r>
      <w:r w:rsidR="009665FC" w:rsidRPr="00837BF1">
        <w:rPr>
          <w:rFonts w:ascii="Arial" w:hAnsi="Arial" w:cs="Arial"/>
        </w:rPr>
        <w:t>,</w:t>
      </w:r>
      <w:r w:rsidR="00CD7C5F" w:rsidRPr="00837BF1">
        <w:rPr>
          <w:rFonts w:ascii="Arial" w:hAnsi="Arial" w:cs="Arial"/>
        </w:rPr>
        <w:t xml:space="preserve"> </w:t>
      </w:r>
      <w:r w:rsidR="00EF6190" w:rsidRPr="00837BF1">
        <w:rPr>
          <w:rFonts w:ascii="Arial" w:hAnsi="Arial" w:cs="Arial"/>
        </w:rPr>
        <w:t>add</w:t>
      </w:r>
      <w:r w:rsidR="009665FC" w:rsidRPr="00837BF1">
        <w:rPr>
          <w:rFonts w:ascii="Arial" w:hAnsi="Arial" w:cs="Arial"/>
        </w:rPr>
        <w:t>ing</w:t>
      </w:r>
      <w:r w:rsidR="00CD7C5F" w:rsidRPr="00837BF1">
        <w:rPr>
          <w:rFonts w:ascii="Arial" w:hAnsi="Arial" w:cs="Arial"/>
        </w:rPr>
        <w:t xml:space="preserve"> baseline </w:t>
      </w:r>
      <w:r w:rsidR="00ED298F" w:rsidRPr="00837BF1">
        <w:rPr>
          <w:rFonts w:ascii="Arial" w:hAnsi="Arial" w:cs="Arial"/>
        </w:rPr>
        <w:t>ps</w:t>
      </w:r>
      <w:r w:rsidR="00D519E6" w:rsidRPr="00837BF1">
        <w:rPr>
          <w:rFonts w:ascii="Arial" w:hAnsi="Arial" w:cs="Arial"/>
        </w:rPr>
        <w:t>ychological distress</w:t>
      </w:r>
      <w:r w:rsidR="00CD7C5F" w:rsidRPr="00837BF1">
        <w:rPr>
          <w:rFonts w:ascii="Arial" w:hAnsi="Arial" w:cs="Arial"/>
        </w:rPr>
        <w:t xml:space="preserve">. </w:t>
      </w:r>
      <w:r w:rsidR="001B3566" w:rsidRPr="00837BF1">
        <w:rPr>
          <w:rFonts w:ascii="Arial" w:eastAsia="Times New Roman" w:hAnsi="Arial" w:cs="Arial"/>
          <w:color w:val="000000"/>
          <w:bdr w:val="none" w:sz="0" w:space="0" w:color="auto" w:frame="1"/>
          <w:shd w:val="clear" w:color="auto" w:fill="FFFFFF"/>
          <w:lang w:eastAsia="en-GB"/>
        </w:rPr>
        <w:t xml:space="preserve">Results, unless otherwise stated, are based on the reported confidence intervals since these allow for non-normality. This result indicates statistical significance (0.05 level) when the value one lies outside the range of the confidence interval. </w:t>
      </w:r>
      <w:r w:rsidR="00F77565" w:rsidRPr="00837BF1">
        <w:rPr>
          <w:rFonts w:ascii="Arial" w:hAnsi="Arial" w:cs="Arial"/>
        </w:rPr>
        <w:t xml:space="preserve">Given that data on baseline GHQ was collected on different months between 2017 and 2018, </w:t>
      </w:r>
      <w:r w:rsidR="00597AA8" w:rsidRPr="00837BF1">
        <w:rPr>
          <w:rFonts w:ascii="Arial" w:hAnsi="Arial" w:cs="Arial"/>
          <w:color w:val="000000"/>
          <w:shd w:val="clear" w:color="auto" w:fill="FFFFFF"/>
        </w:rPr>
        <w:t>sensitivity analys</w:t>
      </w:r>
      <w:r w:rsidR="00057980" w:rsidRPr="00837BF1">
        <w:rPr>
          <w:rFonts w:ascii="Arial" w:hAnsi="Arial" w:cs="Arial"/>
          <w:color w:val="000000"/>
          <w:shd w:val="clear" w:color="auto" w:fill="FFFFFF"/>
        </w:rPr>
        <w:t>e</w:t>
      </w:r>
      <w:r w:rsidR="00597AA8" w:rsidRPr="00837BF1">
        <w:rPr>
          <w:rFonts w:ascii="Arial" w:hAnsi="Arial" w:cs="Arial"/>
          <w:color w:val="000000"/>
          <w:shd w:val="clear" w:color="auto" w:fill="FFFFFF"/>
        </w:rPr>
        <w:t>s w</w:t>
      </w:r>
      <w:r w:rsidR="00057980" w:rsidRPr="00837BF1">
        <w:rPr>
          <w:rFonts w:ascii="Arial" w:hAnsi="Arial" w:cs="Arial"/>
          <w:color w:val="000000"/>
          <w:shd w:val="clear" w:color="auto" w:fill="FFFFFF"/>
        </w:rPr>
        <w:t>ere</w:t>
      </w:r>
      <w:r w:rsidR="00597AA8" w:rsidRPr="00837BF1">
        <w:rPr>
          <w:rFonts w:ascii="Arial" w:hAnsi="Arial" w:cs="Arial"/>
          <w:color w:val="000000"/>
          <w:shd w:val="clear" w:color="auto" w:fill="FFFFFF"/>
        </w:rPr>
        <w:t xml:space="preserve"> conducted for the potential effect of quarterly season (Jan</w:t>
      </w:r>
      <w:r w:rsidR="00F77565" w:rsidRPr="00837BF1">
        <w:rPr>
          <w:rFonts w:ascii="Arial" w:hAnsi="Arial" w:cs="Arial"/>
          <w:color w:val="000000"/>
          <w:shd w:val="clear" w:color="auto" w:fill="FFFFFF"/>
        </w:rPr>
        <w:t>uary</w:t>
      </w:r>
      <w:r w:rsidR="00597AA8" w:rsidRPr="00837BF1">
        <w:rPr>
          <w:rFonts w:ascii="Arial" w:hAnsi="Arial" w:cs="Arial"/>
          <w:color w:val="000000"/>
          <w:shd w:val="clear" w:color="auto" w:fill="FFFFFF"/>
        </w:rPr>
        <w:t xml:space="preserve"> – Dec</w:t>
      </w:r>
      <w:r w:rsidR="00F77565" w:rsidRPr="00837BF1">
        <w:rPr>
          <w:rFonts w:ascii="Arial" w:hAnsi="Arial" w:cs="Arial"/>
          <w:color w:val="000000"/>
          <w:shd w:val="clear" w:color="auto" w:fill="FFFFFF"/>
        </w:rPr>
        <w:t>ember</w:t>
      </w:r>
      <w:r w:rsidR="00597AA8" w:rsidRPr="00837BF1">
        <w:rPr>
          <w:rFonts w:ascii="Arial" w:hAnsi="Arial" w:cs="Arial"/>
          <w:color w:val="000000"/>
          <w:shd w:val="clear" w:color="auto" w:fill="FFFFFF"/>
        </w:rPr>
        <w:t>), with the first quarter used as the reference category.</w:t>
      </w:r>
      <w:r w:rsidR="00597AA8" w:rsidRPr="00837BF1">
        <w:rPr>
          <w:rFonts w:ascii="Arial" w:hAnsi="Arial" w:cs="Arial"/>
          <w:color w:val="000000"/>
          <w:bdr w:val="none" w:sz="0" w:space="0" w:color="auto" w:frame="1"/>
        </w:rPr>
        <w:t>  </w:t>
      </w:r>
      <w:r w:rsidR="00597AA8" w:rsidRPr="00837BF1">
        <w:rPr>
          <w:rFonts w:ascii="Arial" w:hAnsi="Arial" w:cs="Arial"/>
          <w:color w:val="000000"/>
          <w:shd w:val="clear" w:color="auto" w:fill="FFFFFF"/>
        </w:rPr>
        <w:t xml:space="preserve">The inclusion of a measure of quarterly season had no theoretical </w:t>
      </w:r>
      <w:r w:rsidR="00597AA8" w:rsidRPr="00837BF1">
        <w:rPr>
          <w:rFonts w:ascii="Arial" w:hAnsi="Arial" w:cs="Arial"/>
          <w:color w:val="000000"/>
          <w:shd w:val="clear" w:color="auto" w:fill="FFFFFF"/>
        </w:rPr>
        <w:lastRenderedPageBreak/>
        <w:t>effect (statistical) on the model results and there was no difference </w:t>
      </w:r>
      <w:r w:rsidR="00597AA8" w:rsidRPr="00837BF1">
        <w:rPr>
          <w:rFonts w:ascii="Arial" w:hAnsi="Arial" w:cs="Arial"/>
          <w:color w:val="000000"/>
          <w:bdr w:val="none" w:sz="0" w:space="0" w:color="auto" w:frame="1"/>
        </w:rPr>
        <w:t> </w:t>
      </w:r>
      <w:r w:rsidR="00597AA8" w:rsidRPr="00837BF1">
        <w:rPr>
          <w:rFonts w:ascii="Arial" w:hAnsi="Arial" w:cs="Arial"/>
          <w:color w:val="000000"/>
          <w:shd w:val="clear" w:color="auto" w:fill="FFFFFF"/>
        </w:rPr>
        <w:t>(0.05 level) between the quarterly seasons.</w:t>
      </w:r>
    </w:p>
    <w:p w14:paraId="03838630" w14:textId="77777777" w:rsidR="006A72C8" w:rsidRPr="00837BF1" w:rsidRDefault="006A72C8" w:rsidP="006B4BE4">
      <w:pPr>
        <w:shd w:val="clear" w:color="auto" w:fill="FFFFFF"/>
        <w:spacing w:after="0" w:line="480" w:lineRule="auto"/>
        <w:rPr>
          <w:rFonts w:ascii="Calibri" w:eastAsia="Times New Roman" w:hAnsi="Calibri" w:cs="Calibri"/>
          <w:color w:val="000000"/>
          <w:lang w:eastAsia="en-GB"/>
        </w:rPr>
      </w:pPr>
    </w:p>
    <w:p w14:paraId="2D8CC4D2" w14:textId="5173D974" w:rsidR="00EE128E" w:rsidRPr="00837BF1" w:rsidRDefault="00D86FB8" w:rsidP="00E213C8">
      <w:pPr>
        <w:spacing w:after="0" w:line="480" w:lineRule="auto"/>
        <w:jc w:val="both"/>
        <w:rPr>
          <w:rFonts w:ascii="Arial" w:hAnsi="Arial" w:cs="Arial"/>
        </w:rPr>
      </w:pPr>
      <w:r w:rsidRPr="00837BF1">
        <w:rPr>
          <w:rFonts w:ascii="Arial" w:hAnsi="Arial" w:cs="Arial"/>
          <w:color w:val="000000" w:themeColor="text1"/>
        </w:rPr>
        <w:t xml:space="preserve">Descriptive statistics were produced using Stata </w:t>
      </w:r>
      <w:r w:rsidR="00C6371B" w:rsidRPr="00837BF1">
        <w:rPr>
          <w:rFonts w:ascii="Arial" w:hAnsi="Arial" w:cs="Arial"/>
          <w:color w:val="000000" w:themeColor="text1"/>
        </w:rPr>
        <w:t>version 14 (</w:t>
      </w:r>
      <w:proofErr w:type="spellStart"/>
      <w:r w:rsidR="00C6371B" w:rsidRPr="00837BF1">
        <w:rPr>
          <w:rFonts w:ascii="Arial" w:hAnsi="Arial" w:cs="Arial"/>
          <w:color w:val="000000" w:themeColor="text1"/>
        </w:rPr>
        <w:t>StatCorp</w:t>
      </w:r>
      <w:proofErr w:type="spellEnd"/>
      <w:r w:rsidR="00C6371B" w:rsidRPr="00837BF1">
        <w:rPr>
          <w:rFonts w:ascii="Arial" w:hAnsi="Arial" w:cs="Arial"/>
          <w:color w:val="000000" w:themeColor="text1"/>
        </w:rPr>
        <w:t>, 2015)</w:t>
      </w:r>
      <w:r w:rsidR="00315B9C" w:rsidRPr="00837BF1">
        <w:rPr>
          <w:rFonts w:ascii="Arial" w:hAnsi="Arial" w:cs="Arial"/>
          <w:color w:val="000000" w:themeColor="text1"/>
        </w:rPr>
        <w:t xml:space="preserve">. </w:t>
      </w:r>
      <w:r w:rsidR="00132238" w:rsidRPr="00837BF1">
        <w:rPr>
          <w:rFonts w:ascii="Arial" w:hAnsi="Arial" w:cs="Arial"/>
          <w:color w:val="000000" w:themeColor="text1"/>
        </w:rPr>
        <w:t>Monte</w:t>
      </w:r>
      <w:r w:rsidR="004E2259" w:rsidRPr="00837BF1">
        <w:rPr>
          <w:rFonts w:ascii="Arial" w:hAnsi="Arial" w:cs="Arial"/>
          <w:color w:val="000000" w:themeColor="text1"/>
        </w:rPr>
        <w:t xml:space="preserve"> C</w:t>
      </w:r>
      <w:r w:rsidR="00132238" w:rsidRPr="00837BF1">
        <w:rPr>
          <w:rFonts w:ascii="Arial" w:hAnsi="Arial" w:cs="Arial"/>
          <w:color w:val="000000" w:themeColor="text1"/>
        </w:rPr>
        <w:t>arlo</w:t>
      </w:r>
      <w:r w:rsidR="00424D3B" w:rsidRPr="00837BF1">
        <w:rPr>
          <w:rFonts w:ascii="Arial" w:hAnsi="Arial" w:cs="Arial"/>
          <w:color w:val="000000" w:themeColor="text1"/>
        </w:rPr>
        <w:t xml:space="preserve"> integration</w:t>
      </w:r>
      <w:r w:rsidR="00234AA7" w:rsidRPr="00837BF1">
        <w:rPr>
          <w:rFonts w:ascii="Arial" w:hAnsi="Arial" w:cs="Arial"/>
          <w:color w:val="000000" w:themeColor="text1"/>
        </w:rPr>
        <w:t xml:space="preserve"> and</w:t>
      </w:r>
      <w:r w:rsidR="00424D3B" w:rsidRPr="00837BF1">
        <w:rPr>
          <w:rFonts w:ascii="Arial" w:hAnsi="Arial" w:cs="Arial"/>
          <w:color w:val="000000" w:themeColor="text1"/>
        </w:rPr>
        <w:t xml:space="preserve"> l</w:t>
      </w:r>
      <w:r w:rsidR="000C6AA0" w:rsidRPr="00837BF1">
        <w:rPr>
          <w:rFonts w:ascii="Arial" w:hAnsi="Arial" w:cs="Arial"/>
          <w:color w:val="000000" w:themeColor="text1"/>
        </w:rPr>
        <w:t>ogistic regression models</w:t>
      </w:r>
      <w:r w:rsidR="00760D66" w:rsidRPr="00837BF1">
        <w:rPr>
          <w:rFonts w:ascii="Arial" w:hAnsi="Arial" w:cs="Arial"/>
          <w:color w:val="000000" w:themeColor="text1"/>
        </w:rPr>
        <w:t>,</w:t>
      </w:r>
      <w:r w:rsidR="006C6D85" w:rsidRPr="00837BF1">
        <w:rPr>
          <w:rFonts w:ascii="Arial" w:hAnsi="Arial" w:cs="Arial"/>
          <w:color w:val="000000" w:themeColor="text1"/>
        </w:rPr>
        <w:t xml:space="preserve"> including sensitivity analyses</w:t>
      </w:r>
      <w:r w:rsidR="000C6AA0" w:rsidRPr="00837BF1">
        <w:rPr>
          <w:rFonts w:ascii="Arial" w:hAnsi="Arial" w:cs="Arial"/>
          <w:color w:val="000000" w:themeColor="text1"/>
        </w:rPr>
        <w:t xml:space="preserve"> were produced </w:t>
      </w:r>
      <w:r w:rsidR="006C6D85" w:rsidRPr="00837BF1">
        <w:rPr>
          <w:rFonts w:ascii="Arial" w:hAnsi="Arial" w:cs="Arial"/>
          <w:color w:val="000000" w:themeColor="text1"/>
        </w:rPr>
        <w:t>using</w:t>
      </w:r>
      <w:r w:rsidR="00F05EB6" w:rsidRPr="00837BF1">
        <w:rPr>
          <w:rFonts w:ascii="Arial" w:hAnsi="Arial" w:cs="Arial"/>
          <w:color w:val="000000" w:themeColor="text1"/>
        </w:rPr>
        <w:t xml:space="preserve"> </w:t>
      </w:r>
      <w:proofErr w:type="spellStart"/>
      <w:r w:rsidR="00F05EB6" w:rsidRPr="00837BF1">
        <w:rPr>
          <w:rFonts w:ascii="Arial" w:hAnsi="Arial" w:cs="Arial"/>
          <w:color w:val="000000" w:themeColor="text1"/>
        </w:rPr>
        <w:t>Mplus</w:t>
      </w:r>
      <w:proofErr w:type="spellEnd"/>
      <w:r w:rsidR="00F05EB6" w:rsidRPr="00837BF1">
        <w:rPr>
          <w:rFonts w:ascii="Arial" w:hAnsi="Arial" w:cs="Arial"/>
          <w:color w:val="000000" w:themeColor="text1"/>
        </w:rPr>
        <w:t xml:space="preserve"> version 8.4 </w:t>
      </w:r>
      <w:r w:rsidR="00277968" w:rsidRPr="00837BF1">
        <w:rPr>
          <w:rFonts w:ascii="Arial" w:hAnsi="Arial" w:cs="Arial"/>
          <w:color w:val="000000" w:themeColor="text1"/>
        </w:rPr>
        <w:t>(</w:t>
      </w:r>
      <w:proofErr w:type="spellStart"/>
      <w:r w:rsidR="005607B8" w:rsidRPr="00837BF1">
        <w:rPr>
          <w:rFonts w:ascii="Arial" w:hAnsi="Arial" w:cs="Arial"/>
          <w:color w:val="000000" w:themeColor="text1"/>
        </w:rPr>
        <w:t>Muthén</w:t>
      </w:r>
      <w:proofErr w:type="spellEnd"/>
      <w:r w:rsidR="005607B8" w:rsidRPr="00837BF1">
        <w:rPr>
          <w:rFonts w:ascii="Arial" w:hAnsi="Arial" w:cs="Arial"/>
          <w:color w:val="000000" w:themeColor="text1"/>
        </w:rPr>
        <w:t xml:space="preserve"> &amp; </w:t>
      </w:r>
      <w:proofErr w:type="spellStart"/>
      <w:r w:rsidR="005607B8" w:rsidRPr="00837BF1">
        <w:rPr>
          <w:rFonts w:ascii="Arial" w:hAnsi="Arial" w:cs="Arial"/>
          <w:color w:val="000000" w:themeColor="text1"/>
        </w:rPr>
        <w:t>Muthén</w:t>
      </w:r>
      <w:proofErr w:type="spellEnd"/>
      <w:r w:rsidR="005607B8" w:rsidRPr="00837BF1">
        <w:rPr>
          <w:rFonts w:ascii="Arial" w:hAnsi="Arial" w:cs="Arial"/>
          <w:color w:val="000000" w:themeColor="text1"/>
        </w:rPr>
        <w:t>, 1998-2017).</w:t>
      </w:r>
      <w:r w:rsidR="005607B8" w:rsidRPr="00837BF1">
        <w:rPr>
          <w:color w:val="000000" w:themeColor="text1"/>
          <w:sz w:val="23"/>
          <w:szCs w:val="23"/>
        </w:rPr>
        <w:t xml:space="preserve"> </w:t>
      </w:r>
      <w:r w:rsidR="00CB67E6" w:rsidRPr="00837BF1">
        <w:rPr>
          <w:color w:val="000000" w:themeColor="text1"/>
          <w:sz w:val="23"/>
          <w:szCs w:val="23"/>
        </w:rPr>
        <w:t>A</w:t>
      </w:r>
      <w:r w:rsidR="00CD7C5F" w:rsidRPr="00837BF1">
        <w:rPr>
          <w:rFonts w:ascii="Arial" w:hAnsi="Arial" w:cs="Arial"/>
          <w:color w:val="000000" w:themeColor="text1"/>
        </w:rPr>
        <w:t xml:space="preserve">nalysis </w:t>
      </w:r>
      <w:r w:rsidR="00A90829" w:rsidRPr="00837BF1">
        <w:rPr>
          <w:rFonts w:ascii="Arial" w:hAnsi="Arial" w:cs="Arial"/>
          <w:color w:val="000000" w:themeColor="text1"/>
        </w:rPr>
        <w:t xml:space="preserve">accounted for the clustered and stratified nature of the survey design and </w:t>
      </w:r>
      <w:r w:rsidRPr="00837BF1">
        <w:rPr>
          <w:rFonts w:ascii="Arial" w:hAnsi="Arial" w:cs="Arial"/>
          <w:color w:val="000000" w:themeColor="text1"/>
        </w:rPr>
        <w:t>were</w:t>
      </w:r>
      <w:r w:rsidR="00061AD0" w:rsidRPr="00837BF1">
        <w:rPr>
          <w:rFonts w:ascii="Arial" w:hAnsi="Arial" w:cs="Arial"/>
          <w:color w:val="000000" w:themeColor="text1"/>
        </w:rPr>
        <w:t xml:space="preserve"> weighted </w:t>
      </w:r>
      <w:r w:rsidR="00944946" w:rsidRPr="00837BF1">
        <w:rPr>
          <w:rFonts w:ascii="Arial" w:hAnsi="Arial" w:cs="Arial"/>
          <w:color w:val="000000" w:themeColor="text1"/>
        </w:rPr>
        <w:t xml:space="preserve">to adjust for unequal selection probabilities and differential response bias. </w:t>
      </w:r>
      <w:r w:rsidR="00944946" w:rsidRPr="00837BF1">
        <w:rPr>
          <w:rFonts w:ascii="Arial" w:hAnsi="Arial" w:cs="Arial"/>
        </w:rPr>
        <w:t>The weighting variable within the COVID-19 survey data</w:t>
      </w:r>
      <w:r w:rsidR="009C6D74" w:rsidRPr="00837BF1">
        <w:rPr>
          <w:rFonts w:ascii="Arial" w:hAnsi="Arial" w:cs="Arial"/>
        </w:rPr>
        <w:t xml:space="preserve"> is a product of the main </w:t>
      </w:r>
      <w:r w:rsidR="00585190" w:rsidRPr="00837BF1">
        <w:rPr>
          <w:rFonts w:ascii="Arial" w:hAnsi="Arial" w:cs="Arial"/>
        </w:rPr>
        <w:t>UKHLS</w:t>
      </w:r>
      <w:r w:rsidR="009C6D74" w:rsidRPr="00837BF1">
        <w:rPr>
          <w:rFonts w:ascii="Arial" w:hAnsi="Arial" w:cs="Arial"/>
        </w:rPr>
        <w:t xml:space="preserve"> Wave 9 cross sectional analysis weight, with an</w:t>
      </w:r>
      <w:r w:rsidR="007B2D2A" w:rsidRPr="00837BF1">
        <w:rPr>
          <w:rFonts w:ascii="Arial" w:hAnsi="Arial" w:cs="Arial"/>
        </w:rPr>
        <w:t xml:space="preserve"> additional adjustment for differential non-response to the April COVID-19 study. In-depth information</w:t>
      </w:r>
      <w:r w:rsidR="00BE609D" w:rsidRPr="00837BF1">
        <w:rPr>
          <w:rFonts w:ascii="Arial" w:hAnsi="Arial" w:cs="Arial"/>
        </w:rPr>
        <w:t xml:space="preserve"> on weighting procedures is provided in the study user guide (Institute for Social and Economic Research, 2020)</w:t>
      </w:r>
      <w:r w:rsidR="00B101BA" w:rsidRPr="00837BF1">
        <w:rPr>
          <w:rFonts w:ascii="Arial" w:hAnsi="Arial" w:cs="Arial"/>
        </w:rPr>
        <w:t>.</w:t>
      </w:r>
    </w:p>
    <w:p w14:paraId="2DFB35D8" w14:textId="49D518A9" w:rsidR="00E16972" w:rsidRPr="00837BF1" w:rsidRDefault="00E16972" w:rsidP="00E213C8">
      <w:pPr>
        <w:spacing w:after="0" w:line="480" w:lineRule="auto"/>
        <w:jc w:val="both"/>
        <w:rPr>
          <w:rFonts w:ascii="Arial" w:hAnsi="Arial" w:cs="Arial"/>
        </w:rPr>
      </w:pPr>
    </w:p>
    <w:p w14:paraId="25500FBD" w14:textId="77777777" w:rsidR="00E16972" w:rsidRPr="00837BF1" w:rsidRDefault="00E16972" w:rsidP="00412700">
      <w:pPr>
        <w:shd w:val="clear" w:color="auto" w:fill="FFFFFF"/>
        <w:spacing w:after="0" w:line="440" w:lineRule="atLeast"/>
        <w:ind w:left="720"/>
        <w:jc w:val="both"/>
        <w:rPr>
          <w:rFonts w:ascii="Calibri" w:eastAsia="Times New Roman" w:hAnsi="Calibri" w:cs="Calibri"/>
          <w:color w:val="000000"/>
          <w:lang w:eastAsia="en-GB"/>
        </w:rPr>
      </w:pPr>
      <w:r w:rsidRPr="00837BF1">
        <w:rPr>
          <w:rFonts w:ascii="Arial" w:eastAsia="Times New Roman" w:hAnsi="Arial" w:cs="Arial"/>
          <w:color w:val="000000"/>
          <w:bdr w:val="none" w:sz="0" w:space="0" w:color="auto" w:frame="1"/>
          <w:lang w:eastAsia="en-GB"/>
        </w:rPr>
        <w:t>Missing data </w:t>
      </w:r>
    </w:p>
    <w:p w14:paraId="3490F1CB" w14:textId="5404CB69" w:rsidR="00B15CBD" w:rsidRPr="00837BF1" w:rsidRDefault="00B15CBD" w:rsidP="00B15CBD">
      <w:pPr>
        <w:shd w:val="clear" w:color="auto" w:fill="FFFFFF"/>
        <w:spacing w:after="0" w:line="440" w:lineRule="atLeast"/>
        <w:jc w:val="both"/>
        <w:rPr>
          <w:rFonts w:ascii="Arial" w:hAnsi="Arial" w:cs="Arial"/>
          <w:color w:val="444444"/>
          <w:shd w:val="clear" w:color="auto" w:fill="FFFFFF"/>
        </w:rPr>
      </w:pPr>
      <w:r w:rsidRPr="00837BF1">
        <w:rPr>
          <w:rFonts w:ascii="Arial" w:eastAsia="Times New Roman" w:hAnsi="Arial" w:cs="Arial"/>
          <w:color w:val="000000"/>
          <w:bdr w:val="none" w:sz="0" w:space="0" w:color="auto" w:frame="1"/>
          <w:lang w:eastAsia="en-GB"/>
        </w:rPr>
        <w:t>Analysis of patterns of missing GHQ data show 8% of the sample had missing data for the outcome variable, with the majority (7%) missing across all 12 GHQ items. </w:t>
      </w:r>
      <w:r w:rsidRPr="00837BF1">
        <w:rPr>
          <w:rFonts w:ascii="Arial" w:eastAsia="Times New Roman" w:hAnsi="Arial" w:cs="Arial"/>
          <w:color w:val="000000"/>
          <w:bdr w:val="none" w:sz="0" w:space="0" w:color="auto" w:frame="1"/>
          <w:shd w:val="clear" w:color="auto" w:fill="FFFFFF"/>
          <w:lang w:eastAsia="en-GB"/>
        </w:rPr>
        <w:t>Where data was missing on all GHQ response items, these respondents were excluded from the analysis.  </w:t>
      </w:r>
      <w:r w:rsidRPr="00837BF1">
        <w:rPr>
          <w:rFonts w:ascii="Arial" w:eastAsia="Times New Roman" w:hAnsi="Arial" w:cs="Arial"/>
          <w:color w:val="000000"/>
          <w:bdr w:val="none" w:sz="0" w:space="0" w:color="auto" w:frame="1"/>
          <w:lang w:eastAsia="en-GB"/>
        </w:rPr>
        <w:t>Where data was missing on the covariates, the variance of the variable was used in the estimation of models under an assumption of normality.  Missing data was assumed to be missing at random (</w:t>
      </w:r>
      <w:proofErr w:type="spellStart"/>
      <w:r w:rsidRPr="00837BF1">
        <w:rPr>
          <w:rFonts w:ascii="Arial" w:eastAsia="Times New Roman" w:hAnsi="Arial" w:cs="Arial"/>
          <w:color w:val="000000"/>
          <w:bdr w:val="none" w:sz="0" w:space="0" w:color="auto" w:frame="1"/>
          <w:lang w:eastAsia="en-GB"/>
        </w:rPr>
        <w:t>Bollen</w:t>
      </w:r>
      <w:proofErr w:type="spellEnd"/>
      <w:r w:rsidRPr="00837BF1">
        <w:rPr>
          <w:rFonts w:ascii="Arial" w:eastAsia="Times New Roman" w:hAnsi="Arial" w:cs="Arial"/>
          <w:color w:val="000000"/>
          <w:bdr w:val="none" w:sz="0" w:space="0" w:color="auto" w:frame="1"/>
          <w:lang w:eastAsia="en-GB"/>
        </w:rPr>
        <w:t>, 1989; Little &amp; Rubin</w:t>
      </w:r>
      <w:r w:rsidR="004603B4" w:rsidRPr="00837BF1">
        <w:rPr>
          <w:rFonts w:ascii="Arial" w:eastAsia="Times New Roman" w:hAnsi="Arial" w:cs="Arial"/>
          <w:color w:val="000000"/>
          <w:bdr w:val="none" w:sz="0" w:space="0" w:color="auto" w:frame="1"/>
          <w:lang w:eastAsia="en-GB"/>
        </w:rPr>
        <w:t>,</w:t>
      </w:r>
      <w:r w:rsidRPr="00837BF1">
        <w:rPr>
          <w:rFonts w:ascii="Arial" w:eastAsia="Times New Roman" w:hAnsi="Arial" w:cs="Arial"/>
          <w:color w:val="000000"/>
          <w:bdr w:val="none" w:sz="0" w:space="0" w:color="auto" w:frame="1"/>
          <w:lang w:eastAsia="en-GB"/>
        </w:rPr>
        <w:t xml:space="preserve"> 2002) and a robust maximum likelihood approach was used as the default with a model-based estimation strategy to address missing data (Finney &amp; DiStefano, 2013). </w:t>
      </w:r>
      <w:r w:rsidRPr="00837BF1">
        <w:rPr>
          <w:rFonts w:ascii="Arial" w:eastAsia="Times New Roman" w:hAnsi="Arial" w:cs="Arial"/>
          <w:bdr w:val="none" w:sz="0" w:space="0" w:color="auto" w:frame="1"/>
          <w:lang w:eastAsia="en-GB"/>
        </w:rPr>
        <w:t xml:space="preserve">Covariate measures were explicitly brought into the model in order to deal with missingness in the </w:t>
      </w:r>
      <w:r w:rsidRPr="00837BF1">
        <w:rPr>
          <w:rFonts w:ascii="Arial" w:hAnsi="Arial" w:cs="Arial"/>
          <w:shd w:val="clear" w:color="auto" w:fill="FFFFFF"/>
        </w:rPr>
        <w:t>covariate variables. This is possible if the covariates being brought into the model are given a distributional assumption (</w:t>
      </w:r>
      <w:proofErr w:type="spellStart"/>
      <w:r w:rsidRPr="00837BF1">
        <w:rPr>
          <w:rFonts w:ascii="Arial" w:hAnsi="Arial" w:cs="Arial"/>
          <w:shd w:val="clear" w:color="auto" w:fill="FFFFFF"/>
        </w:rPr>
        <w:t>Muthén</w:t>
      </w:r>
      <w:proofErr w:type="spellEnd"/>
      <w:r w:rsidRPr="00837BF1">
        <w:rPr>
          <w:rFonts w:ascii="Arial" w:hAnsi="Arial" w:cs="Arial"/>
          <w:shd w:val="clear" w:color="auto" w:fill="FFFFFF"/>
        </w:rPr>
        <w:t xml:space="preserve">, </w:t>
      </w:r>
      <w:proofErr w:type="spellStart"/>
      <w:r w:rsidRPr="00837BF1">
        <w:rPr>
          <w:rFonts w:ascii="Arial" w:hAnsi="Arial" w:cs="Arial"/>
          <w:shd w:val="clear" w:color="auto" w:fill="FFFFFF"/>
        </w:rPr>
        <w:t>Muthén</w:t>
      </w:r>
      <w:proofErr w:type="spellEnd"/>
      <w:r w:rsidRPr="00837BF1">
        <w:rPr>
          <w:rFonts w:ascii="Arial" w:hAnsi="Arial" w:cs="Arial"/>
          <w:shd w:val="clear" w:color="auto" w:fill="FFFFFF"/>
        </w:rPr>
        <w:t xml:space="preserve">, &amp; </w:t>
      </w:r>
      <w:proofErr w:type="spellStart"/>
      <w:r w:rsidRPr="00837BF1">
        <w:rPr>
          <w:rFonts w:ascii="Arial" w:hAnsi="Arial" w:cs="Arial"/>
          <w:shd w:val="clear" w:color="auto" w:fill="FFFFFF"/>
        </w:rPr>
        <w:t>Asparouhov</w:t>
      </w:r>
      <w:proofErr w:type="spellEnd"/>
      <w:r w:rsidRPr="00837BF1">
        <w:rPr>
          <w:rFonts w:ascii="Arial" w:hAnsi="Arial" w:cs="Arial"/>
          <w:shd w:val="clear" w:color="auto" w:fill="FFFFFF"/>
        </w:rPr>
        <w:t>, 2016)</w:t>
      </w:r>
      <w:r w:rsidR="004603B4" w:rsidRPr="00837BF1">
        <w:rPr>
          <w:rFonts w:ascii="Arial" w:hAnsi="Arial" w:cs="Arial"/>
          <w:shd w:val="clear" w:color="auto" w:fill="FFFFFF"/>
        </w:rPr>
        <w:t>.</w:t>
      </w:r>
    </w:p>
    <w:p w14:paraId="109C4450" w14:textId="6851DC32" w:rsidR="00E149B7" w:rsidRPr="00837BF1" w:rsidRDefault="00E16972" w:rsidP="00C708F7">
      <w:pPr>
        <w:shd w:val="clear" w:color="auto" w:fill="FFFFFF"/>
        <w:spacing w:after="0" w:line="440" w:lineRule="atLeast"/>
        <w:jc w:val="both"/>
        <w:rPr>
          <w:rFonts w:ascii="Calibri" w:eastAsia="Times New Roman" w:hAnsi="Calibri" w:cs="Calibri"/>
          <w:color w:val="000000"/>
          <w:lang w:eastAsia="en-GB"/>
        </w:rPr>
      </w:pPr>
      <w:r w:rsidRPr="00837BF1">
        <w:rPr>
          <w:rFonts w:ascii="Arial" w:eastAsia="Times New Roman" w:hAnsi="Arial" w:cs="Arial"/>
          <w:color w:val="000000"/>
          <w:bdr w:val="none" w:sz="0" w:space="0" w:color="auto" w:frame="1"/>
          <w:lang w:eastAsia="en-GB"/>
        </w:rPr>
        <w:t> </w:t>
      </w:r>
    </w:p>
    <w:p w14:paraId="27794FD8" w14:textId="77777777" w:rsidR="00C708F7" w:rsidRPr="00837BF1" w:rsidRDefault="00C708F7" w:rsidP="00C708F7">
      <w:pPr>
        <w:shd w:val="clear" w:color="auto" w:fill="FFFFFF"/>
        <w:spacing w:after="0" w:line="440" w:lineRule="atLeast"/>
        <w:jc w:val="both"/>
        <w:rPr>
          <w:rFonts w:ascii="Calibri" w:eastAsia="Times New Roman" w:hAnsi="Calibri" w:cs="Calibri"/>
          <w:color w:val="000000"/>
          <w:lang w:eastAsia="en-GB"/>
        </w:rPr>
      </w:pPr>
    </w:p>
    <w:p w14:paraId="3B1DF420" w14:textId="2AEAE692" w:rsidR="00367508" w:rsidRPr="00837BF1" w:rsidRDefault="00367508" w:rsidP="00367508">
      <w:pPr>
        <w:spacing w:after="0" w:line="480" w:lineRule="auto"/>
        <w:jc w:val="both"/>
        <w:rPr>
          <w:rFonts w:ascii="Arial" w:hAnsi="Arial" w:cs="Arial"/>
          <w:b/>
          <w:bCs/>
        </w:rPr>
      </w:pPr>
      <w:r w:rsidRPr="00837BF1">
        <w:rPr>
          <w:rFonts w:ascii="Arial" w:hAnsi="Arial" w:cs="Arial"/>
          <w:b/>
          <w:bCs/>
        </w:rPr>
        <w:t>Results</w:t>
      </w:r>
    </w:p>
    <w:p w14:paraId="072B4E0A" w14:textId="77777777" w:rsidR="00367508" w:rsidRPr="00837BF1" w:rsidRDefault="00367508" w:rsidP="00367508">
      <w:pPr>
        <w:spacing w:after="0" w:line="480" w:lineRule="auto"/>
        <w:ind w:left="720"/>
        <w:jc w:val="both"/>
        <w:rPr>
          <w:rFonts w:ascii="Arial" w:hAnsi="Arial" w:cs="Arial"/>
          <w:i/>
          <w:iCs/>
        </w:rPr>
      </w:pPr>
      <w:r w:rsidRPr="00837BF1">
        <w:rPr>
          <w:rFonts w:ascii="Arial" w:hAnsi="Arial" w:cs="Arial"/>
          <w:i/>
          <w:iCs/>
        </w:rPr>
        <w:t>Sample characteristics</w:t>
      </w:r>
    </w:p>
    <w:p w14:paraId="235D8404" w14:textId="295AB04E" w:rsidR="00367508" w:rsidRPr="00837BF1" w:rsidRDefault="002A74B6" w:rsidP="00367508">
      <w:pPr>
        <w:spacing w:after="0" w:line="480" w:lineRule="auto"/>
        <w:jc w:val="both"/>
        <w:rPr>
          <w:rFonts w:ascii="Arial" w:hAnsi="Arial" w:cs="Arial"/>
        </w:rPr>
      </w:pPr>
      <w:r w:rsidRPr="00837BF1">
        <w:rPr>
          <w:rFonts w:ascii="Arial" w:hAnsi="Arial" w:cs="Arial"/>
        </w:rPr>
        <w:lastRenderedPageBreak/>
        <w:t>Among all adults aged 18-65</w:t>
      </w:r>
      <w:r w:rsidR="00367508" w:rsidRPr="00837BF1">
        <w:rPr>
          <w:rFonts w:ascii="Arial" w:hAnsi="Arial" w:cs="Arial"/>
        </w:rPr>
        <w:t xml:space="preserve">, </w:t>
      </w:r>
      <w:r w:rsidR="004361A9" w:rsidRPr="00837BF1">
        <w:rPr>
          <w:rFonts w:ascii="Arial" w:hAnsi="Arial" w:cs="Arial"/>
        </w:rPr>
        <w:t>67.1</w:t>
      </w:r>
      <w:r w:rsidR="00367508" w:rsidRPr="00837BF1">
        <w:rPr>
          <w:rFonts w:ascii="Arial" w:hAnsi="Arial" w:cs="Arial"/>
        </w:rPr>
        <w:t>% (n=</w:t>
      </w:r>
      <w:r w:rsidR="00A06BB5" w:rsidRPr="00837BF1">
        <w:rPr>
          <w:rFonts w:ascii="Arial" w:hAnsi="Arial" w:cs="Arial"/>
        </w:rPr>
        <w:t>8,708</w:t>
      </w:r>
      <w:r w:rsidR="00367508" w:rsidRPr="00837BF1">
        <w:rPr>
          <w:rFonts w:ascii="Arial" w:hAnsi="Arial" w:cs="Arial"/>
        </w:rPr>
        <w:t>) were employe</w:t>
      </w:r>
      <w:r w:rsidR="00614C3B" w:rsidRPr="00837BF1">
        <w:rPr>
          <w:rFonts w:ascii="Arial" w:hAnsi="Arial" w:cs="Arial"/>
        </w:rPr>
        <w:t>d</w:t>
      </w:r>
      <w:r w:rsidR="000538B5" w:rsidRPr="00837BF1">
        <w:rPr>
          <w:rFonts w:ascii="Arial" w:hAnsi="Arial" w:cs="Arial"/>
        </w:rPr>
        <w:t>,</w:t>
      </w:r>
      <w:r w:rsidR="00875F67" w:rsidRPr="00837BF1">
        <w:rPr>
          <w:rFonts w:ascii="Arial" w:hAnsi="Arial" w:cs="Arial"/>
        </w:rPr>
        <w:t xml:space="preserve"> 9.3% self-employed, 2.4% </w:t>
      </w:r>
      <w:r w:rsidR="00F06409" w:rsidRPr="00837BF1">
        <w:rPr>
          <w:rFonts w:ascii="Arial" w:hAnsi="Arial" w:cs="Arial"/>
        </w:rPr>
        <w:t>both employed and self-employed and 21.2% not in employment</w:t>
      </w:r>
      <w:r w:rsidR="00367508" w:rsidRPr="00837BF1">
        <w:rPr>
          <w:rFonts w:ascii="Arial" w:hAnsi="Arial" w:cs="Arial"/>
        </w:rPr>
        <w:t xml:space="preserve"> in January/February 2020</w:t>
      </w:r>
      <w:r w:rsidR="00E149B7" w:rsidRPr="00837BF1">
        <w:rPr>
          <w:rFonts w:ascii="Arial" w:hAnsi="Arial" w:cs="Arial"/>
        </w:rPr>
        <w:t>, Of those in employment</w:t>
      </w:r>
      <w:r w:rsidR="00760D66" w:rsidRPr="00837BF1">
        <w:rPr>
          <w:rFonts w:ascii="Arial" w:hAnsi="Arial" w:cs="Arial"/>
        </w:rPr>
        <w:t xml:space="preserve"> (n=8,708)</w:t>
      </w:r>
      <w:r w:rsidR="00E149B7" w:rsidRPr="00837BF1">
        <w:rPr>
          <w:rFonts w:ascii="Arial" w:hAnsi="Arial" w:cs="Arial"/>
        </w:rPr>
        <w:t xml:space="preserve">: </w:t>
      </w:r>
      <w:r w:rsidRPr="00837BF1">
        <w:rPr>
          <w:rFonts w:ascii="Arial" w:hAnsi="Arial" w:cs="Arial"/>
        </w:rPr>
        <w:t>5</w:t>
      </w:r>
      <w:r w:rsidR="000E7C2A" w:rsidRPr="00837BF1">
        <w:rPr>
          <w:rFonts w:ascii="Arial" w:hAnsi="Arial" w:cs="Arial"/>
        </w:rPr>
        <w:t>4</w:t>
      </w:r>
      <w:r w:rsidR="004B65AC" w:rsidRPr="00837BF1">
        <w:rPr>
          <w:rFonts w:ascii="Arial" w:hAnsi="Arial" w:cs="Arial"/>
        </w:rPr>
        <w:t>.</w:t>
      </w:r>
      <w:r w:rsidR="000E7C2A" w:rsidRPr="00837BF1">
        <w:rPr>
          <w:rFonts w:ascii="Arial" w:hAnsi="Arial" w:cs="Arial"/>
        </w:rPr>
        <w:t>1</w:t>
      </w:r>
      <w:r w:rsidRPr="00837BF1">
        <w:rPr>
          <w:rFonts w:ascii="Arial" w:hAnsi="Arial" w:cs="Arial"/>
        </w:rPr>
        <w:t>% were female (Table 1)</w:t>
      </w:r>
      <w:r w:rsidR="004B65AC" w:rsidRPr="00837BF1">
        <w:rPr>
          <w:rFonts w:ascii="Arial" w:hAnsi="Arial" w:cs="Arial"/>
        </w:rPr>
        <w:t>;</w:t>
      </w:r>
      <w:r w:rsidRPr="00837BF1">
        <w:rPr>
          <w:rFonts w:ascii="Arial" w:hAnsi="Arial" w:cs="Arial"/>
        </w:rPr>
        <w:t xml:space="preserve">  </w:t>
      </w:r>
      <w:r w:rsidR="00E149B7" w:rsidRPr="00837BF1">
        <w:rPr>
          <w:rFonts w:ascii="Arial" w:hAnsi="Arial" w:cs="Arial"/>
        </w:rPr>
        <w:t>6</w:t>
      </w:r>
      <w:r w:rsidR="000E7C2A" w:rsidRPr="00837BF1">
        <w:rPr>
          <w:rFonts w:ascii="Arial" w:hAnsi="Arial" w:cs="Arial"/>
        </w:rPr>
        <w:t>7</w:t>
      </w:r>
      <w:r w:rsidR="004B65AC" w:rsidRPr="00837BF1">
        <w:rPr>
          <w:rFonts w:ascii="Arial" w:hAnsi="Arial" w:cs="Arial"/>
        </w:rPr>
        <w:t>.</w:t>
      </w:r>
      <w:r w:rsidR="000E7C2A" w:rsidRPr="00837BF1">
        <w:rPr>
          <w:rFonts w:ascii="Arial" w:hAnsi="Arial" w:cs="Arial"/>
        </w:rPr>
        <w:t>6</w:t>
      </w:r>
      <w:r w:rsidR="00E149B7" w:rsidRPr="00837BF1">
        <w:rPr>
          <w:rFonts w:ascii="Arial" w:hAnsi="Arial" w:cs="Arial"/>
        </w:rPr>
        <w:t xml:space="preserve">% were </w:t>
      </w:r>
      <w:r w:rsidR="00367508" w:rsidRPr="00837BF1">
        <w:rPr>
          <w:rFonts w:ascii="Arial" w:hAnsi="Arial" w:cs="Arial"/>
        </w:rPr>
        <w:t xml:space="preserve">living as </w:t>
      </w:r>
      <w:r w:rsidR="008A4699" w:rsidRPr="00837BF1">
        <w:rPr>
          <w:rFonts w:ascii="Arial" w:hAnsi="Arial" w:cs="Arial"/>
        </w:rPr>
        <w:t xml:space="preserve">part of </w:t>
      </w:r>
      <w:r w:rsidR="00367508" w:rsidRPr="00837BF1">
        <w:rPr>
          <w:rFonts w:ascii="Arial" w:hAnsi="Arial" w:cs="Arial"/>
        </w:rPr>
        <w:t>a couple</w:t>
      </w:r>
      <w:r w:rsidR="00E149B7" w:rsidRPr="00837BF1">
        <w:rPr>
          <w:rFonts w:ascii="Arial" w:hAnsi="Arial" w:cs="Arial"/>
        </w:rPr>
        <w:t xml:space="preserve">; </w:t>
      </w:r>
      <w:r w:rsidR="00367508" w:rsidRPr="00837BF1">
        <w:rPr>
          <w:rFonts w:ascii="Arial" w:hAnsi="Arial" w:cs="Arial"/>
        </w:rPr>
        <w:t>87.</w:t>
      </w:r>
      <w:r w:rsidR="003763D0" w:rsidRPr="00837BF1">
        <w:rPr>
          <w:rFonts w:ascii="Arial" w:hAnsi="Arial" w:cs="Arial"/>
        </w:rPr>
        <w:t>9</w:t>
      </w:r>
      <w:r w:rsidR="00367508" w:rsidRPr="00837BF1">
        <w:rPr>
          <w:rFonts w:ascii="Arial" w:hAnsi="Arial" w:cs="Arial"/>
        </w:rPr>
        <w:t>% were white</w:t>
      </w:r>
      <w:r w:rsidR="009E611F" w:rsidRPr="00837BF1">
        <w:rPr>
          <w:rFonts w:ascii="Arial" w:hAnsi="Arial" w:cs="Arial"/>
        </w:rPr>
        <w:t xml:space="preserve"> </w:t>
      </w:r>
      <w:r w:rsidR="004B65AC" w:rsidRPr="00837BF1">
        <w:rPr>
          <w:rFonts w:ascii="Arial" w:hAnsi="Arial" w:cs="Arial"/>
        </w:rPr>
        <w:t>(</w:t>
      </w:r>
      <w:r w:rsidR="00367508" w:rsidRPr="00837BF1">
        <w:rPr>
          <w:rFonts w:ascii="Arial" w:hAnsi="Arial" w:cs="Arial"/>
        </w:rPr>
        <w:t>British</w:t>
      </w:r>
      <w:r w:rsidR="004B65AC" w:rsidRPr="00837BF1">
        <w:rPr>
          <w:rFonts w:ascii="Arial" w:hAnsi="Arial" w:cs="Arial"/>
        </w:rPr>
        <w:t>)</w:t>
      </w:r>
      <w:r w:rsidR="00E149B7" w:rsidRPr="00837BF1">
        <w:rPr>
          <w:rFonts w:ascii="Arial" w:hAnsi="Arial" w:cs="Arial"/>
        </w:rPr>
        <w:t xml:space="preserve"> (with</w:t>
      </w:r>
      <w:r w:rsidR="00367508" w:rsidRPr="00837BF1">
        <w:rPr>
          <w:rFonts w:ascii="Arial" w:hAnsi="Arial" w:cs="Arial"/>
        </w:rPr>
        <w:t xml:space="preserve"> 4.</w:t>
      </w:r>
      <w:r w:rsidR="000E7C2A" w:rsidRPr="00837BF1">
        <w:rPr>
          <w:rFonts w:ascii="Arial" w:hAnsi="Arial" w:cs="Arial"/>
        </w:rPr>
        <w:t>3</w:t>
      </w:r>
      <w:r w:rsidR="00367508" w:rsidRPr="00837BF1">
        <w:rPr>
          <w:rFonts w:ascii="Arial" w:hAnsi="Arial" w:cs="Arial"/>
        </w:rPr>
        <w:t>% white</w:t>
      </w:r>
      <w:r w:rsidR="009E611F" w:rsidRPr="00837BF1">
        <w:rPr>
          <w:rFonts w:ascii="Arial" w:hAnsi="Arial" w:cs="Arial"/>
        </w:rPr>
        <w:t xml:space="preserve"> </w:t>
      </w:r>
      <w:r w:rsidR="00CB795C" w:rsidRPr="00837BF1">
        <w:rPr>
          <w:rFonts w:ascii="Arial" w:hAnsi="Arial" w:cs="Arial"/>
        </w:rPr>
        <w:t>(</w:t>
      </w:r>
      <w:r w:rsidR="00367508" w:rsidRPr="00837BF1">
        <w:rPr>
          <w:rFonts w:ascii="Arial" w:hAnsi="Arial" w:cs="Arial"/>
        </w:rPr>
        <w:t>non-British</w:t>
      </w:r>
      <w:r w:rsidR="00CB795C" w:rsidRPr="00837BF1">
        <w:rPr>
          <w:rFonts w:ascii="Arial" w:hAnsi="Arial" w:cs="Arial"/>
        </w:rPr>
        <w:t>)</w:t>
      </w:r>
      <w:r w:rsidR="00E149B7" w:rsidRPr="00837BF1">
        <w:rPr>
          <w:rFonts w:ascii="Arial" w:hAnsi="Arial" w:cs="Arial"/>
        </w:rPr>
        <w:t>,</w:t>
      </w:r>
      <w:r w:rsidR="00367508" w:rsidRPr="00837BF1">
        <w:rPr>
          <w:rFonts w:ascii="Arial" w:hAnsi="Arial" w:cs="Arial"/>
        </w:rPr>
        <w:t xml:space="preserve"> 1.</w:t>
      </w:r>
      <w:r w:rsidR="00B6376C" w:rsidRPr="00837BF1">
        <w:rPr>
          <w:rFonts w:ascii="Arial" w:hAnsi="Arial" w:cs="Arial"/>
        </w:rPr>
        <w:t>4</w:t>
      </w:r>
      <w:r w:rsidR="00367508" w:rsidRPr="00837BF1">
        <w:rPr>
          <w:rFonts w:ascii="Arial" w:hAnsi="Arial" w:cs="Arial"/>
        </w:rPr>
        <w:t>% mixed</w:t>
      </w:r>
      <w:r w:rsidR="002A5FC5" w:rsidRPr="00837BF1">
        <w:rPr>
          <w:rFonts w:ascii="Arial" w:hAnsi="Arial" w:cs="Arial"/>
        </w:rPr>
        <w:t xml:space="preserve"> ethnicity</w:t>
      </w:r>
      <w:r w:rsidR="00367508" w:rsidRPr="00837BF1">
        <w:rPr>
          <w:rFonts w:ascii="Arial" w:hAnsi="Arial" w:cs="Arial"/>
        </w:rPr>
        <w:t>, 4.</w:t>
      </w:r>
      <w:r w:rsidR="00C05BA2" w:rsidRPr="00837BF1">
        <w:rPr>
          <w:rFonts w:ascii="Arial" w:hAnsi="Arial" w:cs="Arial"/>
        </w:rPr>
        <w:t>1</w:t>
      </w:r>
      <w:r w:rsidR="00367508" w:rsidRPr="00837BF1">
        <w:rPr>
          <w:rFonts w:ascii="Arial" w:hAnsi="Arial" w:cs="Arial"/>
        </w:rPr>
        <w:t>% Asian</w:t>
      </w:r>
      <w:r w:rsidR="00E149B7" w:rsidRPr="00837BF1">
        <w:rPr>
          <w:rFonts w:ascii="Arial" w:hAnsi="Arial" w:cs="Arial"/>
        </w:rPr>
        <w:t>,</w:t>
      </w:r>
      <w:r w:rsidR="00367508" w:rsidRPr="00837BF1">
        <w:rPr>
          <w:rFonts w:ascii="Arial" w:hAnsi="Arial" w:cs="Arial"/>
        </w:rPr>
        <w:t xml:space="preserve"> 1.9% </w:t>
      </w:r>
      <w:r w:rsidR="00B6376C" w:rsidRPr="00837BF1">
        <w:rPr>
          <w:rFonts w:ascii="Arial" w:hAnsi="Arial" w:cs="Arial"/>
        </w:rPr>
        <w:t>B</w:t>
      </w:r>
      <w:r w:rsidR="00367508" w:rsidRPr="00837BF1">
        <w:rPr>
          <w:rFonts w:ascii="Arial" w:hAnsi="Arial" w:cs="Arial"/>
        </w:rPr>
        <w:t>lack and 0.4% other</w:t>
      </w:r>
      <w:r w:rsidR="00E149B7" w:rsidRPr="00837BF1">
        <w:rPr>
          <w:rFonts w:ascii="Arial" w:hAnsi="Arial" w:cs="Arial"/>
        </w:rPr>
        <w:t xml:space="preserve">); </w:t>
      </w:r>
      <w:r w:rsidR="00367508" w:rsidRPr="00837BF1">
        <w:rPr>
          <w:rFonts w:ascii="Arial" w:hAnsi="Arial" w:cs="Arial"/>
        </w:rPr>
        <w:t>6.4% were in the lowest earnings quintile</w:t>
      </w:r>
      <w:r w:rsidR="00E149B7" w:rsidRPr="00837BF1">
        <w:rPr>
          <w:rFonts w:ascii="Arial" w:hAnsi="Arial" w:cs="Arial"/>
        </w:rPr>
        <w:t xml:space="preserve"> (</w:t>
      </w:r>
      <w:r w:rsidR="003032BB" w:rsidRPr="00837BF1">
        <w:rPr>
          <w:rFonts w:ascii="Arial" w:hAnsi="Arial" w:cs="Arial"/>
        </w:rPr>
        <w:t>with</w:t>
      </w:r>
      <w:r w:rsidR="00367508" w:rsidRPr="00837BF1">
        <w:rPr>
          <w:rFonts w:ascii="Arial" w:hAnsi="Arial" w:cs="Arial"/>
        </w:rPr>
        <w:t xml:space="preserve"> 25.</w:t>
      </w:r>
      <w:r w:rsidR="005770E0" w:rsidRPr="00837BF1">
        <w:rPr>
          <w:rFonts w:ascii="Arial" w:hAnsi="Arial" w:cs="Arial"/>
        </w:rPr>
        <w:t>3</w:t>
      </w:r>
      <w:r w:rsidR="00367508" w:rsidRPr="00837BF1">
        <w:rPr>
          <w:rFonts w:ascii="Arial" w:hAnsi="Arial" w:cs="Arial"/>
        </w:rPr>
        <w:t>% in the highest</w:t>
      </w:r>
      <w:r w:rsidR="00E149B7" w:rsidRPr="00837BF1">
        <w:rPr>
          <w:rFonts w:ascii="Arial" w:hAnsi="Arial" w:cs="Arial"/>
        </w:rPr>
        <w:t xml:space="preserve">); </w:t>
      </w:r>
      <w:r w:rsidR="00367508" w:rsidRPr="00837BF1">
        <w:rPr>
          <w:rFonts w:ascii="Arial" w:hAnsi="Arial" w:cs="Arial"/>
        </w:rPr>
        <w:t>7</w:t>
      </w:r>
      <w:r w:rsidR="005770E0" w:rsidRPr="00837BF1">
        <w:rPr>
          <w:rFonts w:ascii="Arial" w:hAnsi="Arial" w:cs="Arial"/>
        </w:rPr>
        <w:t>7.2</w:t>
      </w:r>
      <w:r w:rsidR="00367508" w:rsidRPr="00837BF1">
        <w:rPr>
          <w:rFonts w:ascii="Arial" w:hAnsi="Arial" w:cs="Arial"/>
        </w:rPr>
        <w:t xml:space="preserve">% assessed their current financial situation as </w:t>
      </w:r>
      <w:r w:rsidR="00367508" w:rsidRPr="00837BF1">
        <w:rPr>
          <w:rFonts w:ascii="Arial" w:hAnsi="Arial" w:cs="Arial"/>
          <w:i/>
          <w:iCs/>
        </w:rPr>
        <w:t>comfortab</w:t>
      </w:r>
      <w:r w:rsidR="00E149B7" w:rsidRPr="00837BF1">
        <w:rPr>
          <w:rFonts w:ascii="Arial" w:hAnsi="Arial" w:cs="Arial"/>
          <w:i/>
          <w:iCs/>
        </w:rPr>
        <w:t>le</w:t>
      </w:r>
      <w:r w:rsidR="003032BB" w:rsidRPr="00837BF1">
        <w:rPr>
          <w:rFonts w:ascii="Arial" w:hAnsi="Arial" w:cs="Arial"/>
        </w:rPr>
        <w:t>;</w:t>
      </w:r>
      <w:r w:rsidR="00367508" w:rsidRPr="00837BF1">
        <w:rPr>
          <w:rFonts w:ascii="Arial" w:hAnsi="Arial" w:cs="Arial"/>
        </w:rPr>
        <w:t xml:space="preserve"> </w:t>
      </w:r>
      <w:r w:rsidR="005770E0" w:rsidRPr="00837BF1">
        <w:rPr>
          <w:rFonts w:ascii="Arial" w:hAnsi="Arial" w:cs="Arial"/>
        </w:rPr>
        <w:t>17.7</w:t>
      </w:r>
      <w:r w:rsidR="00367508" w:rsidRPr="00837BF1">
        <w:rPr>
          <w:rFonts w:ascii="Arial" w:hAnsi="Arial" w:cs="Arial"/>
        </w:rPr>
        <w:t xml:space="preserve">% </w:t>
      </w:r>
      <w:r w:rsidR="00A43643" w:rsidRPr="00837BF1">
        <w:rPr>
          <w:rFonts w:ascii="Arial" w:hAnsi="Arial" w:cs="Arial"/>
        </w:rPr>
        <w:t xml:space="preserve">as </w:t>
      </w:r>
      <w:r w:rsidR="005770E0" w:rsidRPr="00837BF1">
        <w:rPr>
          <w:rFonts w:ascii="Arial" w:hAnsi="Arial" w:cs="Arial"/>
          <w:i/>
          <w:iCs/>
        </w:rPr>
        <w:t>just about</w:t>
      </w:r>
      <w:r w:rsidR="005770E0" w:rsidRPr="00837BF1">
        <w:rPr>
          <w:rFonts w:ascii="Arial" w:hAnsi="Arial" w:cs="Arial"/>
        </w:rPr>
        <w:t xml:space="preserve"> </w:t>
      </w:r>
      <w:r w:rsidR="00367508" w:rsidRPr="00837BF1">
        <w:rPr>
          <w:rFonts w:ascii="Arial" w:hAnsi="Arial" w:cs="Arial"/>
          <w:i/>
          <w:iCs/>
        </w:rPr>
        <w:t>getting by</w:t>
      </w:r>
      <w:r w:rsidR="00A43643" w:rsidRPr="00837BF1">
        <w:rPr>
          <w:rFonts w:ascii="Arial" w:hAnsi="Arial" w:cs="Arial"/>
          <w:i/>
          <w:iCs/>
        </w:rPr>
        <w:t xml:space="preserve">, </w:t>
      </w:r>
      <w:r w:rsidR="00367508" w:rsidRPr="00837BF1">
        <w:rPr>
          <w:rFonts w:ascii="Arial" w:hAnsi="Arial" w:cs="Arial"/>
        </w:rPr>
        <w:t xml:space="preserve"> </w:t>
      </w:r>
      <w:r w:rsidR="00CA16DD" w:rsidRPr="00837BF1">
        <w:rPr>
          <w:rFonts w:ascii="Arial" w:hAnsi="Arial" w:cs="Arial"/>
        </w:rPr>
        <w:t>with</w:t>
      </w:r>
      <w:r w:rsidR="00367508" w:rsidRPr="00837BF1">
        <w:rPr>
          <w:rFonts w:ascii="Arial" w:hAnsi="Arial" w:cs="Arial"/>
        </w:rPr>
        <w:t xml:space="preserve"> 5.</w:t>
      </w:r>
      <w:r w:rsidR="005770E0" w:rsidRPr="00837BF1">
        <w:rPr>
          <w:rFonts w:ascii="Arial" w:hAnsi="Arial" w:cs="Arial"/>
        </w:rPr>
        <w:t>2</w:t>
      </w:r>
      <w:r w:rsidR="00367508" w:rsidRPr="00837BF1">
        <w:rPr>
          <w:rFonts w:ascii="Arial" w:hAnsi="Arial" w:cs="Arial"/>
        </w:rPr>
        <w:t xml:space="preserve">% </w:t>
      </w:r>
      <w:r w:rsidR="00367508" w:rsidRPr="00837BF1">
        <w:rPr>
          <w:rFonts w:ascii="Arial" w:hAnsi="Arial" w:cs="Arial"/>
          <w:i/>
          <w:iCs/>
        </w:rPr>
        <w:t>finding it difficult</w:t>
      </w:r>
      <w:r w:rsidR="00E149B7" w:rsidRPr="00837BF1">
        <w:rPr>
          <w:rFonts w:ascii="Arial" w:hAnsi="Arial" w:cs="Arial"/>
          <w:i/>
          <w:iCs/>
        </w:rPr>
        <w:t>/</w:t>
      </w:r>
      <w:r w:rsidR="00367508" w:rsidRPr="00837BF1">
        <w:rPr>
          <w:rFonts w:ascii="Arial" w:hAnsi="Arial" w:cs="Arial"/>
          <w:i/>
          <w:iCs/>
        </w:rPr>
        <w:t>very difficult</w:t>
      </w:r>
      <w:r w:rsidR="00367508" w:rsidRPr="00837BF1">
        <w:rPr>
          <w:rFonts w:ascii="Arial" w:hAnsi="Arial" w:cs="Arial"/>
        </w:rPr>
        <w:t xml:space="preserve">. </w:t>
      </w:r>
      <w:r w:rsidR="005770E0" w:rsidRPr="00837BF1">
        <w:rPr>
          <w:rFonts w:ascii="Arial" w:hAnsi="Arial" w:cs="Arial"/>
        </w:rPr>
        <w:t>Over t</w:t>
      </w:r>
      <w:r w:rsidR="00367508" w:rsidRPr="00837BF1">
        <w:rPr>
          <w:rFonts w:ascii="Arial" w:hAnsi="Arial" w:cs="Arial"/>
        </w:rPr>
        <w:t>wo-fifths of employees (4</w:t>
      </w:r>
      <w:r w:rsidR="005770E0" w:rsidRPr="00837BF1">
        <w:rPr>
          <w:rFonts w:ascii="Arial" w:hAnsi="Arial" w:cs="Arial"/>
        </w:rPr>
        <w:t>2.2</w:t>
      </w:r>
      <w:r w:rsidR="00367508" w:rsidRPr="00837BF1">
        <w:rPr>
          <w:rFonts w:ascii="Arial" w:hAnsi="Arial" w:cs="Arial"/>
        </w:rPr>
        <w:t>%</w:t>
      </w:r>
      <w:r w:rsidR="009B17AC" w:rsidRPr="00837BF1">
        <w:rPr>
          <w:rFonts w:ascii="Arial" w:hAnsi="Arial" w:cs="Arial"/>
        </w:rPr>
        <w:t>)</w:t>
      </w:r>
      <w:r w:rsidR="00367508" w:rsidRPr="00837BF1">
        <w:rPr>
          <w:rFonts w:ascii="Arial" w:hAnsi="Arial" w:cs="Arial"/>
        </w:rPr>
        <w:t xml:space="preserve"> reported reduced working </w:t>
      </w:r>
      <w:r w:rsidR="009B17AC" w:rsidRPr="00837BF1">
        <w:rPr>
          <w:rFonts w:ascii="Arial" w:hAnsi="Arial" w:cs="Arial"/>
        </w:rPr>
        <w:t>at</w:t>
      </w:r>
      <w:r w:rsidR="00367508" w:rsidRPr="00837BF1">
        <w:rPr>
          <w:rFonts w:ascii="Arial" w:hAnsi="Arial" w:cs="Arial"/>
        </w:rPr>
        <w:t xml:space="preserve"> April 2020</w:t>
      </w:r>
      <w:r w:rsidR="002B2CA2" w:rsidRPr="00837BF1">
        <w:rPr>
          <w:rFonts w:ascii="Arial" w:hAnsi="Arial" w:cs="Arial"/>
        </w:rPr>
        <w:t>,</w:t>
      </w:r>
      <w:r w:rsidR="00367508" w:rsidRPr="00837BF1">
        <w:rPr>
          <w:rFonts w:ascii="Arial" w:hAnsi="Arial" w:cs="Arial"/>
        </w:rPr>
        <w:t xml:space="preserve"> indicat</w:t>
      </w:r>
      <w:r w:rsidR="002B2CA2" w:rsidRPr="00837BF1">
        <w:rPr>
          <w:rFonts w:ascii="Arial" w:hAnsi="Arial" w:cs="Arial"/>
        </w:rPr>
        <w:t>ing</w:t>
      </w:r>
      <w:r w:rsidR="00367508" w:rsidRPr="00837BF1">
        <w:rPr>
          <w:rFonts w:ascii="Arial" w:hAnsi="Arial" w:cs="Arial"/>
        </w:rPr>
        <w:t xml:space="preserve"> reasons</w:t>
      </w:r>
      <w:r w:rsidR="009B17AC" w:rsidRPr="00837BF1">
        <w:rPr>
          <w:rFonts w:ascii="Arial" w:hAnsi="Arial" w:cs="Arial"/>
        </w:rPr>
        <w:t xml:space="preserve"> -</w:t>
      </w:r>
      <w:r w:rsidR="00367508" w:rsidRPr="00837BF1">
        <w:rPr>
          <w:rFonts w:ascii="Arial" w:hAnsi="Arial" w:cs="Arial"/>
        </w:rPr>
        <w:t xml:space="preserve">  2</w:t>
      </w:r>
      <w:r w:rsidR="002B2CA2" w:rsidRPr="00837BF1">
        <w:rPr>
          <w:rFonts w:ascii="Arial" w:hAnsi="Arial" w:cs="Arial"/>
        </w:rPr>
        <w:t>1</w:t>
      </w:r>
      <w:r w:rsidR="005770E0" w:rsidRPr="00837BF1">
        <w:rPr>
          <w:rFonts w:ascii="Arial" w:hAnsi="Arial" w:cs="Arial"/>
        </w:rPr>
        <w:t>.7</w:t>
      </w:r>
      <w:r w:rsidR="00367508" w:rsidRPr="00837BF1">
        <w:rPr>
          <w:rFonts w:ascii="Arial" w:hAnsi="Arial" w:cs="Arial"/>
        </w:rPr>
        <w:t>% furloughed</w:t>
      </w:r>
      <w:r w:rsidR="002B2CA2" w:rsidRPr="00837BF1">
        <w:rPr>
          <w:rFonts w:ascii="Arial" w:hAnsi="Arial" w:cs="Arial"/>
        </w:rPr>
        <w:t>/</w:t>
      </w:r>
      <w:r w:rsidR="00367508" w:rsidRPr="00837BF1">
        <w:rPr>
          <w:rFonts w:ascii="Arial" w:hAnsi="Arial" w:cs="Arial"/>
        </w:rPr>
        <w:t>on paid leave</w:t>
      </w:r>
      <w:r w:rsidR="002B2CA2" w:rsidRPr="00837BF1">
        <w:rPr>
          <w:rFonts w:ascii="Arial" w:hAnsi="Arial" w:cs="Arial"/>
        </w:rPr>
        <w:t xml:space="preserve">; </w:t>
      </w:r>
      <w:r w:rsidR="00367508" w:rsidRPr="00837BF1">
        <w:rPr>
          <w:rFonts w:ascii="Arial" w:hAnsi="Arial" w:cs="Arial"/>
        </w:rPr>
        <w:t>1</w:t>
      </w:r>
      <w:r w:rsidR="000F39AD" w:rsidRPr="00837BF1">
        <w:rPr>
          <w:rFonts w:ascii="Arial" w:hAnsi="Arial" w:cs="Arial"/>
        </w:rPr>
        <w:t>2.2</w:t>
      </w:r>
      <w:r w:rsidR="00367508" w:rsidRPr="00837BF1">
        <w:rPr>
          <w:rFonts w:ascii="Arial" w:hAnsi="Arial" w:cs="Arial"/>
        </w:rPr>
        <w:t>% reported other reasons</w:t>
      </w:r>
      <w:r w:rsidR="00806DF1" w:rsidRPr="00837BF1">
        <w:rPr>
          <w:rFonts w:ascii="Arial" w:hAnsi="Arial" w:cs="Arial"/>
        </w:rPr>
        <w:t xml:space="preserve">, </w:t>
      </w:r>
      <w:r w:rsidR="002B2CA2" w:rsidRPr="00837BF1">
        <w:rPr>
          <w:rFonts w:ascii="Arial" w:hAnsi="Arial" w:cs="Arial"/>
        </w:rPr>
        <w:t>for example</w:t>
      </w:r>
      <w:r w:rsidR="00367508" w:rsidRPr="00837BF1">
        <w:rPr>
          <w:rFonts w:ascii="Arial" w:hAnsi="Arial" w:cs="Arial"/>
        </w:rPr>
        <w:t xml:space="preserve"> using annual leave or no longer </w:t>
      </w:r>
      <w:r w:rsidR="001B0F6E" w:rsidRPr="00837BF1">
        <w:rPr>
          <w:rFonts w:ascii="Arial" w:hAnsi="Arial" w:cs="Arial"/>
        </w:rPr>
        <w:t>working</w:t>
      </w:r>
      <w:r w:rsidR="00367508" w:rsidRPr="00837BF1">
        <w:rPr>
          <w:rFonts w:ascii="Arial" w:hAnsi="Arial" w:cs="Arial"/>
        </w:rPr>
        <w:t xml:space="preserve"> overtime. Smaller p</w:t>
      </w:r>
      <w:r w:rsidR="002B2CA2" w:rsidRPr="00837BF1">
        <w:rPr>
          <w:rFonts w:ascii="Arial" w:hAnsi="Arial" w:cs="Arial"/>
        </w:rPr>
        <w:t>roportions</w:t>
      </w:r>
      <w:r w:rsidR="00367508" w:rsidRPr="00837BF1">
        <w:rPr>
          <w:rFonts w:ascii="Arial" w:hAnsi="Arial" w:cs="Arial"/>
        </w:rPr>
        <w:t xml:space="preserve"> reported reduction</w:t>
      </w:r>
      <w:r w:rsidR="002B2CA2" w:rsidRPr="00837BF1">
        <w:rPr>
          <w:rFonts w:ascii="Arial" w:hAnsi="Arial" w:cs="Arial"/>
        </w:rPr>
        <w:t>s</w:t>
      </w:r>
      <w:r w:rsidR="00367508" w:rsidRPr="00837BF1">
        <w:rPr>
          <w:rFonts w:ascii="Arial" w:hAnsi="Arial" w:cs="Arial"/>
        </w:rPr>
        <w:t xml:space="preserve"> due to employer cuts (4.</w:t>
      </w:r>
      <w:r w:rsidR="000F39AD" w:rsidRPr="00837BF1">
        <w:rPr>
          <w:rFonts w:ascii="Arial" w:hAnsi="Arial" w:cs="Arial"/>
        </w:rPr>
        <w:t>4</w:t>
      </w:r>
      <w:r w:rsidR="00367508" w:rsidRPr="00837BF1">
        <w:rPr>
          <w:rFonts w:ascii="Arial" w:hAnsi="Arial" w:cs="Arial"/>
        </w:rPr>
        <w:t>%), self-isolation or sickness (2.</w:t>
      </w:r>
      <w:r w:rsidR="00867523" w:rsidRPr="00837BF1">
        <w:rPr>
          <w:rFonts w:ascii="Arial" w:hAnsi="Arial" w:cs="Arial"/>
        </w:rPr>
        <w:t>6</w:t>
      </w:r>
      <w:r w:rsidR="00367508" w:rsidRPr="00837BF1">
        <w:rPr>
          <w:rFonts w:ascii="Arial" w:hAnsi="Arial" w:cs="Arial"/>
        </w:rPr>
        <w:t>%), permanent lay-off (0.</w:t>
      </w:r>
      <w:r w:rsidR="00867523" w:rsidRPr="00837BF1">
        <w:rPr>
          <w:rFonts w:ascii="Arial" w:hAnsi="Arial" w:cs="Arial"/>
        </w:rPr>
        <w:t>9</w:t>
      </w:r>
      <w:r w:rsidR="00367508" w:rsidRPr="00837BF1">
        <w:rPr>
          <w:rFonts w:ascii="Arial" w:hAnsi="Arial" w:cs="Arial"/>
        </w:rPr>
        <w:t>%)</w:t>
      </w:r>
      <w:r w:rsidR="002B2CA2" w:rsidRPr="00837BF1">
        <w:rPr>
          <w:rFonts w:ascii="Arial" w:hAnsi="Arial" w:cs="Arial"/>
        </w:rPr>
        <w:t>,</w:t>
      </w:r>
      <w:r w:rsidR="00367508" w:rsidRPr="00837BF1">
        <w:rPr>
          <w:rFonts w:ascii="Arial" w:hAnsi="Arial" w:cs="Arial"/>
        </w:rPr>
        <w:t xml:space="preserve"> and caring for children or others (2.</w:t>
      </w:r>
      <w:r w:rsidR="00867523" w:rsidRPr="00837BF1">
        <w:rPr>
          <w:rFonts w:ascii="Arial" w:hAnsi="Arial" w:cs="Arial"/>
        </w:rPr>
        <w:t>5</w:t>
      </w:r>
      <w:r w:rsidR="00367508" w:rsidRPr="00837BF1">
        <w:rPr>
          <w:rFonts w:ascii="Arial" w:hAnsi="Arial" w:cs="Arial"/>
        </w:rPr>
        <w:t xml:space="preserve">%).  </w:t>
      </w:r>
    </w:p>
    <w:p w14:paraId="559E51A3" w14:textId="77777777" w:rsidR="00367508" w:rsidRPr="00837BF1" w:rsidRDefault="00367508" w:rsidP="00367508">
      <w:pPr>
        <w:spacing w:after="0" w:line="480" w:lineRule="auto"/>
        <w:jc w:val="both"/>
        <w:rPr>
          <w:rFonts w:ascii="Arial" w:hAnsi="Arial" w:cs="Arial"/>
        </w:rPr>
      </w:pPr>
    </w:p>
    <w:p w14:paraId="35AEBF4B" w14:textId="4DF87D04" w:rsidR="00367508" w:rsidRPr="00837BF1" w:rsidRDefault="00367508" w:rsidP="00367508">
      <w:pPr>
        <w:spacing w:after="0" w:line="480" w:lineRule="auto"/>
        <w:ind w:left="720"/>
        <w:jc w:val="both"/>
        <w:rPr>
          <w:rFonts w:ascii="Arial" w:hAnsi="Arial" w:cs="Arial"/>
          <w:i/>
          <w:iCs/>
        </w:rPr>
      </w:pPr>
      <w:r w:rsidRPr="00837BF1">
        <w:rPr>
          <w:rFonts w:ascii="Arial" w:hAnsi="Arial" w:cs="Arial"/>
          <w:i/>
          <w:iCs/>
        </w:rPr>
        <w:t xml:space="preserve">Prevalence of psychological distress at baseline and </w:t>
      </w:r>
      <w:r w:rsidR="001A71EF" w:rsidRPr="00837BF1">
        <w:rPr>
          <w:rFonts w:ascii="Arial" w:hAnsi="Arial" w:cs="Arial"/>
          <w:i/>
          <w:iCs/>
        </w:rPr>
        <w:t>at</w:t>
      </w:r>
      <w:r w:rsidRPr="00837BF1">
        <w:rPr>
          <w:rFonts w:ascii="Arial" w:hAnsi="Arial" w:cs="Arial"/>
          <w:i/>
          <w:iCs/>
        </w:rPr>
        <w:t xml:space="preserve"> April 2020</w:t>
      </w:r>
    </w:p>
    <w:p w14:paraId="0BED7B5D" w14:textId="15586B45" w:rsidR="00367508" w:rsidRPr="00837BF1" w:rsidRDefault="001A71EF" w:rsidP="00367508">
      <w:pPr>
        <w:spacing w:after="0" w:line="480" w:lineRule="auto"/>
        <w:jc w:val="both"/>
        <w:rPr>
          <w:rFonts w:ascii="Arial" w:hAnsi="Arial" w:cs="Arial"/>
        </w:rPr>
      </w:pPr>
      <w:r w:rsidRPr="00837BF1">
        <w:rPr>
          <w:rFonts w:ascii="Arial" w:hAnsi="Arial" w:cs="Arial"/>
        </w:rPr>
        <w:t>P</w:t>
      </w:r>
      <w:r w:rsidR="00367508" w:rsidRPr="00837BF1">
        <w:rPr>
          <w:rFonts w:ascii="Arial" w:hAnsi="Arial" w:cs="Arial"/>
        </w:rPr>
        <w:t xml:space="preserve">sychological distress </w:t>
      </w:r>
      <w:r w:rsidR="00734C12" w:rsidRPr="00837BF1">
        <w:rPr>
          <w:rFonts w:ascii="Arial" w:hAnsi="Arial" w:cs="Arial"/>
        </w:rPr>
        <w:t>(as indicated</w:t>
      </w:r>
      <w:r w:rsidR="00CA1B93" w:rsidRPr="00837BF1">
        <w:rPr>
          <w:rFonts w:ascii="Arial" w:hAnsi="Arial" w:cs="Arial"/>
        </w:rPr>
        <w:t xml:space="preserve"> by a GHQ score of four or more) </w:t>
      </w:r>
      <w:r w:rsidRPr="00837BF1">
        <w:rPr>
          <w:rFonts w:ascii="Arial" w:hAnsi="Arial" w:cs="Arial"/>
        </w:rPr>
        <w:t xml:space="preserve">increased </w:t>
      </w:r>
      <w:r w:rsidR="002B2CA2" w:rsidRPr="00837BF1">
        <w:rPr>
          <w:rFonts w:ascii="Arial" w:hAnsi="Arial" w:cs="Arial"/>
        </w:rPr>
        <w:t xml:space="preserve">amongst </w:t>
      </w:r>
      <w:r w:rsidR="0074074C" w:rsidRPr="00837BF1">
        <w:rPr>
          <w:rFonts w:ascii="Arial" w:hAnsi="Arial" w:cs="Arial"/>
        </w:rPr>
        <w:t xml:space="preserve">all </w:t>
      </w:r>
      <w:r w:rsidR="00FE18F5" w:rsidRPr="00837BF1">
        <w:rPr>
          <w:rFonts w:ascii="Arial" w:hAnsi="Arial" w:cs="Arial"/>
        </w:rPr>
        <w:t>employees</w:t>
      </w:r>
      <w:r w:rsidR="002B2CA2" w:rsidRPr="00837BF1">
        <w:rPr>
          <w:rFonts w:ascii="Arial" w:hAnsi="Arial" w:cs="Arial"/>
        </w:rPr>
        <w:t xml:space="preserve"> </w:t>
      </w:r>
      <w:r w:rsidRPr="00837BF1">
        <w:rPr>
          <w:rFonts w:ascii="Arial" w:hAnsi="Arial" w:cs="Arial"/>
        </w:rPr>
        <w:t xml:space="preserve">between </w:t>
      </w:r>
      <w:r w:rsidR="00367508" w:rsidRPr="00837BF1">
        <w:rPr>
          <w:rFonts w:ascii="Arial" w:hAnsi="Arial" w:cs="Arial"/>
        </w:rPr>
        <w:t>baseline and April 2020</w:t>
      </w:r>
      <w:r w:rsidRPr="00837BF1">
        <w:rPr>
          <w:rFonts w:ascii="Arial" w:hAnsi="Arial" w:cs="Arial"/>
        </w:rPr>
        <w:t xml:space="preserve">, </w:t>
      </w:r>
      <w:r w:rsidR="00367508" w:rsidRPr="00837BF1">
        <w:rPr>
          <w:rFonts w:ascii="Arial" w:hAnsi="Arial" w:cs="Arial"/>
        </w:rPr>
        <w:t>increas</w:t>
      </w:r>
      <w:r w:rsidR="001C492B" w:rsidRPr="00837BF1">
        <w:rPr>
          <w:rFonts w:ascii="Arial" w:hAnsi="Arial" w:cs="Arial"/>
        </w:rPr>
        <w:t>ing</w:t>
      </w:r>
      <w:r w:rsidR="00367508" w:rsidRPr="00837BF1">
        <w:rPr>
          <w:rFonts w:ascii="Arial" w:hAnsi="Arial" w:cs="Arial"/>
        </w:rPr>
        <w:t xml:space="preserve"> from 20.</w:t>
      </w:r>
      <w:r w:rsidR="005669D4" w:rsidRPr="00837BF1">
        <w:rPr>
          <w:rFonts w:ascii="Arial" w:hAnsi="Arial" w:cs="Arial"/>
        </w:rPr>
        <w:t>1</w:t>
      </w:r>
      <w:r w:rsidR="00367508" w:rsidRPr="00837BF1">
        <w:rPr>
          <w:rFonts w:ascii="Arial" w:hAnsi="Arial" w:cs="Arial"/>
        </w:rPr>
        <w:t>% to 31.</w:t>
      </w:r>
      <w:r w:rsidRPr="00837BF1">
        <w:rPr>
          <w:rFonts w:ascii="Arial" w:hAnsi="Arial" w:cs="Arial"/>
        </w:rPr>
        <w:t>8</w:t>
      </w:r>
      <w:r w:rsidR="00367508" w:rsidRPr="00837BF1">
        <w:rPr>
          <w:rFonts w:ascii="Arial" w:hAnsi="Arial" w:cs="Arial"/>
        </w:rPr>
        <w:t>%</w:t>
      </w:r>
      <w:r w:rsidR="001C492B" w:rsidRPr="00837BF1">
        <w:rPr>
          <w:rFonts w:ascii="Arial" w:hAnsi="Arial" w:cs="Arial"/>
        </w:rPr>
        <w:t>, with</w:t>
      </w:r>
      <w:r w:rsidR="00367508" w:rsidRPr="00837BF1">
        <w:rPr>
          <w:rFonts w:ascii="Arial" w:hAnsi="Arial" w:cs="Arial"/>
        </w:rPr>
        <w:t xml:space="preserve"> </w:t>
      </w:r>
      <w:r w:rsidR="001C492B" w:rsidRPr="00837BF1">
        <w:rPr>
          <w:rFonts w:ascii="Arial" w:hAnsi="Arial" w:cs="Arial"/>
        </w:rPr>
        <w:t>p</w:t>
      </w:r>
      <w:r w:rsidR="00367508" w:rsidRPr="00837BF1">
        <w:rPr>
          <w:rFonts w:ascii="Arial" w:hAnsi="Arial" w:cs="Arial"/>
        </w:rPr>
        <w:t xml:space="preserve">revalence </w:t>
      </w:r>
      <w:r w:rsidR="001C492B" w:rsidRPr="00837BF1">
        <w:rPr>
          <w:rFonts w:ascii="Arial" w:hAnsi="Arial" w:cs="Arial"/>
        </w:rPr>
        <w:t>similarly</w:t>
      </w:r>
      <w:r w:rsidR="00367508" w:rsidRPr="00837BF1">
        <w:rPr>
          <w:rFonts w:ascii="Arial" w:hAnsi="Arial" w:cs="Arial"/>
        </w:rPr>
        <w:t xml:space="preserve"> higher across all sample characteristics</w:t>
      </w:r>
      <w:r w:rsidRPr="00837BF1">
        <w:rPr>
          <w:rFonts w:ascii="Arial" w:hAnsi="Arial" w:cs="Arial"/>
        </w:rPr>
        <w:t xml:space="preserve"> </w:t>
      </w:r>
      <w:r w:rsidR="00074804" w:rsidRPr="00837BF1">
        <w:rPr>
          <w:rFonts w:ascii="Arial" w:hAnsi="Arial" w:cs="Arial"/>
        </w:rPr>
        <w:t xml:space="preserve">over time </w:t>
      </w:r>
      <w:r w:rsidRPr="00837BF1">
        <w:rPr>
          <w:rFonts w:ascii="Arial" w:hAnsi="Arial" w:cs="Arial"/>
        </w:rPr>
        <w:t>(Table 1)</w:t>
      </w:r>
      <w:r w:rsidR="00367508" w:rsidRPr="00837BF1">
        <w:rPr>
          <w:rFonts w:ascii="Arial" w:hAnsi="Arial" w:cs="Arial"/>
        </w:rPr>
        <w:t>.</w:t>
      </w:r>
      <w:r w:rsidR="001253EF" w:rsidRPr="00837BF1">
        <w:rPr>
          <w:rFonts w:ascii="Arial" w:hAnsi="Arial" w:cs="Arial"/>
        </w:rPr>
        <w:t xml:space="preserve"> </w:t>
      </w:r>
      <w:r w:rsidR="006F54D1" w:rsidRPr="00837BF1">
        <w:rPr>
          <w:rFonts w:ascii="Arial" w:hAnsi="Arial" w:cs="Arial"/>
        </w:rPr>
        <w:t xml:space="preserve">For those with </w:t>
      </w:r>
      <w:r w:rsidR="00367508" w:rsidRPr="00837BF1">
        <w:rPr>
          <w:rFonts w:ascii="Arial" w:hAnsi="Arial" w:cs="Arial"/>
        </w:rPr>
        <w:t>reduced working</w:t>
      </w:r>
      <w:r w:rsidR="008A463C" w:rsidRPr="00837BF1">
        <w:rPr>
          <w:rFonts w:ascii="Arial" w:hAnsi="Arial" w:cs="Arial"/>
        </w:rPr>
        <w:t>,</w:t>
      </w:r>
      <w:r w:rsidR="00367508" w:rsidRPr="00837BF1">
        <w:rPr>
          <w:rFonts w:ascii="Arial" w:hAnsi="Arial" w:cs="Arial"/>
        </w:rPr>
        <w:t xml:space="preserve"> </w:t>
      </w:r>
      <w:r w:rsidR="006955D3" w:rsidRPr="00837BF1">
        <w:rPr>
          <w:rFonts w:ascii="Arial" w:hAnsi="Arial" w:cs="Arial"/>
        </w:rPr>
        <w:t>35%</w:t>
      </w:r>
      <w:r w:rsidR="00367508" w:rsidRPr="00837BF1">
        <w:rPr>
          <w:rFonts w:ascii="Arial" w:hAnsi="Arial" w:cs="Arial"/>
        </w:rPr>
        <w:t xml:space="preserve"> reported psychological distress in April compared </w:t>
      </w:r>
      <w:r w:rsidR="006955D3" w:rsidRPr="00837BF1">
        <w:rPr>
          <w:rFonts w:ascii="Arial" w:hAnsi="Arial" w:cs="Arial"/>
        </w:rPr>
        <w:t>with</w:t>
      </w:r>
      <w:r w:rsidR="00367508" w:rsidRPr="00837BF1">
        <w:rPr>
          <w:rFonts w:ascii="Arial" w:hAnsi="Arial" w:cs="Arial"/>
        </w:rPr>
        <w:t xml:space="preserve"> 21.</w:t>
      </w:r>
      <w:r w:rsidR="004A4078" w:rsidRPr="00837BF1">
        <w:rPr>
          <w:rFonts w:ascii="Arial" w:hAnsi="Arial" w:cs="Arial"/>
        </w:rPr>
        <w:t>8</w:t>
      </w:r>
      <w:r w:rsidR="00367508" w:rsidRPr="00837BF1">
        <w:rPr>
          <w:rFonts w:ascii="Arial" w:hAnsi="Arial" w:cs="Arial"/>
        </w:rPr>
        <w:t>% at baseline</w:t>
      </w:r>
      <w:r w:rsidR="006955D3" w:rsidRPr="00837BF1">
        <w:rPr>
          <w:rFonts w:ascii="Arial" w:hAnsi="Arial" w:cs="Arial"/>
        </w:rPr>
        <w:t>,</w:t>
      </w:r>
      <w:r w:rsidR="00367508" w:rsidRPr="00837BF1">
        <w:rPr>
          <w:rFonts w:ascii="Arial" w:hAnsi="Arial" w:cs="Arial"/>
        </w:rPr>
        <w:t xml:space="preserve"> while </w:t>
      </w:r>
      <w:r w:rsidR="00D80438" w:rsidRPr="00837BF1">
        <w:rPr>
          <w:rFonts w:ascii="Arial" w:hAnsi="Arial" w:cs="Arial"/>
        </w:rPr>
        <w:t>distres</w:t>
      </w:r>
      <w:r w:rsidR="006955D3" w:rsidRPr="00837BF1">
        <w:rPr>
          <w:rFonts w:ascii="Arial" w:hAnsi="Arial" w:cs="Arial"/>
        </w:rPr>
        <w:t>s</w:t>
      </w:r>
      <w:r w:rsidR="009044FD" w:rsidRPr="00837BF1">
        <w:rPr>
          <w:rFonts w:ascii="Arial" w:hAnsi="Arial" w:cs="Arial"/>
        </w:rPr>
        <w:t xml:space="preserve"> </w:t>
      </w:r>
      <w:r w:rsidR="00367508" w:rsidRPr="00837BF1">
        <w:rPr>
          <w:rFonts w:ascii="Arial" w:hAnsi="Arial" w:cs="Arial"/>
        </w:rPr>
        <w:t xml:space="preserve">increased </w:t>
      </w:r>
      <w:r w:rsidR="006955D3" w:rsidRPr="00837BF1">
        <w:rPr>
          <w:rFonts w:ascii="Arial" w:hAnsi="Arial" w:cs="Arial"/>
        </w:rPr>
        <w:t xml:space="preserve">from </w:t>
      </w:r>
      <w:r w:rsidR="00367508" w:rsidRPr="00837BF1">
        <w:rPr>
          <w:rFonts w:ascii="Arial" w:hAnsi="Arial" w:cs="Arial"/>
        </w:rPr>
        <w:t xml:space="preserve">23.7% at baseline </w:t>
      </w:r>
      <w:r w:rsidR="006955D3" w:rsidRPr="00837BF1">
        <w:rPr>
          <w:rFonts w:ascii="Arial" w:hAnsi="Arial" w:cs="Arial"/>
        </w:rPr>
        <w:t xml:space="preserve">to </w:t>
      </w:r>
      <w:r w:rsidR="00367508" w:rsidRPr="00837BF1">
        <w:rPr>
          <w:rFonts w:ascii="Arial" w:hAnsi="Arial" w:cs="Arial"/>
        </w:rPr>
        <w:t>69.</w:t>
      </w:r>
      <w:r w:rsidR="004A4078" w:rsidRPr="00837BF1">
        <w:rPr>
          <w:rFonts w:ascii="Arial" w:hAnsi="Arial" w:cs="Arial"/>
        </w:rPr>
        <w:t>4</w:t>
      </w:r>
      <w:r w:rsidR="00367508" w:rsidRPr="00837BF1">
        <w:rPr>
          <w:rFonts w:ascii="Arial" w:hAnsi="Arial" w:cs="Arial"/>
        </w:rPr>
        <w:t>% in April</w:t>
      </w:r>
      <w:r w:rsidR="006955D3" w:rsidRPr="00837BF1">
        <w:rPr>
          <w:rFonts w:ascii="Arial" w:hAnsi="Arial" w:cs="Arial"/>
        </w:rPr>
        <w:t xml:space="preserve"> for those</w:t>
      </w:r>
      <w:r w:rsidR="008A463C" w:rsidRPr="00837BF1">
        <w:rPr>
          <w:rFonts w:ascii="Arial" w:hAnsi="Arial" w:cs="Arial"/>
        </w:rPr>
        <w:t xml:space="preserve"> who were</w:t>
      </w:r>
      <w:r w:rsidR="006955D3" w:rsidRPr="00837BF1">
        <w:rPr>
          <w:rFonts w:ascii="Arial" w:hAnsi="Arial" w:cs="Arial"/>
        </w:rPr>
        <w:t xml:space="preserve"> permanently laid off.</w:t>
      </w:r>
      <w:r w:rsidR="003D0295" w:rsidRPr="00837BF1">
        <w:rPr>
          <w:rFonts w:ascii="Arial" w:hAnsi="Arial" w:cs="Arial"/>
        </w:rPr>
        <w:t xml:space="preserve"> </w:t>
      </w:r>
      <w:r w:rsidR="00812210" w:rsidRPr="00837BF1">
        <w:rPr>
          <w:rFonts w:ascii="Arial" w:hAnsi="Arial" w:cs="Arial"/>
        </w:rPr>
        <w:t xml:space="preserve">Graphs showing mean </w:t>
      </w:r>
      <w:r w:rsidR="00314F70" w:rsidRPr="00837BF1">
        <w:rPr>
          <w:rFonts w:ascii="Arial" w:hAnsi="Arial" w:cs="Arial"/>
        </w:rPr>
        <w:t xml:space="preserve">baseline and April 2020 </w:t>
      </w:r>
      <w:r w:rsidR="00812210" w:rsidRPr="00837BF1">
        <w:rPr>
          <w:rFonts w:ascii="Arial" w:hAnsi="Arial" w:cs="Arial"/>
        </w:rPr>
        <w:t xml:space="preserve">GHQ scores </w:t>
      </w:r>
      <w:r w:rsidR="00202B48" w:rsidRPr="00837BF1">
        <w:rPr>
          <w:rFonts w:ascii="Arial" w:hAnsi="Arial" w:cs="Arial"/>
        </w:rPr>
        <w:t xml:space="preserve">for employment-related characteristics are available in Supplementary Material Figures 1-7. </w:t>
      </w:r>
    </w:p>
    <w:p w14:paraId="30A24D77" w14:textId="77777777" w:rsidR="00367508" w:rsidRPr="00837BF1" w:rsidRDefault="00367508" w:rsidP="00367508">
      <w:pPr>
        <w:spacing w:after="0" w:line="480" w:lineRule="auto"/>
        <w:jc w:val="both"/>
        <w:rPr>
          <w:rFonts w:ascii="Arial" w:hAnsi="Arial" w:cs="Arial"/>
        </w:rPr>
      </w:pPr>
    </w:p>
    <w:p w14:paraId="79652179" w14:textId="77777777" w:rsidR="00367508" w:rsidRPr="00837BF1" w:rsidRDefault="00367508" w:rsidP="00367508">
      <w:pPr>
        <w:spacing w:after="0" w:line="480" w:lineRule="auto"/>
        <w:jc w:val="both"/>
        <w:rPr>
          <w:rFonts w:ascii="Arial" w:hAnsi="Arial" w:cs="Arial"/>
        </w:rPr>
      </w:pPr>
    </w:p>
    <w:p w14:paraId="37C221EF" w14:textId="6AC323FC" w:rsidR="00367508" w:rsidRPr="00837BF1" w:rsidRDefault="00165A39" w:rsidP="00367508">
      <w:pPr>
        <w:spacing w:after="0" w:line="480" w:lineRule="auto"/>
        <w:ind w:left="720"/>
        <w:jc w:val="both"/>
        <w:rPr>
          <w:rFonts w:ascii="Arial" w:hAnsi="Arial" w:cs="Arial"/>
          <w:i/>
          <w:iCs/>
        </w:rPr>
      </w:pPr>
      <w:r w:rsidRPr="00837BF1">
        <w:rPr>
          <w:rFonts w:ascii="Arial" w:hAnsi="Arial" w:cs="Arial"/>
          <w:i/>
          <w:iCs/>
        </w:rPr>
        <w:t>R</w:t>
      </w:r>
      <w:r w:rsidR="00367508" w:rsidRPr="00837BF1">
        <w:rPr>
          <w:rFonts w:ascii="Arial" w:hAnsi="Arial" w:cs="Arial"/>
          <w:i/>
          <w:iCs/>
        </w:rPr>
        <w:t xml:space="preserve">educed working </w:t>
      </w:r>
      <w:r w:rsidRPr="00837BF1">
        <w:rPr>
          <w:rFonts w:ascii="Arial" w:hAnsi="Arial" w:cs="Arial"/>
          <w:i/>
          <w:iCs/>
        </w:rPr>
        <w:t>and</w:t>
      </w:r>
      <w:r w:rsidR="00367508" w:rsidRPr="00837BF1">
        <w:rPr>
          <w:rFonts w:ascii="Arial" w:hAnsi="Arial" w:cs="Arial"/>
          <w:i/>
          <w:iCs/>
        </w:rPr>
        <w:t xml:space="preserve"> psychological distress</w:t>
      </w:r>
    </w:p>
    <w:p w14:paraId="2D9C94C8" w14:textId="46CC6EFC" w:rsidR="00367508" w:rsidRPr="00837BF1" w:rsidRDefault="00165A39" w:rsidP="00367508">
      <w:pPr>
        <w:spacing w:after="0" w:line="480" w:lineRule="auto"/>
        <w:jc w:val="both"/>
        <w:rPr>
          <w:rFonts w:ascii="Arial" w:hAnsi="Arial" w:cs="Arial"/>
        </w:rPr>
      </w:pPr>
      <w:r w:rsidRPr="00837BF1">
        <w:rPr>
          <w:rFonts w:ascii="Arial" w:hAnsi="Arial" w:cs="Arial"/>
        </w:rPr>
        <w:t>L</w:t>
      </w:r>
      <w:r w:rsidR="00367508" w:rsidRPr="00837BF1">
        <w:rPr>
          <w:rFonts w:ascii="Arial" w:hAnsi="Arial" w:cs="Arial"/>
        </w:rPr>
        <w:t xml:space="preserve">ogistic regression models examining the association between reduced working and psychological distress are presented in Table 2. </w:t>
      </w:r>
      <w:r w:rsidR="00BD5DEB" w:rsidRPr="00837BF1">
        <w:rPr>
          <w:rFonts w:ascii="Arial" w:hAnsi="Arial" w:cs="Arial"/>
        </w:rPr>
        <w:t xml:space="preserve">In the </w:t>
      </w:r>
      <w:r w:rsidRPr="00837BF1">
        <w:rPr>
          <w:rFonts w:ascii="Arial" w:hAnsi="Arial" w:cs="Arial"/>
        </w:rPr>
        <w:t>u</w:t>
      </w:r>
      <w:r w:rsidR="00367508" w:rsidRPr="00837BF1">
        <w:rPr>
          <w:rFonts w:ascii="Arial" w:hAnsi="Arial" w:cs="Arial"/>
        </w:rPr>
        <w:t>nivariable analysis</w:t>
      </w:r>
      <w:r w:rsidRPr="00837BF1">
        <w:rPr>
          <w:rFonts w:ascii="Arial" w:hAnsi="Arial" w:cs="Arial"/>
        </w:rPr>
        <w:t>:</w:t>
      </w:r>
      <w:r w:rsidR="00367508" w:rsidRPr="00837BF1">
        <w:rPr>
          <w:rFonts w:ascii="Arial" w:hAnsi="Arial" w:cs="Arial"/>
        </w:rPr>
        <w:t xml:space="preserve"> reduced working was associated with </w:t>
      </w:r>
      <w:r w:rsidR="00BD5DEB" w:rsidRPr="00837BF1">
        <w:rPr>
          <w:rFonts w:ascii="Arial" w:hAnsi="Arial" w:cs="Arial"/>
        </w:rPr>
        <w:t>greater</w:t>
      </w:r>
      <w:r w:rsidR="00367508" w:rsidRPr="00837BF1">
        <w:rPr>
          <w:rFonts w:ascii="Arial" w:hAnsi="Arial" w:cs="Arial"/>
        </w:rPr>
        <w:t xml:space="preserve"> psychological distress (OR=1.30</w:t>
      </w:r>
      <w:r w:rsidR="002232C7" w:rsidRPr="00837BF1">
        <w:rPr>
          <w:rFonts w:ascii="Arial" w:hAnsi="Arial" w:cs="Arial"/>
        </w:rPr>
        <w:t>,</w:t>
      </w:r>
      <w:r w:rsidR="00367508" w:rsidRPr="00837BF1">
        <w:rPr>
          <w:rFonts w:ascii="Arial" w:hAnsi="Arial" w:cs="Arial"/>
        </w:rPr>
        <w:t xml:space="preserve"> 95%CI</w:t>
      </w:r>
      <w:r w:rsidR="0074368A" w:rsidRPr="00837BF1">
        <w:rPr>
          <w:rFonts w:ascii="Arial" w:hAnsi="Arial" w:cs="Arial"/>
        </w:rPr>
        <w:t>=</w:t>
      </w:r>
      <w:r w:rsidR="00367508" w:rsidRPr="00837BF1">
        <w:rPr>
          <w:rFonts w:ascii="Arial" w:hAnsi="Arial" w:cs="Arial"/>
        </w:rPr>
        <w:t>1.14-1.4</w:t>
      </w:r>
      <w:r w:rsidR="00237D92" w:rsidRPr="00837BF1">
        <w:rPr>
          <w:rFonts w:ascii="Arial" w:hAnsi="Arial" w:cs="Arial"/>
        </w:rPr>
        <w:t>9</w:t>
      </w:r>
      <w:r w:rsidR="00367508" w:rsidRPr="00837BF1">
        <w:rPr>
          <w:rFonts w:ascii="Arial" w:hAnsi="Arial" w:cs="Arial"/>
        </w:rPr>
        <w:t>)</w:t>
      </w:r>
      <w:r w:rsidR="003C465B" w:rsidRPr="00837BF1">
        <w:rPr>
          <w:rFonts w:ascii="Arial" w:hAnsi="Arial" w:cs="Arial"/>
        </w:rPr>
        <w:t xml:space="preserve">; </w:t>
      </w:r>
      <w:r w:rsidR="006942B5" w:rsidRPr="00837BF1">
        <w:rPr>
          <w:rFonts w:ascii="Arial" w:hAnsi="Arial" w:cs="Arial"/>
        </w:rPr>
        <w:t>females and those not living in a couple were also more likely to report psychological distress (</w:t>
      </w:r>
      <w:r w:rsidR="00F0017A" w:rsidRPr="00837BF1">
        <w:rPr>
          <w:rFonts w:ascii="Arial" w:hAnsi="Arial" w:cs="Arial"/>
        </w:rPr>
        <w:t>OR=2.09</w:t>
      </w:r>
      <w:r w:rsidR="002232C7" w:rsidRPr="00837BF1">
        <w:rPr>
          <w:rFonts w:ascii="Arial" w:hAnsi="Arial" w:cs="Arial"/>
        </w:rPr>
        <w:t>,</w:t>
      </w:r>
      <w:r w:rsidR="00F0017A" w:rsidRPr="00837BF1">
        <w:rPr>
          <w:rFonts w:ascii="Arial" w:hAnsi="Arial" w:cs="Arial"/>
        </w:rPr>
        <w:t xml:space="preserve"> 1.82-2.40 and OR=</w:t>
      </w:r>
      <w:r w:rsidR="00920388" w:rsidRPr="00837BF1">
        <w:rPr>
          <w:rFonts w:ascii="Arial" w:hAnsi="Arial" w:cs="Arial"/>
        </w:rPr>
        <w:t>1.70</w:t>
      </w:r>
      <w:r w:rsidR="002232C7" w:rsidRPr="00837BF1">
        <w:rPr>
          <w:rFonts w:ascii="Arial" w:hAnsi="Arial" w:cs="Arial"/>
        </w:rPr>
        <w:t>,</w:t>
      </w:r>
      <w:r w:rsidR="00920388" w:rsidRPr="00837BF1">
        <w:rPr>
          <w:rFonts w:ascii="Arial" w:hAnsi="Arial" w:cs="Arial"/>
        </w:rPr>
        <w:t xml:space="preserve"> 1.47-1.96 respectively);</w:t>
      </w:r>
      <w:r w:rsidRPr="00837BF1">
        <w:rPr>
          <w:rFonts w:ascii="Arial" w:hAnsi="Arial" w:cs="Arial"/>
        </w:rPr>
        <w:t xml:space="preserve"> o</w:t>
      </w:r>
      <w:r w:rsidR="00367508" w:rsidRPr="00837BF1">
        <w:rPr>
          <w:rFonts w:ascii="Arial" w:hAnsi="Arial" w:cs="Arial"/>
        </w:rPr>
        <w:t>lder age appears protective</w:t>
      </w:r>
      <w:r w:rsidRPr="00837BF1">
        <w:rPr>
          <w:rFonts w:ascii="Arial" w:hAnsi="Arial" w:cs="Arial"/>
        </w:rPr>
        <w:t xml:space="preserve">; </w:t>
      </w:r>
      <w:r w:rsidR="008E6A71" w:rsidRPr="00837BF1">
        <w:rPr>
          <w:rFonts w:ascii="Arial" w:hAnsi="Arial" w:cs="Arial"/>
        </w:rPr>
        <w:t xml:space="preserve">and </w:t>
      </w:r>
      <w:r w:rsidRPr="00837BF1">
        <w:rPr>
          <w:rFonts w:ascii="Arial" w:hAnsi="Arial" w:cs="Arial"/>
        </w:rPr>
        <w:lastRenderedPageBreak/>
        <w:t xml:space="preserve">those </w:t>
      </w:r>
      <w:r w:rsidR="00367508" w:rsidRPr="00837BF1">
        <w:rPr>
          <w:rFonts w:ascii="Arial" w:hAnsi="Arial" w:cs="Arial"/>
        </w:rPr>
        <w:t xml:space="preserve">with higher baseline weekly household earnings were </w:t>
      </w:r>
      <w:r w:rsidR="00D3660E" w:rsidRPr="00837BF1">
        <w:rPr>
          <w:rFonts w:ascii="Arial" w:hAnsi="Arial" w:cs="Arial"/>
        </w:rPr>
        <w:t xml:space="preserve">also </w:t>
      </w:r>
      <w:r w:rsidR="00367508" w:rsidRPr="00837BF1">
        <w:rPr>
          <w:rFonts w:ascii="Arial" w:hAnsi="Arial" w:cs="Arial"/>
        </w:rPr>
        <w:t>less likely to report distress (OR=0.9</w:t>
      </w:r>
      <w:r w:rsidR="00615B0D" w:rsidRPr="00837BF1">
        <w:rPr>
          <w:rFonts w:ascii="Arial" w:hAnsi="Arial" w:cs="Arial"/>
        </w:rPr>
        <w:t>2</w:t>
      </w:r>
      <w:r w:rsidR="002232C7" w:rsidRPr="00837BF1">
        <w:rPr>
          <w:rFonts w:ascii="Arial" w:hAnsi="Arial" w:cs="Arial"/>
        </w:rPr>
        <w:t>,</w:t>
      </w:r>
      <w:r w:rsidR="00367508" w:rsidRPr="00837BF1">
        <w:rPr>
          <w:rFonts w:ascii="Arial" w:hAnsi="Arial" w:cs="Arial"/>
        </w:rPr>
        <w:t xml:space="preserve"> 0.86-0.97).  </w:t>
      </w:r>
      <w:r w:rsidR="000D1964" w:rsidRPr="00837BF1">
        <w:rPr>
          <w:rFonts w:ascii="Arial" w:hAnsi="Arial" w:cs="Arial"/>
        </w:rPr>
        <w:t xml:space="preserve">In relation to </w:t>
      </w:r>
      <w:r w:rsidR="00367508" w:rsidRPr="00837BF1">
        <w:rPr>
          <w:rFonts w:ascii="Arial" w:hAnsi="Arial" w:cs="Arial"/>
        </w:rPr>
        <w:t>current financial situation</w:t>
      </w:r>
      <w:r w:rsidR="000D1964" w:rsidRPr="00837BF1">
        <w:rPr>
          <w:rFonts w:ascii="Arial" w:hAnsi="Arial" w:cs="Arial"/>
        </w:rPr>
        <w:t xml:space="preserve"> - when compared to workers </w:t>
      </w:r>
      <w:r w:rsidR="007B39B7" w:rsidRPr="00837BF1">
        <w:rPr>
          <w:rFonts w:ascii="Arial" w:hAnsi="Arial" w:cs="Arial"/>
        </w:rPr>
        <w:t>who were</w:t>
      </w:r>
      <w:r w:rsidR="007B39B7" w:rsidRPr="00837BF1">
        <w:rPr>
          <w:rFonts w:ascii="Arial" w:hAnsi="Arial" w:cs="Arial"/>
          <w:i/>
          <w:iCs/>
        </w:rPr>
        <w:t xml:space="preserve"> comfortable</w:t>
      </w:r>
      <w:r w:rsidR="00AB783E" w:rsidRPr="00837BF1">
        <w:rPr>
          <w:rFonts w:ascii="Arial" w:hAnsi="Arial" w:cs="Arial"/>
          <w:i/>
          <w:iCs/>
        </w:rPr>
        <w:t>,</w:t>
      </w:r>
      <w:r w:rsidR="000D1964" w:rsidRPr="00837BF1">
        <w:rPr>
          <w:rFonts w:ascii="Arial" w:hAnsi="Arial" w:cs="Arial"/>
        </w:rPr>
        <w:t xml:space="preserve"> t</w:t>
      </w:r>
      <w:r w:rsidR="00367508" w:rsidRPr="00837BF1">
        <w:rPr>
          <w:rFonts w:ascii="Arial" w:hAnsi="Arial" w:cs="Arial"/>
        </w:rPr>
        <w:t xml:space="preserve">hose </w:t>
      </w:r>
      <w:r w:rsidR="00367508" w:rsidRPr="00837BF1">
        <w:rPr>
          <w:rFonts w:ascii="Arial" w:hAnsi="Arial" w:cs="Arial"/>
          <w:i/>
          <w:iCs/>
        </w:rPr>
        <w:t>finding it difficult/very difficult</w:t>
      </w:r>
      <w:r w:rsidR="00367508" w:rsidRPr="00837BF1">
        <w:rPr>
          <w:rFonts w:ascii="Arial" w:hAnsi="Arial" w:cs="Arial"/>
        </w:rPr>
        <w:t xml:space="preserve"> were more likely to </w:t>
      </w:r>
      <w:r w:rsidRPr="00837BF1">
        <w:rPr>
          <w:rFonts w:ascii="Arial" w:hAnsi="Arial" w:cs="Arial"/>
        </w:rPr>
        <w:t>report</w:t>
      </w:r>
      <w:r w:rsidR="00367508" w:rsidRPr="00837BF1">
        <w:rPr>
          <w:rFonts w:ascii="Arial" w:hAnsi="Arial" w:cs="Arial"/>
        </w:rPr>
        <w:t xml:space="preserve"> distress (OR=5.</w:t>
      </w:r>
      <w:r w:rsidR="00615B0D" w:rsidRPr="00837BF1">
        <w:rPr>
          <w:rFonts w:ascii="Arial" w:hAnsi="Arial" w:cs="Arial"/>
        </w:rPr>
        <w:t>20</w:t>
      </w:r>
      <w:r w:rsidR="002232C7" w:rsidRPr="00837BF1">
        <w:rPr>
          <w:rFonts w:ascii="Arial" w:hAnsi="Arial" w:cs="Arial"/>
        </w:rPr>
        <w:t>,</w:t>
      </w:r>
      <w:r w:rsidR="00367508" w:rsidRPr="00837BF1">
        <w:rPr>
          <w:rFonts w:ascii="Arial" w:hAnsi="Arial" w:cs="Arial"/>
        </w:rPr>
        <w:t xml:space="preserve"> 3.</w:t>
      </w:r>
      <w:r w:rsidR="00AC4493" w:rsidRPr="00837BF1">
        <w:rPr>
          <w:rFonts w:ascii="Arial" w:hAnsi="Arial" w:cs="Arial"/>
        </w:rPr>
        <w:t>7</w:t>
      </w:r>
      <w:r w:rsidR="00615B0D" w:rsidRPr="00837BF1">
        <w:rPr>
          <w:rFonts w:ascii="Arial" w:hAnsi="Arial" w:cs="Arial"/>
        </w:rPr>
        <w:t>8</w:t>
      </w:r>
      <w:r w:rsidR="00367508" w:rsidRPr="00837BF1">
        <w:rPr>
          <w:rFonts w:ascii="Arial" w:hAnsi="Arial" w:cs="Arial"/>
        </w:rPr>
        <w:t>-</w:t>
      </w:r>
      <w:r w:rsidR="00A40FBC" w:rsidRPr="00837BF1">
        <w:rPr>
          <w:rFonts w:ascii="Arial" w:hAnsi="Arial" w:cs="Arial"/>
        </w:rPr>
        <w:t>7.1</w:t>
      </w:r>
      <w:r w:rsidR="00615B0D" w:rsidRPr="00837BF1">
        <w:rPr>
          <w:rFonts w:ascii="Arial" w:hAnsi="Arial" w:cs="Arial"/>
        </w:rPr>
        <w:t>5</w:t>
      </w:r>
      <w:r w:rsidR="00367508" w:rsidRPr="00837BF1">
        <w:rPr>
          <w:rFonts w:ascii="Arial" w:hAnsi="Arial" w:cs="Arial"/>
        </w:rPr>
        <w:t>).</w:t>
      </w:r>
    </w:p>
    <w:p w14:paraId="6B049704" w14:textId="77777777" w:rsidR="00367508" w:rsidRPr="00837BF1" w:rsidRDefault="00367508" w:rsidP="00367508">
      <w:pPr>
        <w:spacing w:after="0" w:line="480" w:lineRule="auto"/>
        <w:jc w:val="both"/>
        <w:rPr>
          <w:rFonts w:ascii="Arial" w:hAnsi="Arial" w:cs="Arial"/>
        </w:rPr>
      </w:pPr>
    </w:p>
    <w:p w14:paraId="6B088A71" w14:textId="36FB8D90" w:rsidR="00B44117" w:rsidRPr="00837BF1" w:rsidRDefault="00367508" w:rsidP="00367508">
      <w:pPr>
        <w:spacing w:after="0" w:line="480" w:lineRule="auto"/>
        <w:jc w:val="both"/>
        <w:rPr>
          <w:rFonts w:ascii="Arial" w:hAnsi="Arial" w:cs="Arial"/>
        </w:rPr>
      </w:pPr>
      <w:r w:rsidRPr="00837BF1">
        <w:rPr>
          <w:rFonts w:ascii="Arial" w:hAnsi="Arial" w:cs="Arial"/>
        </w:rPr>
        <w:t>After adjusting for socio-demographic characteristics (</w:t>
      </w:r>
      <w:r w:rsidR="00B628D9" w:rsidRPr="00837BF1">
        <w:rPr>
          <w:rFonts w:ascii="Arial" w:hAnsi="Arial" w:cs="Arial"/>
        </w:rPr>
        <w:t xml:space="preserve">Table 2, </w:t>
      </w:r>
      <w:r w:rsidR="00B07800" w:rsidRPr="00837BF1">
        <w:rPr>
          <w:rFonts w:ascii="Arial" w:hAnsi="Arial" w:cs="Arial"/>
        </w:rPr>
        <w:t>M</w:t>
      </w:r>
      <w:r w:rsidRPr="00837BF1">
        <w:rPr>
          <w:rFonts w:ascii="Arial" w:hAnsi="Arial" w:cs="Arial"/>
        </w:rPr>
        <w:t>1)</w:t>
      </w:r>
      <w:r w:rsidR="003C0C31" w:rsidRPr="00837BF1">
        <w:rPr>
          <w:rFonts w:ascii="Arial" w:hAnsi="Arial" w:cs="Arial"/>
        </w:rPr>
        <w:t xml:space="preserve"> </w:t>
      </w:r>
      <w:r w:rsidR="00985A70" w:rsidRPr="00837BF1">
        <w:rPr>
          <w:rFonts w:ascii="Arial" w:hAnsi="Arial" w:cs="Arial"/>
        </w:rPr>
        <w:t xml:space="preserve">higher likelihood of </w:t>
      </w:r>
      <w:r w:rsidRPr="00837BF1">
        <w:rPr>
          <w:rFonts w:ascii="Arial" w:hAnsi="Arial" w:cs="Arial"/>
        </w:rPr>
        <w:t>psychological distress among those with reduced working remained (OR=1.2</w:t>
      </w:r>
      <w:r w:rsidR="00A40FBC" w:rsidRPr="00837BF1">
        <w:rPr>
          <w:rFonts w:ascii="Arial" w:hAnsi="Arial" w:cs="Arial"/>
        </w:rPr>
        <w:t>1</w:t>
      </w:r>
      <w:r w:rsidR="002232C7" w:rsidRPr="00837BF1">
        <w:rPr>
          <w:rFonts w:ascii="Arial" w:hAnsi="Arial" w:cs="Arial"/>
        </w:rPr>
        <w:t xml:space="preserve">, </w:t>
      </w:r>
      <w:r w:rsidR="0032651E" w:rsidRPr="00837BF1">
        <w:rPr>
          <w:rFonts w:ascii="Arial" w:hAnsi="Arial" w:cs="Arial"/>
        </w:rPr>
        <w:t>95%CI</w:t>
      </w:r>
      <w:r w:rsidR="00D365FC" w:rsidRPr="00837BF1">
        <w:rPr>
          <w:rFonts w:ascii="Arial" w:hAnsi="Arial" w:cs="Arial"/>
        </w:rPr>
        <w:t>=</w:t>
      </w:r>
      <w:r w:rsidRPr="00837BF1">
        <w:rPr>
          <w:rFonts w:ascii="Arial" w:hAnsi="Arial" w:cs="Arial"/>
        </w:rPr>
        <w:t>1.0</w:t>
      </w:r>
      <w:r w:rsidR="00A94338" w:rsidRPr="00837BF1">
        <w:rPr>
          <w:rFonts w:ascii="Arial" w:hAnsi="Arial" w:cs="Arial"/>
        </w:rPr>
        <w:t>6</w:t>
      </w:r>
      <w:r w:rsidRPr="00837BF1">
        <w:rPr>
          <w:rFonts w:ascii="Arial" w:hAnsi="Arial" w:cs="Arial"/>
        </w:rPr>
        <w:t>-1.</w:t>
      </w:r>
      <w:r w:rsidR="00A40FBC" w:rsidRPr="00837BF1">
        <w:rPr>
          <w:rFonts w:ascii="Arial" w:hAnsi="Arial" w:cs="Arial"/>
        </w:rPr>
        <w:t>40</w:t>
      </w:r>
      <w:r w:rsidRPr="00837BF1">
        <w:rPr>
          <w:rFonts w:ascii="Arial" w:hAnsi="Arial" w:cs="Arial"/>
        </w:rPr>
        <w:t xml:space="preserve">), but was slightly attenuated compared to the crude association. Following adjustment for baseline household earnings and subjective assessment of current financial situation </w:t>
      </w:r>
      <w:r w:rsidR="00B07800" w:rsidRPr="00837BF1">
        <w:rPr>
          <w:rFonts w:ascii="Arial" w:hAnsi="Arial" w:cs="Arial"/>
        </w:rPr>
        <w:t>(</w:t>
      </w:r>
      <w:r w:rsidR="00B628D9" w:rsidRPr="00837BF1">
        <w:rPr>
          <w:rFonts w:ascii="Arial" w:hAnsi="Arial" w:cs="Arial"/>
        </w:rPr>
        <w:t>M</w:t>
      </w:r>
      <w:r w:rsidRPr="00837BF1">
        <w:rPr>
          <w:rFonts w:ascii="Arial" w:hAnsi="Arial" w:cs="Arial"/>
        </w:rPr>
        <w:t>2</w:t>
      </w:r>
      <w:r w:rsidR="00B07800" w:rsidRPr="00837BF1">
        <w:rPr>
          <w:rFonts w:ascii="Arial" w:hAnsi="Arial" w:cs="Arial"/>
        </w:rPr>
        <w:t>)</w:t>
      </w:r>
      <w:r w:rsidR="00AA1B66" w:rsidRPr="00837BF1">
        <w:rPr>
          <w:rFonts w:ascii="Arial" w:hAnsi="Arial" w:cs="Arial"/>
        </w:rPr>
        <w:t xml:space="preserve">, which had </w:t>
      </w:r>
      <w:r w:rsidR="00510920" w:rsidRPr="00837BF1">
        <w:rPr>
          <w:rFonts w:ascii="Arial" w:hAnsi="Arial" w:cs="Arial"/>
        </w:rPr>
        <w:t>a particularly strong confounding affect</w:t>
      </w:r>
      <w:r w:rsidRPr="00837BF1">
        <w:rPr>
          <w:rFonts w:ascii="Arial" w:hAnsi="Arial" w:cs="Arial"/>
        </w:rPr>
        <w:t xml:space="preserve">, the association </w:t>
      </w:r>
      <w:r w:rsidR="00B07800" w:rsidRPr="00837BF1">
        <w:rPr>
          <w:rFonts w:ascii="Arial" w:hAnsi="Arial" w:cs="Arial"/>
        </w:rPr>
        <w:t>with</w:t>
      </w:r>
      <w:r w:rsidRPr="00837BF1">
        <w:rPr>
          <w:rFonts w:ascii="Arial" w:hAnsi="Arial" w:cs="Arial"/>
        </w:rPr>
        <w:t xml:space="preserve"> reduced working diminished</w:t>
      </w:r>
      <w:r w:rsidR="00B07800" w:rsidRPr="00837BF1">
        <w:rPr>
          <w:rFonts w:ascii="Arial" w:hAnsi="Arial" w:cs="Arial"/>
        </w:rPr>
        <w:t>, with</w:t>
      </w:r>
      <w:r w:rsidRPr="00837BF1">
        <w:rPr>
          <w:rFonts w:ascii="Arial" w:hAnsi="Arial" w:cs="Arial"/>
        </w:rPr>
        <w:t xml:space="preserve"> no further change </w:t>
      </w:r>
      <w:r w:rsidR="00B07800" w:rsidRPr="00837BF1">
        <w:rPr>
          <w:rFonts w:ascii="Arial" w:hAnsi="Arial" w:cs="Arial"/>
        </w:rPr>
        <w:t xml:space="preserve">recorded </w:t>
      </w:r>
      <w:r w:rsidRPr="00837BF1">
        <w:rPr>
          <w:rFonts w:ascii="Arial" w:hAnsi="Arial" w:cs="Arial"/>
        </w:rPr>
        <w:t xml:space="preserve">following adjustment for baseline mental health </w:t>
      </w:r>
      <w:r w:rsidR="00B07800" w:rsidRPr="00837BF1">
        <w:rPr>
          <w:rFonts w:ascii="Arial" w:hAnsi="Arial" w:cs="Arial"/>
        </w:rPr>
        <w:t>(</w:t>
      </w:r>
      <w:r w:rsidR="00B628D9" w:rsidRPr="00837BF1">
        <w:rPr>
          <w:rFonts w:ascii="Arial" w:hAnsi="Arial" w:cs="Arial"/>
        </w:rPr>
        <w:t>M</w:t>
      </w:r>
      <w:r w:rsidRPr="00837BF1">
        <w:rPr>
          <w:rFonts w:ascii="Arial" w:hAnsi="Arial" w:cs="Arial"/>
        </w:rPr>
        <w:t>3</w:t>
      </w:r>
      <w:r w:rsidR="00B07800" w:rsidRPr="00837BF1">
        <w:rPr>
          <w:rFonts w:ascii="Arial" w:hAnsi="Arial" w:cs="Arial"/>
        </w:rPr>
        <w:t>)</w:t>
      </w:r>
      <w:r w:rsidRPr="00837BF1">
        <w:rPr>
          <w:rFonts w:ascii="Arial" w:hAnsi="Arial" w:cs="Arial"/>
        </w:rPr>
        <w:t xml:space="preserve">. </w:t>
      </w:r>
    </w:p>
    <w:p w14:paraId="348536AC" w14:textId="77777777" w:rsidR="00B44117" w:rsidRPr="00837BF1" w:rsidRDefault="00B44117" w:rsidP="00367508">
      <w:pPr>
        <w:spacing w:after="0" w:line="480" w:lineRule="auto"/>
        <w:jc w:val="both"/>
        <w:rPr>
          <w:rFonts w:ascii="Arial" w:hAnsi="Arial" w:cs="Arial"/>
        </w:rPr>
      </w:pPr>
    </w:p>
    <w:p w14:paraId="058A28CC" w14:textId="77777777" w:rsidR="00B44117" w:rsidRPr="00837BF1" w:rsidRDefault="00B44117" w:rsidP="00B44117">
      <w:pPr>
        <w:spacing w:after="0" w:line="480" w:lineRule="auto"/>
        <w:ind w:left="720"/>
        <w:jc w:val="both"/>
        <w:rPr>
          <w:rFonts w:ascii="Arial" w:hAnsi="Arial" w:cs="Arial"/>
          <w:i/>
          <w:iCs/>
        </w:rPr>
      </w:pPr>
      <w:r w:rsidRPr="00837BF1">
        <w:rPr>
          <w:rFonts w:ascii="Arial" w:hAnsi="Arial" w:cs="Arial"/>
          <w:i/>
          <w:iCs/>
        </w:rPr>
        <w:t>Other individual characteristics associated with psychological distress</w:t>
      </w:r>
    </w:p>
    <w:p w14:paraId="2A2276E8" w14:textId="5CE0F59A" w:rsidR="00367508" w:rsidRPr="00837BF1" w:rsidRDefault="00767286" w:rsidP="00367508">
      <w:pPr>
        <w:spacing w:after="0" w:line="480" w:lineRule="auto"/>
        <w:jc w:val="both"/>
        <w:rPr>
          <w:rFonts w:ascii="Arial" w:hAnsi="Arial" w:cs="Arial"/>
        </w:rPr>
      </w:pPr>
      <w:r w:rsidRPr="00837BF1">
        <w:rPr>
          <w:rFonts w:ascii="Arial" w:hAnsi="Arial" w:cs="Arial"/>
        </w:rPr>
        <w:t>In the final model with adjustment for baseline psychological distress</w:t>
      </w:r>
      <w:r w:rsidR="00C10887" w:rsidRPr="00837BF1">
        <w:rPr>
          <w:rFonts w:ascii="Arial" w:hAnsi="Arial" w:cs="Arial"/>
        </w:rPr>
        <w:t>, female employees were more than twice as likely as males to have psychological distress in April 2020 (OR=2.05, 1.77-2.37)</w:t>
      </w:r>
      <w:r w:rsidR="00D01115" w:rsidRPr="00837BF1">
        <w:rPr>
          <w:rFonts w:ascii="Arial" w:hAnsi="Arial" w:cs="Arial"/>
        </w:rPr>
        <w:t xml:space="preserve">. There was also strong evidence </w:t>
      </w:r>
      <w:r w:rsidR="000A0C91" w:rsidRPr="00837BF1">
        <w:rPr>
          <w:rFonts w:ascii="Arial" w:hAnsi="Arial" w:cs="Arial"/>
        </w:rPr>
        <w:t>of higher likelihood of distress among those who reported experiencing financial difficulties</w:t>
      </w:r>
      <w:r w:rsidR="00281DF6" w:rsidRPr="00837BF1">
        <w:rPr>
          <w:rFonts w:ascii="Arial" w:hAnsi="Arial" w:cs="Arial"/>
        </w:rPr>
        <w:t xml:space="preserve"> (OR=5.03, 3.51-7.19 for those</w:t>
      </w:r>
      <w:r w:rsidR="00DD7DAE" w:rsidRPr="00837BF1">
        <w:rPr>
          <w:rFonts w:ascii="Arial" w:hAnsi="Arial" w:cs="Arial"/>
        </w:rPr>
        <w:t xml:space="preserve"> </w:t>
      </w:r>
      <w:r w:rsidR="00DD7DAE" w:rsidRPr="00837BF1">
        <w:rPr>
          <w:rFonts w:ascii="Arial" w:hAnsi="Arial" w:cs="Arial"/>
          <w:i/>
          <w:iCs/>
        </w:rPr>
        <w:t xml:space="preserve">finding it difficult/very difficult). </w:t>
      </w:r>
      <w:r w:rsidR="00DD7DAE" w:rsidRPr="00837BF1">
        <w:rPr>
          <w:rFonts w:ascii="Arial" w:hAnsi="Arial" w:cs="Arial"/>
        </w:rPr>
        <w:t>There was weaker evidence of poorer mental health among</w:t>
      </w:r>
      <w:r w:rsidR="008905D7" w:rsidRPr="00837BF1">
        <w:rPr>
          <w:rFonts w:ascii="Arial" w:hAnsi="Arial" w:cs="Arial"/>
        </w:rPr>
        <w:t xml:space="preserve"> employees not living in a couple</w:t>
      </w:r>
      <w:r w:rsidR="00E07C06" w:rsidRPr="00837BF1">
        <w:rPr>
          <w:rFonts w:ascii="Arial" w:hAnsi="Arial" w:cs="Arial"/>
        </w:rPr>
        <w:t xml:space="preserve"> (OR=1.21, 1.001-1.46)</w:t>
      </w:r>
      <w:r w:rsidR="003F2C2A" w:rsidRPr="00837BF1">
        <w:rPr>
          <w:rFonts w:ascii="Arial" w:hAnsi="Arial" w:cs="Arial"/>
        </w:rPr>
        <w:t xml:space="preserve"> and</w:t>
      </w:r>
      <w:r w:rsidR="008905D7" w:rsidRPr="00837BF1">
        <w:rPr>
          <w:rFonts w:ascii="Arial" w:hAnsi="Arial" w:cs="Arial"/>
        </w:rPr>
        <w:t xml:space="preserve">, in a reversal of the trend from univariable analysis, </w:t>
      </w:r>
      <w:r w:rsidR="001A3B30" w:rsidRPr="00837BF1">
        <w:rPr>
          <w:rFonts w:ascii="Arial" w:hAnsi="Arial" w:cs="Arial"/>
        </w:rPr>
        <w:t xml:space="preserve">among </w:t>
      </w:r>
      <w:r w:rsidR="008905D7" w:rsidRPr="00837BF1">
        <w:rPr>
          <w:rFonts w:ascii="Arial" w:hAnsi="Arial" w:cs="Arial"/>
        </w:rPr>
        <w:t>those with higher income levels</w:t>
      </w:r>
      <w:r w:rsidR="00C03D6C" w:rsidRPr="00837BF1">
        <w:rPr>
          <w:rFonts w:ascii="Arial" w:hAnsi="Arial" w:cs="Arial"/>
        </w:rPr>
        <w:t xml:space="preserve"> (OR=1.08, 1.01-1.17). </w:t>
      </w:r>
      <w:r w:rsidR="00281DF6" w:rsidRPr="00837BF1">
        <w:rPr>
          <w:rFonts w:ascii="Arial" w:hAnsi="Arial" w:cs="Arial"/>
        </w:rPr>
        <w:t xml:space="preserve"> </w:t>
      </w:r>
      <w:r w:rsidR="00C03D6C" w:rsidRPr="00837BF1">
        <w:rPr>
          <w:rFonts w:ascii="Arial" w:hAnsi="Arial" w:cs="Arial"/>
        </w:rPr>
        <w:t>The</w:t>
      </w:r>
      <w:r w:rsidR="00367508" w:rsidRPr="00837BF1">
        <w:rPr>
          <w:rFonts w:ascii="Arial" w:hAnsi="Arial" w:cs="Arial"/>
        </w:rPr>
        <w:t xml:space="preserve"> </w:t>
      </w:r>
      <w:r w:rsidR="00B07800" w:rsidRPr="00837BF1">
        <w:rPr>
          <w:rFonts w:ascii="Arial" w:hAnsi="Arial" w:cs="Arial"/>
        </w:rPr>
        <w:t>protective effects at older ages</w:t>
      </w:r>
      <w:r w:rsidR="00367508" w:rsidRPr="00837BF1">
        <w:rPr>
          <w:rFonts w:ascii="Arial" w:hAnsi="Arial" w:cs="Arial"/>
        </w:rPr>
        <w:t xml:space="preserve"> remained</w:t>
      </w:r>
      <w:r w:rsidR="00C03D6C" w:rsidRPr="00837BF1">
        <w:rPr>
          <w:rFonts w:ascii="Arial" w:hAnsi="Arial" w:cs="Arial"/>
        </w:rPr>
        <w:t xml:space="preserve"> (</w:t>
      </w:r>
      <w:r w:rsidR="008D29CB" w:rsidRPr="00837BF1">
        <w:rPr>
          <w:rFonts w:ascii="Arial" w:hAnsi="Arial" w:cs="Arial"/>
        </w:rPr>
        <w:t>OR=0.44, 0.33-0.59 for those aged 45-54</w:t>
      </w:r>
      <w:r w:rsidR="001A2FB9" w:rsidRPr="00837BF1">
        <w:rPr>
          <w:rFonts w:ascii="Arial" w:hAnsi="Arial" w:cs="Arial"/>
        </w:rPr>
        <w:t>)</w:t>
      </w:r>
      <w:r w:rsidR="00341B74" w:rsidRPr="00837BF1">
        <w:rPr>
          <w:rFonts w:ascii="Arial" w:hAnsi="Arial" w:cs="Arial"/>
        </w:rPr>
        <w:t xml:space="preserve">, while there was also evidence of </w:t>
      </w:r>
      <w:r w:rsidR="00F2110A" w:rsidRPr="00837BF1">
        <w:rPr>
          <w:rFonts w:ascii="Arial" w:hAnsi="Arial" w:cs="Arial"/>
        </w:rPr>
        <w:t xml:space="preserve">reduced likelihood of psychological distress </w:t>
      </w:r>
      <w:r w:rsidR="009844FE" w:rsidRPr="00837BF1">
        <w:rPr>
          <w:rFonts w:ascii="Arial" w:hAnsi="Arial" w:cs="Arial"/>
        </w:rPr>
        <w:t xml:space="preserve">among employees of black ethnicity </w:t>
      </w:r>
      <w:r w:rsidR="00AC0209" w:rsidRPr="00837BF1">
        <w:rPr>
          <w:rFonts w:ascii="Arial" w:hAnsi="Arial" w:cs="Arial"/>
        </w:rPr>
        <w:t>(OR=</w:t>
      </w:r>
      <w:r w:rsidR="007C7401" w:rsidRPr="00837BF1">
        <w:rPr>
          <w:rFonts w:ascii="Arial" w:hAnsi="Arial" w:cs="Arial"/>
        </w:rPr>
        <w:t>0.52</w:t>
      </w:r>
      <w:r w:rsidR="002232C7" w:rsidRPr="00837BF1">
        <w:rPr>
          <w:rFonts w:ascii="Arial" w:hAnsi="Arial" w:cs="Arial"/>
        </w:rPr>
        <w:t>,</w:t>
      </w:r>
      <w:r w:rsidR="007C7401" w:rsidRPr="00837BF1">
        <w:rPr>
          <w:rFonts w:ascii="Arial" w:hAnsi="Arial" w:cs="Arial"/>
        </w:rPr>
        <w:t xml:space="preserve"> </w:t>
      </w:r>
      <w:r w:rsidR="00B0460A" w:rsidRPr="00837BF1">
        <w:rPr>
          <w:rFonts w:ascii="Arial" w:hAnsi="Arial" w:cs="Arial"/>
        </w:rPr>
        <w:t>0.28-0.96).</w:t>
      </w:r>
    </w:p>
    <w:p w14:paraId="3023C695" w14:textId="678617B2" w:rsidR="00AF5E8F" w:rsidRPr="00837BF1" w:rsidRDefault="00AF5E8F" w:rsidP="00367508">
      <w:pPr>
        <w:spacing w:after="0" w:line="480" w:lineRule="auto"/>
        <w:jc w:val="both"/>
        <w:rPr>
          <w:rFonts w:ascii="Arial" w:hAnsi="Arial" w:cs="Arial"/>
        </w:rPr>
      </w:pPr>
    </w:p>
    <w:p w14:paraId="07385EE7" w14:textId="77777777" w:rsidR="00367508" w:rsidRPr="00837BF1" w:rsidRDefault="00367508" w:rsidP="00367508">
      <w:pPr>
        <w:spacing w:after="0" w:line="480" w:lineRule="auto"/>
        <w:jc w:val="both"/>
        <w:rPr>
          <w:rFonts w:ascii="Arial" w:hAnsi="Arial" w:cs="Arial"/>
        </w:rPr>
      </w:pPr>
    </w:p>
    <w:p w14:paraId="38882408" w14:textId="77777777" w:rsidR="00615B0D" w:rsidRPr="00837BF1" w:rsidRDefault="00615B0D" w:rsidP="00367508">
      <w:pPr>
        <w:spacing w:after="0" w:line="480" w:lineRule="auto"/>
        <w:ind w:left="720"/>
        <w:jc w:val="both"/>
        <w:rPr>
          <w:rFonts w:ascii="Arial" w:hAnsi="Arial" w:cs="Arial"/>
          <w:i/>
          <w:iCs/>
        </w:rPr>
      </w:pPr>
    </w:p>
    <w:p w14:paraId="189D7560" w14:textId="1EAB8610" w:rsidR="00367508" w:rsidRPr="00837BF1" w:rsidRDefault="00F54FCB" w:rsidP="00367508">
      <w:pPr>
        <w:spacing w:after="0" w:line="480" w:lineRule="auto"/>
        <w:ind w:left="720"/>
        <w:jc w:val="both"/>
        <w:rPr>
          <w:rFonts w:ascii="Arial" w:hAnsi="Arial" w:cs="Arial"/>
          <w:i/>
          <w:iCs/>
        </w:rPr>
      </w:pPr>
      <w:r w:rsidRPr="00837BF1">
        <w:rPr>
          <w:rFonts w:ascii="Arial" w:hAnsi="Arial" w:cs="Arial"/>
          <w:i/>
          <w:iCs/>
        </w:rPr>
        <w:t>Reasons for</w:t>
      </w:r>
      <w:r w:rsidR="006F71C3" w:rsidRPr="00837BF1">
        <w:rPr>
          <w:rFonts w:ascii="Arial" w:hAnsi="Arial" w:cs="Arial"/>
          <w:i/>
          <w:iCs/>
        </w:rPr>
        <w:t xml:space="preserve"> </w:t>
      </w:r>
      <w:r w:rsidR="00367508" w:rsidRPr="00837BF1">
        <w:rPr>
          <w:rFonts w:ascii="Arial" w:hAnsi="Arial" w:cs="Arial"/>
          <w:i/>
          <w:iCs/>
        </w:rPr>
        <w:t>reduced working and psychological distress</w:t>
      </w:r>
    </w:p>
    <w:p w14:paraId="6BAC92DA" w14:textId="3B7BEBBB" w:rsidR="00367508" w:rsidRPr="00837BF1" w:rsidRDefault="00367508" w:rsidP="00367508">
      <w:pPr>
        <w:spacing w:after="0" w:line="480" w:lineRule="auto"/>
        <w:jc w:val="both"/>
        <w:rPr>
          <w:rFonts w:ascii="Arial" w:hAnsi="Arial" w:cs="Arial"/>
        </w:rPr>
      </w:pPr>
      <w:r w:rsidRPr="00837BF1">
        <w:rPr>
          <w:rFonts w:ascii="Arial" w:hAnsi="Arial" w:cs="Arial"/>
        </w:rPr>
        <w:lastRenderedPageBreak/>
        <w:t xml:space="preserve">Table 3 </w:t>
      </w:r>
      <w:r w:rsidR="00197649" w:rsidRPr="00837BF1">
        <w:rPr>
          <w:rFonts w:ascii="Arial" w:hAnsi="Arial" w:cs="Arial"/>
        </w:rPr>
        <w:t xml:space="preserve">examines </w:t>
      </w:r>
      <w:r w:rsidRPr="00837BF1">
        <w:rPr>
          <w:rFonts w:ascii="Arial" w:hAnsi="Arial" w:cs="Arial"/>
        </w:rPr>
        <w:t xml:space="preserve">the association between psychological distress and </w:t>
      </w:r>
      <w:r w:rsidR="00197649" w:rsidRPr="00837BF1">
        <w:rPr>
          <w:rFonts w:ascii="Arial" w:hAnsi="Arial" w:cs="Arial"/>
        </w:rPr>
        <w:t xml:space="preserve">the </w:t>
      </w:r>
      <w:r w:rsidRPr="00837BF1">
        <w:rPr>
          <w:rFonts w:ascii="Arial" w:hAnsi="Arial" w:cs="Arial"/>
        </w:rPr>
        <w:t xml:space="preserve">reasons </w:t>
      </w:r>
      <w:r w:rsidR="00197649" w:rsidRPr="00837BF1">
        <w:rPr>
          <w:rFonts w:ascii="Arial" w:hAnsi="Arial" w:cs="Arial"/>
        </w:rPr>
        <w:t xml:space="preserve">specified </w:t>
      </w:r>
      <w:r w:rsidRPr="00837BF1">
        <w:rPr>
          <w:rFonts w:ascii="Arial" w:hAnsi="Arial" w:cs="Arial"/>
        </w:rPr>
        <w:t xml:space="preserve">for reduced </w:t>
      </w:r>
      <w:r w:rsidR="004C29F6" w:rsidRPr="00837BF1">
        <w:rPr>
          <w:rFonts w:ascii="Arial" w:hAnsi="Arial" w:cs="Arial"/>
        </w:rPr>
        <w:t>working</w:t>
      </w:r>
      <w:r w:rsidR="00584E71" w:rsidRPr="00837BF1">
        <w:rPr>
          <w:rFonts w:ascii="Arial" w:hAnsi="Arial" w:cs="Arial"/>
        </w:rPr>
        <w:t>.</w:t>
      </w:r>
      <w:r w:rsidRPr="00837BF1">
        <w:rPr>
          <w:rFonts w:ascii="Arial" w:hAnsi="Arial" w:cs="Arial"/>
        </w:rPr>
        <w:t xml:space="preserve"> Univariable analysis indicates that employees self-isolating</w:t>
      </w:r>
      <w:r w:rsidR="00197649" w:rsidRPr="00837BF1">
        <w:rPr>
          <w:rFonts w:ascii="Arial" w:hAnsi="Arial" w:cs="Arial"/>
        </w:rPr>
        <w:t>/</w:t>
      </w:r>
      <w:r w:rsidRPr="00837BF1">
        <w:rPr>
          <w:rFonts w:ascii="Arial" w:hAnsi="Arial" w:cs="Arial"/>
        </w:rPr>
        <w:t>sick</w:t>
      </w:r>
      <w:r w:rsidR="00197649" w:rsidRPr="00837BF1">
        <w:rPr>
          <w:rFonts w:ascii="Arial" w:hAnsi="Arial" w:cs="Arial"/>
        </w:rPr>
        <w:t xml:space="preserve">, permanently laid-off or in caregiving roles were more likely than </w:t>
      </w:r>
      <w:r w:rsidR="00B0460A" w:rsidRPr="00837BF1">
        <w:rPr>
          <w:rFonts w:ascii="Arial" w:hAnsi="Arial" w:cs="Arial"/>
        </w:rPr>
        <w:t>other employees</w:t>
      </w:r>
      <w:r w:rsidR="00197649" w:rsidRPr="00837BF1">
        <w:rPr>
          <w:rFonts w:ascii="Arial" w:hAnsi="Arial" w:cs="Arial"/>
        </w:rPr>
        <w:t xml:space="preserve"> to be distressed</w:t>
      </w:r>
      <w:r w:rsidRPr="00837BF1">
        <w:rPr>
          <w:rFonts w:ascii="Arial" w:hAnsi="Arial" w:cs="Arial"/>
        </w:rPr>
        <w:t xml:space="preserve"> (OR=1.6</w:t>
      </w:r>
      <w:r w:rsidR="00584E71" w:rsidRPr="00837BF1">
        <w:rPr>
          <w:rFonts w:ascii="Arial" w:hAnsi="Arial" w:cs="Arial"/>
        </w:rPr>
        <w:t>7</w:t>
      </w:r>
      <w:r w:rsidR="00D365FC" w:rsidRPr="00837BF1">
        <w:rPr>
          <w:rFonts w:ascii="Arial" w:hAnsi="Arial" w:cs="Arial"/>
        </w:rPr>
        <w:t>,</w:t>
      </w:r>
      <w:r w:rsidRPr="00837BF1">
        <w:rPr>
          <w:rFonts w:ascii="Arial" w:hAnsi="Arial" w:cs="Arial"/>
        </w:rPr>
        <w:t xml:space="preserve"> 95%CI</w:t>
      </w:r>
      <w:r w:rsidR="00B628D9" w:rsidRPr="00837BF1">
        <w:rPr>
          <w:rFonts w:ascii="Arial" w:hAnsi="Arial" w:cs="Arial"/>
        </w:rPr>
        <w:t>=</w:t>
      </w:r>
      <w:r w:rsidRPr="00837BF1">
        <w:rPr>
          <w:rFonts w:ascii="Arial" w:hAnsi="Arial" w:cs="Arial"/>
        </w:rPr>
        <w:t>1.13-2.47; OR=4.9</w:t>
      </w:r>
      <w:r w:rsidR="00615B0D" w:rsidRPr="00837BF1">
        <w:rPr>
          <w:rFonts w:ascii="Arial" w:hAnsi="Arial" w:cs="Arial"/>
        </w:rPr>
        <w:t>3</w:t>
      </w:r>
      <w:r w:rsidR="00A76214" w:rsidRPr="00837BF1">
        <w:rPr>
          <w:rFonts w:ascii="Arial" w:hAnsi="Arial" w:cs="Arial"/>
        </w:rPr>
        <w:t>,</w:t>
      </w:r>
      <w:r w:rsidRPr="00837BF1">
        <w:rPr>
          <w:rFonts w:ascii="Arial" w:hAnsi="Arial" w:cs="Arial"/>
        </w:rPr>
        <w:t xml:space="preserve"> 2.2</w:t>
      </w:r>
      <w:r w:rsidR="00615B0D" w:rsidRPr="00837BF1">
        <w:rPr>
          <w:rFonts w:ascii="Arial" w:hAnsi="Arial" w:cs="Arial"/>
        </w:rPr>
        <w:t>4</w:t>
      </w:r>
      <w:r w:rsidRPr="00837BF1">
        <w:rPr>
          <w:rFonts w:ascii="Arial" w:hAnsi="Arial" w:cs="Arial"/>
        </w:rPr>
        <w:t>-10.</w:t>
      </w:r>
      <w:r w:rsidR="00615B0D" w:rsidRPr="00837BF1">
        <w:rPr>
          <w:rFonts w:ascii="Arial" w:hAnsi="Arial" w:cs="Arial"/>
        </w:rPr>
        <w:t>87</w:t>
      </w:r>
      <w:r w:rsidRPr="00837BF1">
        <w:rPr>
          <w:rFonts w:ascii="Arial" w:hAnsi="Arial" w:cs="Arial"/>
        </w:rPr>
        <w:t>; OR=1.8</w:t>
      </w:r>
      <w:r w:rsidR="00584E71" w:rsidRPr="00837BF1">
        <w:rPr>
          <w:rFonts w:ascii="Arial" w:hAnsi="Arial" w:cs="Arial"/>
        </w:rPr>
        <w:t>7</w:t>
      </w:r>
      <w:r w:rsidR="00A76214" w:rsidRPr="00837BF1">
        <w:rPr>
          <w:rFonts w:ascii="Arial" w:hAnsi="Arial" w:cs="Arial"/>
        </w:rPr>
        <w:t>,</w:t>
      </w:r>
      <w:r w:rsidRPr="00837BF1">
        <w:rPr>
          <w:rFonts w:ascii="Arial" w:hAnsi="Arial" w:cs="Arial"/>
        </w:rPr>
        <w:t xml:space="preserve"> 1.28-2.7</w:t>
      </w:r>
      <w:r w:rsidR="00053A8B" w:rsidRPr="00837BF1">
        <w:rPr>
          <w:rFonts w:ascii="Arial" w:hAnsi="Arial" w:cs="Arial"/>
        </w:rPr>
        <w:t>3</w:t>
      </w:r>
      <w:r w:rsidR="00197649" w:rsidRPr="00837BF1">
        <w:rPr>
          <w:rFonts w:ascii="Arial" w:hAnsi="Arial" w:cs="Arial"/>
        </w:rPr>
        <w:t xml:space="preserve"> respectively</w:t>
      </w:r>
      <w:r w:rsidRPr="00837BF1">
        <w:rPr>
          <w:rFonts w:ascii="Arial" w:hAnsi="Arial" w:cs="Arial"/>
        </w:rPr>
        <w:t>). Three multivariable logistic regression models are presented, adjusting for other individual characteristics. Redundancy was consistently associated with poorer mental</w:t>
      </w:r>
      <w:r w:rsidR="00197649" w:rsidRPr="00837BF1">
        <w:rPr>
          <w:rFonts w:ascii="Arial" w:hAnsi="Arial" w:cs="Arial"/>
        </w:rPr>
        <w:t xml:space="preserve"> health</w:t>
      </w:r>
      <w:r w:rsidRPr="00837BF1">
        <w:rPr>
          <w:rFonts w:ascii="Arial" w:hAnsi="Arial" w:cs="Arial"/>
        </w:rPr>
        <w:t>. Although adjustment for socio-economic characteristics (</w:t>
      </w:r>
      <w:r w:rsidR="000976DC" w:rsidRPr="00837BF1">
        <w:rPr>
          <w:rFonts w:ascii="Arial" w:hAnsi="Arial" w:cs="Arial"/>
        </w:rPr>
        <w:t>M</w:t>
      </w:r>
      <w:r w:rsidRPr="00837BF1">
        <w:rPr>
          <w:rFonts w:ascii="Arial" w:hAnsi="Arial" w:cs="Arial"/>
        </w:rPr>
        <w:t xml:space="preserve">2) reduced the </w:t>
      </w:r>
      <w:r w:rsidR="00197649" w:rsidRPr="00837BF1">
        <w:rPr>
          <w:rFonts w:ascii="Arial" w:hAnsi="Arial" w:cs="Arial"/>
        </w:rPr>
        <w:t xml:space="preserve">effect </w:t>
      </w:r>
      <w:r w:rsidRPr="00837BF1">
        <w:rPr>
          <w:rFonts w:ascii="Arial" w:hAnsi="Arial" w:cs="Arial"/>
        </w:rPr>
        <w:t>size (OR=</w:t>
      </w:r>
      <w:r w:rsidR="00910F1D" w:rsidRPr="00837BF1">
        <w:rPr>
          <w:rFonts w:ascii="Arial" w:hAnsi="Arial" w:cs="Arial"/>
        </w:rPr>
        <w:t>3.52</w:t>
      </w:r>
      <w:r w:rsidR="00A76214" w:rsidRPr="00837BF1">
        <w:rPr>
          <w:rFonts w:ascii="Arial" w:hAnsi="Arial" w:cs="Arial"/>
        </w:rPr>
        <w:t>,</w:t>
      </w:r>
      <w:r w:rsidRPr="00837BF1">
        <w:rPr>
          <w:rFonts w:ascii="Arial" w:hAnsi="Arial" w:cs="Arial"/>
        </w:rPr>
        <w:t xml:space="preserve"> 1.</w:t>
      </w:r>
      <w:r w:rsidR="00910F1D" w:rsidRPr="00837BF1">
        <w:rPr>
          <w:rFonts w:ascii="Arial" w:hAnsi="Arial" w:cs="Arial"/>
        </w:rPr>
        <w:t>56</w:t>
      </w:r>
      <w:r w:rsidRPr="00837BF1">
        <w:rPr>
          <w:rFonts w:ascii="Arial" w:hAnsi="Arial" w:cs="Arial"/>
        </w:rPr>
        <w:t>-</w:t>
      </w:r>
      <w:r w:rsidR="00910F1D" w:rsidRPr="00837BF1">
        <w:rPr>
          <w:rFonts w:ascii="Arial" w:hAnsi="Arial" w:cs="Arial"/>
        </w:rPr>
        <w:t>7.95</w:t>
      </w:r>
      <w:r w:rsidRPr="00837BF1">
        <w:rPr>
          <w:rFonts w:ascii="Arial" w:hAnsi="Arial" w:cs="Arial"/>
        </w:rPr>
        <w:t xml:space="preserve">), evidence of </w:t>
      </w:r>
      <w:r w:rsidR="00020F73" w:rsidRPr="00837BF1">
        <w:rPr>
          <w:rFonts w:ascii="Arial" w:hAnsi="Arial" w:cs="Arial"/>
        </w:rPr>
        <w:t xml:space="preserve">increased likelihood of psychological distress among </w:t>
      </w:r>
      <w:r w:rsidR="007A0E5F" w:rsidRPr="00837BF1">
        <w:rPr>
          <w:rFonts w:ascii="Arial" w:hAnsi="Arial" w:cs="Arial"/>
        </w:rPr>
        <w:t>those</w:t>
      </w:r>
      <w:r w:rsidR="00EF2645" w:rsidRPr="00837BF1">
        <w:rPr>
          <w:rFonts w:ascii="Arial" w:hAnsi="Arial" w:cs="Arial"/>
        </w:rPr>
        <w:t xml:space="preserve"> permanently laid off remained</w:t>
      </w:r>
      <w:r w:rsidRPr="00837BF1">
        <w:rPr>
          <w:rFonts w:ascii="Arial" w:hAnsi="Arial" w:cs="Arial"/>
        </w:rPr>
        <w:t xml:space="preserve"> following adjustment for baseline psychological distress in </w:t>
      </w:r>
      <w:r w:rsidR="000976DC" w:rsidRPr="00837BF1">
        <w:rPr>
          <w:rFonts w:ascii="Arial" w:hAnsi="Arial" w:cs="Arial"/>
        </w:rPr>
        <w:t>M</w:t>
      </w:r>
      <w:r w:rsidRPr="00837BF1">
        <w:rPr>
          <w:rFonts w:ascii="Arial" w:hAnsi="Arial" w:cs="Arial"/>
        </w:rPr>
        <w:t>3 (OR=</w:t>
      </w:r>
      <w:r w:rsidR="00C152D8" w:rsidRPr="00837BF1">
        <w:rPr>
          <w:rFonts w:ascii="Arial" w:hAnsi="Arial" w:cs="Arial"/>
        </w:rPr>
        <w:t>3.60</w:t>
      </w:r>
      <w:r w:rsidR="00A76214" w:rsidRPr="00837BF1">
        <w:rPr>
          <w:rFonts w:ascii="Arial" w:hAnsi="Arial" w:cs="Arial"/>
        </w:rPr>
        <w:t>,</w:t>
      </w:r>
      <w:r w:rsidRPr="00837BF1">
        <w:rPr>
          <w:rFonts w:ascii="Arial" w:hAnsi="Arial" w:cs="Arial"/>
        </w:rPr>
        <w:t xml:space="preserve"> 1.</w:t>
      </w:r>
      <w:r w:rsidR="00C152D8" w:rsidRPr="00837BF1">
        <w:rPr>
          <w:rFonts w:ascii="Arial" w:hAnsi="Arial" w:cs="Arial"/>
        </w:rPr>
        <w:t>55</w:t>
      </w:r>
      <w:r w:rsidRPr="00837BF1">
        <w:rPr>
          <w:rFonts w:ascii="Arial" w:hAnsi="Arial" w:cs="Arial"/>
        </w:rPr>
        <w:t>-</w:t>
      </w:r>
      <w:r w:rsidR="00C152D8" w:rsidRPr="00837BF1">
        <w:rPr>
          <w:rFonts w:ascii="Arial" w:hAnsi="Arial" w:cs="Arial"/>
        </w:rPr>
        <w:t>8.37</w:t>
      </w:r>
      <w:r w:rsidRPr="00837BF1">
        <w:rPr>
          <w:rFonts w:ascii="Arial" w:hAnsi="Arial" w:cs="Arial"/>
        </w:rPr>
        <w:t>). Evidence of an association between psychological distress among employees due to self-isolation/sickness and caring responsibilities remained after adjusting for socio-demographic and socio-economic characteristics (OR=1.5</w:t>
      </w:r>
      <w:r w:rsidR="00C152D8" w:rsidRPr="00837BF1">
        <w:rPr>
          <w:rFonts w:ascii="Arial" w:hAnsi="Arial" w:cs="Arial"/>
        </w:rPr>
        <w:t>6</w:t>
      </w:r>
      <w:r w:rsidR="00A76214" w:rsidRPr="00837BF1">
        <w:rPr>
          <w:rFonts w:ascii="Arial" w:hAnsi="Arial" w:cs="Arial"/>
        </w:rPr>
        <w:t>,</w:t>
      </w:r>
      <w:r w:rsidRPr="00837BF1">
        <w:rPr>
          <w:rFonts w:ascii="Arial" w:hAnsi="Arial" w:cs="Arial"/>
        </w:rPr>
        <w:t xml:space="preserve"> 1.0</w:t>
      </w:r>
      <w:r w:rsidR="00C152D8" w:rsidRPr="00837BF1">
        <w:rPr>
          <w:rFonts w:ascii="Arial" w:hAnsi="Arial" w:cs="Arial"/>
        </w:rPr>
        <w:t>3</w:t>
      </w:r>
      <w:r w:rsidRPr="00837BF1">
        <w:rPr>
          <w:rFonts w:ascii="Arial" w:hAnsi="Arial" w:cs="Arial"/>
        </w:rPr>
        <w:t>-2.3</w:t>
      </w:r>
      <w:r w:rsidR="00C152D8" w:rsidRPr="00837BF1">
        <w:rPr>
          <w:rFonts w:ascii="Arial" w:hAnsi="Arial" w:cs="Arial"/>
        </w:rPr>
        <w:t>5</w:t>
      </w:r>
      <w:r w:rsidRPr="00837BF1">
        <w:rPr>
          <w:rFonts w:ascii="Arial" w:hAnsi="Arial" w:cs="Arial"/>
        </w:rPr>
        <w:t xml:space="preserve"> and OR=1.</w:t>
      </w:r>
      <w:r w:rsidR="00C152D8" w:rsidRPr="00837BF1">
        <w:rPr>
          <w:rFonts w:ascii="Arial" w:hAnsi="Arial" w:cs="Arial"/>
        </w:rPr>
        <w:t>57</w:t>
      </w:r>
      <w:r w:rsidR="00A76214" w:rsidRPr="00837BF1">
        <w:rPr>
          <w:rFonts w:ascii="Arial" w:hAnsi="Arial" w:cs="Arial"/>
        </w:rPr>
        <w:t>,</w:t>
      </w:r>
      <w:r w:rsidRPr="00837BF1">
        <w:rPr>
          <w:rFonts w:ascii="Arial" w:hAnsi="Arial" w:cs="Arial"/>
        </w:rPr>
        <w:t xml:space="preserve"> 1.0</w:t>
      </w:r>
      <w:r w:rsidR="00C152D8" w:rsidRPr="00837BF1">
        <w:rPr>
          <w:rFonts w:ascii="Arial" w:hAnsi="Arial" w:cs="Arial"/>
        </w:rPr>
        <w:t>6</w:t>
      </w:r>
      <w:r w:rsidRPr="00837BF1">
        <w:rPr>
          <w:rFonts w:ascii="Arial" w:hAnsi="Arial" w:cs="Arial"/>
        </w:rPr>
        <w:t>-2.</w:t>
      </w:r>
      <w:r w:rsidR="007B354B" w:rsidRPr="00837BF1">
        <w:rPr>
          <w:rFonts w:ascii="Arial" w:hAnsi="Arial" w:cs="Arial"/>
        </w:rPr>
        <w:t>33</w:t>
      </w:r>
      <w:r w:rsidRPr="00837BF1">
        <w:rPr>
          <w:rFonts w:ascii="Arial" w:hAnsi="Arial" w:cs="Arial"/>
        </w:rPr>
        <w:t xml:space="preserve">). These associations </w:t>
      </w:r>
      <w:r w:rsidR="006678E1" w:rsidRPr="00837BF1">
        <w:rPr>
          <w:rFonts w:ascii="Arial" w:hAnsi="Arial" w:cs="Arial"/>
        </w:rPr>
        <w:t>attenuated</w:t>
      </w:r>
      <w:r w:rsidRPr="00837BF1">
        <w:rPr>
          <w:rFonts w:ascii="Arial" w:hAnsi="Arial" w:cs="Arial"/>
        </w:rPr>
        <w:t xml:space="preserve"> however after controlling for baseline psychological distress </w:t>
      </w:r>
      <w:r w:rsidR="003C0C31" w:rsidRPr="00837BF1">
        <w:rPr>
          <w:rFonts w:ascii="Arial" w:hAnsi="Arial" w:cs="Arial"/>
        </w:rPr>
        <w:t>in M3.</w:t>
      </w:r>
      <w:r w:rsidR="002F1498" w:rsidRPr="00837BF1">
        <w:rPr>
          <w:rFonts w:ascii="Arial" w:hAnsi="Arial" w:cs="Arial"/>
        </w:rPr>
        <w:t xml:space="preserve"> There was no evidence of an associatio</w:t>
      </w:r>
      <w:r w:rsidR="00966898" w:rsidRPr="00837BF1">
        <w:rPr>
          <w:rFonts w:ascii="Arial" w:hAnsi="Arial" w:cs="Arial"/>
        </w:rPr>
        <w:t>n of employer cuts</w:t>
      </w:r>
      <w:r w:rsidR="00914E1B" w:rsidRPr="00837BF1">
        <w:rPr>
          <w:rFonts w:ascii="Arial" w:hAnsi="Arial" w:cs="Arial"/>
        </w:rPr>
        <w:t>, being furloughed</w:t>
      </w:r>
      <w:r w:rsidR="00966898" w:rsidRPr="00837BF1">
        <w:rPr>
          <w:rFonts w:ascii="Arial" w:hAnsi="Arial" w:cs="Arial"/>
        </w:rPr>
        <w:t xml:space="preserve"> or other reasons for reduced hours with psychological distress. </w:t>
      </w:r>
      <w:r w:rsidR="00DD28B9" w:rsidRPr="00837BF1">
        <w:rPr>
          <w:rFonts w:ascii="Arial" w:hAnsi="Arial" w:cs="Arial"/>
        </w:rPr>
        <w:t xml:space="preserve">In the fully adjusted model, employees who were furloughed had lower likelihood </w:t>
      </w:r>
      <w:r w:rsidR="00A03614" w:rsidRPr="00837BF1">
        <w:rPr>
          <w:rFonts w:ascii="Arial" w:hAnsi="Arial" w:cs="Arial"/>
        </w:rPr>
        <w:t>of psychological distress, but th</w:t>
      </w:r>
      <w:r w:rsidR="00BC5BEA" w:rsidRPr="00837BF1">
        <w:rPr>
          <w:rFonts w:ascii="Arial" w:hAnsi="Arial" w:cs="Arial"/>
        </w:rPr>
        <w:t>is association was not statistically significant.</w:t>
      </w:r>
    </w:p>
    <w:p w14:paraId="568AB120" w14:textId="77777777" w:rsidR="00367508" w:rsidRPr="00837BF1" w:rsidRDefault="00367508" w:rsidP="00367508">
      <w:pPr>
        <w:spacing w:after="0" w:line="480" w:lineRule="auto"/>
        <w:jc w:val="both"/>
        <w:rPr>
          <w:rFonts w:ascii="Arial" w:hAnsi="Arial" w:cs="Arial"/>
        </w:rPr>
      </w:pPr>
    </w:p>
    <w:p w14:paraId="21BA0340" w14:textId="4E19C4BA" w:rsidR="00367508" w:rsidRPr="00837BF1" w:rsidRDefault="007A3EEC" w:rsidP="00367508">
      <w:pPr>
        <w:spacing w:after="0" w:line="480" w:lineRule="auto"/>
        <w:jc w:val="both"/>
        <w:rPr>
          <w:rFonts w:ascii="Arial" w:hAnsi="Arial" w:cs="Arial"/>
        </w:rPr>
      </w:pPr>
      <w:r w:rsidRPr="00837BF1">
        <w:rPr>
          <w:rFonts w:ascii="Arial" w:hAnsi="Arial" w:cs="Arial"/>
        </w:rPr>
        <w:t>Given that month of baseline data collection varied across the sample, while the outcome was measured in April, 2020, s</w:t>
      </w:r>
      <w:r w:rsidR="00367508" w:rsidRPr="00837BF1">
        <w:rPr>
          <w:rFonts w:ascii="Arial" w:hAnsi="Arial" w:cs="Arial"/>
        </w:rPr>
        <w:t>ensitivity analyses examine</w:t>
      </w:r>
      <w:r w:rsidRPr="00837BF1">
        <w:rPr>
          <w:rFonts w:ascii="Arial" w:hAnsi="Arial" w:cs="Arial"/>
        </w:rPr>
        <w:t>d</w:t>
      </w:r>
      <w:r w:rsidR="00367508" w:rsidRPr="00837BF1">
        <w:rPr>
          <w:rFonts w:ascii="Arial" w:hAnsi="Arial" w:cs="Arial"/>
        </w:rPr>
        <w:t xml:space="preserve"> potential seasonal effects</w:t>
      </w:r>
      <w:r w:rsidR="000F736C" w:rsidRPr="00837BF1">
        <w:rPr>
          <w:rFonts w:ascii="Arial" w:hAnsi="Arial" w:cs="Arial"/>
        </w:rPr>
        <w:t xml:space="preserve"> based on fully adjusted models presented in Tables 2 and 3</w:t>
      </w:r>
      <w:r w:rsidR="00FF1A0B" w:rsidRPr="00837BF1">
        <w:rPr>
          <w:rFonts w:ascii="Arial" w:hAnsi="Arial" w:cs="Arial"/>
        </w:rPr>
        <w:t xml:space="preserve"> </w:t>
      </w:r>
      <w:r w:rsidRPr="00837BF1">
        <w:rPr>
          <w:rFonts w:ascii="Arial" w:hAnsi="Arial" w:cs="Arial"/>
        </w:rPr>
        <w:t xml:space="preserve">- these showed </w:t>
      </w:r>
      <w:r w:rsidR="00367508" w:rsidRPr="00837BF1">
        <w:rPr>
          <w:rFonts w:ascii="Arial" w:hAnsi="Arial" w:cs="Arial"/>
        </w:rPr>
        <w:t xml:space="preserve">no evidence of </w:t>
      </w:r>
      <w:r w:rsidR="00CB67E6" w:rsidRPr="00837BF1">
        <w:rPr>
          <w:rFonts w:ascii="Arial" w:hAnsi="Arial" w:cs="Arial"/>
        </w:rPr>
        <w:t xml:space="preserve">association </w:t>
      </w:r>
      <w:r w:rsidR="00EF3FE7" w:rsidRPr="00837BF1">
        <w:rPr>
          <w:rFonts w:ascii="Arial" w:hAnsi="Arial" w:cs="Arial"/>
        </w:rPr>
        <w:t xml:space="preserve">of psychological distress in April 2020 </w:t>
      </w:r>
      <w:r w:rsidR="00CB67E6" w:rsidRPr="00837BF1">
        <w:rPr>
          <w:rFonts w:ascii="Arial" w:hAnsi="Arial" w:cs="Arial"/>
        </w:rPr>
        <w:t xml:space="preserve">with </w:t>
      </w:r>
      <w:r w:rsidR="00B56730" w:rsidRPr="00837BF1">
        <w:rPr>
          <w:rFonts w:ascii="Arial" w:hAnsi="Arial" w:cs="Arial"/>
        </w:rPr>
        <w:t>yearly quarter</w:t>
      </w:r>
      <w:r w:rsidR="00CB67E6" w:rsidRPr="00837BF1">
        <w:rPr>
          <w:rFonts w:ascii="Arial" w:hAnsi="Arial" w:cs="Arial"/>
        </w:rPr>
        <w:t xml:space="preserve"> of baseline </w:t>
      </w:r>
      <w:r w:rsidR="003C1BA6" w:rsidRPr="00837BF1">
        <w:rPr>
          <w:rFonts w:ascii="Arial" w:hAnsi="Arial" w:cs="Arial"/>
        </w:rPr>
        <w:t xml:space="preserve">interview </w:t>
      </w:r>
      <w:r w:rsidR="00CB67E6" w:rsidRPr="00837BF1">
        <w:rPr>
          <w:rFonts w:ascii="Arial" w:hAnsi="Arial" w:cs="Arial"/>
        </w:rPr>
        <w:t xml:space="preserve">or </w:t>
      </w:r>
      <w:r w:rsidR="00367508" w:rsidRPr="00837BF1">
        <w:rPr>
          <w:rFonts w:ascii="Arial" w:hAnsi="Arial" w:cs="Arial"/>
        </w:rPr>
        <w:t>changes in the associations of any of the characteristics considered</w:t>
      </w:r>
      <w:r w:rsidR="00CF0F2C" w:rsidRPr="00837BF1">
        <w:rPr>
          <w:rFonts w:ascii="Arial" w:hAnsi="Arial" w:cs="Arial"/>
        </w:rPr>
        <w:t xml:space="preserve">. </w:t>
      </w:r>
      <w:r w:rsidR="00A02A7B" w:rsidRPr="00837BF1">
        <w:rPr>
          <w:rFonts w:ascii="Arial" w:hAnsi="Arial" w:cs="Arial"/>
        </w:rPr>
        <w:t xml:space="preserve">Results from sensitivity analyses are </w:t>
      </w:r>
      <w:r w:rsidR="003C1BA6" w:rsidRPr="00837BF1">
        <w:rPr>
          <w:rFonts w:ascii="Arial" w:hAnsi="Arial" w:cs="Arial"/>
        </w:rPr>
        <w:t>included in supplementary material.</w:t>
      </w:r>
    </w:p>
    <w:p w14:paraId="2D05D03C" w14:textId="53124F82" w:rsidR="005537AE" w:rsidRPr="00837BF1" w:rsidRDefault="005537AE" w:rsidP="00367508">
      <w:pPr>
        <w:spacing w:after="0" w:line="480" w:lineRule="auto"/>
        <w:jc w:val="both"/>
        <w:rPr>
          <w:rFonts w:ascii="Arial" w:hAnsi="Arial" w:cs="Arial"/>
        </w:rPr>
      </w:pPr>
    </w:p>
    <w:p w14:paraId="781B73EE" w14:textId="77777777" w:rsidR="00367508" w:rsidRPr="00837BF1" w:rsidRDefault="00367508" w:rsidP="00367508"/>
    <w:p w14:paraId="221B2A7E" w14:textId="77777777" w:rsidR="00FF2F73" w:rsidRPr="00837BF1" w:rsidRDefault="00FF2F73" w:rsidP="00FF2F73">
      <w:pPr>
        <w:spacing w:after="0" w:line="480" w:lineRule="auto"/>
        <w:jc w:val="both"/>
        <w:rPr>
          <w:rFonts w:ascii="Arial" w:hAnsi="Arial" w:cs="Arial"/>
          <w:b/>
          <w:bCs/>
        </w:rPr>
      </w:pPr>
      <w:r w:rsidRPr="00837BF1">
        <w:rPr>
          <w:rFonts w:ascii="Arial" w:hAnsi="Arial" w:cs="Arial"/>
          <w:b/>
          <w:bCs/>
        </w:rPr>
        <w:t>Discussion</w:t>
      </w:r>
    </w:p>
    <w:p w14:paraId="766E0E30" w14:textId="3E3611B4" w:rsidR="0059136F" w:rsidRPr="00837BF1" w:rsidRDefault="00FF2F73" w:rsidP="00FF2F73">
      <w:pPr>
        <w:spacing w:after="0" w:line="480" w:lineRule="auto"/>
        <w:jc w:val="both"/>
        <w:rPr>
          <w:rFonts w:ascii="Arial" w:hAnsi="Arial" w:cs="Arial"/>
        </w:rPr>
      </w:pPr>
      <w:r w:rsidRPr="00837BF1">
        <w:rPr>
          <w:rFonts w:ascii="Arial" w:hAnsi="Arial" w:cs="Arial"/>
        </w:rPr>
        <w:lastRenderedPageBreak/>
        <w:t xml:space="preserve">While the mental effects of economic crises have been well documented </w:t>
      </w:r>
      <w:r w:rsidRPr="00837BF1">
        <w:rPr>
          <w:rFonts w:ascii="Arial" w:hAnsi="Arial" w:cs="Arial"/>
        </w:rPr>
        <w:fldChar w:fldCharType="begin" w:fldLock="1"/>
      </w:r>
      <w:r w:rsidRPr="00837BF1">
        <w:rPr>
          <w:rFonts w:ascii="Arial" w:hAnsi="Arial" w:cs="Arial"/>
        </w:rPr>
        <w:instrText>ADDIN CSL_CITATION {"citationItems":[{"id":"ITEM-1","itemData":{"DOI":"10.1136/bmjopen-2012-001790","ISSN":"20446055","abstract":"Objective: To assess short-term differences in population mental health before and after the 2008 recession and explore how and why these changes differ by gender, age and socio-economic position. Design: Repeat cross-sectional analysis of survey data. Setting: England. Participants: Representative samples of the working age (25-64 years) general population participating in the Health Survey for England between 1991 and 2010 inclusive. Main outcome measures: Prevalence of poor mental health (caseness) as measured by the general health questionnaire-12 (GHQ). Results: Age-sex standardised prevalence of GHQ caseness increased from 13.7% (95% CI 12.9% to 14.5%) in 2008 to 16.4% (95% CI 14.9% to 17.9%) in 2009 and 15.5% (95% CI 14.4% to 16.7%) in 2010. Women had a consistently greater prevalence since 1991 until the current recession. However, compared to 2008, men experienced an increase in age-adjusted caseness of 5.1% (95% CI 2.6% to 7.6%, p&lt;0.001) in 2009 and 3% (95% CI 1.2% to 4.9%, p=0.001) in 2010, while no statistically significant changes were seen in women. Adjustment for differences in employment status and education level did not account for the observed increase in men nor did they explain the differential gender patterning. Over the last decade, socio-economic inequalities showed a tendency to increase but no clear evidence for an increase in inequalities associated with the recession was found. Similarly, no evidence was found for a differential effect between age groups. Conclusions: Population mental health in men has deteriorated within 2 years of the onset of the current recession. These changes, and their patterning by gender, could not be accounted for by differences in employment status. Further work is needed to monitor recessionary impacts on health inequalities in response to ongoing labour market and social policy changes.","author":[{"dropping-particle":"","family":"Katikireddi","given":"Srinivasa Vittal","non-dropping-particle":"","parse-names":false,"suffix":""},{"dropping-particle":"","family":"Niedzwiedz","given":"Claire L.","non-dropping-particle":"","parse-names":false,"suffix":""},{"dropping-particle":"","family":"Popham","given":"Frank","non-dropping-particle":"","parse-names":false,"suffix":""}],"container-title":"BMJ Open","id":"ITEM-1","issue":"5","issued":{"date-parts":[["2012"]]},"title":"Trends in population mental health before and after the 2008 recession: A repeat cross-sectional analysis of the 1991-2010 Health Surveys of England","type":"article-journal","volume":"2"},"uris":["http://www.mendeley.com/documents/?uuid=f148414b-01d5-4efc-984b-2a4b9ec4e5a3"]},{"id":"ITEM-2","itemData":{"DOI":"10.1016/j.socscimed.2015.11.009","ISSN":"18735347","PMID":"26623942","abstract":"Several indicators of population mental health in the UK have deteriorated since the financial crisis, during a period when a number of welfare reforms and austerity measures have been implemented. We do not know which groups have been most affected by these trends or the extent to which recent economic trends or recent policies have contributed to them.We use data from the Quarterly Labour Force Survey to investigate trends in self reported mental health problems by socioeconomic group and employment status in England between 2004 and 2013. We then use panel regression models to investigate the association between local trends in mental health problems and local trends in unemployment and wages to investigate the extent to which these explain increases in mental health problems during this time.We found that the trend in the prevalence of people reporting mental health problems increased significantly more between 2009 and 2013 compared to the previous trends. This increase was greatest amongst people with low levels of education and inequalities widened. The gap in prevalence between low and high educated groups widened by 1.29 percentage points for women (95% CI: 0.50 to 2.08) and 1.36 percentage points for men (95% CI: 0.31 to 2.42) between 2009 and 2013. Trends in unemployment and wages only partly explained these recent increases in mental health problems. The trend in reported mental health problems across England broadly mirrored the pattern of increases in suicides and antidepressant prescribing.Welfare policies and austerity measures implemented since 2010 may have contributed to recent increases in mental health problems and widening inequalities. This has led to rising numbers of people with low levels of education out of work with mental health problems. These trends are likely to increase social exclusion as well as demand for and reliance on social welfare systems.","author":[{"dropping-particle":"","family":"Barr","given":"Ben","non-dropping-particle":"","parse-names":false,"suffix":""},{"dropping-particle":"","family":"Kinderman","given":"Peter","non-dropping-particle":"","parse-names":false,"suffix":""},{"dropping-particle":"","family":"Whitehead","given":"Margaret","non-dropping-particle":"","parse-names":false,"suffix":""}],"container-title":"Social Science and Medicine","id":"ITEM-2","issued":{"date-parts":[["2015"]]},"page":"324-331","publisher":"Elsevier Ltd","title":"Trends in mental health inequalities in England during a period of recession, austerity and welfare reform 2004 to 2013","type":"article-journal","volume":"147"},"uris":["http://www.mendeley.com/documents/?uuid=20ec2192-7e23-448b-93dd-e2326a472555"]},{"id":"ITEM-3","itemData":{"DOI":"10.1371/journal.pone.0069792","ISSN":"1932-6203","abstract":"Objectives A period of economic recession may be particularly difficult for people with mental health problems as they may be at higher risk of losing their jobs, and more competitive labour markets can also make it more difficult to find a new job. This study assesses unemployment rates among individuals with mental health problems before and during the current economic recession.  Methods Using individual and aggregate level data collected from 27 EU countries in the Eurobarometer surveys of 2006 and 2010, we examined changes in unemployment rates over this period among individuals with and without mental health problems.  Results Following the onset of the recession, the gap in unemployment rates between individuals with and without mental health problems significantly widened (odds ratio: 1.12, 95% confidence interval: 1.03, 1.34). This disparity became even greater for males, and individuals with low levels of education. Individuals with mental health problems living in countries with higher levels of stigmatizing attitudes regarding dangerousness of people with mental illness were more vulnerable to unemployment in 2010, but not 2006. Greater agreement that people with mental health problems have themselves to blame, was associated with lower likelihood of unemployment for individuals with and without mental health problems.  Conclusion These findings study suggest that times of economic hardship may intensify social exclusion of people with mental health problems, especially males and individuals with lower education. Interventions to combat economic exclusion and to promote social participation of individuals with mental health problems are even more important during times of economic crisis, and these efforts should target support to the most vulnerable groups.","author":[{"dropping-particle":"","family":"Evans-Lacko","given":"Sara","non-dropping-particle":"","parse-names":false,"suffix":""},{"dropping-particle":"","family":"Knapp","given":"Martin","non-dropping-particle":"","parse-names":false,"suffix":""},{"dropping-particle":"","family":"McCrone","given":"Paul","non-dropping-particle":"","parse-names":false,"suffix":""},{"dropping-particle":"","family":"Thornicroft","given":"Graham","non-dropping-particle":"","parse-names":false,"suffix":""},{"dropping-particle":"","family":"Mojtabai","given":"Ramin","non-dropping-particle":"","parse-names":false,"suffix":""}],"container-title":"PLoS ONE","editor":[{"dropping-particle":"","family":"Patterson","given":"Randen Lee","non-dropping-particle":"","parse-names":false,"suffix":""}],"id":"ITEM-3","issue":"7","issued":{"date-parts":[["2013","7","26"]]},"page":"e69792","publisher":"Public Library of Science","title":"The Mental Health Consequences of the Recession: Economic Hardship and Employment of People with Mental Health Problems in 27 European Countries","type":"article-journal","volume":"8"},"uris":["http://www.mendeley.com/documents/?uuid=edadcf16-5bff-3a45-836a-f0f9d65abf67"]},{"id":"ITEM-4","itemData":{"DOI":"10.1186/s12889-016-2720-y","ISSN":"14712458","PMID":"26847554","abstract":"Background: Countries in recession experience high unemployment rates and a decline in living conditions, which, it has been suggested, negatively influences their populations' health. The present review examines the recent evidence of the possible association between economic recessions and mental health outcomes. Methods: Literature review of records identified through Medline, PsycINFO, SciELO, and EBSCO Host. Only original research papers, published between 2004 and 2014, peer-reviewed, non-qualitative research, and reporting on associations between economic factors and proxies of mental health were considered. Results: One-hundred-one papers met the inclusion criteria. The evidence was consistent that economic recessions and mediators such as unemployment, income decline, and unmanageable debts are significantly associated with poor mental wellbeing, increased rates of common mental disorders, substance-related disorders, and suicidal behaviours. Conclusion: On the basis of a thorough analysis of the selected investigations, we conclude that periods of economic recession are possibly associated with a higher prevalence of mental health problems, including common mental disorders, substance disorders, and ultimately suicidal behaviour. Most of the research is based on cross-sectional studies, which seriously limits causality inferences. Conclusions are summarised, taking into account international policy recommendations concerning the cost-effective measures that can possibly reduce the occurrence of negative mental health outcomes in populations during periods of economic recession.","author":[{"dropping-particle":"","family":"Frasquilho","given":"Diana","non-dropping-particle":"","parse-names":false,"suffix":""},{"dropping-particle":"","family":"Matos","given":"Margarida Gaspar","non-dropping-particle":"","parse-names":false,"suffix":""},{"dropping-particle":"","family":"Salonna","given":"Ferdinand","non-dropping-particle":"","parse-names":false,"suffix":""},{"dropping-particle":"","family":"Guerreiro","given":"Diogo","non-dropping-particle":"","parse-names":false,"suffix":""},{"dropping-particle":"","family":"Storti","given":"Cláudia C.","non-dropping-particle":"","parse-names":false,"suffix":""},{"dropping-particle":"","family":"Gaspar","given":"Tânia","non-dropping-particle":"","parse-names":false,"suffix":""},{"dropping-particle":"","family":"Caldas-De-Almeida","given":"José M.","non-dropping-particle":"","parse-names":false,"suffix":""}],"container-title":"BMC Public Health","id":"ITEM-4","issue":"1","issued":{"date-parts":[["2016","2","3"]]},"publisher":"BioMed Central Ltd.","title":"Mental health outcomes in times of economic recession: A systematic literature review Health behavior, health promotion and society","type":"article","volume":"16"},"uris":["http://www.mendeley.com/documents/?uuid=1dbac984-54bb-33f9-8940-40e8b0af5058"]},{"id":"ITEM-5","itemData":{"abstract":"The 2007 global economic recession was the most severe recession since the Great Depression of the 1930s in terms of declines in unemployment, labor force participation and gross domestic product in the United States. In order to guide future public health policies during economic downturns, we reviewed and synthesized the literature on the health consequences of the current and prior recessions focusing on the government response to the recession in the United States.","author":[{"dropping-particle":"","family":"Modrek","given":"Sepideh","non-dropping-particle":"","parse-names":false,"suffix":""},{"dropping-particle":"","family":"Stuckler","given":"David","non-dropping-particle":"","parse-names":false,"suffix":""},{"dropping-particle":"","family":"Mckee","given":"Martin","non-dropping-particle":"","parse-names":false,"suffix":""},{"dropping-particle":"","family":"Cullen","given":"Mark R","non-dropping-particle":"","parse-names":false,"suffix":""},{"dropping-particle":"","family":"Basu","given":"Sanjay","non-dropping-particle":"","parse-names":false,"suffix":""}],"container-title":"Public Health Reviews","id":"ITEM-5","issue":"1","issued":{"date-parts":[["0"]]},"title":"A Review of Health Consequences of Recessions Internationally and a Synthesis of the US Response during the Great Recession","type":"report","volume":"35"},"uris":["http://www.mendeley.com/documents/?uuid=1d4eff07-53bf-3be3-822a-0090e8db0fb9"]}],"mendeley":{"formattedCitation":"(Barr et al., 2015; Evans-Lacko et al., 2013; Frasquilho et al., 2016; Katikireddi et al., 2012; Modrek et al., n.d.)","manualFormatting":"(Barr et al., 2015; Evans-Lacko et al., 2013; Frasquilho et al., 2016; Katikireddi et al., 2012; Modrek et al., 2013; Jahoda, 1988)","plainTextFormattedCitation":"(Barr et al., 2015; Evans-Lacko et al., 2013; Frasquilho et al., 2016; Katikireddi et al., 2012; Modrek et al., n.d.)"},"properties":{"noteIndex":0},"schema":"https://github.com/citation-style-language/schema/raw/master/csl-citation.json"}</w:instrText>
      </w:r>
      <w:r w:rsidRPr="00837BF1">
        <w:rPr>
          <w:rFonts w:ascii="Arial" w:hAnsi="Arial" w:cs="Arial"/>
        </w:rPr>
        <w:fldChar w:fldCharType="separate"/>
      </w:r>
      <w:r w:rsidRPr="00837BF1">
        <w:rPr>
          <w:rFonts w:ascii="Arial" w:hAnsi="Arial" w:cs="Arial"/>
          <w:noProof/>
        </w:rPr>
        <w:t>(Frasquilho et al., 2016; Barr, Kinderman, &amp; Whitehead, 2015; Evans-Lacko, Knapp, McCrone, Katikireddi, Niedzwiedz, &amp; Popham, 2012;</w:t>
      </w:r>
      <w:r w:rsidR="00932203" w:rsidRPr="00837BF1">
        <w:rPr>
          <w:rFonts w:ascii="Arial" w:hAnsi="Arial" w:cs="Arial"/>
          <w:noProof/>
        </w:rPr>
        <w:t xml:space="preserve"> </w:t>
      </w:r>
      <w:r w:rsidRPr="00837BF1">
        <w:rPr>
          <w:rFonts w:ascii="Arial" w:hAnsi="Arial" w:cs="Arial"/>
          <w:noProof/>
        </w:rPr>
        <w:t xml:space="preserve">Modrek, Stuckler, McKee, Cullen, &amp; Basu, 2013; </w:t>
      </w:r>
      <w:r w:rsidRPr="00837BF1">
        <w:rPr>
          <w:rFonts w:ascii="Arial" w:hAnsi="Arial" w:cs="Arial"/>
        </w:rPr>
        <w:t>Jahoda, 1988</w:t>
      </w:r>
      <w:r w:rsidRPr="00837BF1">
        <w:rPr>
          <w:rFonts w:ascii="Arial" w:hAnsi="Arial" w:cs="Arial"/>
          <w:noProof/>
        </w:rPr>
        <w:t>)</w:t>
      </w:r>
      <w:r w:rsidRPr="00837BF1">
        <w:rPr>
          <w:rFonts w:ascii="Arial" w:hAnsi="Arial" w:cs="Arial"/>
        </w:rPr>
        <w:fldChar w:fldCharType="end"/>
      </w:r>
      <w:r w:rsidRPr="00837BF1">
        <w:rPr>
          <w:rFonts w:ascii="Arial" w:hAnsi="Arial" w:cs="Arial"/>
        </w:rPr>
        <w:t xml:space="preserve"> the COVID-19 pandemic crisis has impacted population mental health across multiple dimensions.  </w:t>
      </w:r>
      <w:r w:rsidR="00396B25" w:rsidRPr="00837BF1">
        <w:rPr>
          <w:rFonts w:ascii="Arial" w:hAnsi="Arial" w:cs="Arial"/>
        </w:rPr>
        <w:t>This study reports on the mental health impact of reduced working among employees aged 18-65 in the UK population in the early months of the COVID-19 pandemic.</w:t>
      </w:r>
    </w:p>
    <w:p w14:paraId="20F2FF92" w14:textId="77777777" w:rsidR="0059136F" w:rsidRPr="00837BF1" w:rsidRDefault="0059136F" w:rsidP="00FF2F73">
      <w:pPr>
        <w:spacing w:after="0" w:line="480" w:lineRule="auto"/>
        <w:jc w:val="both"/>
        <w:rPr>
          <w:rFonts w:ascii="Arial" w:hAnsi="Arial" w:cs="Arial"/>
        </w:rPr>
      </w:pPr>
    </w:p>
    <w:p w14:paraId="0739D78D" w14:textId="750B7DA3" w:rsidR="00FF2F73" w:rsidRPr="00837BF1" w:rsidRDefault="00303328" w:rsidP="00FF2F73">
      <w:pPr>
        <w:spacing w:after="0" w:line="480" w:lineRule="auto"/>
        <w:jc w:val="both"/>
        <w:rPr>
          <w:rFonts w:ascii="Arial" w:hAnsi="Arial" w:cs="Arial"/>
        </w:rPr>
      </w:pPr>
      <w:r w:rsidRPr="00837BF1">
        <w:rPr>
          <w:rFonts w:ascii="Arial" w:hAnsi="Arial" w:cs="Arial"/>
        </w:rPr>
        <w:t>Our findings show that the prevalence of psychological distress was higher in April 2020 than pre-pandemic levels across all characteristics of employees</w:t>
      </w:r>
      <w:r w:rsidR="00010007" w:rsidRPr="00837BF1">
        <w:rPr>
          <w:rFonts w:ascii="Arial" w:hAnsi="Arial" w:cs="Arial"/>
        </w:rPr>
        <w:t xml:space="preserve">, reflecting </w:t>
      </w:r>
      <w:r w:rsidR="00FB28F6" w:rsidRPr="00837BF1">
        <w:rPr>
          <w:rFonts w:ascii="Arial" w:hAnsi="Arial" w:cs="Arial"/>
        </w:rPr>
        <w:t>findings from other early s</w:t>
      </w:r>
      <w:r w:rsidR="008E6205" w:rsidRPr="00837BF1">
        <w:rPr>
          <w:rFonts w:ascii="Arial" w:hAnsi="Arial" w:cs="Arial"/>
        </w:rPr>
        <w:t>tudies</w:t>
      </w:r>
      <w:r w:rsidR="008A014A" w:rsidRPr="00837BF1">
        <w:rPr>
          <w:rFonts w:ascii="Arial" w:hAnsi="Arial" w:cs="Arial"/>
        </w:rPr>
        <w:t xml:space="preserve"> </w:t>
      </w:r>
      <w:r w:rsidR="00D802E1" w:rsidRPr="00837BF1">
        <w:rPr>
          <w:rFonts w:ascii="Arial" w:hAnsi="Arial" w:cs="Arial"/>
        </w:rPr>
        <w:t xml:space="preserve">during the pandemic </w:t>
      </w:r>
      <w:r w:rsidR="008A014A" w:rsidRPr="00837BF1">
        <w:rPr>
          <w:rFonts w:ascii="Arial" w:hAnsi="Arial" w:cs="Arial"/>
        </w:rPr>
        <w:t>showing a decrease in psychological wellbeing (</w:t>
      </w:r>
      <w:proofErr w:type="spellStart"/>
      <w:r w:rsidR="008A014A" w:rsidRPr="00837BF1">
        <w:rPr>
          <w:rFonts w:ascii="Arial" w:hAnsi="Arial" w:cs="Arial"/>
        </w:rPr>
        <w:t>Vindegaard</w:t>
      </w:r>
      <w:proofErr w:type="spellEnd"/>
      <w:r w:rsidR="008A014A" w:rsidRPr="00837BF1">
        <w:rPr>
          <w:rFonts w:ascii="Arial" w:hAnsi="Arial" w:cs="Arial"/>
        </w:rPr>
        <w:t xml:space="preserve"> </w:t>
      </w:r>
      <w:r w:rsidR="00932203" w:rsidRPr="00837BF1">
        <w:rPr>
          <w:rFonts w:ascii="Arial" w:hAnsi="Arial" w:cs="Arial"/>
        </w:rPr>
        <w:t xml:space="preserve">&amp; </w:t>
      </w:r>
      <w:proofErr w:type="spellStart"/>
      <w:r w:rsidR="00932203" w:rsidRPr="00837BF1">
        <w:rPr>
          <w:rFonts w:ascii="Arial" w:hAnsi="Arial" w:cs="Arial"/>
        </w:rPr>
        <w:t>Benros</w:t>
      </w:r>
      <w:proofErr w:type="spellEnd"/>
      <w:r w:rsidR="00C86C6F" w:rsidRPr="00837BF1">
        <w:rPr>
          <w:rFonts w:ascii="Arial" w:hAnsi="Arial" w:cs="Arial"/>
        </w:rPr>
        <w:t xml:space="preserve"> 2020). </w:t>
      </w:r>
      <w:r w:rsidR="00537484" w:rsidRPr="00837BF1">
        <w:rPr>
          <w:rFonts w:ascii="Arial" w:hAnsi="Arial" w:cs="Arial"/>
        </w:rPr>
        <w:t>W</w:t>
      </w:r>
      <w:r w:rsidR="00247CA7" w:rsidRPr="00837BF1">
        <w:rPr>
          <w:rFonts w:ascii="Arial" w:hAnsi="Arial" w:cs="Arial"/>
        </w:rPr>
        <w:t xml:space="preserve">e </w:t>
      </w:r>
      <w:r w:rsidR="00FF2F73" w:rsidRPr="00837BF1">
        <w:rPr>
          <w:rFonts w:ascii="Arial" w:hAnsi="Arial" w:cs="Arial"/>
        </w:rPr>
        <w:t>found</w:t>
      </w:r>
      <w:r w:rsidR="00834BC5" w:rsidRPr="00837BF1">
        <w:rPr>
          <w:rFonts w:ascii="Arial" w:hAnsi="Arial" w:cs="Arial"/>
        </w:rPr>
        <w:t>, however,</w:t>
      </w:r>
      <w:r w:rsidR="00FF2F73" w:rsidRPr="00837BF1">
        <w:rPr>
          <w:rFonts w:ascii="Arial" w:hAnsi="Arial" w:cs="Arial"/>
        </w:rPr>
        <w:t xml:space="preserve"> that following adjustment for socio-economic characteristics and baseline psychological distress, reduced </w:t>
      </w:r>
      <w:r w:rsidR="00247CA7" w:rsidRPr="00837BF1">
        <w:rPr>
          <w:rFonts w:ascii="Arial" w:hAnsi="Arial" w:cs="Arial"/>
        </w:rPr>
        <w:t>working</w:t>
      </w:r>
      <w:r w:rsidR="00FF2F73" w:rsidRPr="00837BF1">
        <w:rPr>
          <w:rFonts w:ascii="Arial" w:hAnsi="Arial" w:cs="Arial"/>
        </w:rPr>
        <w:t xml:space="preserve"> </w:t>
      </w:r>
      <w:r w:rsidR="00FF2F73" w:rsidRPr="00837BF1">
        <w:rPr>
          <w:rFonts w:ascii="Arial" w:hAnsi="Arial" w:cs="Arial"/>
          <w:i/>
          <w:iCs/>
        </w:rPr>
        <w:t>per se</w:t>
      </w:r>
      <w:r w:rsidR="00FF2F73" w:rsidRPr="00837BF1">
        <w:rPr>
          <w:rFonts w:ascii="Arial" w:hAnsi="Arial" w:cs="Arial"/>
        </w:rPr>
        <w:t xml:space="preserve"> was not associated with psychological distress in April 2020. </w:t>
      </w:r>
      <w:r w:rsidR="00A740D5" w:rsidRPr="00837BF1">
        <w:rPr>
          <w:rFonts w:ascii="Arial" w:hAnsi="Arial" w:cs="Arial"/>
        </w:rPr>
        <w:t xml:space="preserve">Assessment of current financial situation had </w:t>
      </w:r>
      <w:r w:rsidR="00082001" w:rsidRPr="00837BF1">
        <w:rPr>
          <w:rFonts w:ascii="Arial" w:hAnsi="Arial" w:cs="Arial"/>
        </w:rPr>
        <w:t xml:space="preserve">a </w:t>
      </w:r>
      <w:r w:rsidR="00A740D5" w:rsidRPr="00837BF1">
        <w:rPr>
          <w:rFonts w:ascii="Arial" w:hAnsi="Arial" w:cs="Arial"/>
        </w:rPr>
        <w:t>particularly strong confounding effect, suggesting that reduced working was not associated with psychological distress in the early months of the pandemic over and above the experience of financial difficulties.</w:t>
      </w:r>
      <w:r w:rsidR="001E730C" w:rsidRPr="00837BF1">
        <w:rPr>
          <w:rFonts w:ascii="Arial" w:hAnsi="Arial" w:cs="Arial"/>
        </w:rPr>
        <w:t xml:space="preserve"> </w:t>
      </w:r>
      <w:r w:rsidR="00537484" w:rsidRPr="00837BF1">
        <w:rPr>
          <w:rFonts w:ascii="Arial" w:hAnsi="Arial" w:cs="Arial"/>
        </w:rPr>
        <w:t>Notwithstanding, o</w:t>
      </w:r>
      <w:r w:rsidR="00FF2F73" w:rsidRPr="00837BF1">
        <w:rPr>
          <w:rFonts w:ascii="Arial" w:hAnsi="Arial" w:cs="Arial"/>
        </w:rPr>
        <w:t>ur study</w:t>
      </w:r>
      <w:r w:rsidR="001709F4" w:rsidRPr="00837BF1">
        <w:rPr>
          <w:rFonts w:ascii="Arial" w:hAnsi="Arial" w:cs="Arial"/>
        </w:rPr>
        <w:t xml:space="preserve"> </w:t>
      </w:r>
      <w:r w:rsidR="00FF2F73" w:rsidRPr="00837BF1">
        <w:rPr>
          <w:rFonts w:ascii="Arial" w:hAnsi="Arial" w:cs="Arial"/>
        </w:rPr>
        <w:t>suggests that deterioration in mental health is not evenly distributed among employees</w:t>
      </w:r>
      <w:r w:rsidR="00034400" w:rsidRPr="00837BF1">
        <w:rPr>
          <w:rFonts w:ascii="Arial" w:hAnsi="Arial" w:cs="Arial"/>
        </w:rPr>
        <w:t>, and</w:t>
      </w:r>
      <w:r w:rsidR="00FF2F73" w:rsidRPr="00837BF1">
        <w:rPr>
          <w:rFonts w:ascii="Arial" w:hAnsi="Arial" w:cs="Arial"/>
        </w:rPr>
        <w:t xml:space="preserve"> mo</w:t>
      </w:r>
      <w:r w:rsidR="0010200B" w:rsidRPr="00837BF1">
        <w:rPr>
          <w:rFonts w:ascii="Arial" w:hAnsi="Arial" w:cs="Arial"/>
        </w:rPr>
        <w:t>st</w:t>
      </w:r>
      <w:r w:rsidR="00FF2F73" w:rsidRPr="00837BF1">
        <w:rPr>
          <w:rFonts w:ascii="Arial" w:hAnsi="Arial" w:cs="Arial"/>
        </w:rPr>
        <w:t xml:space="preserve"> strongly associated with redundancy</w:t>
      </w:r>
      <w:r w:rsidR="0010200B" w:rsidRPr="00837BF1">
        <w:rPr>
          <w:rFonts w:ascii="Arial" w:hAnsi="Arial" w:cs="Arial"/>
        </w:rPr>
        <w:t xml:space="preserve">. </w:t>
      </w:r>
      <w:r w:rsidR="00FF2F73" w:rsidRPr="00837BF1">
        <w:rPr>
          <w:rFonts w:ascii="Arial" w:hAnsi="Arial" w:cs="Arial"/>
        </w:rPr>
        <w:t>To a lesser degree, reduced hours due to caring responsibilities and self-isolation or sickness may be risk factors</w:t>
      </w:r>
      <w:r w:rsidR="009336C8" w:rsidRPr="00837BF1">
        <w:rPr>
          <w:rFonts w:ascii="Arial" w:hAnsi="Arial" w:cs="Arial"/>
        </w:rPr>
        <w:t xml:space="preserve">, with </w:t>
      </w:r>
      <w:r w:rsidR="00080BBC" w:rsidRPr="00837BF1">
        <w:rPr>
          <w:rFonts w:ascii="Arial" w:hAnsi="Arial" w:cs="Arial"/>
        </w:rPr>
        <w:t>the experience of financial difficulties again having</w:t>
      </w:r>
      <w:r w:rsidR="00082001" w:rsidRPr="00837BF1">
        <w:rPr>
          <w:rFonts w:ascii="Arial" w:hAnsi="Arial" w:cs="Arial"/>
        </w:rPr>
        <w:t xml:space="preserve"> strong confounding effects</w:t>
      </w:r>
      <w:r w:rsidR="00FF2F73" w:rsidRPr="00837BF1">
        <w:rPr>
          <w:rFonts w:ascii="Arial" w:hAnsi="Arial" w:cs="Arial"/>
        </w:rPr>
        <w:t xml:space="preserve">. </w:t>
      </w:r>
    </w:p>
    <w:p w14:paraId="159C85D0" w14:textId="77777777" w:rsidR="007E2A34" w:rsidRPr="00837BF1" w:rsidRDefault="007E2A34" w:rsidP="00FF2F73">
      <w:pPr>
        <w:spacing w:after="0" w:line="480" w:lineRule="auto"/>
        <w:jc w:val="both"/>
        <w:rPr>
          <w:rFonts w:ascii="Arial" w:hAnsi="Arial" w:cs="Arial"/>
        </w:rPr>
      </w:pPr>
    </w:p>
    <w:p w14:paraId="480275B0" w14:textId="23077A3E" w:rsidR="00FF2F73" w:rsidRPr="00837BF1" w:rsidRDefault="00FF2F73" w:rsidP="00FF2F73">
      <w:pPr>
        <w:spacing w:after="0" w:line="480" w:lineRule="auto"/>
        <w:jc w:val="both"/>
        <w:rPr>
          <w:rFonts w:ascii="Arial" w:hAnsi="Arial" w:cs="Arial"/>
        </w:rPr>
      </w:pPr>
      <w:r w:rsidRPr="00837BF1">
        <w:rPr>
          <w:rFonts w:ascii="Arial" w:hAnsi="Arial" w:cs="Arial"/>
        </w:rPr>
        <w:t xml:space="preserve">Reduced </w:t>
      </w:r>
      <w:r w:rsidR="001C098C" w:rsidRPr="00837BF1">
        <w:rPr>
          <w:rFonts w:ascii="Arial" w:hAnsi="Arial" w:cs="Arial"/>
        </w:rPr>
        <w:t>working</w:t>
      </w:r>
      <w:r w:rsidRPr="00837BF1">
        <w:rPr>
          <w:rFonts w:ascii="Arial" w:hAnsi="Arial" w:cs="Arial"/>
        </w:rPr>
        <w:t xml:space="preserve"> due to redundancy</w:t>
      </w:r>
    </w:p>
    <w:p w14:paraId="2169B0AA" w14:textId="5023CE7E" w:rsidR="00FF2F73" w:rsidRPr="00837BF1" w:rsidRDefault="00FF2F73" w:rsidP="00FF2F73">
      <w:pPr>
        <w:spacing w:after="0" w:line="480" w:lineRule="auto"/>
        <w:jc w:val="both"/>
        <w:rPr>
          <w:rFonts w:ascii="Arial" w:hAnsi="Arial" w:cs="Arial"/>
        </w:rPr>
      </w:pPr>
      <w:r w:rsidRPr="00837BF1">
        <w:rPr>
          <w:rFonts w:ascii="Arial" w:hAnsi="Arial" w:cs="Arial"/>
        </w:rPr>
        <w:t xml:space="preserve">Deterioration of mental health after redundancy </w:t>
      </w:r>
      <w:r w:rsidR="00E97744" w:rsidRPr="00837BF1">
        <w:rPr>
          <w:rFonts w:ascii="Arial" w:hAnsi="Arial" w:cs="Arial"/>
        </w:rPr>
        <w:t>is well documented</w:t>
      </w:r>
      <w:r w:rsidRPr="00837BF1">
        <w:rPr>
          <w:rFonts w:ascii="Arial" w:hAnsi="Arial" w:cs="Arial"/>
        </w:rPr>
        <w:t xml:space="preserve"> </w:t>
      </w:r>
      <w:r w:rsidRPr="00837BF1">
        <w:rPr>
          <w:rFonts w:ascii="Arial" w:hAnsi="Arial" w:cs="Arial"/>
        </w:rPr>
        <w:fldChar w:fldCharType="begin" w:fldLock="1"/>
      </w:r>
      <w:r w:rsidRPr="00837BF1">
        <w:rPr>
          <w:rFonts w:ascii="Arial" w:hAnsi="Arial" w:cs="Arial"/>
        </w:rPr>
        <w:instrText>ADDIN CSL_CITATION {"citationItems":[{"id":"ITEM-1","itemData":{"DOI":"10.1186/s12889-016-2720-y","ISSN":"14712458","PMID":"26847554","abstract":"Background: Countries in recession experience high unemployment rates and a decline in living conditions, which, it has been suggested, negatively influences their populations' health. The present review examines the recent evidence of the possible association between economic recessions and mental health outcomes. Methods: Literature review of records identified through Medline, PsycINFO, SciELO, and EBSCO Host. Only original research papers, published between 2004 and 2014, peer-reviewed, non-qualitative research, and reporting on associations between economic factors and proxies of mental health were considered. Results: One-hundred-one papers met the inclusion criteria. The evidence was consistent that economic recessions and mediators such as unemployment, income decline, and unmanageable debts are significantly associated with poor mental wellbeing, increased rates of common mental disorders, substance-related disorders, and suicidal behaviours. Conclusion: On the basis of a thorough analysis of the selected investigations, we conclude that periods of economic recession are possibly associated with a higher prevalence of mental health problems, including common mental disorders, substance disorders, and ultimately suicidal behaviour. Most of the research is based on cross-sectional studies, which seriously limits causality inferences. Conclusions are summarised, taking into account international policy recommendations concerning the cost-effective measures that can possibly reduce the occurrence of negative mental health outcomes in populations during periods of economic recession.","author":[{"dropping-particle":"","family":"Frasquilho","given":"Diana","non-dropping-particle":"","parse-names":false,"suffix":""},{"dropping-particle":"","family":"Matos","given":"Margarida Gaspar","non-dropping-particle":"","parse-names":false,"suffix":""},{"dropping-particle":"","family":"Salonna","given":"Ferdinand","non-dropping-particle":"","parse-names":false,"suffix":""},{"dropping-particle":"","family":"Guerreiro","given":"Diogo","non-dropping-particle":"","parse-names":false,"suffix":""},{"dropping-particle":"","family":"Storti","given":"Cláudia C.","non-dropping-particle":"","parse-names":false,"suffix":""},{"dropping-particle":"","family":"Gaspar","given":"Tânia","non-dropping-particle":"","parse-names":false,"suffix":""},{"dropping-particle":"","family":"Caldas-De-Almeida","given":"José M.","non-dropping-particle":"","parse-names":false,"suffix":""}],"container-title":"BMC Public Health","id":"ITEM-1","issue":"1","issued":{"date-parts":[["2016","2","3"]]},"publisher":"BioMed Central Ltd.","title":"Mental health outcomes in times of economic recession: A systematic literature review Health behavior, health promotion and society","type":"article","volume":"16"},"uris":["http://www.mendeley.com/documents/?uuid=1dbac984-54bb-33f9-8940-40e8b0af5058"]},{"id":"ITEM-2","itemData":{"abstract":"The 2007 global economic recession was the most severe recession since the Great Depression of the 1930s in terms of declines in unemployment, labor force participation and gross domestic product in the United States. In order to guide future public health policies during economic downturns, we reviewed and synthesized the literature on the health consequences of the current and prior recessions focusing on the government response to the recession in the United States.","author":[{"dropping-particle":"","family":"Modrek","given":"Sepideh","non-dropping-particle":"","parse-names":false,"suffix":""},{"dropping-particle":"","family":"Stuckler","given":"David","non-dropping-particle":"","parse-names":false,"suffix":""},{"dropping-particle":"","family":"Mckee","given":"Martin","non-dropping-particle":"","parse-names":false,"suffix":""},{"dropping-particle":"","family":"Cullen","given":"Mark R","non-dropping-particle":"","parse-names":false,"suffix":""},{"dropping-particle":"","family":"Basu","given":"Sanjay","non-dropping-particle":"","parse-names":false,"suffix":""}],"container-title":"Public Health Reviews","id":"ITEM-2","issue":"1","issued":{"date-parts":[["0"]]},"title":"A Review of Health Consequences of Recessions Internationally and a Synthesis of the US Response during the Great Recession","type":"report","volume":"35"},"uris":["http://www.mendeley.com/documents/?uuid=1d4eff07-53bf-3be3-822a-0090e8db0fb9"]},{"id":"ITEM-3","itemData":{"DOI":"10.1186/1471-244X-13-144","ISSN":"1471244X","PMID":"23705753","abstract":"Background: Workforce participation is a key feature of public mental health and social inclusion policies across the globe, and often a therapeutic goal in treatment settings. Understanding the reciprocal relationship between participation and mental health has been limited by inadequate research methods. This is the first study to simultaneously examine and contrast the relative effects of unemployment on mental health and mental health on employment status in a single general population sample.Method: Data were from working-age respondents (20 to 55 years at baseline) who completed nine waves of the Household, Income and Labour Dynamics in Australia (HILDA) Survey (N=7176). Cross-lagged path analyses were used to test the lagged and concurrent associations between unemployment and mental health over time, adjusting for sociodemographic characteristics.Results: Mental health was shown to be both a consequence of and risk factor for unemployment. Thus, the poorer mental health observed amongst people who are not working is attributable to both the impact of unemployment and existing mental health problems. While the strength of these two effects was similar for women, the results for men suggested that the effect of unemployment on subsequent mental health was weaker than the effect of mental health on subsequent risk of unemployment.Conclusion: Disentangling the reciprocal links between mental health and workforce participation is central to the development and success of clinical goals and health and social policies that aim to promote either aspect. This study demonstrates that both effects are important and supports concurrent responses to prevent a cycle of disadvantage and entrenched social exclusion. © 2013 Olesen et al.; licensee BioMed Central Ltd.","author":[{"dropping-particle":"","family":"Olesen","given":"Sarah C.","non-dropping-particle":"","parse-names":false,"suffix":""},{"dropping-particle":"","family":"Butterworth","given":"Peter","non-dropping-particle":"","parse-names":false,"suffix":""},{"dropping-particle":"","family":"Leach","given":"Liana S.","non-dropping-particle":"","parse-names":false,"suffix":""},{"dropping-particle":"","family":"Kelaher","given":"Margaret","non-dropping-particle":"","parse-names":false,"suffix":""},{"dropping-particle":"","family":"Pirkis","given":"Jane","non-dropping-particle":"","parse-names":false,"suffix":""}],"container-title":"BMC Psychiatry","id":"ITEM-3","issued":{"date-parts":[["2013","5","24"]]},"title":"Mental health affects future employment as job loss affects mental health: Findings from a longitudinal population study","type":"article-journal","volume":"13"},"uris":["http://www.mendeley.com/documents/?uuid=791d56f0-1df2-3ab4-8e0c-b85ad3e33592"]},{"id":"ITEM-4","itemData":{"DOI":"10.1371/journal.pone.0069792","ISSN":"1932-6203","abstract":"Objectives A period of economic recession may be particularly difficult for people with mental health problems as they may be at higher risk of losing their jobs, and more competitive labour markets can also make it more difficult to find a new job. This study assesses unemployment rates among individuals with mental health problems before and during the current economic recession.  Methods Using individual and aggregate level data collected from 27 EU countries in the Eurobarometer surveys of 2006 and 2010, we examined changes in unemployment rates over this period among individuals with and without mental health problems.  Results Following the onset of the recession, the gap in unemployment rates between individuals with and without mental health problems significantly widened (odds ratio: 1.12, 95% confidence interval: 1.03, 1.34). This disparity became even greater for males, and individuals with low levels of education. Individuals with mental health problems living in countries with higher levels of stigmatizing attitudes regarding dangerousness of people with mental illness were more vulnerable to unemployment in 2010, but not 2006. Greater agreement that people with mental health problems have themselves to blame, was associated with lower likelihood of unemployment for individuals with and without mental health problems.  Conclusion These findings study suggest that times of economic hardship may intensify social exclusion of people with mental health problems, especially males and individuals with lower education. Interventions to combat economic exclusion and to promote social participation of individuals with mental health problems are even more important during times of economic crisis, and these efforts should target support to the most vulnerable groups.","author":[{"dropping-particle":"","family":"Evans-Lacko","given":"Sara","non-dropping-particle":"","parse-names":false,"suffix":""},{"dropping-particle":"","family":"Knapp","given":"Martin","non-dropping-particle":"","parse-names":false,"suffix":""},{"dropping-particle":"","family":"McCrone","given":"Paul","non-dropping-particle":"","parse-names":false,"suffix":""},{"dropping-particle":"","family":"Thornicroft","given":"Graham","non-dropping-particle":"","parse-names":false,"suffix":""},{"dropping-particle":"","family":"Mojtabai","given":"Ramin","non-dropping-particle":"","parse-names":false,"suffix":""}],"container-title":"PLoS ONE","editor":[{"dropping-particle":"","family":"Patterson","given":"Randen Lee","non-dropping-particle":"","parse-names":false,"suffix":""}],"id":"ITEM-4","issue":"7","issued":{"date-parts":[["2013","7","26"]]},"page":"e69792","publisher":"Public Library of Science","title":"The Mental Health Consequences of the Recession: Economic Hardship and Employment of People with Mental Health Problems in 27 European Countries","type":"article-journal","volume":"8"},"uris":["http://www.mendeley.com/documents/?uuid=edadcf16-5bff-3a45-836a-f0f9d65abf67"]},{"id":"ITEM-5","itemData":{"DOI":"10.1136/jech.2005.044206","ISSN":"0143-005X","PMID":"17183015","abstract":"OBJECTIVE To explore the extent to which the mental health effects of transitions into unemployment, or other forms of non-employment, and vice versa, are mediated by financial changes. METHODS Longitudinal analysis of the British Household Panel Survey from 1991 to 2000. There were 89,264 person-years of observation from 14,686 individuals aged &gt; or =16 years. Main outcome measure was psychological distress measured by the 12-item General Health Questionnaire. RESULTS Transitions to unemployment were associated with increased risk of psychological distress for men (adjusted odds ratio (OR) 3.15 (95% confidence interval (CI) 2.50 to 3.98)) and for women (OR 2.60 (95% CI 1.97 to 3.43)). Women who left work to look after the family were also more likely to experience psychological distress (OR 1.72 (95% CI 1.45 to 2.05)). A reduced risk of psychological distress was seen for transitions from unemployment to paid employment for men (OR 0.52 (95% CI 0.41 to 0.68)) and for women (OR 0.68 (95% CI 0.69 to 1.40)). Financial difficulty partially mediated these relationships: men who became unemployed and were worse off financially were more likely to experience psychological distress (OR 4.19 (95% CI 3.20 to 5.50)) than men who were not (OR 1.48 (95% CI 0.95 to 2.33)). Conversely, the beneficial health effect for people who left unemployment and became employed was confined to those who were better off financially (OR 0.34 (0.25 to 0.48) for men). CONCLUSIONS Changes in employment status have both direct and indirect effects, through changes in financial circumstances, on subsequent psychological distress. The results support the view that the direction of causation runs from employment transitions to financial difficulties and psychological distress.","author":[{"dropping-particle":"","family":"Thomas","given":"Claudia","non-dropping-particle":"","parse-names":false,"suffix":""},{"dropping-particle":"","family":"Benzeval","given":"Michaela","non-dropping-particle":"","parse-names":false,"suffix":""},{"dropping-particle":"","family":"Stansfeld","given":"Stephen","non-dropping-particle":"","parse-names":false,"suffix":""}],"container-title":"Journal of epidemiology and community health","id":"ITEM-5","issue":"1","issued":{"date-parts":[["2007","1","1"]]},"page":"48-52","publisher":"BMJ Publishing Group Ltd","title":"Psychological distress after employment transitions: the role of subjective financial position as a mediator.","type":"article-journal","volume":"61"},"uris":["http://www.mendeley.com/documents/?uuid=1179e03e-b742-31f5-a2bb-ec44abfab9e1"]}],"mendeley":{"formattedCitation":"(Evans-Lacko et al., 2013; Frasquilho et al., 2016; Modrek et al., n.d.; Olesen et al., 2013; Thomas et al., 2007)","manualFormatting":"(Evans-Lacko et al., 2013; Frasquilho et al., 2016; Modrek et al., 2013; Olesen et al., 2013; Thomas et al., 2007)","plainTextFormattedCitation":"(Evans-Lacko et al., 2013; Frasquilho et al., 2016; Modrek et al., n.d.; Olesen et al., 2013; Thomas et al., 2007)","previouslyFormattedCitation":"(Evans-Lacko et al., 2013; Frasquilho et al., 2016; Modrek et al., n.d.; Olesen et al., 2013; Thomas et al., 2007)"},"properties":{"noteIndex":0},"schema":"https://github.com/citation-style-language/schema/raw/master/csl-citation.json"}</w:instrText>
      </w:r>
      <w:r w:rsidRPr="00837BF1">
        <w:rPr>
          <w:rFonts w:ascii="Arial" w:hAnsi="Arial" w:cs="Arial"/>
        </w:rPr>
        <w:fldChar w:fldCharType="separate"/>
      </w:r>
      <w:r w:rsidRPr="00837BF1">
        <w:rPr>
          <w:rFonts w:ascii="Arial" w:hAnsi="Arial" w:cs="Arial"/>
          <w:noProof/>
        </w:rPr>
        <w:t>(Frasquilho et al., 2016; Evans-Lacko et al., 2013; Modrek et al., 2013; Olesen, Butterworth, Leach, Kelaher, &amp; Pirkis et al., 2013; Thomas, Benzeval, &amp; Stansfield, 2007)</w:t>
      </w:r>
      <w:r w:rsidRPr="00837BF1">
        <w:rPr>
          <w:rFonts w:ascii="Arial" w:hAnsi="Arial" w:cs="Arial"/>
        </w:rPr>
        <w:fldChar w:fldCharType="end"/>
      </w:r>
      <w:r w:rsidRPr="00837BF1">
        <w:rPr>
          <w:rFonts w:ascii="Arial" w:hAnsi="Arial" w:cs="Arial"/>
        </w:rPr>
        <w:t>.  Evidence from recent global recession</w:t>
      </w:r>
      <w:r w:rsidR="00034400" w:rsidRPr="00837BF1">
        <w:rPr>
          <w:rFonts w:ascii="Arial" w:hAnsi="Arial" w:cs="Arial"/>
        </w:rPr>
        <w:t>s</w:t>
      </w:r>
      <w:r w:rsidRPr="00837BF1">
        <w:rPr>
          <w:rFonts w:ascii="Arial" w:hAnsi="Arial" w:cs="Arial"/>
        </w:rPr>
        <w:t xml:space="preserve"> </w:t>
      </w:r>
      <w:r w:rsidRPr="00837BF1">
        <w:rPr>
          <w:rFonts w:ascii="Arial" w:hAnsi="Arial" w:cs="Arial"/>
        </w:rPr>
        <w:fldChar w:fldCharType="begin" w:fldLock="1"/>
      </w:r>
      <w:r w:rsidRPr="00837BF1">
        <w:rPr>
          <w:rFonts w:ascii="Arial" w:hAnsi="Arial" w:cs="Arial"/>
        </w:rPr>
        <w:instrText>ADDIN CSL_CITATION {"citationItems":[{"id":"ITEM-1","itemData":{"DOI":"10.1186/1471-244X-13-144","ISSN":"1471244X","PMID":"23705753","abstract":"Background: Workforce participation is a key feature of public mental health and social inclusion policies across the globe, and often a therapeutic goal in treatment settings. Understanding the reciprocal relationship between participation and mental health has been limited by inadequate research methods. This is the first study to simultaneously examine and contrast the relative effects of unemployment on mental health and mental health on employment status in a single general population sample.Method: Data were from working-age respondents (20 to 55 years at baseline) who completed nine waves of the Household, Income and Labour Dynamics in Australia (HILDA) Survey (N=7176). Cross-lagged path analyses were used to test the lagged and concurrent associations between unemployment and mental health over time, adjusting for sociodemographic characteristics.Results: Mental health was shown to be both a consequence of and risk factor for unemployment. Thus, the poorer mental health observed amongst people who are not working is attributable to both the impact of unemployment and existing mental health problems. While the strength of these two effects was similar for women, the results for men suggested that the effect of unemployment on subsequent mental health was weaker than the effect of mental health on subsequent risk of unemployment.Conclusion: Disentangling the reciprocal links between mental health and workforce participation is central to the development and success of clinical goals and health and social policies that aim to promote either aspect. This study demonstrates that both effects are important and supports concurrent responses to prevent a cycle of disadvantage and entrenched social exclusion. © 2013 Olesen et al.; licensee BioMed Central Ltd.","author":[{"dropping-particle":"","family":"Olesen","given":"Sarah C.","non-dropping-particle":"","parse-names":false,"suffix":""},{"dropping-particle":"","family":"Butterworth","given":"Peter","non-dropping-particle":"","parse-names":false,"suffix":""},{"dropping-particle":"","family":"Leach","given":"Liana S.","non-dropping-particle":"","parse-names":false,"suffix":""},{"dropping-particle":"","family":"Kelaher","given":"Margaret","non-dropping-particle":"","parse-names":false,"suffix":""},{"dropping-particle":"","family":"Pirkis","given":"Jane","non-dropping-particle":"","parse-names":false,"suffix":""}],"container-title":"BMC Psychiatry","id":"ITEM-1","issued":{"date-parts":[["2013","5","24"]]},"title":"Mental health affects future employment as job loss affects mental health: Findings from a longitudinal population study","type":"article-journal","volume":"13"},"uris":["http://www.mendeley.com/documents/?uuid=791d56f0-1df2-3ab4-8e0c-b85ad3e33592"]},{"id":"ITEM-2","itemData":{"DOI":"10.1136/JECH-2013-203013","ISSN":"0143-005X","PMID":"24243999","abstract":"Background There has been little investigation of changes in socioeconomic measures and mental health (MH)/illness over time within individuals using methods that control for time-invariant unobserved confounders. We investigate whether changes in multiple socioeconomic measures are associated with self-reported MH using fixed effects methods to control for unobserved time-invariant confounding.\n\nMethods Data from three waves of a panel study with information on MH, psychological distress, labour force status, household income, area and individual deprivation. Fixed effects regression modelling was used to explore whether changes in socioeconomic exposures were associated with changes in MH. We also compared increases and decreases in exposure with changes in MH using first difference models.\n\nResults Respondents who moved into inactive labour force status experienced a 1.34 unit (95% CI −1.85 to −0.82) decline in SF-36 MH score and a 0.50 unit (95% CI 0.34 to 0.67) increase in psychological distress score. An increase in individual deprivation was associated with a 1.47 unit (95% CI −1.67 to −1.28) decline in MH score and a 0.57 unit (95% CI 0.51 to 0.63) increase in psychological distress. Increasing and decreasing levels of individual deprivation were associated with significant changes in both outcomes.\n\nConclusions This paper suggests that moving from employment to inactivity and changes in levels of individual deprivation may be more important for short-term MH outcomes than changes in household income or area deprivation. Providing short-term social and economic support for those experiencing financial/material hardship should be considered in interventions to reduce inequalities in MH.","author":[{"dropping-particle":"","family":"Mckenzie","given":"Sarah K","non-dropping-particle":"","parse-names":false,"suffix":""},{"dropping-particle":"","family":"Gunasekara","given":"Fiona Imlach","non-dropping-particle":"","parse-names":false,"suffix":""},{"dropping-particle":"","family":"Richardson","given":"Ken","non-dropping-particle":"","parse-names":false,"suffix":""},{"dropping-particle":"","family":"Carter","given":"Kristie","non-dropping-particle":"","parse-names":false,"suffix":""}],"container-title":"J Epidemiol Community Health","id":"ITEM-2","issue":"3","issued":{"date-parts":[["2014","3","1"]]},"page":"253-260","publisher":"BMJ Publishing Group Ltd","title":"Do changes in socioeconomic factors lead to changes in mental health? Findings from three waves of a population based panel study","type":"article-journal","volume":"68"},"uris":["http://www.mendeley.com/documents/?uuid=c1e3aa70-421d-357e-b4dd-2f05dd0d7d57"]},{"id":"ITEM-3","itemData":{"DOI":"10.1136/jech.2005.044206","ISSN":"0143-005X","PMID":"17183015","abstract":"OBJECTIVE To explore the extent to which the mental health effects of transitions into unemployment, or other forms of non-employment, and vice versa, are mediated by financial changes. METHODS Longitudinal analysis of the British Household Panel Survey from 1991 to 2000. There were 89,264 person-years of observation from 14,686 individuals aged &gt; or =16 years. Main outcome measure was psychological distress measured by the 12-item General Health Questionnaire. RESULTS Transitions to unemployment were associated with increased risk of psychological distress for men (adjusted odds ratio (OR) 3.15 (95% confidence interval (CI) 2.50 to 3.98)) and for women (OR 2.60 (95% CI 1.97 to 3.43)). Women who left work to look after the family were also more likely to experience psychological distress (OR 1.72 (95% CI 1.45 to 2.05)). A reduced risk of psychological distress was seen for transitions from unemployment to paid employment for men (OR 0.52 (95% CI 0.41 to 0.68)) and for women (OR 0.68 (95% CI 0.69 to 1.40)). Financial difficulty partially mediated these relationships: men who became unemployed and were worse off financially were more likely to experience psychological distress (OR 4.19 (95% CI 3.20 to 5.50)) than men who were not (OR 1.48 (95% CI 0.95 to 2.33)). Conversely, the beneficial health effect for people who left unemployment and became employed was confined to those who were better off financially (OR 0.34 (0.25 to 0.48) for men). CONCLUSIONS Changes in employment status have both direct and indirect effects, through changes in financial circumstances, on subsequent psychological distress. The results support the view that the direction of causation runs from employment transitions to financial difficulties and psychological distress.","author":[{"dropping-particle":"","family":"Thomas","given":"Claudia","non-dropping-particle":"","parse-names":false,"suffix":""},{"dropping-particle":"","family":"Benzeval","given":"Michaela","non-dropping-particle":"","parse-names":false,"suffix":""},{"dropping-particle":"","family":"Stansfeld","given":"Stephen","non-dropping-particle":"","parse-names":false,"suffix":""}],"container-title":"Journal of epidemiology and community health","id":"ITEM-3","issue":"1","issued":{"date-parts":[["2007","1","1"]]},"page":"48-52","publisher":"BMJ Publishing Group Ltd","title":"Psychological distress after employment transitions: the role of subjective financial position as a mediator.","type":"article-journal","volume":"61"},"uris":["http://www.mendeley.com/documents/?uuid=1179e03e-b742-31f5-a2bb-ec44abfab9e1"]}],"mendeley":{"formattedCitation":"(Mckenzie et al., 2014; Olesen et al., 2013; Thomas et al., 2007)","plainTextFormattedCitation":"(Mckenzie et al., 2014; Olesen et al., 2013; Thomas et al., 2007)","previouslyFormattedCitation":"(Mckenzie et al., 2014; Olesen et al., 2013; Thomas et al., 2007)"},"properties":{"noteIndex":0},"schema":"https://github.com/citation-style-language/schema/raw/master/csl-citation.json"}</w:instrText>
      </w:r>
      <w:r w:rsidRPr="00837BF1">
        <w:rPr>
          <w:rFonts w:ascii="Arial" w:hAnsi="Arial" w:cs="Arial"/>
        </w:rPr>
        <w:fldChar w:fldCharType="separate"/>
      </w:r>
      <w:r w:rsidRPr="00837BF1">
        <w:rPr>
          <w:rFonts w:ascii="Arial" w:hAnsi="Arial" w:cs="Arial"/>
          <w:noProof/>
        </w:rPr>
        <w:t>(Mc</w:t>
      </w:r>
      <w:r w:rsidR="00932203" w:rsidRPr="00837BF1">
        <w:rPr>
          <w:rFonts w:ascii="Arial" w:hAnsi="Arial" w:cs="Arial"/>
          <w:noProof/>
        </w:rPr>
        <w:t>K</w:t>
      </w:r>
      <w:r w:rsidRPr="00837BF1">
        <w:rPr>
          <w:rFonts w:ascii="Arial" w:hAnsi="Arial" w:cs="Arial"/>
          <w:noProof/>
        </w:rPr>
        <w:t>enzie, Gunasekara, Richardson, &amp; Carter, 2014; Olesen et al., 2013)</w:t>
      </w:r>
      <w:r w:rsidRPr="00837BF1">
        <w:rPr>
          <w:rFonts w:ascii="Arial" w:hAnsi="Arial" w:cs="Arial"/>
        </w:rPr>
        <w:fldChar w:fldCharType="end"/>
      </w:r>
      <w:r w:rsidRPr="00837BF1">
        <w:rPr>
          <w:rFonts w:ascii="Arial" w:hAnsi="Arial" w:cs="Arial"/>
        </w:rPr>
        <w:t xml:space="preserve"> highlight the </w:t>
      </w:r>
      <w:r w:rsidR="00E97744" w:rsidRPr="00837BF1">
        <w:rPr>
          <w:rFonts w:ascii="Arial" w:hAnsi="Arial" w:cs="Arial"/>
        </w:rPr>
        <w:t>impact</w:t>
      </w:r>
      <w:r w:rsidRPr="00837BF1">
        <w:rPr>
          <w:rFonts w:ascii="Arial" w:hAnsi="Arial" w:cs="Arial"/>
        </w:rPr>
        <w:t xml:space="preserve"> of debt, financial strain, increased uncertainty, loss of structure</w:t>
      </w:r>
      <w:r w:rsidR="00E97744" w:rsidRPr="00837BF1">
        <w:rPr>
          <w:rFonts w:ascii="Arial" w:hAnsi="Arial" w:cs="Arial"/>
        </w:rPr>
        <w:t xml:space="preserve"> and loss of </w:t>
      </w:r>
      <w:r w:rsidRPr="00837BF1">
        <w:rPr>
          <w:rFonts w:ascii="Arial" w:hAnsi="Arial" w:cs="Arial"/>
        </w:rPr>
        <w:t>purpose and identity</w:t>
      </w:r>
      <w:r w:rsidR="00E97744" w:rsidRPr="00837BF1">
        <w:rPr>
          <w:rFonts w:ascii="Arial" w:hAnsi="Arial" w:cs="Arial"/>
        </w:rPr>
        <w:t xml:space="preserve">, previously noted as key contributors to positive mental wellbeing </w:t>
      </w:r>
      <w:r w:rsidRPr="00837BF1">
        <w:rPr>
          <w:rFonts w:ascii="Arial" w:hAnsi="Arial" w:cs="Arial"/>
        </w:rPr>
        <w:fldChar w:fldCharType="begin" w:fldLock="1"/>
      </w:r>
      <w:r w:rsidRPr="00837BF1">
        <w:rPr>
          <w:rFonts w:ascii="Arial" w:hAnsi="Arial" w:cs="Arial"/>
        </w:rPr>
        <w:instrText>ADDIN CSL_CITATION {"citationItems":[{"id":"ITEM-1","itemData":{"abstract":"A study in psychological terms of what unemployment means to the worker: how it affects his goals, the pathways and barriers in his situation, and how it affects his social relations and practices.  Harvard Book List (edited) 1949 #372 (PsycINFO Database Record (c) 2016 APA, all rights reserved)","author":[{"dropping-particle":"","family":"Bakke","given":"E W","non-dropping-particle":"","parse-names":false,"suffix":""}],"container-title":"Citizens without work.","id":"ITEM-1","issued":{"date-parts":[["1940"]]},"publisher":"Yale University Press","publisher-place":"New Haven,  CT,  US","title":"Citizens without work.","type":"book"},"uris":["http://www.mendeley.com/documents/?uuid=dfd98982-7c64-3b91-8ec1-95fe63cc29a8"]},{"id":"ITEM-2","itemData":{"DOI":"10.1037/0003-066X.36.2.184","ISSN":"1935-990X(Electronic),0003-066X(Print)","abstract":"Argues against the idea that an encompassing theory of work could eliminate the existing shortcomings in empirical research in the field and discusses how specific theories can be exploited by adherents of one or the other dominant value positions: conservative, reformist, and radical. (30 ref) (PsycINFO Database Record (c) 2016 APA, all rights reserved)","author":[{"dropping-particle":"","family":"Jahoda","given":"Marie","non-dropping-particle":"","parse-names":false,"suffix":""}],"container-title":"American Psychologist","id":"ITEM-2","issue":"2","issued":{"date-parts":[["1981"]]},"page":"184-191","publisher":"American Psychological Association","publisher-place":"US","title":"Work, employment, and unemployment: Values, theories, and approaches in social research.","type":"article-journal","volume":"36"},"uris":["http://www.mendeley.com/documents/?uuid=1bbd5015-7cc2-3687-ae72-793a6238c675"]}],"mendeley":{"formattedCitation":"(Bakke, 1940; Jahoda, 1981)","plainTextFormattedCitation":"(Bakke, 1940; Jahoda, 1981)","previouslyFormattedCitation":"(Bakke, 1940; Jahoda, 1981)"},"properties":{"noteIndex":0},"schema":"https://github.com/citation-style-language/schema/raw/master/csl-citation.json"}</w:instrText>
      </w:r>
      <w:r w:rsidRPr="00837BF1">
        <w:rPr>
          <w:rFonts w:ascii="Arial" w:hAnsi="Arial" w:cs="Arial"/>
        </w:rPr>
        <w:fldChar w:fldCharType="separate"/>
      </w:r>
      <w:r w:rsidRPr="00837BF1">
        <w:rPr>
          <w:rFonts w:ascii="Arial" w:hAnsi="Arial" w:cs="Arial"/>
          <w:noProof/>
        </w:rPr>
        <w:t>(Bakke, 1940; Jahoda, 1981)</w:t>
      </w:r>
      <w:r w:rsidRPr="00837BF1">
        <w:rPr>
          <w:rFonts w:ascii="Arial" w:hAnsi="Arial" w:cs="Arial"/>
        </w:rPr>
        <w:fldChar w:fldCharType="end"/>
      </w:r>
      <w:r w:rsidRPr="00837BF1">
        <w:rPr>
          <w:rFonts w:ascii="Arial" w:hAnsi="Arial" w:cs="Arial"/>
        </w:rPr>
        <w:t xml:space="preserve">. Several studies underline the </w:t>
      </w:r>
      <w:r w:rsidRPr="00837BF1">
        <w:rPr>
          <w:rFonts w:ascii="Arial" w:hAnsi="Arial" w:cs="Arial"/>
        </w:rPr>
        <w:lastRenderedPageBreak/>
        <w:t xml:space="preserve">complex association between mental health and job loss, noting that poor mental health may be a risk factor for job loss, as well as </w:t>
      </w:r>
      <w:r w:rsidR="00034400" w:rsidRPr="00837BF1">
        <w:rPr>
          <w:rFonts w:ascii="Arial" w:hAnsi="Arial" w:cs="Arial"/>
        </w:rPr>
        <w:t>a</w:t>
      </w:r>
      <w:r w:rsidRPr="00837BF1">
        <w:rPr>
          <w:rFonts w:ascii="Arial" w:hAnsi="Arial" w:cs="Arial"/>
        </w:rPr>
        <w:t xml:space="preserve"> consequence </w:t>
      </w:r>
      <w:r w:rsidRPr="00837BF1">
        <w:rPr>
          <w:rFonts w:ascii="Arial" w:hAnsi="Arial" w:cs="Arial"/>
        </w:rPr>
        <w:fldChar w:fldCharType="begin" w:fldLock="1"/>
      </w:r>
      <w:r w:rsidRPr="00837BF1">
        <w:rPr>
          <w:rFonts w:ascii="Arial" w:hAnsi="Arial" w:cs="Arial"/>
        </w:rPr>
        <w:instrText>ADDIN CSL_CITATION {"citationItems":[{"id":"ITEM-1","itemData":{"DOI":"10.1371/journal.pone.0069792","ISSN":"1932-6203","abstract":"Objectives A period of economic recession may be particularly difficult for people with mental health problems as they may be at higher risk of losing their jobs, and more competitive labour markets can also make it more difficult to find a new job. This study assesses unemployment rates among individuals with mental health problems before and during the current economic recession.  Methods Using individual and aggregate level data collected from 27 EU countries in the Eurobarometer surveys of 2006 and 2010, we examined changes in unemployment rates over this period among individuals with and without mental health problems.  Results Following the onset of the recession, the gap in unemployment rates between individuals with and without mental health problems significantly widened (odds ratio: 1.12, 95% confidence interval: 1.03, 1.34). This disparity became even greater for males, and individuals with low levels of education. Individuals with mental health problems living in countries with higher levels of stigmatizing attitudes regarding dangerousness of people with mental illness were more vulnerable to unemployment in 2010, but not 2006. Greater agreement that people with mental health problems have themselves to blame, was associated with lower likelihood of unemployment for individuals with and without mental health problems.  Conclusion These findings study suggest that times of economic hardship may intensify social exclusion of people with mental health problems, especially males and individuals with lower education. Interventions to combat economic exclusion and to promote social participation of individuals with mental health problems are even more important during times of economic crisis, and these efforts should target support to the most vulnerable groups.","author":[{"dropping-particle":"","family":"Evans-Lacko","given":"Sara","non-dropping-particle":"","parse-names":false,"suffix":""},{"dropping-particle":"","family":"Knapp","given":"Martin","non-dropping-particle":"","parse-names":false,"suffix":""},{"dropping-particle":"","family":"McCrone","given":"Paul","non-dropping-particle":"","parse-names":false,"suffix":""},{"dropping-particle":"","family":"Thornicroft","given":"Graham","non-dropping-particle":"","parse-names":false,"suffix":""},{"dropping-particle":"","family":"Mojtabai","given":"Ramin","non-dropping-particle":"","parse-names":false,"suffix":""}],"container-title":"PLoS ONE","editor":[{"dropping-particle":"","family":"Patterson","given":"Randen Lee","non-dropping-particle":"","parse-names":false,"suffix":""}],"id":"ITEM-1","issue":"7","issued":{"date-parts":[["2013","7","26"]]},"page":"e69792","publisher":"Public Library of Science","title":"The Mental Health Consequences of the Recession: Economic Hardship and Employment of People with Mental Health Problems in 27 European Countries","type":"article-journal","volume":"8"},"uris":["http://www.mendeley.com/documents/?uuid=edadcf16-5bff-3a45-836a-f0f9d65abf67"]},{"id":"ITEM-2","itemData":{"DOI":"10.1186/1471-244X-13-144","ISSN":"1471244X","PMID":"23705753","abstract":"Background: Workforce participation is a key feature of public mental health and social inclusion policies across the globe, and often a therapeutic goal in treatment settings. Understanding the reciprocal relationship between participation and mental health has been limited by inadequate research methods. This is the first study to simultaneously examine and contrast the relative effects of unemployment on mental health and mental health on employment status in a single general population sample.Method: Data were from working-age respondents (20 to 55 years at baseline) who completed nine waves of the Household, Income and Labour Dynamics in Australia (HILDA) Survey (N=7176). Cross-lagged path analyses were used to test the lagged and concurrent associations between unemployment and mental health over time, adjusting for sociodemographic characteristics.Results: Mental health was shown to be both a consequence of and risk factor for unemployment. Thus, the poorer mental health observed amongst people who are not working is attributable to both the impact of unemployment and existing mental health problems. While the strength of these two effects was similar for women, the results for men suggested that the effect of unemployment on subsequent mental health was weaker than the effect of mental health on subsequent risk of unemployment.Conclusion: Disentangling the reciprocal links between mental health and workforce participation is central to the development and success of clinical goals and health and social policies that aim to promote either aspect. This study demonstrates that both effects are important and supports concurrent responses to prevent a cycle of disadvantage and entrenched social exclusion. © 2013 Olesen et al.; licensee BioMed Central Ltd.","author":[{"dropping-particle":"","family":"Olesen","given":"Sarah C.","non-dropping-particle":"","parse-names":false,"suffix":""},{"dropping-particle":"","family":"Butterworth","given":"Peter","non-dropping-particle":"","parse-names":false,"suffix":""},{"dropping-particle":"","family":"Leach","given":"Liana S.","non-dropping-particle":"","parse-names":false,"suffix":""},{"dropping-particle":"","family":"Kelaher","given":"Margaret","non-dropping-particle":"","parse-names":false,"suffix":""},{"dropping-particle":"","family":"Pirkis","given":"Jane","non-dropping-particle":"","parse-names":false,"suffix":""}],"container-title":"BMC Psychiatry","id":"ITEM-2","issued":{"date-parts":[["2013","5","24"]]},"title":"Mental health affects future employment as job loss affects mental health: Findings from a longitudinal population study","type":"article-journal","volume":"13"},"uris":["http://www.mendeley.com/documents/?uuid=791d56f0-1df2-3ab4-8e0c-b85ad3e33592"]}],"mendeley":{"formattedCitation":"(Evans-Lacko et al., 2013; Olesen et al., 2013)","plainTextFormattedCitation":"(Evans-Lacko et al., 2013; Olesen et al., 2013)","previouslyFormattedCitation":"(Evans-Lacko et al., 2013; Olesen et al., 2013)"},"properties":{"noteIndex":0},"schema":"https://github.com/citation-style-language/schema/raw/master/csl-citation.json"}</w:instrText>
      </w:r>
      <w:r w:rsidRPr="00837BF1">
        <w:rPr>
          <w:rFonts w:ascii="Arial" w:hAnsi="Arial" w:cs="Arial"/>
        </w:rPr>
        <w:fldChar w:fldCharType="separate"/>
      </w:r>
      <w:r w:rsidRPr="00837BF1">
        <w:rPr>
          <w:rFonts w:ascii="Arial" w:hAnsi="Arial" w:cs="Arial"/>
          <w:noProof/>
        </w:rPr>
        <w:t>(Evans-Lacko et al., 2013; Olesen et al., 2013)</w:t>
      </w:r>
      <w:r w:rsidRPr="00837BF1">
        <w:rPr>
          <w:rFonts w:ascii="Arial" w:hAnsi="Arial" w:cs="Arial"/>
        </w:rPr>
        <w:fldChar w:fldCharType="end"/>
      </w:r>
      <w:r w:rsidRPr="00837BF1">
        <w:rPr>
          <w:rFonts w:ascii="Arial" w:hAnsi="Arial" w:cs="Arial"/>
        </w:rPr>
        <w:t>. In a cross-sectional study of 27 European countries before and after the 2007/08 economic crisis, Evans-</w:t>
      </w:r>
      <w:proofErr w:type="spellStart"/>
      <w:r w:rsidRPr="00837BF1">
        <w:rPr>
          <w:rFonts w:ascii="Arial" w:hAnsi="Arial" w:cs="Arial"/>
        </w:rPr>
        <w:t>Lacko</w:t>
      </w:r>
      <w:proofErr w:type="spellEnd"/>
      <w:r w:rsidRPr="00837BF1">
        <w:rPr>
          <w:rFonts w:ascii="Arial" w:hAnsi="Arial" w:cs="Arial"/>
        </w:rPr>
        <w:t xml:space="preserve"> (2013) noted that individuals with pre-existing mental health problems were more vulnerable to redundancy. However, in our study, the adverse impact of job loss on mental health remained after controlling for baseline </w:t>
      </w:r>
      <w:r w:rsidR="003503A6" w:rsidRPr="00837BF1">
        <w:rPr>
          <w:rFonts w:ascii="Arial" w:hAnsi="Arial" w:cs="Arial"/>
        </w:rPr>
        <w:t>psychological distress</w:t>
      </w:r>
      <w:r w:rsidRPr="00837BF1">
        <w:rPr>
          <w:rFonts w:ascii="Arial" w:hAnsi="Arial" w:cs="Arial"/>
        </w:rPr>
        <w:t xml:space="preserve">. It is important to note that those who were permanently laid off represent a very small proportion of employees and findings should </w:t>
      </w:r>
      <w:r w:rsidR="003503A6" w:rsidRPr="00837BF1">
        <w:rPr>
          <w:rFonts w:ascii="Arial" w:hAnsi="Arial" w:cs="Arial"/>
        </w:rPr>
        <w:t xml:space="preserve">therefore </w:t>
      </w:r>
      <w:r w:rsidRPr="00837BF1">
        <w:rPr>
          <w:rFonts w:ascii="Arial" w:hAnsi="Arial" w:cs="Arial"/>
        </w:rPr>
        <w:t>be treated with caution.  Nonetheless, as the jobless figure in the UK and elsewhere continues to rise, longitudinal tracking of this at</w:t>
      </w:r>
      <w:r w:rsidR="00256AE3" w:rsidRPr="00837BF1">
        <w:rPr>
          <w:rFonts w:ascii="Arial" w:hAnsi="Arial" w:cs="Arial"/>
        </w:rPr>
        <w:t>-</w:t>
      </w:r>
      <w:r w:rsidRPr="00837BF1">
        <w:rPr>
          <w:rFonts w:ascii="Arial" w:hAnsi="Arial" w:cs="Arial"/>
        </w:rPr>
        <w:t>risk group is necessary to inform both the healthcare response and government policy in supporting these individuals.</w:t>
      </w:r>
    </w:p>
    <w:p w14:paraId="6EAB276C" w14:textId="77777777" w:rsidR="00FF2F73" w:rsidRPr="00837BF1" w:rsidRDefault="00FF2F73" w:rsidP="00FF2F73">
      <w:pPr>
        <w:spacing w:after="0" w:line="480" w:lineRule="auto"/>
        <w:jc w:val="both"/>
        <w:rPr>
          <w:rFonts w:ascii="Arial" w:hAnsi="Arial" w:cs="Arial"/>
        </w:rPr>
      </w:pPr>
    </w:p>
    <w:p w14:paraId="371446E2" w14:textId="5C088DD2" w:rsidR="00FF2F73" w:rsidRPr="00837BF1" w:rsidRDefault="00FF2F73" w:rsidP="00FF2F73">
      <w:pPr>
        <w:spacing w:after="0" w:line="480" w:lineRule="auto"/>
        <w:jc w:val="both"/>
        <w:rPr>
          <w:rFonts w:ascii="Arial" w:hAnsi="Arial" w:cs="Arial"/>
        </w:rPr>
      </w:pPr>
      <w:r w:rsidRPr="00837BF1">
        <w:rPr>
          <w:rFonts w:ascii="Arial" w:hAnsi="Arial" w:cs="Arial"/>
        </w:rPr>
        <w:t xml:space="preserve">Reduced </w:t>
      </w:r>
      <w:r w:rsidR="003503A6" w:rsidRPr="00837BF1">
        <w:rPr>
          <w:rFonts w:ascii="Arial" w:hAnsi="Arial" w:cs="Arial"/>
        </w:rPr>
        <w:t>working</w:t>
      </w:r>
      <w:r w:rsidRPr="00837BF1">
        <w:rPr>
          <w:rFonts w:ascii="Arial" w:hAnsi="Arial" w:cs="Arial"/>
        </w:rPr>
        <w:t xml:space="preserve"> due to caring responsibilities</w:t>
      </w:r>
    </w:p>
    <w:p w14:paraId="1FF00E44" w14:textId="13DECBB0" w:rsidR="00FF2F73" w:rsidRPr="00837BF1" w:rsidRDefault="00FF2F73" w:rsidP="00FF2F73">
      <w:pPr>
        <w:autoSpaceDE w:val="0"/>
        <w:autoSpaceDN w:val="0"/>
        <w:adjustRightInd w:val="0"/>
        <w:spacing w:after="0" w:line="480" w:lineRule="auto"/>
        <w:jc w:val="both"/>
        <w:rPr>
          <w:rFonts w:ascii="Arial" w:hAnsi="Arial" w:cs="Arial"/>
        </w:rPr>
      </w:pPr>
      <w:r w:rsidRPr="00837BF1">
        <w:rPr>
          <w:rFonts w:ascii="Arial" w:hAnsi="Arial" w:cs="Arial"/>
        </w:rPr>
        <w:t xml:space="preserve">Our study found some evidence </w:t>
      </w:r>
      <w:r w:rsidR="00BC086A" w:rsidRPr="00837BF1">
        <w:rPr>
          <w:rFonts w:ascii="Arial" w:hAnsi="Arial" w:cs="Arial"/>
        </w:rPr>
        <w:t xml:space="preserve">of </w:t>
      </w:r>
      <w:r w:rsidRPr="00837BF1">
        <w:rPr>
          <w:rFonts w:ascii="Arial" w:hAnsi="Arial" w:cs="Arial"/>
        </w:rPr>
        <w:t xml:space="preserve">a higher risk of poorer mental health among individuals with reduced working hours due to caring responsibilities – although effect size diminished following adjustment for baseline psychological distress.  Lockdown has had a dramatic impact on daily lives of working families, with many workers accumulating additional home-schooling, childcare and other caring responsibilities. These additional demands coupled with the pressure of continued remote working and the demands of maintaining productivity levels can increase stress and mental health problems. </w:t>
      </w:r>
      <w:r w:rsidR="00FF1F25" w:rsidRPr="00837BF1">
        <w:rPr>
          <w:rFonts w:ascii="Arial" w:hAnsi="Arial" w:cs="Arial"/>
        </w:rPr>
        <w:t xml:space="preserve">Our study </w:t>
      </w:r>
      <w:r w:rsidR="00C55C42" w:rsidRPr="00837BF1">
        <w:rPr>
          <w:rFonts w:ascii="Arial" w:hAnsi="Arial" w:cs="Arial"/>
        </w:rPr>
        <w:t>did not consider the differential impact of reduced working on lone</w:t>
      </w:r>
      <w:r w:rsidR="00745756" w:rsidRPr="00837BF1">
        <w:rPr>
          <w:rFonts w:ascii="Arial" w:hAnsi="Arial" w:cs="Arial"/>
        </w:rPr>
        <w:t xml:space="preserve"> </w:t>
      </w:r>
      <w:r w:rsidR="00C55C42" w:rsidRPr="00837BF1">
        <w:rPr>
          <w:rFonts w:ascii="Arial" w:hAnsi="Arial" w:cs="Arial"/>
        </w:rPr>
        <w:t>pare</w:t>
      </w:r>
      <w:r w:rsidR="00745756" w:rsidRPr="00837BF1">
        <w:rPr>
          <w:rFonts w:ascii="Arial" w:hAnsi="Arial" w:cs="Arial"/>
        </w:rPr>
        <w:t>nt</w:t>
      </w:r>
      <w:r w:rsidR="00B56A2A" w:rsidRPr="00837BF1">
        <w:rPr>
          <w:rFonts w:ascii="Arial" w:hAnsi="Arial" w:cs="Arial"/>
        </w:rPr>
        <w:t>s</w:t>
      </w:r>
      <w:r w:rsidR="00ED767E" w:rsidRPr="00837BF1">
        <w:rPr>
          <w:rFonts w:ascii="Arial" w:hAnsi="Arial" w:cs="Arial"/>
        </w:rPr>
        <w:t>, which merits a further more focused inves</w:t>
      </w:r>
      <w:r w:rsidR="00CF7904" w:rsidRPr="00837BF1">
        <w:rPr>
          <w:rFonts w:ascii="Arial" w:hAnsi="Arial" w:cs="Arial"/>
        </w:rPr>
        <w:t>tigation.</w:t>
      </w:r>
      <w:r w:rsidR="00745756" w:rsidRPr="00837BF1">
        <w:rPr>
          <w:rFonts w:ascii="Arial" w:hAnsi="Arial" w:cs="Arial"/>
        </w:rPr>
        <w:t xml:space="preserve"> </w:t>
      </w:r>
      <w:r w:rsidRPr="00837BF1">
        <w:rPr>
          <w:rFonts w:ascii="Arial" w:hAnsi="Arial" w:cs="Arial"/>
        </w:rPr>
        <w:t>Findings from a COVID-19 study briefing paper show that psychological distress increased with the number of hours spent home-schooling or doing housework for both men and women (</w:t>
      </w:r>
      <w:proofErr w:type="spellStart"/>
      <w:r w:rsidRPr="00837BF1">
        <w:rPr>
          <w:rFonts w:ascii="Arial" w:hAnsi="Arial" w:cs="Arial"/>
        </w:rPr>
        <w:t>Benzeval</w:t>
      </w:r>
      <w:proofErr w:type="spellEnd"/>
      <w:r w:rsidRPr="00837BF1">
        <w:rPr>
          <w:rFonts w:ascii="Arial" w:hAnsi="Arial" w:cs="Arial"/>
        </w:rPr>
        <w:t xml:space="preserve"> </w:t>
      </w:r>
      <w:r w:rsidR="00E97744" w:rsidRPr="00837BF1">
        <w:rPr>
          <w:rFonts w:ascii="Arial" w:hAnsi="Arial" w:cs="Arial"/>
        </w:rPr>
        <w:t xml:space="preserve">&amp; </w:t>
      </w:r>
      <w:proofErr w:type="spellStart"/>
      <w:r w:rsidR="00E97744" w:rsidRPr="00837BF1">
        <w:rPr>
          <w:rFonts w:ascii="Arial" w:hAnsi="Arial" w:cs="Arial"/>
        </w:rPr>
        <w:t>Borkowska</w:t>
      </w:r>
      <w:proofErr w:type="spellEnd"/>
      <w:r w:rsidR="00E97744" w:rsidRPr="00837BF1">
        <w:rPr>
          <w:rFonts w:ascii="Arial" w:hAnsi="Arial" w:cs="Arial"/>
        </w:rPr>
        <w:t xml:space="preserve"> </w:t>
      </w:r>
      <w:r w:rsidRPr="00837BF1">
        <w:rPr>
          <w:rFonts w:ascii="Arial" w:hAnsi="Arial" w:cs="Arial"/>
        </w:rPr>
        <w:t xml:space="preserve">et al., 2020). Family disruption is noted elsewhere as having negative impact on mental health problems </w:t>
      </w:r>
      <w:r w:rsidRPr="00837BF1">
        <w:rPr>
          <w:rFonts w:ascii="Arial" w:hAnsi="Arial" w:cs="Arial"/>
        </w:rPr>
        <w:fldChar w:fldCharType="begin" w:fldLock="1"/>
      </w:r>
      <w:r w:rsidRPr="00837BF1">
        <w:rPr>
          <w:rFonts w:ascii="Arial" w:hAnsi="Arial" w:cs="Arial"/>
        </w:rPr>
        <w:instrText>ADDIN CSL_CITATION {"citationItems":[{"id":"ITEM-1","itemData":{"abstract":"The World Health Organization (WHO) is a specialized agency of the United Nations created in 1948 with the primary responsibility for international health matters and public health. The WHO Regional Office for Europe is one of six regional offices throughout the world, each with its own programme geared to the particular health conditions of the countries it serves.","id":"ITEM-1","issued":{"date-parts":[["2011"]]},"title":"Member States The WHO Regional Office for Europe","type":"report"},"uris":["http://www.mendeley.com/documents/?uuid=3a8ced2b-e123-3d8f-8772-aca67d890b1f"]}],"mendeley":{"formattedCitation":"(&lt;i&gt;Member States The WHO Regional Office for Europe&lt;/i&gt;, 2011)","manualFormatting":"(WHO Regional Office for Europe, 2011)","plainTextFormattedCitation":"(Member States The WHO Regional Office for Europe, 2011)","previouslyFormattedCitation":"(&lt;i&gt;Member States The WHO Regional Office for Europe&lt;/i&gt;, 2011)"},"properties":{"noteIndex":0},"schema":"https://github.com/citation-style-language/schema/raw/master/csl-citation.json"}</w:instrText>
      </w:r>
      <w:r w:rsidRPr="00837BF1">
        <w:rPr>
          <w:rFonts w:ascii="Arial" w:hAnsi="Arial" w:cs="Arial"/>
        </w:rPr>
        <w:fldChar w:fldCharType="separate"/>
      </w:r>
      <w:r w:rsidRPr="00837BF1">
        <w:rPr>
          <w:rFonts w:ascii="Arial" w:hAnsi="Arial" w:cs="Arial"/>
          <w:noProof/>
        </w:rPr>
        <w:t>(WHO, 2011)</w:t>
      </w:r>
      <w:r w:rsidRPr="00837BF1">
        <w:rPr>
          <w:rFonts w:ascii="Arial" w:hAnsi="Arial" w:cs="Arial"/>
        </w:rPr>
        <w:fldChar w:fldCharType="end"/>
      </w:r>
      <w:r w:rsidRPr="00837BF1">
        <w:rPr>
          <w:rFonts w:ascii="Arial" w:hAnsi="Arial" w:cs="Arial"/>
        </w:rPr>
        <w:t>.</w:t>
      </w:r>
      <w:r w:rsidRPr="00837BF1">
        <w:rPr>
          <w:rFonts w:ascii="Times New Roman" w:hAnsi="Times New Roman" w:cs="Times New Roman"/>
          <w:i/>
          <w:iCs/>
        </w:rPr>
        <w:t xml:space="preserve"> </w:t>
      </w:r>
      <w:r w:rsidRPr="00837BF1">
        <w:rPr>
          <w:rFonts w:ascii="Arial" w:hAnsi="Arial" w:cs="Arial"/>
        </w:rPr>
        <w:t xml:space="preserve">Our finding is also consistent with the ‘role strain’ model alluded to by </w:t>
      </w:r>
      <w:proofErr w:type="spellStart"/>
      <w:r w:rsidRPr="00837BF1">
        <w:rPr>
          <w:rFonts w:ascii="Arial" w:hAnsi="Arial" w:cs="Arial"/>
        </w:rPr>
        <w:t>Oomens</w:t>
      </w:r>
      <w:proofErr w:type="spellEnd"/>
      <w:r w:rsidRPr="00837BF1">
        <w:rPr>
          <w:rFonts w:ascii="Arial" w:hAnsi="Arial" w:cs="Arial"/>
        </w:rPr>
        <w:t xml:space="preserve">, </w:t>
      </w:r>
      <w:proofErr w:type="spellStart"/>
      <w:r w:rsidRPr="00837BF1">
        <w:rPr>
          <w:rFonts w:ascii="Arial" w:hAnsi="Arial" w:cs="Arial"/>
        </w:rPr>
        <w:t>Geurts</w:t>
      </w:r>
      <w:proofErr w:type="spellEnd"/>
      <w:r w:rsidRPr="00837BF1">
        <w:rPr>
          <w:rFonts w:ascii="Arial" w:hAnsi="Arial" w:cs="Arial"/>
        </w:rPr>
        <w:t xml:space="preserve"> and Scheepers (2007), which purports that individuals occupying multiple social roles experience role conflict, resultant stress and adverse mental health.</w:t>
      </w:r>
    </w:p>
    <w:p w14:paraId="57600917" w14:textId="77777777" w:rsidR="00FF2F73" w:rsidRPr="00837BF1" w:rsidRDefault="00FF2F73" w:rsidP="00FF2F73">
      <w:pPr>
        <w:autoSpaceDE w:val="0"/>
        <w:autoSpaceDN w:val="0"/>
        <w:adjustRightInd w:val="0"/>
        <w:spacing w:after="0" w:line="480" w:lineRule="auto"/>
        <w:jc w:val="both"/>
        <w:rPr>
          <w:rFonts w:ascii="Arial" w:hAnsi="Arial" w:cs="Arial"/>
        </w:rPr>
      </w:pPr>
    </w:p>
    <w:p w14:paraId="1A498EA6" w14:textId="77777777" w:rsidR="00FF2F73" w:rsidRPr="00837BF1" w:rsidRDefault="00FF2F73" w:rsidP="00FF2F73">
      <w:pPr>
        <w:autoSpaceDE w:val="0"/>
        <w:autoSpaceDN w:val="0"/>
        <w:adjustRightInd w:val="0"/>
        <w:spacing w:after="0" w:line="480" w:lineRule="auto"/>
        <w:jc w:val="both"/>
        <w:rPr>
          <w:rFonts w:ascii="Arial" w:hAnsi="Arial" w:cs="Arial"/>
        </w:rPr>
      </w:pPr>
      <w:r w:rsidRPr="00837BF1">
        <w:rPr>
          <w:rFonts w:ascii="Arial" w:hAnsi="Arial" w:cs="Arial"/>
        </w:rPr>
        <w:t>Reduced hours due to self-isolation or sickness</w:t>
      </w:r>
    </w:p>
    <w:p w14:paraId="12F2413C" w14:textId="37184133" w:rsidR="00FF2F73" w:rsidRPr="00837BF1" w:rsidRDefault="00FF2F73" w:rsidP="00FF2F73">
      <w:pPr>
        <w:autoSpaceDE w:val="0"/>
        <w:autoSpaceDN w:val="0"/>
        <w:adjustRightInd w:val="0"/>
        <w:spacing w:after="0" w:line="480" w:lineRule="auto"/>
        <w:jc w:val="both"/>
        <w:rPr>
          <w:rFonts w:ascii="Arial" w:hAnsi="Arial" w:cs="Arial"/>
        </w:rPr>
      </w:pPr>
      <w:r w:rsidRPr="00837BF1">
        <w:rPr>
          <w:rFonts w:ascii="Arial" w:hAnsi="Arial" w:cs="Arial"/>
        </w:rPr>
        <w:t xml:space="preserve">We </w:t>
      </w:r>
      <w:r w:rsidR="00005F43" w:rsidRPr="00837BF1">
        <w:rPr>
          <w:rFonts w:ascii="Arial" w:hAnsi="Arial" w:cs="Arial"/>
        </w:rPr>
        <w:t xml:space="preserve">also </w:t>
      </w:r>
      <w:r w:rsidRPr="00837BF1">
        <w:rPr>
          <w:rFonts w:ascii="Arial" w:hAnsi="Arial" w:cs="Arial"/>
        </w:rPr>
        <w:t xml:space="preserve">found weak evidence of poorer mental health among workers who had reduced working hours due to self-isolation or sickness. A rapid review (Brooks et al., 2020) found consistent evidence on the negative effects of quarantine, with particular stressors during including longer duration of quarantine, fear of infection, financial loss and stigma. The stay at home and social distancing policies are likely to increase loneliness and isolation (Holmes et al., 2020; The Academy of Medical Sciences, 2020)- risk factors for more serious mental health disorders </w:t>
      </w:r>
      <w:r w:rsidRPr="00837BF1">
        <w:rPr>
          <w:rFonts w:ascii="Arial" w:hAnsi="Arial" w:cs="Arial"/>
        </w:rPr>
        <w:fldChar w:fldCharType="begin" w:fldLock="1"/>
      </w:r>
      <w:r w:rsidRPr="00837BF1">
        <w:rPr>
          <w:rFonts w:ascii="Arial" w:hAnsi="Arial" w:cs="Arial"/>
        </w:rPr>
        <w:instrText>ADDIN CSL_CITATION {"citationItems":[{"id":"ITEM-1","itemData":{"DOI":"https://doi.org/10.1016/j.puhe.2017.07.035","ISSN":"0033-3506","abstract":"Objectives\nSocial isolation and loneliness have been associated with ill health and are common in the developed world. A clear understanding of their implications for morbidity and mortality is needed to gauge the extent of the associated public health challenge and the potential benefit of intervention.\nStudy design\nA systematic review of systematic reviews (systematic overview) was undertaken to determine the wider consequences of social isolation and loneliness, identify any differences between the two, determine differences from findings of non-systematic reviews and to clarify the direction of causality.\nMethods\nEight databases were searched from 1950 to 2016 for English language reviews covering social isolation and loneliness but not solely social support. Suitability for inclusion was determined by two or more reviewers, the methodological quality of included systematic reviews assessed using the a measurement tool to assess systematic reviews (AMSTAR) checklist and the quality of evidence within these reviews using the grading of recommendations, assessment, development and evaluations (GRADE) approach. Non-systematic reviews were sought for a comparison of findings but not included in the primary narrative synthesis.\nResults\nForty systematic reviews of mainly observational studies were identified, largely from the developed world. Meta-analyses have identified a significant association between social isolation and loneliness with increased all-cause mortality and social isolation with cardiovascular disease. Narrative systematic reviews suggest associations with poorer mental health outcomes, with less strong evidence for behavioural and other physical health outcomes. No reviews were identified for wider socio-economic or developmental outcomes.\nConclusions\nThis systematic overview highlights that there is consistent evidence linking social isolation and loneliness to worse cardiovascular and mental health outcomes. The role of social isolation and loneliness in other conditions and their socio-economic consequences is less clear. More research is needed on associations with cancer, health behaviours, and the impact across the life course and wider socio-economic consequences. Policy makers and health and local government commissioners should consider social isolation and loneliness as important upstream factors impacting on morbidity and mortality due to their effects on cardiovascular and mental health. Prevention strategies should therefor…","author":[{"dropping-particle":"","family":"Leigh-Hunt","given":"N","non-dropping-particle":"","parse-names":false,"suffix":""},{"dropping-particle":"","family":"Bagguley","given":"D","non-dropping-particle":"","parse-names":false,"suffix":""},{"dropping-particle":"","family":"Bash","given":"K","non-dropping-particle":"","parse-names":false,"suffix":""},{"dropping-particle":"","family":"Turner","given":"V","non-dropping-particle":"","parse-names":false,"suffix":""},{"dropping-particle":"","family":"Turnbull","given":"S","non-dropping-particle":"","parse-names":false,"suffix":""},{"dropping-particle":"","family":"Valtorta","given":"N","non-dropping-particle":"","parse-names":false,"suffix":""},{"dropping-particle":"","family":"Caan","given":"W","non-dropping-particle":"","parse-names":false,"suffix":""}],"container-title":"Public Health","id":"ITEM-1","issued":{"date-parts":[["2017"]]},"page":"157-171","title":"An overview of systematic reviews on the public health consequences of social isolation and loneliness","type":"article-journal","volume":"152"},"uris":["http://www.mendeley.com/documents/?uuid=1a517ca2-d6d6-3fd4-9855-f599b42870da"]},{"id":"ITEM-2","itemData":{"DOI":"10.1080/00223980.2011.582523","ISSN":"00223980","abstract":"Research seems to support loneliness as a risk factor for mental health problems in the elderly. Most studies analyzing the effects of loneliness on older adults mental health have relied on convenience samples. In this study, the prevalence and predictors of feelings of loneliness were studied in a representative sample of 272 community-dwelling Spanish older adults. The potential of feelings of loneliness to significantly contribute to the explanation of mental health of the elderly was also explored. The percentage of people reporting feelings of loneliness was 23.1%. Being a woman, being older, living alone, having fewer economic resources, having lower perceived health, and being dissatisfied with the frequency of contact with relatives and friends were found to be significant predictors of feelings of loneliness. Loneliness contributed significantly to the explanation of mental health, even when other significant variables were statistically controlled. The results of this study suggest that loneliness is a relevant factor for the analysis and understanding of mental health in the elderly. © 2012 Copyright Taylor and Francis Group, LLC.","author":[{"dropping-particle":"","family":"Losada","given":"Andrés","non-dropping-particle":"","parse-names":false,"suffix":""},{"dropping-particle":"","family":"Márquez-González","given":"Mara","non-dropping-particle":"","parse-names":false,"suffix":""},{"dropping-particle":"","family":"García-Ortiz","given":"Luis","non-dropping-particle":"","parse-names":false,"suffix":""},{"dropping-particle":"","family":"Gómez-Marcos","given":"Manuel Angel","non-dropping-particle":"","parse-names":false,"suffix":""},{"dropping-particle":"","family":"Fernández-Fernández","given":"Virginia","non-dropping-particle":"","parse-names":false,"suffix":""},{"dropping-particle":"","family":"Rodrguez-Sánchez","given":"Emiliano","non-dropping-particle":"","parse-names":false,"suffix":""}],"container-title":"Journal of Psychology: Interdisciplinary and Applied","id":"ITEM-2","issue":"3","issued":{"date-parts":[["2012","5","1"]]},"page":"277-292","title":"Loneliness and mental health in a representative sample of community-dwelling Spanish older adults","type":"article-journal","volume":"146"},"uris":["http://www.mendeley.com/documents/?uuid=041867d1-af68-3d61-bd22-d5e30779e313"]},{"id":"ITEM-3","itemData":{"DOI":"10.1037/0882-7974.21.1.140","ISSN":"08827974","abstract":"The extent to which loneliness is a unique risk factor for depressive symptoms was determined in 2 population-based studies of middle-aged to older adults, and the possible causal influences between loneliness and depressive symptoms were examined longitudinally in the 2nd study. In Study 1, a nationally representative sample of persons aged 54 and older completed a telephone interview as part of a study of health and aging. Higher levels of loneliness were associated with more depressive symptoms, net of the effects of age, gender, ethnicity, education, income, marital status, social support, and perceived stress. In Study 2, detailed measures of loneliness, social support, perceived stress, hostility, and demographic characteristics were collected over a 3-year period from a population-based sample of adults ages 50-67 years from Cook County, Illinois. Loneliness was again associated with more depressive symptoms, net of demographic covariates, marital status, social support, hostility, and perceived stress. Latent variable growth models revealed reciprocal influences over time between loneliness and depressive symptomatology. These data suggest that loneliness and depressive symptomatology can act in a synergistic effect to diminish well-being in middle-aged and older adults. Copyright 2006 by the American Psychological Association.","author":[{"dropping-particle":"","family":"Cacioppo","given":"John T.","non-dropping-particle":"","parse-names":false,"suffix":""},{"dropping-particle":"","family":"Hughes","given":"Mary Elizabeth","non-dropping-particle":"","parse-names":false,"suffix":""},{"dropping-particle":"","family":"Waite","given":"Linda J.","non-dropping-particle":"","parse-names":false,"suffix":""},{"dropping-particle":"","family":"Hawkley","given":"Louise C.","non-dropping-particle":"","parse-names":false,"suffix":""},{"dropping-particle":"","family":"Thisted","given":"Ronald A.","non-dropping-particle":"","parse-names":false,"suffix":""}],"container-title":"Psychology and Aging","id":"ITEM-3","issue":"1","issued":{"date-parts":[["2006","3"]]},"page":"140-151","title":"Loneliness as a specific risk factor for depressive symptoms: Cross-sectional and longitudinal analyses","type":"article-journal","volume":"21"},"uris":["http://www.mendeley.com/documents/?uuid=33045bbd-ab7f-3d03-9234-dd72a8039ce3"]}],"mendeley":{"formattedCitation":"(Cacioppo et al., 2006; Leigh-Hunt et al., 2017; Losada et al., 2012)","plainTextFormattedCitation":"(Cacioppo et al., 2006; Leigh-Hunt et al., 2017; Losada et al., 2012)","previouslyFormattedCitation":"(Cacioppo et al., 2006; Leigh-Hunt et al., 2017; Losada et al., 2012)"},"properties":{"noteIndex":0},"schema":"https://github.com/citation-style-language/schema/raw/master/csl-citation.json"}</w:instrText>
      </w:r>
      <w:r w:rsidRPr="00837BF1">
        <w:rPr>
          <w:rFonts w:ascii="Arial" w:hAnsi="Arial" w:cs="Arial"/>
        </w:rPr>
        <w:fldChar w:fldCharType="separate"/>
      </w:r>
      <w:r w:rsidRPr="00837BF1">
        <w:rPr>
          <w:rFonts w:ascii="Arial" w:hAnsi="Arial" w:cs="Arial"/>
          <w:noProof/>
        </w:rPr>
        <w:t>(Cacioppo, Hughes, Waite, Hawkley, &amp; Thisted, 2006; Leigh-Hunt et al., 2017; Losada et al., 2012)</w:t>
      </w:r>
      <w:r w:rsidRPr="00837BF1">
        <w:rPr>
          <w:rFonts w:ascii="Arial" w:hAnsi="Arial" w:cs="Arial"/>
        </w:rPr>
        <w:fldChar w:fldCharType="end"/>
      </w:r>
      <w:r w:rsidRPr="00837BF1">
        <w:rPr>
          <w:rFonts w:ascii="Arial" w:hAnsi="Arial" w:cs="Arial"/>
        </w:rPr>
        <w:t xml:space="preserve">. </w:t>
      </w:r>
    </w:p>
    <w:p w14:paraId="72BD66D9" w14:textId="77777777" w:rsidR="00FF2F73" w:rsidRPr="00837BF1" w:rsidRDefault="00FF2F73" w:rsidP="00FF2F73">
      <w:pPr>
        <w:autoSpaceDE w:val="0"/>
        <w:autoSpaceDN w:val="0"/>
        <w:adjustRightInd w:val="0"/>
        <w:spacing w:after="0" w:line="480" w:lineRule="auto"/>
        <w:jc w:val="both"/>
        <w:rPr>
          <w:rFonts w:ascii="Arial" w:hAnsi="Arial" w:cs="Arial"/>
        </w:rPr>
      </w:pPr>
    </w:p>
    <w:p w14:paraId="671F7AAE" w14:textId="77777777" w:rsidR="00FF2F73" w:rsidRPr="00837BF1" w:rsidRDefault="00FF2F73" w:rsidP="00FF2F73">
      <w:pPr>
        <w:autoSpaceDE w:val="0"/>
        <w:autoSpaceDN w:val="0"/>
        <w:adjustRightInd w:val="0"/>
        <w:spacing w:after="0" w:line="480" w:lineRule="auto"/>
        <w:jc w:val="both"/>
        <w:rPr>
          <w:rFonts w:ascii="Arial" w:hAnsi="Arial" w:cs="Arial"/>
        </w:rPr>
      </w:pPr>
      <w:r w:rsidRPr="00837BF1">
        <w:rPr>
          <w:rFonts w:ascii="Arial" w:hAnsi="Arial" w:cs="Arial"/>
        </w:rPr>
        <w:t>Impact on furloughed employees</w:t>
      </w:r>
    </w:p>
    <w:p w14:paraId="3DB25C1F" w14:textId="0CA8BCD8" w:rsidR="00FF2F73" w:rsidRPr="00837BF1" w:rsidRDefault="00FF2F73" w:rsidP="00FF2F73">
      <w:pPr>
        <w:autoSpaceDE w:val="0"/>
        <w:autoSpaceDN w:val="0"/>
        <w:adjustRightInd w:val="0"/>
        <w:spacing w:after="0" w:line="480" w:lineRule="auto"/>
        <w:jc w:val="both"/>
        <w:rPr>
          <w:rFonts w:ascii="Arial" w:hAnsi="Arial" w:cs="Arial"/>
        </w:rPr>
      </w:pPr>
      <w:r w:rsidRPr="00837BF1">
        <w:rPr>
          <w:rFonts w:ascii="Arial" w:hAnsi="Arial" w:cs="Arial"/>
        </w:rPr>
        <w:t>The W</w:t>
      </w:r>
      <w:r w:rsidR="003155A7" w:rsidRPr="00837BF1">
        <w:rPr>
          <w:rFonts w:ascii="Arial" w:hAnsi="Arial" w:cs="Arial"/>
        </w:rPr>
        <w:t>orld Health O</w:t>
      </w:r>
      <w:r w:rsidR="00FC2A44" w:rsidRPr="00837BF1">
        <w:rPr>
          <w:rFonts w:ascii="Arial" w:hAnsi="Arial" w:cs="Arial"/>
        </w:rPr>
        <w:t>rganization (WHO)</w:t>
      </w:r>
      <w:r w:rsidRPr="00837BF1">
        <w:rPr>
          <w:rFonts w:ascii="Arial" w:hAnsi="Arial" w:cs="Arial"/>
        </w:rPr>
        <w:t xml:space="preserve"> suggests that active labour market programmes aimed at helping people retain and quickly regain employment can be an effective government response in mitigating the adverse mental health effects of recession </w:t>
      </w:r>
      <w:r w:rsidRPr="00837BF1">
        <w:rPr>
          <w:rFonts w:ascii="Arial" w:hAnsi="Arial" w:cs="Arial"/>
        </w:rPr>
        <w:fldChar w:fldCharType="begin" w:fldLock="1"/>
      </w:r>
      <w:r w:rsidRPr="00837BF1">
        <w:rPr>
          <w:rFonts w:ascii="Arial" w:hAnsi="Arial" w:cs="Arial"/>
        </w:rPr>
        <w:instrText>ADDIN CSL_CITATION {"citationItems":[{"id":"ITEM-1","itemData":{"abstract":"The World Health Organization (WHO) is a specialized agency of the United Nations created in 1948 with the primary responsibility for international health matters and public health. The WHO Regional Office for Europe is one of six regional offices throughout the world, each with its own programme geared to the particular health conditions of the countries it serves.","id":"ITEM-1","issued":{"date-parts":[["2011"]]},"title":"Member States The WHO Regional Office for Europe","type":"report"},"uris":["http://www.mendeley.com/documents/?uuid=3a8ced2b-e123-3d8f-8772-aca67d890b1f"]}],"mendeley":{"formattedCitation":"(&lt;i&gt;Member States The WHO Regional Office for Europe&lt;/i&gt;, 2011)","manualFormatting":"(WHO Regional Office for Europe, 2011)","plainTextFormattedCitation":"(Member States The WHO Regional Office for Europe, 2011)","previouslyFormattedCitation":"(&lt;i&gt;Member States The WHO Regional Office for Europe&lt;/i&gt;, 2011)"},"properties":{"noteIndex":0},"schema":"https://github.com/citation-style-language/schema/raw/master/csl-citation.json"}</w:instrText>
      </w:r>
      <w:r w:rsidRPr="00837BF1">
        <w:rPr>
          <w:rFonts w:ascii="Arial" w:hAnsi="Arial" w:cs="Arial"/>
        </w:rPr>
        <w:fldChar w:fldCharType="separate"/>
      </w:r>
      <w:r w:rsidRPr="00837BF1">
        <w:rPr>
          <w:rFonts w:ascii="Arial" w:hAnsi="Arial" w:cs="Arial"/>
          <w:noProof/>
        </w:rPr>
        <w:t>(WHO, 2011)</w:t>
      </w:r>
      <w:r w:rsidRPr="00837BF1">
        <w:rPr>
          <w:rFonts w:ascii="Arial" w:hAnsi="Arial" w:cs="Arial"/>
        </w:rPr>
        <w:fldChar w:fldCharType="end"/>
      </w:r>
      <w:r w:rsidRPr="00837BF1">
        <w:rPr>
          <w:rFonts w:ascii="Arial" w:hAnsi="Arial" w:cs="Arial"/>
        </w:rPr>
        <w:t>. Such programmes may include public employment services, labour market training or specific programmes aimed at youth. Our study found no evidence of poorer mental health among furloughed employees in the early months of the pandemic. While the government furlough scheme is qualitatively different from such programmes, it may have alleviated financial strain in the short term and potentially mitigate</w:t>
      </w:r>
      <w:r w:rsidR="00FC2A44" w:rsidRPr="00837BF1">
        <w:rPr>
          <w:rFonts w:ascii="Arial" w:hAnsi="Arial" w:cs="Arial"/>
        </w:rPr>
        <w:t>d</w:t>
      </w:r>
      <w:r w:rsidRPr="00837BF1">
        <w:rPr>
          <w:rFonts w:ascii="Arial" w:hAnsi="Arial" w:cs="Arial"/>
        </w:rPr>
        <w:t xml:space="preserve"> the adverse impact of employment </w:t>
      </w:r>
      <w:r w:rsidR="000057DC" w:rsidRPr="00837BF1">
        <w:rPr>
          <w:rFonts w:ascii="Arial" w:hAnsi="Arial" w:cs="Arial"/>
        </w:rPr>
        <w:t>transitions</w:t>
      </w:r>
      <w:r w:rsidRPr="00837BF1">
        <w:rPr>
          <w:rFonts w:ascii="Arial" w:hAnsi="Arial" w:cs="Arial"/>
        </w:rPr>
        <w:t xml:space="preserve"> on mental health. However, </w:t>
      </w:r>
      <w:r w:rsidR="00D26E57" w:rsidRPr="00837BF1">
        <w:rPr>
          <w:rFonts w:ascii="Arial" w:hAnsi="Arial" w:cs="Arial"/>
        </w:rPr>
        <w:t>many industries face an uncertain future</w:t>
      </w:r>
      <w:r w:rsidRPr="00837BF1">
        <w:rPr>
          <w:rFonts w:ascii="Arial" w:hAnsi="Arial" w:cs="Arial"/>
        </w:rPr>
        <w:t xml:space="preserve">. While furloughed workers in some sectors may have genuine prospects of return to work, for others the furlough scheme may be postponing inevitable redundancy. A report assessing the ‘near-term’ impact of the COVID-19 on United States workers suggests that up to one third of jobs may be ‘vulnerable’ </w:t>
      </w:r>
      <w:r w:rsidRPr="00837BF1">
        <w:rPr>
          <w:rFonts w:ascii="Arial" w:hAnsi="Arial" w:cs="Arial"/>
        </w:rPr>
        <w:fldChar w:fldCharType="begin" w:fldLock="1"/>
      </w:r>
      <w:r w:rsidRPr="00837BF1">
        <w:rPr>
          <w:rFonts w:ascii="Arial" w:hAnsi="Arial" w:cs="Arial"/>
        </w:rPr>
        <w:instrText>ADDIN CSL_CITATION {"citationItems":[{"id":"ITEM-1","itemData":{"author":[{"dropping-particle":"","family":"Lund","given":"Susan","non-dropping-particle":"","parse-names":false,"suffix":""},{"dropping-particle":"","family":"Ellingrud","given":"Kweilin","non-dropping-particle":"","parse-names":false,"suffix":""},{"dropping-particle":"","family":"Hancock","given":"Bryan","non-dropping-particle":"","parse-names":false,"suffix":""},{"dropping-particle":"","family":"Manyika","given":"James","non-dropping-particle":"","parse-names":false,"suffix":""},{"dropping-particle":"","family":"Dua","given":"André","non-dropping-particle":"","parse-names":false,"suffix":""}],"id":"ITEM-1","issued":{"date-parts":[["2020"]]},"title":"Lives and livelihoods: Assessing the near-term impact of COVID-19 on US workers","type":"report"},"uris":["http://www.mendeley.com/documents/?uuid=ca623eb3-d677-3fd7-a3ad-2767502ae870"]}],"mendeley":{"formattedCitation":"(Lund et al., 2020)","plainTextFormattedCitation":"(Lund et al., 2020)","previouslyFormattedCitation":"(Lund et al., 2020)"},"properties":{"noteIndex":0},"schema":"https://github.com/citation-style-language/schema/raw/master/csl-citation.json"}</w:instrText>
      </w:r>
      <w:r w:rsidRPr="00837BF1">
        <w:rPr>
          <w:rFonts w:ascii="Arial" w:hAnsi="Arial" w:cs="Arial"/>
        </w:rPr>
        <w:fldChar w:fldCharType="separate"/>
      </w:r>
      <w:r w:rsidRPr="00837BF1">
        <w:rPr>
          <w:rFonts w:ascii="Arial" w:hAnsi="Arial" w:cs="Arial"/>
          <w:noProof/>
        </w:rPr>
        <w:t>(Lund, Ellingrud, Hancock, Manyika, &amp; Dua, 2020)</w:t>
      </w:r>
      <w:r w:rsidRPr="00837BF1">
        <w:rPr>
          <w:rFonts w:ascii="Arial" w:hAnsi="Arial" w:cs="Arial"/>
        </w:rPr>
        <w:fldChar w:fldCharType="end"/>
      </w:r>
      <w:r w:rsidRPr="00837BF1">
        <w:rPr>
          <w:rFonts w:ascii="Arial" w:hAnsi="Arial" w:cs="Arial"/>
        </w:rPr>
        <w:t xml:space="preserve">. As lockdown continues and </w:t>
      </w:r>
      <w:r w:rsidRPr="00837BF1">
        <w:rPr>
          <w:rFonts w:ascii="Arial" w:hAnsi="Arial" w:cs="Arial"/>
          <w:color w:val="000000"/>
          <w:shd w:val="clear" w:color="auto" w:fill="FFFFFF"/>
        </w:rPr>
        <w:t xml:space="preserve">job security among those on furlough becomes more precarious, thus undoing the relative protective effect, it is important that employment transitions and related mental health outcomes among this group are monitored. </w:t>
      </w:r>
      <w:r w:rsidRPr="00837BF1">
        <w:rPr>
          <w:rFonts w:ascii="Arial" w:hAnsi="Arial" w:cs="Arial"/>
        </w:rPr>
        <w:t xml:space="preserve"> </w:t>
      </w:r>
    </w:p>
    <w:p w14:paraId="4DC024A8" w14:textId="77777777" w:rsidR="00FF2F73" w:rsidRPr="00837BF1" w:rsidRDefault="00FF2F73" w:rsidP="00FF2F73">
      <w:pPr>
        <w:autoSpaceDE w:val="0"/>
        <w:autoSpaceDN w:val="0"/>
        <w:adjustRightInd w:val="0"/>
        <w:spacing w:after="0" w:line="480" w:lineRule="auto"/>
        <w:jc w:val="both"/>
        <w:rPr>
          <w:rFonts w:ascii="Arial" w:hAnsi="Arial" w:cs="Arial"/>
        </w:rPr>
      </w:pPr>
      <w:r w:rsidRPr="00837BF1">
        <w:rPr>
          <w:rFonts w:ascii="Arial" w:hAnsi="Arial" w:cs="Arial"/>
        </w:rPr>
        <w:lastRenderedPageBreak/>
        <w:t>Other characteristics associated with poorer mental health</w:t>
      </w:r>
    </w:p>
    <w:p w14:paraId="6132E13B" w14:textId="525211E5" w:rsidR="00323924" w:rsidRPr="00837BF1" w:rsidRDefault="00FF2F73" w:rsidP="00FF2F73">
      <w:pPr>
        <w:autoSpaceDE w:val="0"/>
        <w:autoSpaceDN w:val="0"/>
        <w:adjustRightInd w:val="0"/>
        <w:spacing w:after="0" w:line="480" w:lineRule="auto"/>
        <w:jc w:val="both"/>
        <w:rPr>
          <w:rFonts w:ascii="Arial" w:hAnsi="Arial" w:cs="Arial"/>
        </w:rPr>
      </w:pPr>
      <w:r w:rsidRPr="00837BF1">
        <w:rPr>
          <w:rFonts w:ascii="Arial" w:hAnsi="Arial" w:cs="Arial"/>
        </w:rPr>
        <w:t>Our study found that increasing age was associated with better mental health, while female sex</w:t>
      </w:r>
      <w:r w:rsidR="002620A1" w:rsidRPr="00837BF1">
        <w:rPr>
          <w:rFonts w:ascii="Arial" w:hAnsi="Arial" w:cs="Arial"/>
        </w:rPr>
        <w:t xml:space="preserve"> and</w:t>
      </w:r>
      <w:r w:rsidR="00B72A9E" w:rsidRPr="00837BF1">
        <w:rPr>
          <w:rFonts w:ascii="Arial" w:hAnsi="Arial" w:cs="Arial"/>
        </w:rPr>
        <w:t xml:space="preserve"> not living in a couple</w:t>
      </w:r>
      <w:r w:rsidRPr="00837BF1">
        <w:rPr>
          <w:rFonts w:ascii="Arial" w:hAnsi="Arial" w:cs="Arial"/>
        </w:rPr>
        <w:t xml:space="preserve"> were associated with poorer mental health </w:t>
      </w:r>
      <w:r w:rsidR="002620A1" w:rsidRPr="00837BF1">
        <w:rPr>
          <w:rFonts w:ascii="Arial" w:hAnsi="Arial" w:cs="Arial"/>
        </w:rPr>
        <w:t>during the early months of the pandemic</w:t>
      </w:r>
      <w:r w:rsidRPr="00837BF1">
        <w:rPr>
          <w:rFonts w:ascii="Arial" w:hAnsi="Arial" w:cs="Arial"/>
        </w:rPr>
        <w:t xml:space="preserve">. </w:t>
      </w:r>
      <w:r w:rsidR="000137B7" w:rsidRPr="00837BF1">
        <w:rPr>
          <w:rFonts w:ascii="Arial" w:hAnsi="Arial" w:cs="Arial"/>
        </w:rPr>
        <w:t>The</w:t>
      </w:r>
      <w:r w:rsidR="00D010CA" w:rsidRPr="00837BF1">
        <w:rPr>
          <w:rFonts w:ascii="Arial" w:hAnsi="Arial" w:cs="Arial"/>
        </w:rPr>
        <w:t xml:space="preserve"> greater adverse </w:t>
      </w:r>
      <w:r w:rsidR="00DB0E14" w:rsidRPr="00837BF1">
        <w:rPr>
          <w:rFonts w:ascii="Arial" w:hAnsi="Arial" w:cs="Arial"/>
        </w:rPr>
        <w:t>mental health impact on female employees</w:t>
      </w:r>
      <w:r w:rsidR="0099061F" w:rsidRPr="00837BF1">
        <w:rPr>
          <w:rFonts w:ascii="Arial" w:hAnsi="Arial" w:cs="Arial"/>
        </w:rPr>
        <w:t xml:space="preserve"> reflects </w:t>
      </w:r>
      <w:r w:rsidR="000B156A" w:rsidRPr="00837BF1">
        <w:rPr>
          <w:rFonts w:ascii="Arial" w:hAnsi="Arial" w:cs="Arial"/>
        </w:rPr>
        <w:t>evidence of elevated risk among females from other early studies on the m</w:t>
      </w:r>
      <w:r w:rsidR="00362CAF" w:rsidRPr="00837BF1">
        <w:rPr>
          <w:rFonts w:ascii="Arial" w:hAnsi="Arial" w:cs="Arial"/>
        </w:rPr>
        <w:t>en</w:t>
      </w:r>
      <w:r w:rsidR="000B156A" w:rsidRPr="00837BF1">
        <w:rPr>
          <w:rFonts w:ascii="Arial" w:hAnsi="Arial" w:cs="Arial"/>
        </w:rPr>
        <w:t>tal health consequences of the pandemic</w:t>
      </w:r>
      <w:r w:rsidR="001A5337" w:rsidRPr="00837BF1">
        <w:rPr>
          <w:rFonts w:ascii="Arial" w:hAnsi="Arial" w:cs="Arial"/>
        </w:rPr>
        <w:t xml:space="preserve"> (</w:t>
      </w:r>
      <w:proofErr w:type="spellStart"/>
      <w:r w:rsidR="001A5337" w:rsidRPr="00837BF1">
        <w:rPr>
          <w:rFonts w:ascii="Arial" w:hAnsi="Arial" w:cs="Arial"/>
        </w:rPr>
        <w:t>Vindegaard</w:t>
      </w:r>
      <w:proofErr w:type="spellEnd"/>
      <w:r w:rsidR="001A5337" w:rsidRPr="00837BF1">
        <w:rPr>
          <w:rFonts w:ascii="Arial" w:hAnsi="Arial" w:cs="Arial"/>
        </w:rPr>
        <w:t xml:space="preserve"> et al., 2020; Pierce et al. 2020)</w:t>
      </w:r>
      <w:r w:rsidR="00E50F4F" w:rsidRPr="00837BF1">
        <w:rPr>
          <w:rFonts w:ascii="Arial" w:hAnsi="Arial" w:cs="Arial"/>
        </w:rPr>
        <w:t xml:space="preserve"> and highlights th</w:t>
      </w:r>
      <w:r w:rsidR="00C22C93" w:rsidRPr="00837BF1">
        <w:rPr>
          <w:rFonts w:ascii="Arial" w:hAnsi="Arial" w:cs="Arial"/>
        </w:rPr>
        <w:t xml:space="preserve">e need to </w:t>
      </w:r>
      <w:r w:rsidR="00DA65D0" w:rsidRPr="00837BF1">
        <w:rPr>
          <w:rFonts w:ascii="Arial" w:hAnsi="Arial" w:cs="Arial"/>
        </w:rPr>
        <w:t xml:space="preserve">prioritise </w:t>
      </w:r>
      <w:r w:rsidR="006F2054" w:rsidRPr="00837BF1">
        <w:rPr>
          <w:rFonts w:ascii="Arial" w:hAnsi="Arial" w:cs="Arial"/>
        </w:rPr>
        <w:t xml:space="preserve">the mental health needs of women </w:t>
      </w:r>
      <w:r w:rsidR="00DA65D0" w:rsidRPr="00837BF1">
        <w:rPr>
          <w:rFonts w:ascii="Arial" w:hAnsi="Arial" w:cs="Arial"/>
        </w:rPr>
        <w:t>during a pandemic</w:t>
      </w:r>
      <w:r w:rsidR="00362CAF" w:rsidRPr="00837BF1">
        <w:rPr>
          <w:rFonts w:ascii="Arial" w:hAnsi="Arial" w:cs="Arial"/>
        </w:rPr>
        <w:t xml:space="preserve">. </w:t>
      </w:r>
      <w:r w:rsidR="00A746AB" w:rsidRPr="00837BF1">
        <w:rPr>
          <w:rFonts w:ascii="Arial" w:hAnsi="Arial" w:cs="Arial"/>
        </w:rPr>
        <w:t xml:space="preserve">The challenge faced by women managing multiple roles during the pandemic is </w:t>
      </w:r>
      <w:r w:rsidR="00D033E0" w:rsidRPr="00837BF1">
        <w:rPr>
          <w:rFonts w:ascii="Arial" w:hAnsi="Arial" w:cs="Arial"/>
        </w:rPr>
        <w:t xml:space="preserve">highlighted </w:t>
      </w:r>
      <w:r w:rsidR="00DF4119" w:rsidRPr="00837BF1">
        <w:rPr>
          <w:rFonts w:ascii="Arial" w:hAnsi="Arial" w:cs="Arial"/>
        </w:rPr>
        <w:t xml:space="preserve">by </w:t>
      </w:r>
      <w:proofErr w:type="spellStart"/>
      <w:r w:rsidR="00DF4119" w:rsidRPr="00837BF1">
        <w:rPr>
          <w:rFonts w:ascii="Arial" w:hAnsi="Arial" w:cs="Arial"/>
        </w:rPr>
        <w:t>Benzeval</w:t>
      </w:r>
      <w:proofErr w:type="spellEnd"/>
      <w:r w:rsidR="00DF4119" w:rsidRPr="00837BF1">
        <w:rPr>
          <w:rFonts w:ascii="Arial" w:hAnsi="Arial" w:cs="Arial"/>
        </w:rPr>
        <w:t xml:space="preserve"> and colleagues </w:t>
      </w:r>
      <w:r w:rsidR="006F2054" w:rsidRPr="00837BF1">
        <w:rPr>
          <w:rFonts w:ascii="Arial" w:hAnsi="Arial" w:cs="Arial"/>
        </w:rPr>
        <w:t xml:space="preserve">(2020) </w:t>
      </w:r>
      <w:r w:rsidR="00DF4119" w:rsidRPr="00837BF1">
        <w:rPr>
          <w:rFonts w:ascii="Arial" w:hAnsi="Arial" w:cs="Arial"/>
        </w:rPr>
        <w:t>who estimated that</w:t>
      </w:r>
      <w:r w:rsidR="001304BE" w:rsidRPr="00837BF1">
        <w:rPr>
          <w:rFonts w:ascii="Arial" w:hAnsi="Arial" w:cs="Arial"/>
        </w:rPr>
        <w:t xml:space="preserve">, regardless of employment status, </w:t>
      </w:r>
      <w:r w:rsidR="00DF4119" w:rsidRPr="00837BF1">
        <w:rPr>
          <w:rFonts w:ascii="Arial" w:hAnsi="Arial" w:cs="Arial"/>
        </w:rPr>
        <w:t xml:space="preserve"> UK women spend</w:t>
      </w:r>
      <w:r w:rsidR="001304BE" w:rsidRPr="00837BF1">
        <w:rPr>
          <w:rFonts w:ascii="Arial" w:hAnsi="Arial" w:cs="Arial"/>
        </w:rPr>
        <w:t xml:space="preserve"> more weekly hours on childcare and home</w:t>
      </w:r>
      <w:r w:rsidR="000A2703" w:rsidRPr="00837BF1">
        <w:rPr>
          <w:rFonts w:ascii="Arial" w:hAnsi="Arial" w:cs="Arial"/>
        </w:rPr>
        <w:t>-</w:t>
      </w:r>
      <w:r w:rsidR="001304BE" w:rsidRPr="00837BF1">
        <w:rPr>
          <w:rFonts w:ascii="Arial" w:hAnsi="Arial" w:cs="Arial"/>
        </w:rPr>
        <w:t xml:space="preserve">schooling. </w:t>
      </w:r>
      <w:r w:rsidR="00FD2F50" w:rsidRPr="00837BF1">
        <w:rPr>
          <w:rFonts w:ascii="Arial" w:hAnsi="Arial" w:cs="Arial"/>
        </w:rPr>
        <w:t>Ether</w:t>
      </w:r>
      <w:r w:rsidR="00F44FD1" w:rsidRPr="00837BF1">
        <w:rPr>
          <w:rFonts w:ascii="Arial" w:hAnsi="Arial" w:cs="Arial"/>
        </w:rPr>
        <w:t xml:space="preserve">idge and </w:t>
      </w:r>
      <w:proofErr w:type="spellStart"/>
      <w:r w:rsidR="00F44FD1" w:rsidRPr="00837BF1">
        <w:rPr>
          <w:rFonts w:ascii="Arial" w:hAnsi="Arial" w:cs="Arial"/>
        </w:rPr>
        <w:t>Spantig</w:t>
      </w:r>
      <w:proofErr w:type="spellEnd"/>
      <w:r w:rsidR="00F44FD1" w:rsidRPr="00837BF1">
        <w:rPr>
          <w:rFonts w:ascii="Arial" w:hAnsi="Arial" w:cs="Arial"/>
        </w:rPr>
        <w:t xml:space="preserve"> (2020) however, examining </w:t>
      </w:r>
      <w:r w:rsidR="00A73F97" w:rsidRPr="00837BF1">
        <w:rPr>
          <w:rFonts w:ascii="Arial" w:hAnsi="Arial" w:cs="Arial"/>
        </w:rPr>
        <w:t xml:space="preserve">the gender gap in mental wellbeing during the pandemic, found that the bulk of the gap was explained </w:t>
      </w:r>
      <w:r w:rsidR="00DD4641" w:rsidRPr="00837BF1">
        <w:rPr>
          <w:rFonts w:ascii="Arial" w:hAnsi="Arial" w:cs="Arial"/>
        </w:rPr>
        <w:t xml:space="preserve">by social factors, including increased loneliness among women following the pandemic onset. </w:t>
      </w:r>
    </w:p>
    <w:p w14:paraId="6A14C7B0" w14:textId="77777777" w:rsidR="00323924" w:rsidRPr="00837BF1" w:rsidRDefault="00323924" w:rsidP="00FF2F73">
      <w:pPr>
        <w:autoSpaceDE w:val="0"/>
        <w:autoSpaceDN w:val="0"/>
        <w:adjustRightInd w:val="0"/>
        <w:spacing w:after="0" w:line="480" w:lineRule="auto"/>
        <w:jc w:val="both"/>
        <w:rPr>
          <w:rFonts w:ascii="Arial" w:hAnsi="Arial" w:cs="Arial"/>
        </w:rPr>
      </w:pPr>
    </w:p>
    <w:p w14:paraId="3A97DA16" w14:textId="2ECB526C" w:rsidR="00323924" w:rsidRPr="00837BF1" w:rsidRDefault="00323924" w:rsidP="00323924">
      <w:pPr>
        <w:autoSpaceDE w:val="0"/>
        <w:autoSpaceDN w:val="0"/>
        <w:adjustRightInd w:val="0"/>
        <w:spacing w:line="480" w:lineRule="auto"/>
        <w:jc w:val="both"/>
        <w:rPr>
          <w:rFonts w:ascii="Arial" w:hAnsi="Arial" w:cs="Arial"/>
        </w:rPr>
      </w:pPr>
      <w:r w:rsidRPr="00837BF1">
        <w:rPr>
          <w:rFonts w:ascii="Arial" w:hAnsi="Arial" w:cs="Arial"/>
        </w:rPr>
        <w:t xml:space="preserve">Consistent with findings relating to the general population reported by Pierce et al. (2020), we found a lower risk of psychological distress among black employees after adjusting for socio-economic factors and baseline GHQ. It may be that black and minority ethnic workers are more likely to be employed in precarious sectors of the economy, relative to their white counterparts </w:t>
      </w:r>
      <w:r w:rsidR="00586A23" w:rsidRPr="00837BF1">
        <w:rPr>
          <w:rFonts w:ascii="Arial" w:hAnsi="Arial" w:cs="Arial"/>
        </w:rPr>
        <w:t>(</w:t>
      </w:r>
      <w:proofErr w:type="spellStart"/>
      <w:r w:rsidR="00586A23" w:rsidRPr="00837BF1">
        <w:rPr>
          <w:rFonts w:ascii="Arial" w:hAnsi="Arial" w:cs="Arial"/>
        </w:rPr>
        <w:t>Catney</w:t>
      </w:r>
      <w:proofErr w:type="spellEnd"/>
      <w:r w:rsidR="00BE3017" w:rsidRPr="00837BF1">
        <w:rPr>
          <w:rFonts w:ascii="Arial" w:hAnsi="Arial" w:cs="Arial"/>
        </w:rPr>
        <w:t xml:space="preserve"> &amp; </w:t>
      </w:r>
      <w:proofErr w:type="spellStart"/>
      <w:r w:rsidR="00BE3017" w:rsidRPr="00837BF1">
        <w:rPr>
          <w:rFonts w:ascii="Arial" w:hAnsi="Arial" w:cs="Arial"/>
        </w:rPr>
        <w:t>Sabater</w:t>
      </w:r>
      <w:proofErr w:type="spellEnd"/>
      <w:r w:rsidR="00BE3017" w:rsidRPr="00837BF1">
        <w:rPr>
          <w:rFonts w:ascii="Arial" w:hAnsi="Arial" w:cs="Arial"/>
          <w:color w:val="222222"/>
          <w:shd w:val="clear" w:color="auto" w:fill="FFFFFF"/>
        </w:rPr>
        <w:t>, 2015)</w:t>
      </w:r>
      <w:r w:rsidRPr="00837BF1">
        <w:rPr>
          <w:rFonts w:ascii="Arial" w:hAnsi="Arial" w:cs="Arial"/>
        </w:rPr>
        <w:t xml:space="preserve"> and are, consequently, more inured to the psychological effects of </w:t>
      </w:r>
      <w:r w:rsidR="00E06960" w:rsidRPr="00837BF1">
        <w:rPr>
          <w:rFonts w:ascii="Arial" w:hAnsi="Arial" w:cs="Arial"/>
        </w:rPr>
        <w:t>employment transitions</w:t>
      </w:r>
      <w:r w:rsidRPr="00837BF1">
        <w:rPr>
          <w:rFonts w:ascii="Arial" w:hAnsi="Arial" w:cs="Arial"/>
        </w:rPr>
        <w:t xml:space="preserve">. In contrast, we found a deterioration in mental health among employees in higher income households, following adjustment for baseline psychological distress, reflecting greater levels of </w:t>
      </w:r>
      <w:r w:rsidRPr="00837BF1">
        <w:rPr>
          <w:rFonts w:ascii="Arial" w:hAnsi="Arial" w:cs="Arial"/>
          <w:i/>
          <w:iCs/>
        </w:rPr>
        <w:t>change</w:t>
      </w:r>
      <w:r w:rsidRPr="00837BF1">
        <w:rPr>
          <w:rFonts w:ascii="Arial" w:hAnsi="Arial" w:cs="Arial"/>
        </w:rPr>
        <w:t xml:space="preserve"> in mental health status among higher earners. </w:t>
      </w:r>
      <w:r w:rsidR="00167948" w:rsidRPr="00837BF1">
        <w:rPr>
          <w:rFonts w:ascii="Arial" w:hAnsi="Arial" w:cs="Arial"/>
        </w:rPr>
        <w:t xml:space="preserve">It is important to note that for some people, reduced working hours and lower salary may be offset during the lockdown by substantially reduced travelling costs, lower tax and less personal and household expenditure.  </w:t>
      </w:r>
      <w:r w:rsidRPr="00837BF1">
        <w:rPr>
          <w:rFonts w:ascii="Arial" w:hAnsi="Arial" w:cs="Arial"/>
        </w:rPr>
        <w:t xml:space="preserve">The differential responses among black and high earners adds to the importance of the subjective assessment of current financial situation, with strong evidence both associating it with poorer mental health, but also its role in </w:t>
      </w:r>
      <w:r w:rsidRPr="00837BF1">
        <w:rPr>
          <w:rFonts w:ascii="Arial" w:hAnsi="Arial" w:cs="Arial"/>
        </w:rPr>
        <w:lastRenderedPageBreak/>
        <w:t xml:space="preserve">attenuating the effects of reduced working. Thomas et al. (2007) specifically examined the role of subjective financial position as a mediator in the effects of employment transitions on psychological distress in a longitudinal analysis of the British Household Panel Survey. Their study found that both negative effects of transitions such as unemployment and beneficial effects of reemployment were partially mediated by financial position, findings in line with those presented here. </w:t>
      </w:r>
    </w:p>
    <w:p w14:paraId="03CCBE69" w14:textId="77777777" w:rsidR="007207E6" w:rsidRPr="00837BF1" w:rsidRDefault="007207E6" w:rsidP="00D26370">
      <w:pPr>
        <w:autoSpaceDE w:val="0"/>
        <w:autoSpaceDN w:val="0"/>
        <w:adjustRightInd w:val="0"/>
        <w:spacing w:after="0" w:line="480" w:lineRule="auto"/>
        <w:jc w:val="both"/>
        <w:rPr>
          <w:rFonts w:ascii="Arial" w:hAnsi="Arial" w:cs="Arial"/>
        </w:rPr>
      </w:pPr>
    </w:p>
    <w:p w14:paraId="2CEA569C" w14:textId="77777777" w:rsidR="007207E6" w:rsidRPr="00837BF1" w:rsidRDefault="007207E6" w:rsidP="007207E6">
      <w:pPr>
        <w:spacing w:after="0" w:line="480" w:lineRule="auto"/>
        <w:jc w:val="both"/>
        <w:rPr>
          <w:rFonts w:ascii="Arial" w:hAnsi="Arial" w:cs="Arial"/>
        </w:rPr>
      </w:pPr>
      <w:r w:rsidRPr="00837BF1">
        <w:rPr>
          <w:rFonts w:ascii="Arial" w:hAnsi="Arial" w:cs="Arial"/>
        </w:rPr>
        <w:t>Strengths and Limitations</w:t>
      </w:r>
    </w:p>
    <w:p w14:paraId="35095931" w14:textId="60E51A72" w:rsidR="007207E6" w:rsidRPr="00837BF1" w:rsidRDefault="007862A0" w:rsidP="007207E6">
      <w:pPr>
        <w:spacing w:after="0" w:line="480" w:lineRule="auto"/>
        <w:jc w:val="both"/>
        <w:rPr>
          <w:rFonts w:ascii="Arial" w:hAnsi="Arial" w:cs="Arial"/>
        </w:rPr>
      </w:pPr>
      <w:r w:rsidRPr="00837BF1">
        <w:rPr>
          <w:rFonts w:ascii="Arial" w:hAnsi="Arial" w:cs="Arial"/>
        </w:rPr>
        <w:t xml:space="preserve">In this study, psychological distressed was </w:t>
      </w:r>
      <w:r w:rsidR="00E04BBC" w:rsidRPr="00837BF1">
        <w:rPr>
          <w:rFonts w:ascii="Arial" w:hAnsi="Arial" w:cs="Arial"/>
        </w:rPr>
        <w:t xml:space="preserve">determined using </w:t>
      </w:r>
      <w:r w:rsidRPr="00837BF1">
        <w:rPr>
          <w:rFonts w:ascii="Arial" w:hAnsi="Arial" w:cs="Arial"/>
        </w:rPr>
        <w:t xml:space="preserve">a threshold score of </w:t>
      </w:r>
      <w:r w:rsidR="005815C8" w:rsidRPr="00837BF1">
        <w:rPr>
          <w:rFonts w:ascii="Arial" w:hAnsi="Arial" w:cs="Arial"/>
        </w:rPr>
        <w:t xml:space="preserve">four or more on the GHQ-12. </w:t>
      </w:r>
      <w:r w:rsidR="00556C91" w:rsidRPr="00837BF1">
        <w:rPr>
          <w:rFonts w:ascii="Arial" w:hAnsi="Arial" w:cs="Arial"/>
        </w:rPr>
        <w:t xml:space="preserve"> </w:t>
      </w:r>
      <w:r w:rsidR="00103E4D" w:rsidRPr="00837BF1">
        <w:rPr>
          <w:rFonts w:ascii="Arial" w:hAnsi="Arial" w:cs="Arial"/>
        </w:rPr>
        <w:t>While the GHQ</w:t>
      </w:r>
      <w:r w:rsidR="00A3752A" w:rsidRPr="00837BF1">
        <w:rPr>
          <w:rFonts w:ascii="Arial" w:hAnsi="Arial" w:cs="Arial"/>
        </w:rPr>
        <w:t xml:space="preserve"> is a widely used and validated </w:t>
      </w:r>
      <w:r w:rsidR="00A3752A" w:rsidRPr="00837BF1">
        <w:rPr>
          <w:rFonts w:ascii="Arial" w:hAnsi="Arial" w:cs="Arial"/>
          <w:noProof/>
        </w:rPr>
        <w:t>instrument in</w:t>
      </w:r>
      <w:r w:rsidR="00556C91" w:rsidRPr="00837BF1">
        <w:rPr>
          <w:rFonts w:ascii="Arial" w:hAnsi="Arial" w:cs="Arial"/>
          <w:noProof/>
        </w:rPr>
        <w:t xml:space="preserve"> identifying potential psychiatric disorders</w:t>
      </w:r>
      <w:r w:rsidR="005618C6" w:rsidRPr="00837BF1">
        <w:rPr>
          <w:rFonts w:ascii="Arial" w:hAnsi="Arial" w:cs="Arial"/>
          <w:noProof/>
        </w:rPr>
        <w:t xml:space="preserve">, it is </w:t>
      </w:r>
      <w:r w:rsidR="00A07828" w:rsidRPr="00837BF1">
        <w:rPr>
          <w:rFonts w:ascii="Arial" w:hAnsi="Arial" w:cs="Arial"/>
          <w:noProof/>
        </w:rPr>
        <w:t>important to note that it does not represent a clinical assessment.</w:t>
      </w:r>
      <w:r w:rsidR="00A07828" w:rsidRPr="00837BF1">
        <w:rPr>
          <w:noProof/>
        </w:rPr>
        <w:t xml:space="preserve"> </w:t>
      </w:r>
      <w:r w:rsidR="003D7B29" w:rsidRPr="00837BF1">
        <w:rPr>
          <w:rFonts w:ascii="Arial" w:hAnsi="Arial" w:cs="Arial"/>
          <w:noProof/>
        </w:rPr>
        <w:t xml:space="preserve">With a focus on </w:t>
      </w:r>
      <w:r w:rsidR="003D7B29" w:rsidRPr="00837BF1">
        <w:rPr>
          <w:rFonts w:ascii="Arial" w:hAnsi="Arial" w:cs="Arial"/>
          <w:i/>
          <w:iCs/>
          <w:noProof/>
        </w:rPr>
        <w:t>caseness</w:t>
      </w:r>
      <w:r w:rsidR="00256AE3" w:rsidRPr="00837BF1">
        <w:rPr>
          <w:rFonts w:ascii="Arial" w:hAnsi="Arial" w:cs="Arial"/>
          <w:i/>
          <w:iCs/>
          <w:noProof/>
        </w:rPr>
        <w:t>,</w:t>
      </w:r>
      <w:r w:rsidR="003D7B29" w:rsidRPr="00837BF1">
        <w:rPr>
          <w:rFonts w:ascii="Arial" w:hAnsi="Arial" w:cs="Arial"/>
          <w:noProof/>
        </w:rPr>
        <w:t xml:space="preserve"> and by controlling for </w:t>
      </w:r>
      <w:r w:rsidR="00995A27" w:rsidRPr="00837BF1">
        <w:rPr>
          <w:rFonts w:ascii="Arial" w:hAnsi="Arial" w:cs="Arial"/>
          <w:noProof/>
        </w:rPr>
        <w:t xml:space="preserve">baseline psychological distress in final models, our study provides insight into </w:t>
      </w:r>
      <w:r w:rsidR="00A3043C" w:rsidRPr="00837BF1">
        <w:rPr>
          <w:rFonts w:ascii="Arial" w:hAnsi="Arial" w:cs="Arial"/>
          <w:i/>
          <w:iCs/>
          <w:noProof/>
        </w:rPr>
        <w:t>changes</w:t>
      </w:r>
      <w:r w:rsidR="00A3043C" w:rsidRPr="00837BF1">
        <w:rPr>
          <w:rFonts w:ascii="Arial" w:hAnsi="Arial" w:cs="Arial"/>
          <w:noProof/>
        </w:rPr>
        <w:t xml:space="preserve"> in levels of psychological distress</w:t>
      </w:r>
      <w:r w:rsidR="00AA7EBD" w:rsidRPr="00837BF1">
        <w:rPr>
          <w:rFonts w:ascii="Arial" w:hAnsi="Arial" w:cs="Arial"/>
          <w:noProof/>
        </w:rPr>
        <w:t xml:space="preserve">. </w:t>
      </w:r>
      <w:r w:rsidR="00A3043C" w:rsidRPr="00837BF1">
        <w:rPr>
          <w:rFonts w:ascii="Arial" w:hAnsi="Arial" w:cs="Arial"/>
          <w:noProof/>
        </w:rPr>
        <w:t>Our study does not provide evidence on</w:t>
      </w:r>
      <w:r w:rsidR="00F21229" w:rsidRPr="00837BF1">
        <w:rPr>
          <w:rFonts w:ascii="Arial" w:hAnsi="Arial" w:cs="Arial"/>
          <w:noProof/>
        </w:rPr>
        <w:t xml:space="preserve"> </w:t>
      </w:r>
      <w:r w:rsidR="001A0374" w:rsidRPr="00837BF1">
        <w:rPr>
          <w:rFonts w:ascii="Arial" w:hAnsi="Arial" w:cs="Arial"/>
          <w:noProof/>
        </w:rPr>
        <w:t>the extent to which mental health</w:t>
      </w:r>
      <w:r w:rsidR="00F21229" w:rsidRPr="00837BF1">
        <w:rPr>
          <w:rFonts w:ascii="Arial" w:hAnsi="Arial" w:cs="Arial"/>
          <w:noProof/>
        </w:rPr>
        <w:t xml:space="preserve"> among workers with pre-existing mental conditions may have been exacerbated by the pandemic, </w:t>
      </w:r>
      <w:r w:rsidR="00256AE3" w:rsidRPr="00837BF1">
        <w:rPr>
          <w:rFonts w:ascii="Arial" w:hAnsi="Arial" w:cs="Arial"/>
          <w:noProof/>
        </w:rPr>
        <w:t>findings</w:t>
      </w:r>
      <w:r w:rsidR="00F21229" w:rsidRPr="00837BF1">
        <w:rPr>
          <w:rFonts w:ascii="Arial" w:hAnsi="Arial" w:cs="Arial"/>
          <w:noProof/>
        </w:rPr>
        <w:t xml:space="preserve"> evidenced</w:t>
      </w:r>
      <w:r w:rsidR="000A2703" w:rsidRPr="00837BF1">
        <w:rPr>
          <w:rFonts w:ascii="Arial" w:hAnsi="Arial" w:cs="Arial"/>
          <w:noProof/>
        </w:rPr>
        <w:t>, however,</w:t>
      </w:r>
      <w:r w:rsidR="00F21229" w:rsidRPr="00837BF1">
        <w:rPr>
          <w:rFonts w:ascii="Arial" w:hAnsi="Arial" w:cs="Arial"/>
          <w:noProof/>
        </w:rPr>
        <w:t xml:space="preserve"> in </w:t>
      </w:r>
      <w:r w:rsidR="00F21229" w:rsidRPr="00837BF1">
        <w:rPr>
          <w:rFonts w:ascii="Arial" w:hAnsi="Arial" w:cs="Arial"/>
          <w:noProof/>
        </w:rPr>
        <w:t>other studies (</w:t>
      </w:r>
      <w:r w:rsidR="00B77D4B" w:rsidRPr="00837BF1">
        <w:rPr>
          <w:rFonts w:ascii="Arial" w:hAnsi="Arial" w:cs="Arial"/>
          <w:noProof/>
        </w:rPr>
        <w:t>Van R</w:t>
      </w:r>
      <w:r w:rsidR="00D26E57" w:rsidRPr="00837BF1">
        <w:rPr>
          <w:rFonts w:ascii="Arial" w:hAnsi="Arial" w:cs="Arial"/>
          <w:noProof/>
        </w:rPr>
        <w:t>h</w:t>
      </w:r>
      <w:r w:rsidR="00B77D4B" w:rsidRPr="00837BF1">
        <w:rPr>
          <w:rFonts w:ascii="Arial" w:hAnsi="Arial" w:cs="Arial"/>
          <w:noProof/>
        </w:rPr>
        <w:t xml:space="preserve">eehan et al., 2020). </w:t>
      </w:r>
      <w:r w:rsidR="007207E6" w:rsidRPr="00837BF1">
        <w:rPr>
          <w:rFonts w:ascii="Arial" w:hAnsi="Arial" w:cs="Arial"/>
        </w:rPr>
        <w:t xml:space="preserve">A </w:t>
      </w:r>
      <w:r w:rsidR="003F3747" w:rsidRPr="00837BF1">
        <w:rPr>
          <w:rFonts w:ascii="Arial" w:hAnsi="Arial" w:cs="Arial"/>
        </w:rPr>
        <w:t xml:space="preserve">further </w:t>
      </w:r>
      <w:r w:rsidR="007207E6" w:rsidRPr="00837BF1">
        <w:rPr>
          <w:rFonts w:ascii="Arial" w:hAnsi="Arial" w:cs="Arial"/>
        </w:rPr>
        <w:t>limitation of our study is the exclusion of those who were self-employed at baseline. These individuals were asked tailored follow-up questions on reasons for reduced working</w:t>
      </w:r>
      <w:r w:rsidR="009B0B91" w:rsidRPr="00837BF1">
        <w:rPr>
          <w:rFonts w:ascii="Arial" w:hAnsi="Arial" w:cs="Arial"/>
        </w:rPr>
        <w:t xml:space="preserve"> </w:t>
      </w:r>
      <w:r w:rsidR="007207E6" w:rsidRPr="00837BF1">
        <w:rPr>
          <w:rFonts w:ascii="Arial" w:hAnsi="Arial" w:cs="Arial"/>
        </w:rPr>
        <w:t>-</w:t>
      </w:r>
      <w:r w:rsidR="009B0B91" w:rsidRPr="00837BF1">
        <w:rPr>
          <w:rFonts w:ascii="Arial" w:hAnsi="Arial" w:cs="Arial"/>
        </w:rPr>
        <w:t xml:space="preserve"> </w:t>
      </w:r>
      <w:r w:rsidR="007207E6" w:rsidRPr="00837BF1">
        <w:rPr>
          <w:rFonts w:ascii="Arial" w:hAnsi="Arial" w:cs="Arial"/>
        </w:rPr>
        <w:t xml:space="preserve"> different to those asked of employees. Early research on the economic impact of the pandemic indicates that the self-employed are more likely to work in ‘at risk’ sectors and </w:t>
      </w:r>
      <w:r w:rsidR="009B0B91" w:rsidRPr="00837BF1">
        <w:rPr>
          <w:rFonts w:ascii="Arial" w:hAnsi="Arial" w:cs="Arial"/>
        </w:rPr>
        <w:t xml:space="preserve">therefore more </w:t>
      </w:r>
      <w:r w:rsidR="007207E6" w:rsidRPr="00837BF1">
        <w:rPr>
          <w:rFonts w:ascii="Arial" w:hAnsi="Arial" w:cs="Arial"/>
        </w:rPr>
        <w:t xml:space="preserve">vulnerable to adverse effects (Henley </w:t>
      </w:r>
      <w:r w:rsidR="00D26E57" w:rsidRPr="00837BF1">
        <w:rPr>
          <w:rFonts w:ascii="Arial" w:hAnsi="Arial" w:cs="Arial"/>
        </w:rPr>
        <w:t>&amp;</w:t>
      </w:r>
      <w:r w:rsidR="007207E6" w:rsidRPr="00837BF1">
        <w:rPr>
          <w:rFonts w:ascii="Arial" w:hAnsi="Arial" w:cs="Arial"/>
        </w:rPr>
        <w:t xml:space="preserve"> </w:t>
      </w:r>
      <w:proofErr w:type="spellStart"/>
      <w:r w:rsidR="007207E6" w:rsidRPr="00837BF1">
        <w:rPr>
          <w:rFonts w:ascii="Arial" w:hAnsi="Arial" w:cs="Arial"/>
        </w:rPr>
        <w:t>Reuske</w:t>
      </w:r>
      <w:proofErr w:type="spellEnd"/>
      <w:r w:rsidR="007207E6" w:rsidRPr="00837BF1">
        <w:rPr>
          <w:rFonts w:ascii="Arial" w:hAnsi="Arial" w:cs="Arial"/>
        </w:rPr>
        <w:t xml:space="preserve">, 2020). The particular mental health effects of the pandemic on the self-employed merit further dedicated analysis of this heterogeneous group. </w:t>
      </w:r>
      <w:r w:rsidR="00B1330F" w:rsidRPr="00837BF1">
        <w:rPr>
          <w:rFonts w:ascii="Arial" w:hAnsi="Arial" w:cs="Arial"/>
        </w:rPr>
        <w:t xml:space="preserve">A further limitation is associated with aggregation of the 11 original </w:t>
      </w:r>
      <w:r w:rsidR="003B39BD" w:rsidRPr="00837BF1">
        <w:rPr>
          <w:rFonts w:ascii="Arial" w:hAnsi="Arial" w:cs="Arial"/>
        </w:rPr>
        <w:t>‘reasons for reduced working’ into six categories</w:t>
      </w:r>
      <w:r w:rsidR="00E61610" w:rsidRPr="00837BF1">
        <w:rPr>
          <w:rFonts w:ascii="Arial" w:hAnsi="Arial" w:cs="Arial"/>
        </w:rPr>
        <w:t xml:space="preserve">. For example, employees that indicated reasons for reduced working as ‘laid off with certain recall date’; ‘laid off with prospect of recall’ or ‘employer cut hours’ were grouped into the ‘employer cuts’ category. </w:t>
      </w:r>
      <w:r w:rsidR="003D4F5C" w:rsidRPr="00837BF1">
        <w:rPr>
          <w:rFonts w:ascii="Arial" w:hAnsi="Arial" w:cs="Arial"/>
        </w:rPr>
        <w:t xml:space="preserve"> </w:t>
      </w:r>
      <w:r w:rsidR="00B30040" w:rsidRPr="00837BF1">
        <w:rPr>
          <w:rFonts w:ascii="Arial" w:hAnsi="Arial" w:cs="Arial"/>
        </w:rPr>
        <w:t>A</w:t>
      </w:r>
      <w:r w:rsidR="003D4F5C" w:rsidRPr="00837BF1">
        <w:rPr>
          <w:rFonts w:ascii="Arial" w:hAnsi="Arial" w:cs="Arial"/>
        </w:rPr>
        <w:t xml:space="preserve"> more nuanced analysis of all </w:t>
      </w:r>
      <w:r w:rsidR="00B30040" w:rsidRPr="00837BF1">
        <w:rPr>
          <w:rFonts w:ascii="Arial" w:hAnsi="Arial" w:cs="Arial"/>
        </w:rPr>
        <w:t xml:space="preserve">11 </w:t>
      </w:r>
      <w:r w:rsidR="003D4F5C" w:rsidRPr="00837BF1">
        <w:rPr>
          <w:rFonts w:ascii="Arial" w:hAnsi="Arial" w:cs="Arial"/>
        </w:rPr>
        <w:t>items would have been preferable</w:t>
      </w:r>
      <w:r w:rsidR="00E61610" w:rsidRPr="00837BF1">
        <w:rPr>
          <w:rFonts w:ascii="Arial" w:hAnsi="Arial" w:cs="Arial"/>
        </w:rPr>
        <w:t>, but not possible given small numbers</w:t>
      </w:r>
      <w:r w:rsidR="002076BC" w:rsidRPr="00837BF1">
        <w:rPr>
          <w:rFonts w:ascii="Arial" w:hAnsi="Arial" w:cs="Arial"/>
        </w:rPr>
        <w:t xml:space="preserve">. </w:t>
      </w:r>
    </w:p>
    <w:p w14:paraId="6200FC6E" w14:textId="3D25B0DE" w:rsidR="007207E6" w:rsidRPr="00837BF1" w:rsidRDefault="007207E6" w:rsidP="007207E6">
      <w:pPr>
        <w:spacing w:after="0" w:line="480" w:lineRule="auto"/>
        <w:jc w:val="both"/>
        <w:rPr>
          <w:rFonts w:ascii="Arial" w:hAnsi="Arial" w:cs="Arial"/>
        </w:rPr>
      </w:pPr>
      <w:r w:rsidRPr="00837BF1">
        <w:rPr>
          <w:rFonts w:ascii="Arial" w:hAnsi="Arial" w:cs="Arial"/>
        </w:rPr>
        <w:lastRenderedPageBreak/>
        <w:t xml:space="preserve">These limitations are balanced by some notable strengths. This study presents one of the first analyses - based on a nationally representative sample - of the mental health impact of employment transitions following the COVID-19 pandemic. While analysis is based on the first monthly wave of the new US COVID-19 study, baseline information on employment status prior to the pandemic and mental health from the most recent wave of the main </w:t>
      </w:r>
      <w:r w:rsidR="008B154C" w:rsidRPr="00837BF1">
        <w:rPr>
          <w:rFonts w:ascii="Arial" w:hAnsi="Arial" w:cs="Arial"/>
        </w:rPr>
        <w:t xml:space="preserve">UKHLS </w:t>
      </w:r>
      <w:r w:rsidRPr="00837BF1">
        <w:rPr>
          <w:rFonts w:ascii="Arial" w:hAnsi="Arial" w:cs="Arial"/>
        </w:rPr>
        <w:t>annual survey, allows inferences to be made about the temporal relationship between mental health and employment changes in the early months of COVID-19.</w:t>
      </w:r>
    </w:p>
    <w:p w14:paraId="2DAC9D32" w14:textId="77777777" w:rsidR="007207E6" w:rsidRPr="00837BF1" w:rsidRDefault="007207E6" w:rsidP="00D26370">
      <w:pPr>
        <w:autoSpaceDE w:val="0"/>
        <w:autoSpaceDN w:val="0"/>
        <w:adjustRightInd w:val="0"/>
        <w:spacing w:after="0" w:line="480" w:lineRule="auto"/>
        <w:jc w:val="both"/>
        <w:rPr>
          <w:rFonts w:ascii="Arial" w:hAnsi="Arial" w:cs="Arial"/>
        </w:rPr>
      </w:pPr>
    </w:p>
    <w:p w14:paraId="462DCB40" w14:textId="51DE32C8" w:rsidR="00FD60C3" w:rsidRPr="00837BF1" w:rsidRDefault="00356E47" w:rsidP="008B154C">
      <w:pPr>
        <w:autoSpaceDE w:val="0"/>
        <w:autoSpaceDN w:val="0"/>
        <w:adjustRightInd w:val="0"/>
        <w:spacing w:after="0" w:line="480" w:lineRule="auto"/>
        <w:jc w:val="both"/>
        <w:rPr>
          <w:rFonts w:ascii="Arial" w:hAnsi="Arial" w:cs="Arial"/>
          <w:b/>
          <w:bCs/>
        </w:rPr>
      </w:pPr>
      <w:r w:rsidRPr="00837BF1">
        <w:rPr>
          <w:rFonts w:ascii="Arial" w:hAnsi="Arial" w:cs="Arial"/>
          <w:b/>
          <w:bCs/>
        </w:rPr>
        <w:t>Conclusion</w:t>
      </w:r>
    </w:p>
    <w:p w14:paraId="544F0317" w14:textId="09D16FC8" w:rsidR="00772157" w:rsidRPr="00837BF1" w:rsidRDefault="00E03573" w:rsidP="008B154C">
      <w:pPr>
        <w:autoSpaceDE w:val="0"/>
        <w:autoSpaceDN w:val="0"/>
        <w:adjustRightInd w:val="0"/>
        <w:spacing w:after="0" w:line="480" w:lineRule="auto"/>
        <w:jc w:val="both"/>
        <w:rPr>
          <w:rFonts w:ascii="Arial" w:hAnsi="Arial" w:cs="Arial"/>
        </w:rPr>
      </w:pPr>
      <w:r w:rsidRPr="00837BF1">
        <w:rPr>
          <w:rFonts w:ascii="Arial" w:hAnsi="Arial" w:cs="Arial"/>
        </w:rPr>
        <w:t xml:space="preserve">Our study provides </w:t>
      </w:r>
      <w:r w:rsidR="00AE6FA4" w:rsidRPr="00837BF1">
        <w:rPr>
          <w:rFonts w:ascii="Arial" w:hAnsi="Arial" w:cs="Arial"/>
        </w:rPr>
        <w:t xml:space="preserve">an </w:t>
      </w:r>
      <w:r w:rsidRPr="00837BF1">
        <w:rPr>
          <w:rFonts w:ascii="Arial" w:hAnsi="Arial" w:cs="Arial"/>
        </w:rPr>
        <w:t xml:space="preserve">important insight into the </w:t>
      </w:r>
      <w:r w:rsidR="00712CFC" w:rsidRPr="00837BF1">
        <w:rPr>
          <w:rFonts w:ascii="Arial" w:hAnsi="Arial" w:cs="Arial"/>
        </w:rPr>
        <w:t xml:space="preserve">early </w:t>
      </w:r>
      <w:r w:rsidR="0006724F" w:rsidRPr="00837BF1">
        <w:rPr>
          <w:rFonts w:ascii="Arial" w:hAnsi="Arial" w:cs="Arial"/>
        </w:rPr>
        <w:t xml:space="preserve">mental health consequences of the COVID-19 pandemic on </w:t>
      </w:r>
      <w:r w:rsidR="00712CFC" w:rsidRPr="00837BF1">
        <w:rPr>
          <w:rFonts w:ascii="Arial" w:hAnsi="Arial" w:cs="Arial"/>
        </w:rPr>
        <w:t xml:space="preserve">people in </w:t>
      </w:r>
      <w:r w:rsidR="0006724F" w:rsidRPr="00837BF1">
        <w:rPr>
          <w:rFonts w:ascii="Arial" w:hAnsi="Arial" w:cs="Arial"/>
        </w:rPr>
        <w:t>employ</w:t>
      </w:r>
      <w:r w:rsidR="00712CFC" w:rsidRPr="00837BF1">
        <w:rPr>
          <w:rFonts w:ascii="Arial" w:hAnsi="Arial" w:cs="Arial"/>
        </w:rPr>
        <w:t>ment</w:t>
      </w:r>
      <w:r w:rsidR="007D053F" w:rsidRPr="00837BF1">
        <w:rPr>
          <w:rFonts w:ascii="Arial" w:hAnsi="Arial" w:cs="Arial"/>
        </w:rPr>
        <w:t xml:space="preserve"> before the onset of the pandemic</w:t>
      </w:r>
      <w:r w:rsidR="009D4417" w:rsidRPr="00837BF1">
        <w:rPr>
          <w:rFonts w:ascii="Arial" w:hAnsi="Arial" w:cs="Arial"/>
        </w:rPr>
        <w:t xml:space="preserve">. We show that the effects of reduced working are heterogenous, </w:t>
      </w:r>
      <w:r w:rsidR="003419AE" w:rsidRPr="00837BF1">
        <w:rPr>
          <w:rFonts w:ascii="Arial" w:hAnsi="Arial" w:cs="Arial"/>
        </w:rPr>
        <w:t xml:space="preserve">depending on </w:t>
      </w:r>
      <w:r w:rsidR="009068F3" w:rsidRPr="00837BF1">
        <w:rPr>
          <w:rFonts w:ascii="Arial" w:hAnsi="Arial" w:cs="Arial"/>
        </w:rPr>
        <w:t xml:space="preserve">the reasons </w:t>
      </w:r>
      <w:r w:rsidR="008E6A71" w:rsidRPr="00837BF1">
        <w:rPr>
          <w:rFonts w:ascii="Arial" w:hAnsi="Arial" w:cs="Arial"/>
        </w:rPr>
        <w:t xml:space="preserve">behind the </w:t>
      </w:r>
      <w:r w:rsidR="009068F3" w:rsidRPr="00837BF1">
        <w:rPr>
          <w:rFonts w:ascii="Arial" w:hAnsi="Arial" w:cs="Arial"/>
        </w:rPr>
        <w:t>reduc</w:t>
      </w:r>
      <w:r w:rsidR="008E6A71" w:rsidRPr="00837BF1">
        <w:rPr>
          <w:rFonts w:ascii="Arial" w:hAnsi="Arial" w:cs="Arial"/>
        </w:rPr>
        <w:t>tions</w:t>
      </w:r>
      <w:r w:rsidR="009B0B91" w:rsidRPr="00837BF1">
        <w:rPr>
          <w:rFonts w:ascii="Arial" w:hAnsi="Arial" w:cs="Arial"/>
        </w:rPr>
        <w:t xml:space="preserve"> -</w:t>
      </w:r>
      <w:r w:rsidR="009068F3" w:rsidRPr="00837BF1">
        <w:rPr>
          <w:rFonts w:ascii="Arial" w:hAnsi="Arial" w:cs="Arial"/>
        </w:rPr>
        <w:t xml:space="preserve"> with </w:t>
      </w:r>
      <w:r w:rsidR="008027A0" w:rsidRPr="00837BF1">
        <w:rPr>
          <w:rFonts w:ascii="Arial" w:hAnsi="Arial" w:cs="Arial"/>
        </w:rPr>
        <w:t xml:space="preserve">strong evidence of </w:t>
      </w:r>
      <w:r w:rsidR="00540F5A" w:rsidRPr="00837BF1">
        <w:rPr>
          <w:rFonts w:ascii="Arial" w:hAnsi="Arial" w:cs="Arial"/>
        </w:rPr>
        <w:t xml:space="preserve"> </w:t>
      </w:r>
      <w:r w:rsidR="009068F3" w:rsidRPr="00837BF1">
        <w:rPr>
          <w:rFonts w:ascii="Arial" w:hAnsi="Arial" w:cs="Arial"/>
        </w:rPr>
        <w:t xml:space="preserve">redundancy and </w:t>
      </w:r>
      <w:r w:rsidR="008027A0" w:rsidRPr="00837BF1">
        <w:rPr>
          <w:rFonts w:ascii="Arial" w:hAnsi="Arial" w:cs="Arial"/>
        </w:rPr>
        <w:t xml:space="preserve">some evidence of </w:t>
      </w:r>
      <w:r w:rsidR="009068F3" w:rsidRPr="00837BF1">
        <w:rPr>
          <w:rFonts w:ascii="Arial" w:hAnsi="Arial" w:cs="Arial"/>
        </w:rPr>
        <w:t>reduction</w:t>
      </w:r>
      <w:r w:rsidR="00540F5A" w:rsidRPr="00837BF1">
        <w:rPr>
          <w:rFonts w:ascii="Arial" w:hAnsi="Arial" w:cs="Arial"/>
        </w:rPr>
        <w:t xml:space="preserve">s in </w:t>
      </w:r>
      <w:r w:rsidR="008027A0" w:rsidRPr="00837BF1">
        <w:rPr>
          <w:rFonts w:ascii="Arial" w:hAnsi="Arial" w:cs="Arial"/>
        </w:rPr>
        <w:t>working</w:t>
      </w:r>
      <w:r w:rsidR="009068F3" w:rsidRPr="00837BF1">
        <w:rPr>
          <w:rFonts w:ascii="Arial" w:hAnsi="Arial" w:cs="Arial"/>
        </w:rPr>
        <w:t xml:space="preserve"> due to </w:t>
      </w:r>
      <w:r w:rsidR="008027A0" w:rsidRPr="00837BF1">
        <w:rPr>
          <w:rFonts w:ascii="Arial" w:hAnsi="Arial" w:cs="Arial"/>
        </w:rPr>
        <w:t>sickness</w:t>
      </w:r>
      <w:r w:rsidR="001915ED" w:rsidRPr="00837BF1">
        <w:rPr>
          <w:rFonts w:ascii="Arial" w:hAnsi="Arial" w:cs="Arial"/>
        </w:rPr>
        <w:t xml:space="preserve">/ self-isolation and </w:t>
      </w:r>
      <w:r w:rsidR="009068F3" w:rsidRPr="00837BF1">
        <w:rPr>
          <w:rFonts w:ascii="Arial" w:hAnsi="Arial" w:cs="Arial"/>
        </w:rPr>
        <w:t xml:space="preserve">caring responsibilities </w:t>
      </w:r>
      <w:r w:rsidR="009B0B91" w:rsidRPr="00837BF1">
        <w:rPr>
          <w:rFonts w:ascii="Arial" w:hAnsi="Arial" w:cs="Arial"/>
        </w:rPr>
        <w:t>being</w:t>
      </w:r>
      <w:r w:rsidR="009068F3" w:rsidRPr="00837BF1">
        <w:rPr>
          <w:rFonts w:ascii="Arial" w:hAnsi="Arial" w:cs="Arial"/>
        </w:rPr>
        <w:t xml:space="preserve"> deleterious. </w:t>
      </w:r>
      <w:r w:rsidR="00225D6F" w:rsidRPr="00837BF1">
        <w:rPr>
          <w:rFonts w:ascii="Arial" w:hAnsi="Arial" w:cs="Arial"/>
        </w:rPr>
        <w:t xml:space="preserve">While our study </w:t>
      </w:r>
      <w:r w:rsidR="006B5072" w:rsidRPr="00837BF1">
        <w:rPr>
          <w:rFonts w:ascii="Arial" w:hAnsi="Arial" w:cs="Arial"/>
        </w:rPr>
        <w:t xml:space="preserve">found </w:t>
      </w:r>
      <w:r w:rsidR="00EF1381" w:rsidRPr="00837BF1">
        <w:rPr>
          <w:rFonts w:ascii="Arial" w:hAnsi="Arial" w:cs="Arial"/>
        </w:rPr>
        <w:t>no</w:t>
      </w:r>
      <w:r w:rsidR="006B5072" w:rsidRPr="00837BF1">
        <w:rPr>
          <w:rFonts w:ascii="Arial" w:hAnsi="Arial" w:cs="Arial"/>
        </w:rPr>
        <w:t xml:space="preserve"> evidence </w:t>
      </w:r>
      <w:r w:rsidR="00E5684F" w:rsidRPr="00837BF1">
        <w:rPr>
          <w:rFonts w:ascii="Arial" w:hAnsi="Arial" w:cs="Arial"/>
        </w:rPr>
        <w:t xml:space="preserve">of </w:t>
      </w:r>
      <w:r w:rsidR="00EF1381" w:rsidRPr="00837BF1">
        <w:rPr>
          <w:rFonts w:ascii="Arial" w:hAnsi="Arial" w:cs="Arial"/>
        </w:rPr>
        <w:t>adverse mental health effects among furlough</w:t>
      </w:r>
      <w:r w:rsidR="008027A0" w:rsidRPr="00837BF1">
        <w:rPr>
          <w:rFonts w:ascii="Arial" w:hAnsi="Arial" w:cs="Arial"/>
        </w:rPr>
        <w:t>ed workers,</w:t>
      </w:r>
      <w:r w:rsidR="00267521" w:rsidRPr="00837BF1">
        <w:rPr>
          <w:rFonts w:ascii="Arial" w:hAnsi="Arial" w:cs="Arial"/>
        </w:rPr>
        <w:t xml:space="preserve"> winding down </w:t>
      </w:r>
      <w:r w:rsidR="008027A0" w:rsidRPr="00837BF1">
        <w:rPr>
          <w:rFonts w:ascii="Arial" w:hAnsi="Arial" w:cs="Arial"/>
        </w:rPr>
        <w:t>of job retention schemes</w:t>
      </w:r>
      <w:r w:rsidR="00BA167D" w:rsidRPr="00837BF1">
        <w:rPr>
          <w:rFonts w:ascii="Arial" w:hAnsi="Arial" w:cs="Arial"/>
        </w:rPr>
        <w:t xml:space="preserve"> and</w:t>
      </w:r>
      <w:r w:rsidR="005F7887" w:rsidRPr="00837BF1">
        <w:rPr>
          <w:rFonts w:ascii="Arial" w:hAnsi="Arial" w:cs="Arial"/>
        </w:rPr>
        <w:t xml:space="preserve"> further redundancies in vulnerable sectors </w:t>
      </w:r>
      <w:r w:rsidR="00B03E25" w:rsidRPr="00837BF1">
        <w:rPr>
          <w:rFonts w:ascii="Arial" w:hAnsi="Arial" w:cs="Arial"/>
        </w:rPr>
        <w:t xml:space="preserve">will have </w:t>
      </w:r>
      <w:r w:rsidR="007F40F2" w:rsidRPr="00837BF1">
        <w:rPr>
          <w:rFonts w:ascii="Arial" w:hAnsi="Arial" w:cs="Arial"/>
        </w:rPr>
        <w:t>ongoing</w:t>
      </w:r>
      <w:r w:rsidR="005F7887" w:rsidRPr="00837BF1">
        <w:rPr>
          <w:rFonts w:ascii="Arial" w:hAnsi="Arial" w:cs="Arial"/>
        </w:rPr>
        <w:t xml:space="preserve"> implications </w:t>
      </w:r>
      <w:r w:rsidR="003B102C" w:rsidRPr="00837BF1">
        <w:rPr>
          <w:rFonts w:ascii="Arial" w:hAnsi="Arial" w:cs="Arial"/>
        </w:rPr>
        <w:t xml:space="preserve">for mental health. Longitudinal examination of </w:t>
      </w:r>
      <w:r w:rsidR="00BC3F17" w:rsidRPr="00837BF1">
        <w:rPr>
          <w:rFonts w:ascii="Arial" w:hAnsi="Arial" w:cs="Arial"/>
        </w:rPr>
        <w:t xml:space="preserve">employment transitions and mental </w:t>
      </w:r>
      <w:r w:rsidR="00540F5A" w:rsidRPr="00837BF1">
        <w:rPr>
          <w:rFonts w:ascii="Arial" w:hAnsi="Arial" w:cs="Arial"/>
        </w:rPr>
        <w:t>ill-</w:t>
      </w:r>
      <w:r w:rsidR="00BC3F17" w:rsidRPr="00837BF1">
        <w:rPr>
          <w:rFonts w:ascii="Arial" w:hAnsi="Arial" w:cs="Arial"/>
        </w:rPr>
        <w:t xml:space="preserve">health </w:t>
      </w:r>
      <w:r w:rsidR="00540F5A" w:rsidRPr="00837BF1">
        <w:rPr>
          <w:rFonts w:ascii="Arial" w:hAnsi="Arial" w:cs="Arial"/>
        </w:rPr>
        <w:t xml:space="preserve">related </w:t>
      </w:r>
      <w:r w:rsidR="00BC3F17" w:rsidRPr="00837BF1">
        <w:rPr>
          <w:rFonts w:ascii="Arial" w:hAnsi="Arial" w:cs="Arial"/>
        </w:rPr>
        <w:t xml:space="preserve">to pandemic </w:t>
      </w:r>
      <w:r w:rsidR="00540F5A" w:rsidRPr="00837BF1">
        <w:rPr>
          <w:rFonts w:ascii="Arial" w:hAnsi="Arial" w:cs="Arial"/>
        </w:rPr>
        <w:t xml:space="preserve">outcomes </w:t>
      </w:r>
      <w:r w:rsidR="00BF1F53" w:rsidRPr="00837BF1">
        <w:rPr>
          <w:rFonts w:ascii="Arial" w:hAnsi="Arial" w:cs="Arial"/>
        </w:rPr>
        <w:t>is imperative</w:t>
      </w:r>
      <w:r w:rsidR="007F40F2" w:rsidRPr="00837BF1">
        <w:rPr>
          <w:rFonts w:ascii="Arial" w:hAnsi="Arial" w:cs="Arial"/>
        </w:rPr>
        <w:t xml:space="preserve"> and </w:t>
      </w:r>
      <w:r w:rsidR="009B0B91" w:rsidRPr="00837BF1">
        <w:rPr>
          <w:rFonts w:ascii="Arial" w:hAnsi="Arial" w:cs="Arial"/>
        </w:rPr>
        <w:t>should</w:t>
      </w:r>
      <w:r w:rsidR="007F40F2" w:rsidRPr="00837BF1">
        <w:rPr>
          <w:rFonts w:ascii="Arial" w:hAnsi="Arial" w:cs="Arial"/>
        </w:rPr>
        <w:t xml:space="preserve"> help </w:t>
      </w:r>
      <w:r w:rsidR="00BC3F17" w:rsidRPr="00837BF1">
        <w:rPr>
          <w:rFonts w:ascii="Arial" w:hAnsi="Arial" w:cs="Arial"/>
        </w:rPr>
        <w:t xml:space="preserve">inform </w:t>
      </w:r>
      <w:r w:rsidR="009B0B91" w:rsidRPr="00837BF1">
        <w:rPr>
          <w:rFonts w:ascii="Arial" w:hAnsi="Arial" w:cs="Arial"/>
        </w:rPr>
        <w:t xml:space="preserve">public </w:t>
      </w:r>
      <w:r w:rsidR="00676B0D" w:rsidRPr="00837BF1">
        <w:rPr>
          <w:rFonts w:ascii="Arial" w:hAnsi="Arial" w:cs="Arial"/>
        </w:rPr>
        <w:t>health response</w:t>
      </w:r>
      <w:r w:rsidR="009B0B91" w:rsidRPr="00837BF1">
        <w:rPr>
          <w:rFonts w:ascii="Arial" w:hAnsi="Arial" w:cs="Arial"/>
        </w:rPr>
        <w:t>s</w:t>
      </w:r>
      <w:r w:rsidR="00676B0D" w:rsidRPr="00837BF1">
        <w:rPr>
          <w:rFonts w:ascii="Arial" w:hAnsi="Arial" w:cs="Arial"/>
        </w:rPr>
        <w:t xml:space="preserve"> and </w:t>
      </w:r>
      <w:r w:rsidR="00F56A30" w:rsidRPr="00837BF1">
        <w:rPr>
          <w:rFonts w:ascii="Arial" w:hAnsi="Arial" w:cs="Arial"/>
        </w:rPr>
        <w:t xml:space="preserve">ongoing government policy </w:t>
      </w:r>
      <w:r w:rsidR="00150FCE" w:rsidRPr="00837BF1">
        <w:rPr>
          <w:rFonts w:ascii="Arial" w:hAnsi="Arial" w:cs="Arial"/>
        </w:rPr>
        <w:t>in supporting those adve</w:t>
      </w:r>
      <w:r w:rsidR="004A3152" w:rsidRPr="00837BF1">
        <w:rPr>
          <w:rFonts w:ascii="Arial" w:hAnsi="Arial" w:cs="Arial"/>
        </w:rPr>
        <w:t>rsely affected</w:t>
      </w:r>
      <w:r w:rsidR="00BF1F53" w:rsidRPr="00837BF1">
        <w:rPr>
          <w:rFonts w:ascii="Arial" w:hAnsi="Arial" w:cs="Arial"/>
        </w:rPr>
        <w:t>.</w:t>
      </w:r>
    </w:p>
    <w:p w14:paraId="42B9FCA9" w14:textId="741EB14A" w:rsidR="0091198D" w:rsidRPr="00837BF1" w:rsidRDefault="0091198D" w:rsidP="008B154C">
      <w:pPr>
        <w:autoSpaceDE w:val="0"/>
        <w:autoSpaceDN w:val="0"/>
        <w:adjustRightInd w:val="0"/>
        <w:spacing w:after="0" w:line="480" w:lineRule="auto"/>
        <w:jc w:val="both"/>
        <w:rPr>
          <w:rFonts w:ascii="Arial" w:hAnsi="Arial" w:cs="Arial"/>
        </w:rPr>
      </w:pPr>
    </w:p>
    <w:p w14:paraId="67517092" w14:textId="77777777" w:rsidR="0091198D" w:rsidRPr="00837BF1" w:rsidRDefault="0091198D" w:rsidP="0091198D">
      <w:pPr>
        <w:spacing w:after="0" w:line="480" w:lineRule="auto"/>
        <w:rPr>
          <w:rFonts w:ascii="Arial" w:hAnsi="Arial" w:cs="Arial"/>
          <w:b/>
          <w:bCs/>
        </w:rPr>
      </w:pPr>
      <w:r w:rsidRPr="00837BF1">
        <w:rPr>
          <w:rFonts w:ascii="Arial" w:hAnsi="Arial" w:cs="Arial"/>
          <w:b/>
          <w:bCs/>
        </w:rPr>
        <w:t>Authorship contribution statement</w:t>
      </w:r>
    </w:p>
    <w:p w14:paraId="3A588448" w14:textId="77777777" w:rsidR="0091198D" w:rsidRPr="00837BF1" w:rsidRDefault="0091198D" w:rsidP="0091198D">
      <w:pPr>
        <w:spacing w:after="0" w:line="480" w:lineRule="auto"/>
        <w:jc w:val="both"/>
        <w:rPr>
          <w:rFonts w:ascii="Arial" w:hAnsi="Arial" w:cs="Arial"/>
          <w:shd w:val="clear" w:color="auto" w:fill="FFFFFF"/>
        </w:rPr>
      </w:pPr>
      <w:r w:rsidRPr="00837BF1">
        <w:rPr>
          <w:rFonts w:ascii="Arial" w:hAnsi="Arial" w:cs="Arial"/>
          <w:shd w:val="clear" w:color="auto" w:fill="FFFFFF"/>
        </w:rPr>
        <w:t xml:space="preserve">Dr Ferry designed the study, conducted analyses and drafted the manuscript. Professor Bunting also conducted analyses and drafted the manuscript. Dr Rosato, Dr Curran and Professor </w:t>
      </w:r>
      <w:proofErr w:type="spellStart"/>
      <w:r w:rsidRPr="00837BF1">
        <w:rPr>
          <w:rFonts w:ascii="Arial" w:hAnsi="Arial" w:cs="Arial"/>
          <w:shd w:val="clear" w:color="auto" w:fill="FFFFFF"/>
        </w:rPr>
        <w:t>Leavey</w:t>
      </w:r>
      <w:proofErr w:type="spellEnd"/>
      <w:r w:rsidRPr="00837BF1">
        <w:rPr>
          <w:rFonts w:ascii="Arial" w:hAnsi="Arial" w:cs="Arial"/>
          <w:shd w:val="clear" w:color="auto" w:fill="FFFFFF"/>
        </w:rPr>
        <w:t xml:space="preserve"> assisted with study design, including the analytic strategy and reviewed and edited all sections of the manuscript. </w:t>
      </w:r>
    </w:p>
    <w:p w14:paraId="5884522D" w14:textId="77777777" w:rsidR="0091198D" w:rsidRPr="00837BF1" w:rsidRDefault="0091198D" w:rsidP="008B154C">
      <w:pPr>
        <w:autoSpaceDE w:val="0"/>
        <w:autoSpaceDN w:val="0"/>
        <w:adjustRightInd w:val="0"/>
        <w:spacing w:after="0" w:line="480" w:lineRule="auto"/>
        <w:jc w:val="both"/>
        <w:rPr>
          <w:rFonts w:ascii="Arial" w:hAnsi="Arial" w:cs="Arial"/>
          <w:b/>
          <w:bCs/>
        </w:rPr>
      </w:pPr>
    </w:p>
    <w:p w14:paraId="30C47FA5" w14:textId="77777777" w:rsidR="00417B26" w:rsidRPr="00837BF1" w:rsidRDefault="00417B26" w:rsidP="00DB2D1E">
      <w:pPr>
        <w:autoSpaceDE w:val="0"/>
        <w:autoSpaceDN w:val="0"/>
        <w:adjustRightInd w:val="0"/>
        <w:spacing w:after="0" w:line="480" w:lineRule="auto"/>
        <w:rPr>
          <w:rFonts w:ascii="Arial" w:hAnsi="Arial" w:cs="Arial"/>
          <w:b/>
          <w:bCs/>
        </w:rPr>
      </w:pPr>
    </w:p>
    <w:p w14:paraId="7C45FD56" w14:textId="77777777" w:rsidR="00A316E1" w:rsidRPr="00837BF1" w:rsidRDefault="00A316E1" w:rsidP="00DB2D1E">
      <w:pPr>
        <w:autoSpaceDE w:val="0"/>
        <w:autoSpaceDN w:val="0"/>
        <w:adjustRightInd w:val="0"/>
        <w:spacing w:after="0" w:line="480" w:lineRule="auto"/>
        <w:rPr>
          <w:rFonts w:ascii="Arial" w:hAnsi="Arial" w:cs="Arial"/>
          <w:b/>
          <w:bCs/>
        </w:rPr>
      </w:pPr>
    </w:p>
    <w:p w14:paraId="23E64F0E" w14:textId="7573F334" w:rsidR="00DB2D1E" w:rsidRPr="00837BF1" w:rsidRDefault="008C2E2E" w:rsidP="00DB2D1E">
      <w:pPr>
        <w:autoSpaceDE w:val="0"/>
        <w:autoSpaceDN w:val="0"/>
        <w:adjustRightInd w:val="0"/>
        <w:spacing w:after="0" w:line="480" w:lineRule="auto"/>
        <w:rPr>
          <w:rFonts w:ascii="Arial" w:hAnsi="Arial" w:cs="Arial"/>
          <w:b/>
          <w:bCs/>
        </w:rPr>
      </w:pPr>
      <w:r w:rsidRPr="00837BF1">
        <w:rPr>
          <w:rFonts w:ascii="Arial" w:hAnsi="Arial" w:cs="Arial"/>
          <w:b/>
          <w:bCs/>
        </w:rPr>
        <w:t>Conflicts</w:t>
      </w:r>
      <w:r w:rsidR="00DB2D1E" w:rsidRPr="00837BF1">
        <w:rPr>
          <w:rFonts w:ascii="Arial" w:hAnsi="Arial" w:cs="Arial"/>
          <w:b/>
          <w:bCs/>
        </w:rPr>
        <w:t xml:space="preserve"> of Interest</w:t>
      </w:r>
    </w:p>
    <w:p w14:paraId="55739C55" w14:textId="77777777" w:rsidR="00DB2D1E" w:rsidRPr="00837BF1" w:rsidRDefault="00DB2D1E" w:rsidP="00DB2D1E">
      <w:pPr>
        <w:autoSpaceDE w:val="0"/>
        <w:autoSpaceDN w:val="0"/>
        <w:adjustRightInd w:val="0"/>
        <w:spacing w:after="0" w:line="480" w:lineRule="auto"/>
        <w:rPr>
          <w:rFonts w:ascii="Arial" w:hAnsi="Arial" w:cs="Arial"/>
        </w:rPr>
      </w:pPr>
      <w:r w:rsidRPr="00837BF1">
        <w:rPr>
          <w:rFonts w:ascii="Arial" w:hAnsi="Arial" w:cs="Arial"/>
        </w:rPr>
        <w:t>None</w:t>
      </w:r>
    </w:p>
    <w:p w14:paraId="4F415753" w14:textId="77777777" w:rsidR="00DB2D1E" w:rsidRPr="00837BF1" w:rsidRDefault="00DB2D1E" w:rsidP="00DB2D1E">
      <w:pPr>
        <w:autoSpaceDE w:val="0"/>
        <w:autoSpaceDN w:val="0"/>
        <w:adjustRightInd w:val="0"/>
        <w:spacing w:after="0" w:line="480" w:lineRule="auto"/>
        <w:rPr>
          <w:rFonts w:ascii="Arial" w:hAnsi="Arial" w:cs="Arial"/>
        </w:rPr>
      </w:pPr>
    </w:p>
    <w:p w14:paraId="18BFDAF4" w14:textId="1520C6B7" w:rsidR="00DB2D1E" w:rsidRPr="00837BF1" w:rsidRDefault="00DB2D1E" w:rsidP="00DB2D1E">
      <w:pPr>
        <w:autoSpaceDE w:val="0"/>
        <w:autoSpaceDN w:val="0"/>
        <w:adjustRightInd w:val="0"/>
        <w:spacing w:after="0" w:line="480" w:lineRule="auto"/>
        <w:rPr>
          <w:rFonts w:ascii="Arial" w:hAnsi="Arial" w:cs="Arial"/>
          <w:b/>
          <w:bCs/>
        </w:rPr>
      </w:pPr>
      <w:r w:rsidRPr="00837BF1">
        <w:rPr>
          <w:rFonts w:ascii="Arial" w:hAnsi="Arial" w:cs="Arial"/>
          <w:b/>
          <w:bCs/>
        </w:rPr>
        <w:t>Funding</w:t>
      </w:r>
      <w:r w:rsidR="00FC6843" w:rsidRPr="00837BF1">
        <w:rPr>
          <w:rFonts w:ascii="Arial" w:hAnsi="Arial" w:cs="Arial"/>
          <w:b/>
          <w:bCs/>
        </w:rPr>
        <w:t xml:space="preserve"> Sta</w:t>
      </w:r>
      <w:r w:rsidR="00C039B4" w:rsidRPr="00837BF1">
        <w:rPr>
          <w:rFonts w:ascii="Arial" w:hAnsi="Arial" w:cs="Arial"/>
          <w:b/>
          <w:bCs/>
        </w:rPr>
        <w:t>t</w:t>
      </w:r>
      <w:r w:rsidR="00FC6843" w:rsidRPr="00837BF1">
        <w:rPr>
          <w:rFonts w:ascii="Arial" w:hAnsi="Arial" w:cs="Arial"/>
          <w:b/>
          <w:bCs/>
        </w:rPr>
        <w:t>ement</w:t>
      </w:r>
    </w:p>
    <w:p w14:paraId="6993EEAD" w14:textId="77777777" w:rsidR="00915CE5" w:rsidRPr="00837BF1" w:rsidRDefault="00915CE5" w:rsidP="00915CE5">
      <w:pPr>
        <w:pStyle w:val="NormalWeb"/>
        <w:spacing w:before="0" w:beforeAutospacing="0" w:after="0" w:afterAutospacing="0" w:line="360" w:lineRule="auto"/>
        <w:rPr>
          <w:rFonts w:ascii="Arial" w:hAnsi="Arial" w:cs="Arial"/>
          <w:sz w:val="22"/>
          <w:szCs w:val="22"/>
        </w:rPr>
      </w:pPr>
      <w:r w:rsidRPr="00837BF1">
        <w:rPr>
          <w:rFonts w:ascii="Arial" w:hAnsi="Arial" w:cs="Arial"/>
          <w:sz w:val="22"/>
          <w:szCs w:val="22"/>
        </w:rPr>
        <w:t>This work was supported by the Economic and Social Research Council (ESRC) (project number: ES/L007509/1).</w:t>
      </w:r>
    </w:p>
    <w:p w14:paraId="26F4A1CF" w14:textId="77777777" w:rsidR="00915CE5" w:rsidRPr="00837BF1" w:rsidRDefault="00915CE5" w:rsidP="00DB2D1E">
      <w:pPr>
        <w:autoSpaceDE w:val="0"/>
        <w:autoSpaceDN w:val="0"/>
        <w:adjustRightInd w:val="0"/>
        <w:spacing w:after="0" w:line="480" w:lineRule="auto"/>
        <w:rPr>
          <w:rFonts w:ascii="Arial" w:hAnsi="Arial" w:cs="Arial"/>
          <w:b/>
          <w:bCs/>
          <w:shd w:val="clear" w:color="auto" w:fill="FFFFFF"/>
        </w:rPr>
      </w:pPr>
    </w:p>
    <w:p w14:paraId="10B0A0FA" w14:textId="5AC0867F" w:rsidR="0009745C" w:rsidRPr="00837BF1" w:rsidRDefault="0083468B" w:rsidP="00412700">
      <w:pPr>
        <w:autoSpaceDE w:val="0"/>
        <w:autoSpaceDN w:val="0"/>
        <w:adjustRightInd w:val="0"/>
        <w:spacing w:after="0" w:line="480" w:lineRule="auto"/>
        <w:jc w:val="both"/>
        <w:rPr>
          <w:rFonts w:ascii="Arial" w:hAnsi="Arial" w:cs="Arial"/>
          <w:b/>
          <w:bCs/>
          <w:shd w:val="clear" w:color="auto" w:fill="FFFFFF"/>
        </w:rPr>
      </w:pPr>
      <w:r w:rsidRPr="00837BF1">
        <w:rPr>
          <w:rFonts w:ascii="Arial" w:hAnsi="Arial" w:cs="Arial"/>
          <w:b/>
          <w:bCs/>
          <w:shd w:val="clear" w:color="auto" w:fill="FFFFFF"/>
        </w:rPr>
        <w:t>A</w:t>
      </w:r>
      <w:r w:rsidR="00240096" w:rsidRPr="00837BF1">
        <w:rPr>
          <w:rFonts w:ascii="Arial" w:hAnsi="Arial" w:cs="Arial"/>
          <w:b/>
          <w:bCs/>
          <w:shd w:val="clear" w:color="auto" w:fill="FFFFFF"/>
        </w:rPr>
        <w:t>cknowledgements</w:t>
      </w:r>
    </w:p>
    <w:p w14:paraId="15B1A91F" w14:textId="707B46E8" w:rsidR="00CF55E3" w:rsidRPr="00837BF1" w:rsidRDefault="00E12459" w:rsidP="00412700">
      <w:pPr>
        <w:autoSpaceDE w:val="0"/>
        <w:autoSpaceDN w:val="0"/>
        <w:adjustRightInd w:val="0"/>
        <w:spacing w:after="0" w:line="480" w:lineRule="auto"/>
        <w:jc w:val="both"/>
        <w:rPr>
          <w:rFonts w:ascii="Arial" w:hAnsi="Arial" w:cs="Arial"/>
          <w:shd w:val="clear" w:color="auto" w:fill="FFFFFF"/>
        </w:rPr>
      </w:pPr>
      <w:r w:rsidRPr="00837BF1">
        <w:rPr>
          <w:rFonts w:ascii="Arial" w:hAnsi="Arial" w:cs="Arial"/>
          <w:shd w:val="clear" w:color="auto" w:fill="FFFFFF"/>
        </w:rPr>
        <w:t xml:space="preserve">We acknowledge the </w:t>
      </w:r>
      <w:r w:rsidR="00EE42DD" w:rsidRPr="00837BF1">
        <w:rPr>
          <w:rFonts w:ascii="Arial" w:hAnsi="Arial" w:cs="Arial"/>
          <w:shd w:val="clear" w:color="auto" w:fill="FFFFFF"/>
        </w:rPr>
        <w:t>excellent work by the UK Household Longitudinal Study</w:t>
      </w:r>
      <w:r w:rsidR="00546644" w:rsidRPr="00837BF1">
        <w:rPr>
          <w:rFonts w:ascii="Arial" w:hAnsi="Arial" w:cs="Arial"/>
          <w:shd w:val="clear" w:color="auto" w:fill="FFFFFF"/>
        </w:rPr>
        <w:t xml:space="preserve"> (UKHLS) research team </w:t>
      </w:r>
      <w:r w:rsidR="00894F92" w:rsidRPr="00837BF1">
        <w:rPr>
          <w:rFonts w:ascii="Arial" w:hAnsi="Arial" w:cs="Arial"/>
          <w:shd w:val="clear" w:color="auto" w:fill="FFFFFF"/>
        </w:rPr>
        <w:t>in</w:t>
      </w:r>
      <w:r w:rsidR="00546644" w:rsidRPr="00837BF1">
        <w:rPr>
          <w:rFonts w:ascii="Arial" w:hAnsi="Arial" w:cs="Arial"/>
          <w:shd w:val="clear" w:color="auto" w:fill="FFFFFF"/>
        </w:rPr>
        <w:t xml:space="preserve"> provision of </w:t>
      </w:r>
      <w:r w:rsidR="004E05C8" w:rsidRPr="00837BF1">
        <w:rPr>
          <w:rFonts w:ascii="Arial" w:hAnsi="Arial" w:cs="Arial"/>
          <w:shd w:val="clear" w:color="auto" w:fill="FFFFFF"/>
        </w:rPr>
        <w:t>data via the UK data service repository</w:t>
      </w:r>
      <w:r w:rsidR="00493D11" w:rsidRPr="00837BF1">
        <w:rPr>
          <w:rFonts w:ascii="Arial" w:hAnsi="Arial" w:cs="Arial"/>
          <w:shd w:val="clear" w:color="auto" w:fill="FFFFFF"/>
        </w:rPr>
        <w:t xml:space="preserve">, as well as the study participants for their continued commitment. </w:t>
      </w:r>
      <w:r w:rsidR="00CF55E3" w:rsidRPr="00837BF1">
        <w:rPr>
          <w:rFonts w:ascii="Arial" w:hAnsi="Arial" w:cs="Arial"/>
          <w:shd w:val="clear" w:color="auto" w:fill="FFFFFF"/>
        </w:rPr>
        <w:t xml:space="preserve">Understanding Society is an initiative funded by the Economic and Social Research Council and various Government Departments, with scientific leadership by the Institute for Social and Economic Research, University of Essex, and survey delivery by </w:t>
      </w:r>
      <w:proofErr w:type="spellStart"/>
      <w:r w:rsidR="00CF55E3" w:rsidRPr="00837BF1">
        <w:rPr>
          <w:rFonts w:ascii="Arial" w:hAnsi="Arial" w:cs="Arial"/>
          <w:shd w:val="clear" w:color="auto" w:fill="FFFFFF"/>
        </w:rPr>
        <w:t>NatCen</w:t>
      </w:r>
      <w:proofErr w:type="spellEnd"/>
      <w:r w:rsidR="00CF55E3" w:rsidRPr="00837BF1">
        <w:rPr>
          <w:rFonts w:ascii="Arial" w:hAnsi="Arial" w:cs="Arial"/>
          <w:shd w:val="clear" w:color="auto" w:fill="FFFFFF"/>
        </w:rPr>
        <w:t xml:space="preserve"> Social Research and Kantar Public. The research data are distributed by the UK Data Service.</w:t>
      </w:r>
    </w:p>
    <w:p w14:paraId="445C3242" w14:textId="4EDEF915" w:rsidR="00305230" w:rsidRPr="00837BF1" w:rsidRDefault="00305230" w:rsidP="00412700">
      <w:pPr>
        <w:autoSpaceDE w:val="0"/>
        <w:autoSpaceDN w:val="0"/>
        <w:adjustRightInd w:val="0"/>
        <w:spacing w:after="0" w:line="480" w:lineRule="auto"/>
        <w:jc w:val="both"/>
        <w:rPr>
          <w:rFonts w:ascii="Arial" w:hAnsi="Arial" w:cs="Arial"/>
          <w:shd w:val="clear" w:color="auto" w:fill="FFFFFF"/>
        </w:rPr>
      </w:pPr>
    </w:p>
    <w:p w14:paraId="5B0675E4" w14:textId="14F414AE" w:rsidR="00305230" w:rsidRPr="00837BF1" w:rsidRDefault="00305230" w:rsidP="00412700">
      <w:pPr>
        <w:autoSpaceDE w:val="0"/>
        <w:autoSpaceDN w:val="0"/>
        <w:adjustRightInd w:val="0"/>
        <w:spacing w:after="0" w:line="480" w:lineRule="auto"/>
        <w:jc w:val="both"/>
        <w:rPr>
          <w:rFonts w:ascii="Arial" w:hAnsi="Arial" w:cs="Arial"/>
          <w:b/>
          <w:bCs/>
          <w:shd w:val="clear" w:color="auto" w:fill="FFFFFF"/>
        </w:rPr>
      </w:pPr>
      <w:r w:rsidRPr="00837BF1">
        <w:rPr>
          <w:rFonts w:ascii="Arial" w:hAnsi="Arial" w:cs="Arial"/>
          <w:b/>
          <w:bCs/>
          <w:shd w:val="clear" w:color="auto" w:fill="FFFFFF"/>
        </w:rPr>
        <w:t>Supplementary Material</w:t>
      </w:r>
    </w:p>
    <w:p w14:paraId="72CA23C9" w14:textId="6CB5EBDC" w:rsidR="00305230" w:rsidRPr="00837BF1" w:rsidRDefault="00242D96" w:rsidP="00412700">
      <w:pPr>
        <w:autoSpaceDE w:val="0"/>
        <w:autoSpaceDN w:val="0"/>
        <w:adjustRightInd w:val="0"/>
        <w:spacing w:after="0" w:line="480" w:lineRule="auto"/>
        <w:jc w:val="both"/>
        <w:rPr>
          <w:rFonts w:ascii="Arial" w:hAnsi="Arial" w:cs="Arial"/>
          <w:shd w:val="clear" w:color="auto" w:fill="FFFFFF"/>
        </w:rPr>
      </w:pPr>
      <w:r w:rsidRPr="00837BF1">
        <w:rPr>
          <w:rFonts w:ascii="Arial" w:hAnsi="Arial" w:cs="Arial"/>
          <w:shd w:val="clear" w:color="auto" w:fill="FFFFFF"/>
        </w:rPr>
        <w:t>Figure 1</w:t>
      </w:r>
      <w:r w:rsidR="00106EA0" w:rsidRPr="00837BF1">
        <w:rPr>
          <w:rFonts w:ascii="Arial" w:hAnsi="Arial" w:cs="Arial"/>
          <w:shd w:val="clear" w:color="auto" w:fill="FFFFFF"/>
        </w:rPr>
        <w:t>: Average baseline and April 2020 GHQ scores by reduced working indicator</w:t>
      </w:r>
    </w:p>
    <w:p w14:paraId="131AA39B" w14:textId="3EDBBAB8" w:rsidR="00106EA0" w:rsidRPr="00837BF1" w:rsidRDefault="00106EA0" w:rsidP="00106EA0">
      <w:pPr>
        <w:autoSpaceDE w:val="0"/>
        <w:autoSpaceDN w:val="0"/>
        <w:adjustRightInd w:val="0"/>
        <w:spacing w:after="0" w:line="480" w:lineRule="auto"/>
        <w:jc w:val="both"/>
        <w:rPr>
          <w:rFonts w:ascii="Arial" w:hAnsi="Arial" w:cs="Arial"/>
          <w:shd w:val="clear" w:color="auto" w:fill="FFFFFF"/>
        </w:rPr>
      </w:pPr>
      <w:r w:rsidRPr="00837BF1">
        <w:rPr>
          <w:rFonts w:ascii="Arial" w:hAnsi="Arial" w:cs="Arial"/>
          <w:shd w:val="clear" w:color="auto" w:fill="FFFFFF"/>
        </w:rPr>
        <w:t>Figure 2: Average baseline and April 2020 GHQ scores by employer cuts indicator</w:t>
      </w:r>
    </w:p>
    <w:p w14:paraId="3C54F741" w14:textId="22CADA11" w:rsidR="00106EA0" w:rsidRPr="00837BF1" w:rsidRDefault="00106EA0" w:rsidP="00106EA0">
      <w:pPr>
        <w:autoSpaceDE w:val="0"/>
        <w:autoSpaceDN w:val="0"/>
        <w:adjustRightInd w:val="0"/>
        <w:spacing w:after="0" w:line="480" w:lineRule="auto"/>
        <w:jc w:val="both"/>
        <w:rPr>
          <w:rFonts w:ascii="Arial" w:hAnsi="Arial" w:cs="Arial"/>
          <w:shd w:val="clear" w:color="auto" w:fill="FFFFFF"/>
        </w:rPr>
      </w:pPr>
      <w:r w:rsidRPr="00837BF1">
        <w:rPr>
          <w:rFonts w:ascii="Arial" w:hAnsi="Arial" w:cs="Arial"/>
          <w:shd w:val="clear" w:color="auto" w:fill="FFFFFF"/>
        </w:rPr>
        <w:t xml:space="preserve">Figure 3: Average baseline and April 2020 GHQ scores by </w:t>
      </w:r>
      <w:r w:rsidR="008302B5" w:rsidRPr="00837BF1">
        <w:rPr>
          <w:rFonts w:ascii="Arial" w:hAnsi="Arial" w:cs="Arial"/>
          <w:shd w:val="clear" w:color="auto" w:fill="FFFFFF"/>
        </w:rPr>
        <w:t>furloughed</w:t>
      </w:r>
      <w:r w:rsidRPr="00837BF1">
        <w:rPr>
          <w:rFonts w:ascii="Arial" w:hAnsi="Arial" w:cs="Arial"/>
          <w:shd w:val="clear" w:color="auto" w:fill="FFFFFF"/>
        </w:rPr>
        <w:t xml:space="preserve"> indicator</w:t>
      </w:r>
    </w:p>
    <w:p w14:paraId="6EB19C2C" w14:textId="5B4BBE74" w:rsidR="008302B5" w:rsidRPr="00837BF1" w:rsidRDefault="008302B5" w:rsidP="008302B5">
      <w:pPr>
        <w:autoSpaceDE w:val="0"/>
        <w:autoSpaceDN w:val="0"/>
        <w:adjustRightInd w:val="0"/>
        <w:spacing w:after="0" w:line="480" w:lineRule="auto"/>
        <w:jc w:val="both"/>
        <w:rPr>
          <w:rFonts w:ascii="Arial" w:hAnsi="Arial" w:cs="Arial"/>
          <w:shd w:val="clear" w:color="auto" w:fill="FFFFFF"/>
        </w:rPr>
      </w:pPr>
      <w:r w:rsidRPr="00837BF1">
        <w:rPr>
          <w:rFonts w:ascii="Arial" w:hAnsi="Arial" w:cs="Arial"/>
          <w:shd w:val="clear" w:color="auto" w:fill="FFFFFF"/>
        </w:rPr>
        <w:t>Figure 4: Average baseline and April 2020 GHQ scores by sick/self-isolating indicator</w:t>
      </w:r>
    </w:p>
    <w:p w14:paraId="112C5BE3" w14:textId="70AB0829" w:rsidR="008302B5" w:rsidRPr="00837BF1" w:rsidRDefault="008302B5" w:rsidP="008302B5">
      <w:pPr>
        <w:autoSpaceDE w:val="0"/>
        <w:autoSpaceDN w:val="0"/>
        <w:adjustRightInd w:val="0"/>
        <w:spacing w:after="0" w:line="480" w:lineRule="auto"/>
        <w:jc w:val="both"/>
        <w:rPr>
          <w:rFonts w:ascii="Arial" w:hAnsi="Arial" w:cs="Arial"/>
          <w:shd w:val="clear" w:color="auto" w:fill="FFFFFF"/>
        </w:rPr>
      </w:pPr>
      <w:r w:rsidRPr="00837BF1">
        <w:rPr>
          <w:rFonts w:ascii="Arial" w:hAnsi="Arial" w:cs="Arial"/>
          <w:shd w:val="clear" w:color="auto" w:fill="FFFFFF"/>
        </w:rPr>
        <w:t xml:space="preserve">Figure 5: Average baseline and April 2020 GHQ scores by </w:t>
      </w:r>
      <w:r w:rsidR="00620C9F" w:rsidRPr="00837BF1">
        <w:rPr>
          <w:rFonts w:ascii="Arial" w:hAnsi="Arial" w:cs="Arial"/>
          <w:shd w:val="clear" w:color="auto" w:fill="FFFFFF"/>
        </w:rPr>
        <w:t>laid off</w:t>
      </w:r>
      <w:r w:rsidRPr="00837BF1">
        <w:rPr>
          <w:rFonts w:ascii="Arial" w:hAnsi="Arial" w:cs="Arial"/>
          <w:shd w:val="clear" w:color="auto" w:fill="FFFFFF"/>
        </w:rPr>
        <w:t xml:space="preserve"> indicator</w:t>
      </w:r>
    </w:p>
    <w:p w14:paraId="1C9AAF5E" w14:textId="2E16F42C" w:rsidR="00620C9F" w:rsidRPr="00837BF1" w:rsidRDefault="00620C9F" w:rsidP="00620C9F">
      <w:pPr>
        <w:autoSpaceDE w:val="0"/>
        <w:autoSpaceDN w:val="0"/>
        <w:adjustRightInd w:val="0"/>
        <w:spacing w:after="0" w:line="480" w:lineRule="auto"/>
        <w:jc w:val="both"/>
        <w:rPr>
          <w:rFonts w:ascii="Arial" w:hAnsi="Arial" w:cs="Arial"/>
          <w:shd w:val="clear" w:color="auto" w:fill="FFFFFF"/>
        </w:rPr>
      </w:pPr>
      <w:r w:rsidRPr="00837BF1">
        <w:rPr>
          <w:rFonts w:ascii="Arial" w:hAnsi="Arial" w:cs="Arial"/>
          <w:shd w:val="clear" w:color="auto" w:fill="FFFFFF"/>
        </w:rPr>
        <w:t>Figure 6: Average baseline and April 2020 GHQ scores by caring for others indicator</w:t>
      </w:r>
    </w:p>
    <w:p w14:paraId="02E99A4D" w14:textId="08A20FDA" w:rsidR="00620C9F" w:rsidRPr="00837BF1" w:rsidRDefault="00620C9F" w:rsidP="00620C9F">
      <w:pPr>
        <w:autoSpaceDE w:val="0"/>
        <w:autoSpaceDN w:val="0"/>
        <w:adjustRightInd w:val="0"/>
        <w:spacing w:after="0" w:line="480" w:lineRule="auto"/>
        <w:jc w:val="both"/>
        <w:rPr>
          <w:rFonts w:ascii="Arial" w:hAnsi="Arial" w:cs="Arial"/>
          <w:shd w:val="clear" w:color="auto" w:fill="FFFFFF"/>
        </w:rPr>
      </w:pPr>
      <w:r w:rsidRPr="00837BF1">
        <w:rPr>
          <w:rFonts w:ascii="Arial" w:hAnsi="Arial" w:cs="Arial"/>
          <w:shd w:val="clear" w:color="auto" w:fill="FFFFFF"/>
        </w:rPr>
        <w:t>Figure 7: Average baseline and April 2020 GHQ scores by ‘other reasons’ indicator</w:t>
      </w:r>
    </w:p>
    <w:p w14:paraId="753C1EEA" w14:textId="77777777" w:rsidR="00B43765" w:rsidRPr="00837BF1" w:rsidRDefault="00B43765" w:rsidP="00B43765">
      <w:pPr>
        <w:rPr>
          <w:rFonts w:ascii="Arial" w:hAnsi="Arial" w:cs="Arial"/>
        </w:rPr>
      </w:pPr>
      <w:r w:rsidRPr="00837BF1">
        <w:rPr>
          <w:rFonts w:ascii="Arial" w:hAnsi="Arial" w:cs="Arial"/>
        </w:rPr>
        <w:t>Table 1: Sensitivity Analysis relating to Table 2 in the manuscript, examining potential seasonal effects by inclusion of quarter of baseline GHQ data.</w:t>
      </w:r>
    </w:p>
    <w:p w14:paraId="4C46CA54" w14:textId="374744E3" w:rsidR="00582D55" w:rsidRPr="00837BF1" w:rsidRDefault="00420583" w:rsidP="00420583">
      <w:pPr>
        <w:autoSpaceDE w:val="0"/>
        <w:autoSpaceDN w:val="0"/>
        <w:adjustRightInd w:val="0"/>
        <w:spacing w:after="0" w:line="276" w:lineRule="auto"/>
        <w:jc w:val="both"/>
        <w:rPr>
          <w:rFonts w:ascii="Arial" w:hAnsi="Arial" w:cs="Arial"/>
          <w:shd w:val="clear" w:color="auto" w:fill="FFFFFF"/>
        </w:rPr>
      </w:pPr>
      <w:r w:rsidRPr="00837BF1">
        <w:rPr>
          <w:rFonts w:ascii="Arial" w:hAnsi="Arial" w:cs="Arial"/>
        </w:rPr>
        <w:t>Table 2: Sensitivity Analysis relating to Table 3 in the manuscript, examining potential seasonal effects by inclusion of quarter of baseline GHQ data.</w:t>
      </w:r>
    </w:p>
    <w:p w14:paraId="41A219B8" w14:textId="77777777" w:rsidR="00620C9F" w:rsidRPr="00837BF1" w:rsidRDefault="00620C9F" w:rsidP="00620C9F">
      <w:pPr>
        <w:autoSpaceDE w:val="0"/>
        <w:autoSpaceDN w:val="0"/>
        <w:adjustRightInd w:val="0"/>
        <w:spacing w:after="0" w:line="480" w:lineRule="auto"/>
        <w:jc w:val="both"/>
        <w:rPr>
          <w:rFonts w:ascii="Arial" w:hAnsi="Arial" w:cs="Arial"/>
          <w:b/>
          <w:bCs/>
          <w:shd w:val="clear" w:color="auto" w:fill="FFFFFF"/>
        </w:rPr>
      </w:pPr>
    </w:p>
    <w:p w14:paraId="0A934710" w14:textId="77777777" w:rsidR="00420583" w:rsidRPr="00837BF1" w:rsidRDefault="00420583">
      <w:pPr>
        <w:rPr>
          <w:rFonts w:ascii="Arial" w:hAnsi="Arial" w:cs="Arial"/>
          <w:b/>
          <w:bCs/>
        </w:rPr>
      </w:pPr>
      <w:r w:rsidRPr="00837BF1">
        <w:rPr>
          <w:rFonts w:ascii="Arial" w:hAnsi="Arial" w:cs="Arial"/>
          <w:b/>
          <w:bCs/>
        </w:rPr>
        <w:br w:type="page"/>
      </w:r>
    </w:p>
    <w:p w14:paraId="06416C95" w14:textId="07A61C2B" w:rsidR="00F06F17" w:rsidRPr="00837BF1" w:rsidRDefault="00F06F17" w:rsidP="00582D55">
      <w:pPr>
        <w:widowControl w:val="0"/>
        <w:autoSpaceDE w:val="0"/>
        <w:autoSpaceDN w:val="0"/>
        <w:adjustRightInd w:val="0"/>
        <w:spacing w:line="240" w:lineRule="auto"/>
        <w:rPr>
          <w:rFonts w:ascii="Arial" w:hAnsi="Arial" w:cs="Arial"/>
          <w:b/>
          <w:bCs/>
        </w:rPr>
      </w:pPr>
      <w:r w:rsidRPr="00837BF1">
        <w:rPr>
          <w:rFonts w:ascii="Arial" w:hAnsi="Arial" w:cs="Arial"/>
          <w:b/>
          <w:bCs/>
        </w:rPr>
        <w:t>References</w:t>
      </w:r>
    </w:p>
    <w:p w14:paraId="16EF30F4" w14:textId="14B69B1D" w:rsidR="00F06F17" w:rsidRPr="00837BF1" w:rsidRDefault="00F06F17" w:rsidP="00582D55">
      <w:pPr>
        <w:widowControl w:val="0"/>
        <w:autoSpaceDE w:val="0"/>
        <w:autoSpaceDN w:val="0"/>
        <w:adjustRightInd w:val="0"/>
        <w:spacing w:line="240" w:lineRule="auto"/>
        <w:ind w:left="482" w:hanging="482"/>
        <w:jc w:val="both"/>
        <w:rPr>
          <w:rFonts w:ascii="Arial" w:hAnsi="Arial" w:cs="Arial"/>
          <w:shd w:val="clear" w:color="auto" w:fill="FFFFFF"/>
        </w:rPr>
      </w:pPr>
      <w:r w:rsidRPr="00837BF1">
        <w:rPr>
          <w:rFonts w:ascii="Arial" w:hAnsi="Arial" w:cs="Arial"/>
        </w:rPr>
        <w:fldChar w:fldCharType="begin" w:fldLock="1"/>
      </w:r>
      <w:r w:rsidRPr="00837BF1">
        <w:rPr>
          <w:rFonts w:ascii="Arial" w:hAnsi="Arial" w:cs="Arial"/>
        </w:rPr>
        <w:instrText xml:space="preserve">ADDIN Mendeley Bibliography CSL_BIBLIOGRAPHY </w:instrText>
      </w:r>
      <w:r w:rsidRPr="00837BF1">
        <w:rPr>
          <w:rFonts w:ascii="Arial" w:hAnsi="Arial" w:cs="Arial"/>
        </w:rPr>
        <w:fldChar w:fldCharType="separate"/>
      </w:r>
      <w:r w:rsidRPr="00837BF1">
        <w:rPr>
          <w:rFonts w:ascii="Arial" w:hAnsi="Arial" w:cs="Arial"/>
          <w:shd w:val="clear" w:color="auto" w:fill="FFFFFF"/>
        </w:rPr>
        <w:t xml:space="preserve">Bakke, E. W. (1940). </w:t>
      </w:r>
      <w:r w:rsidRPr="00837BF1">
        <w:rPr>
          <w:rStyle w:val="Emphasis"/>
          <w:rFonts w:ascii="Arial" w:hAnsi="Arial" w:cs="Arial"/>
          <w:i w:val="0"/>
          <w:iCs w:val="0"/>
        </w:rPr>
        <w:t>Citizens without work; a study of the effects of unemployment upon the workers' social relations and practices.</w:t>
      </w:r>
      <w:r w:rsidRPr="00837BF1">
        <w:rPr>
          <w:rFonts w:ascii="Arial" w:hAnsi="Arial" w:cs="Arial"/>
          <w:shd w:val="clear" w:color="auto" w:fill="FFFFFF"/>
        </w:rPr>
        <w:t xml:space="preserve"> Yale University Press. </w:t>
      </w:r>
    </w:p>
    <w:p w14:paraId="7135B18D" w14:textId="77777777"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shd w:val="clear" w:color="auto" w:fill="FFFFFF"/>
        </w:rPr>
        <w:t xml:space="preserve">Barr, B., Kinderman, P., &amp; Whitehead, M. (2015). Trends in mental health inequalities in England during a period of recession, austerity and welfare reform 2004 to 2013. </w:t>
      </w:r>
      <w:r w:rsidRPr="00837BF1">
        <w:rPr>
          <w:rFonts w:ascii="Arial" w:hAnsi="Arial" w:cs="Arial"/>
        </w:rPr>
        <w:t>Social science &amp; medicine</w:t>
      </w:r>
      <w:r w:rsidRPr="00837BF1">
        <w:rPr>
          <w:rFonts w:ascii="Arial" w:hAnsi="Arial" w:cs="Arial"/>
          <w:shd w:val="clear" w:color="auto" w:fill="FFFFFF"/>
        </w:rPr>
        <w:t xml:space="preserve">, </w:t>
      </w:r>
      <w:r w:rsidRPr="00837BF1">
        <w:rPr>
          <w:rFonts w:ascii="Arial" w:hAnsi="Arial" w:cs="Arial"/>
        </w:rPr>
        <w:t>147</w:t>
      </w:r>
      <w:r w:rsidRPr="00837BF1">
        <w:rPr>
          <w:rFonts w:ascii="Arial" w:hAnsi="Arial" w:cs="Arial"/>
          <w:shd w:val="clear" w:color="auto" w:fill="FFFFFF"/>
        </w:rPr>
        <w:t>, 324–331. https://doi.org/10.1016/j.socscimed.2015.11.009</w:t>
      </w:r>
    </w:p>
    <w:p w14:paraId="33E96EFD" w14:textId="6449CCE2" w:rsidR="00F06F17" w:rsidRPr="00837BF1" w:rsidRDefault="00F06F17" w:rsidP="00582D55">
      <w:pPr>
        <w:autoSpaceDE w:val="0"/>
        <w:autoSpaceDN w:val="0"/>
        <w:adjustRightInd w:val="0"/>
        <w:spacing w:after="0" w:line="240" w:lineRule="auto"/>
        <w:ind w:left="482" w:hanging="482"/>
        <w:jc w:val="both"/>
        <w:rPr>
          <w:rFonts w:ascii="Arial" w:hAnsi="Arial" w:cs="Arial"/>
        </w:rPr>
      </w:pPr>
      <w:r w:rsidRPr="00837BF1">
        <w:rPr>
          <w:rFonts w:ascii="Arial" w:hAnsi="Arial" w:cs="Arial"/>
        </w:rPr>
        <w:t xml:space="preserve">Benzeval, M., Booker, C., Burton, J., Crossley, T. F., Jäckle, A., Kumari, M. </w:t>
      </w:r>
      <w:r w:rsidR="00A87990" w:rsidRPr="00837BF1">
        <w:rPr>
          <w:rFonts w:ascii="Arial" w:hAnsi="Arial" w:cs="Arial"/>
        </w:rPr>
        <w:t xml:space="preserve">&amp; </w:t>
      </w:r>
      <w:r w:rsidRPr="00837BF1">
        <w:rPr>
          <w:rFonts w:ascii="Arial" w:hAnsi="Arial" w:cs="Arial"/>
        </w:rPr>
        <w:t xml:space="preserve">Read, B. </w:t>
      </w:r>
      <w:r w:rsidR="00FB27A9" w:rsidRPr="00837BF1">
        <w:rPr>
          <w:rFonts w:ascii="Arial" w:hAnsi="Arial" w:cs="Arial"/>
        </w:rPr>
        <w:t>(</w:t>
      </w:r>
      <w:r w:rsidRPr="00837BF1">
        <w:rPr>
          <w:rFonts w:ascii="Arial" w:hAnsi="Arial" w:cs="Arial"/>
        </w:rPr>
        <w:t>2020</w:t>
      </w:r>
      <w:r w:rsidR="00FB27A9" w:rsidRPr="00837BF1">
        <w:rPr>
          <w:rFonts w:ascii="Arial" w:hAnsi="Arial" w:cs="Arial"/>
        </w:rPr>
        <w:t>)</w:t>
      </w:r>
      <w:r w:rsidRPr="00837BF1">
        <w:rPr>
          <w:rFonts w:ascii="Arial" w:hAnsi="Arial" w:cs="Arial"/>
        </w:rPr>
        <w:t>. Understanding Society COVID-19 Survey April Briefing Note: Health and Caring, Understanding Society Working Paper No 11/2020, ISER, University of Essex.</w:t>
      </w:r>
    </w:p>
    <w:p w14:paraId="7F94D340" w14:textId="77777777" w:rsidR="00773355" w:rsidRPr="00837BF1" w:rsidRDefault="00773355" w:rsidP="00582D55">
      <w:pPr>
        <w:autoSpaceDE w:val="0"/>
        <w:autoSpaceDN w:val="0"/>
        <w:adjustRightInd w:val="0"/>
        <w:spacing w:after="0" w:line="240" w:lineRule="auto"/>
        <w:ind w:left="482" w:hanging="482"/>
        <w:jc w:val="both"/>
      </w:pPr>
    </w:p>
    <w:p w14:paraId="690AFBED" w14:textId="5201C596" w:rsidR="00FB4DEA" w:rsidRPr="00837BF1" w:rsidRDefault="00FB4DEA" w:rsidP="00582D55">
      <w:pPr>
        <w:autoSpaceDE w:val="0"/>
        <w:autoSpaceDN w:val="0"/>
        <w:adjustRightInd w:val="0"/>
        <w:spacing w:after="0" w:line="240" w:lineRule="auto"/>
        <w:ind w:left="482" w:hanging="482"/>
        <w:jc w:val="both"/>
        <w:rPr>
          <w:rFonts w:ascii="Arial" w:hAnsi="Arial" w:cs="Arial"/>
        </w:rPr>
      </w:pPr>
      <w:r w:rsidRPr="00837BF1">
        <w:rPr>
          <w:rFonts w:ascii="Arial" w:hAnsi="Arial" w:cs="Arial"/>
        </w:rPr>
        <w:t>Benzeval,</w:t>
      </w:r>
      <w:r w:rsidR="00571B7A" w:rsidRPr="00837BF1">
        <w:rPr>
          <w:rFonts w:ascii="Arial" w:hAnsi="Arial" w:cs="Arial"/>
        </w:rPr>
        <w:t xml:space="preserve"> M.,</w:t>
      </w:r>
      <w:r w:rsidRPr="00837BF1">
        <w:rPr>
          <w:rFonts w:ascii="Arial" w:hAnsi="Arial" w:cs="Arial"/>
        </w:rPr>
        <w:t xml:space="preserve"> Borkowska, </w:t>
      </w:r>
      <w:r w:rsidR="00571B7A" w:rsidRPr="00837BF1">
        <w:rPr>
          <w:rFonts w:ascii="Arial" w:hAnsi="Arial" w:cs="Arial"/>
        </w:rPr>
        <w:t xml:space="preserve">M., </w:t>
      </w:r>
      <w:r w:rsidRPr="00837BF1">
        <w:rPr>
          <w:rFonts w:ascii="Arial" w:hAnsi="Arial" w:cs="Arial"/>
        </w:rPr>
        <w:t>Burton,</w:t>
      </w:r>
      <w:r w:rsidR="00571B7A" w:rsidRPr="00837BF1">
        <w:rPr>
          <w:rFonts w:ascii="Arial" w:hAnsi="Arial" w:cs="Arial"/>
        </w:rPr>
        <w:t xml:space="preserve"> J., </w:t>
      </w:r>
      <w:r w:rsidRPr="00837BF1">
        <w:rPr>
          <w:rFonts w:ascii="Arial" w:hAnsi="Arial" w:cs="Arial"/>
        </w:rPr>
        <w:t>Crossley,</w:t>
      </w:r>
      <w:r w:rsidR="006E1548" w:rsidRPr="00837BF1">
        <w:rPr>
          <w:rFonts w:ascii="Arial" w:hAnsi="Arial" w:cs="Arial"/>
        </w:rPr>
        <w:t xml:space="preserve"> T.F.,</w:t>
      </w:r>
      <w:r w:rsidRPr="00837BF1">
        <w:rPr>
          <w:rFonts w:ascii="Arial" w:hAnsi="Arial" w:cs="Arial"/>
        </w:rPr>
        <w:t xml:space="preserve"> Fumagalli,</w:t>
      </w:r>
      <w:r w:rsidR="006E1548" w:rsidRPr="00837BF1">
        <w:rPr>
          <w:rFonts w:ascii="Arial" w:hAnsi="Arial" w:cs="Arial"/>
        </w:rPr>
        <w:t xml:space="preserve"> L.,</w:t>
      </w:r>
      <w:r w:rsidRPr="00837BF1">
        <w:rPr>
          <w:rFonts w:ascii="Arial" w:hAnsi="Arial" w:cs="Arial"/>
        </w:rPr>
        <w:t xml:space="preserve"> Jäckle, </w:t>
      </w:r>
      <w:r w:rsidR="006E1548" w:rsidRPr="00837BF1">
        <w:rPr>
          <w:rFonts w:ascii="Arial" w:hAnsi="Arial" w:cs="Arial"/>
        </w:rPr>
        <w:t xml:space="preserve">A., </w:t>
      </w:r>
      <w:r w:rsidRPr="00837BF1">
        <w:rPr>
          <w:rFonts w:ascii="Arial" w:hAnsi="Arial" w:cs="Arial"/>
        </w:rPr>
        <w:t xml:space="preserve">Rabe </w:t>
      </w:r>
      <w:r w:rsidR="006E1548" w:rsidRPr="00837BF1">
        <w:rPr>
          <w:rFonts w:ascii="Arial" w:hAnsi="Arial" w:cs="Arial"/>
        </w:rPr>
        <w:t>B</w:t>
      </w:r>
      <w:r w:rsidR="00A87990" w:rsidRPr="00837BF1">
        <w:rPr>
          <w:rFonts w:ascii="Arial" w:hAnsi="Arial" w:cs="Arial"/>
        </w:rPr>
        <w:t>. &amp;</w:t>
      </w:r>
      <w:r w:rsidRPr="00837BF1">
        <w:rPr>
          <w:rFonts w:ascii="Arial" w:hAnsi="Arial" w:cs="Arial"/>
        </w:rPr>
        <w:t xml:space="preserve"> Read</w:t>
      </w:r>
      <w:r w:rsidR="00A87990" w:rsidRPr="00837BF1">
        <w:rPr>
          <w:rFonts w:ascii="Arial" w:hAnsi="Arial" w:cs="Arial"/>
        </w:rPr>
        <w:t>, B.</w:t>
      </w:r>
      <w:r w:rsidRPr="00837BF1">
        <w:rPr>
          <w:rFonts w:ascii="Arial" w:hAnsi="Arial" w:cs="Arial"/>
        </w:rPr>
        <w:t xml:space="preserve"> (2020) Understanding Society COVID-19 Survey April Briefing Note: Home schooling, Understanding Society Working Paper No 12/2020, ISER, University of Essex.</w:t>
      </w:r>
    </w:p>
    <w:p w14:paraId="5EF0EC7D" w14:textId="77777777" w:rsidR="00EA33CB" w:rsidRPr="00837BF1" w:rsidRDefault="00EA33CB" w:rsidP="00582D55">
      <w:pPr>
        <w:autoSpaceDE w:val="0"/>
        <w:autoSpaceDN w:val="0"/>
        <w:adjustRightInd w:val="0"/>
        <w:spacing w:after="0" w:line="240" w:lineRule="auto"/>
        <w:ind w:left="482" w:hanging="482"/>
        <w:jc w:val="both"/>
        <w:rPr>
          <w:rFonts w:ascii="Arial" w:hAnsi="Arial" w:cs="Arial"/>
        </w:rPr>
      </w:pPr>
    </w:p>
    <w:p w14:paraId="2F684430" w14:textId="058A4058" w:rsidR="00EA33CB" w:rsidRPr="00837BF1" w:rsidRDefault="00EA33CB" w:rsidP="00582D55">
      <w:pPr>
        <w:autoSpaceDE w:val="0"/>
        <w:autoSpaceDN w:val="0"/>
        <w:adjustRightInd w:val="0"/>
        <w:spacing w:after="0" w:line="240" w:lineRule="auto"/>
        <w:ind w:left="482" w:hanging="482"/>
        <w:jc w:val="both"/>
        <w:rPr>
          <w:rFonts w:ascii="Arial" w:hAnsi="Arial" w:cs="Arial"/>
        </w:rPr>
      </w:pPr>
      <w:r w:rsidRPr="00837BF1">
        <w:rPr>
          <w:rFonts w:ascii="Arial" w:hAnsi="Arial" w:cs="Arial"/>
        </w:rPr>
        <w:t>Bollen</w:t>
      </w:r>
      <w:r w:rsidR="00D805AA" w:rsidRPr="00837BF1">
        <w:rPr>
          <w:rFonts w:ascii="Arial" w:hAnsi="Arial" w:cs="Arial"/>
        </w:rPr>
        <w:t>,</w:t>
      </w:r>
      <w:r w:rsidR="00421125" w:rsidRPr="00837BF1">
        <w:rPr>
          <w:rFonts w:ascii="Arial" w:hAnsi="Arial" w:cs="Arial"/>
        </w:rPr>
        <w:t xml:space="preserve"> </w:t>
      </w:r>
      <w:r w:rsidRPr="00837BF1">
        <w:rPr>
          <w:rFonts w:ascii="Arial" w:hAnsi="Arial" w:cs="Arial"/>
        </w:rPr>
        <w:t xml:space="preserve"> K</w:t>
      </w:r>
      <w:r w:rsidR="00421125" w:rsidRPr="00837BF1">
        <w:rPr>
          <w:rFonts w:ascii="Arial" w:hAnsi="Arial" w:cs="Arial"/>
        </w:rPr>
        <w:t xml:space="preserve">. </w:t>
      </w:r>
      <w:r w:rsidRPr="00837BF1">
        <w:rPr>
          <w:rFonts w:ascii="Arial" w:hAnsi="Arial" w:cs="Arial"/>
        </w:rPr>
        <w:t xml:space="preserve">A. </w:t>
      </w:r>
      <w:r w:rsidR="00421125" w:rsidRPr="00837BF1">
        <w:rPr>
          <w:rFonts w:ascii="Arial" w:hAnsi="Arial" w:cs="Arial"/>
        </w:rPr>
        <w:t xml:space="preserve">(1989) </w:t>
      </w:r>
      <w:r w:rsidRPr="00837BF1">
        <w:rPr>
          <w:rFonts w:ascii="Arial" w:hAnsi="Arial" w:cs="Arial"/>
        </w:rPr>
        <w:t xml:space="preserve">Structural equations with latent variables. </w:t>
      </w:r>
      <w:r w:rsidR="00921BE0" w:rsidRPr="00837BF1">
        <w:rPr>
          <w:rFonts w:ascii="Arial" w:hAnsi="Arial" w:cs="Arial"/>
          <w:shd w:val="clear" w:color="auto" w:fill="FFFFFF"/>
        </w:rPr>
        <w:t>John Wiley and Sons, Inc., New York.</w:t>
      </w:r>
      <w:r w:rsidR="00AC7265" w:rsidRPr="00837BF1">
        <w:rPr>
          <w:rFonts w:ascii="Arial" w:hAnsi="Arial" w:cs="Arial"/>
        </w:rPr>
        <w:t xml:space="preserve"> </w:t>
      </w:r>
      <w:r w:rsidR="00AC7265" w:rsidRPr="00837BF1">
        <w:rPr>
          <w:rFonts w:ascii="Arial" w:hAnsi="Arial" w:cs="Arial"/>
          <w:noProof/>
        </w:rPr>
        <w:t>https://doi.org/</w:t>
      </w:r>
      <w:r w:rsidR="00AC7265" w:rsidRPr="00837BF1">
        <w:rPr>
          <w:rFonts w:ascii="Arial" w:hAnsi="Arial" w:cs="Arial"/>
        </w:rPr>
        <w:t>10.1002/9781118619179</w:t>
      </w:r>
    </w:p>
    <w:p w14:paraId="1D53AC6A" w14:textId="77777777" w:rsidR="00F06F17" w:rsidRPr="00837BF1" w:rsidRDefault="00F06F17" w:rsidP="00582D55">
      <w:pPr>
        <w:autoSpaceDE w:val="0"/>
        <w:autoSpaceDN w:val="0"/>
        <w:adjustRightInd w:val="0"/>
        <w:spacing w:after="0" w:line="240" w:lineRule="auto"/>
        <w:ind w:left="482" w:hanging="482"/>
        <w:jc w:val="both"/>
        <w:rPr>
          <w:rFonts w:ascii="Arial" w:hAnsi="Arial" w:cs="Arial"/>
        </w:rPr>
      </w:pPr>
    </w:p>
    <w:p w14:paraId="2E0A2371" w14:textId="77777777"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shd w:val="clear" w:color="auto" w:fill="FFFFFF"/>
        </w:rPr>
        <w:t xml:space="preserve">Brooks, S. K., Webster, R. K., Smith, L. E., Woodland, L., Wessely, S., Greenberg, N., &amp; Rubin, G. J. (2020). The psychological impact of quarantine and how to reduce it: rapid review of the evidence. </w:t>
      </w:r>
      <w:r w:rsidRPr="00837BF1">
        <w:rPr>
          <w:rFonts w:ascii="Arial" w:hAnsi="Arial" w:cs="Arial"/>
        </w:rPr>
        <w:t>The Lancet</w:t>
      </w:r>
      <w:r w:rsidRPr="00837BF1">
        <w:rPr>
          <w:rFonts w:ascii="Arial" w:hAnsi="Arial" w:cs="Arial"/>
          <w:shd w:val="clear" w:color="auto" w:fill="FFFFFF"/>
        </w:rPr>
        <w:t xml:space="preserve">, 395, 912-920, </w:t>
      </w:r>
      <w:r w:rsidRPr="00837BF1">
        <w:rPr>
          <w:rFonts w:ascii="Arial" w:hAnsi="Arial" w:cs="Arial"/>
          <w:noProof/>
        </w:rPr>
        <w:t>https://doi.org/10.1016/S0140-6736(20)30460-8</w:t>
      </w:r>
    </w:p>
    <w:p w14:paraId="55FE8416" w14:textId="5603D1B9"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shd w:val="clear" w:color="auto" w:fill="FFFFFF"/>
        </w:rPr>
        <w:t xml:space="preserve">Cacioppo, J. T., Hughes, M. E., Waite, L. J., Hawkley, L. C., &amp; Thisted, R. A. (2006). Loneliness as a specific risk factor for depressive symptoms: cross-sectional and longitudinal analyses. </w:t>
      </w:r>
      <w:r w:rsidRPr="00837BF1">
        <w:rPr>
          <w:rFonts w:ascii="Arial" w:hAnsi="Arial" w:cs="Arial"/>
        </w:rPr>
        <w:t>Psychology and aging</w:t>
      </w:r>
      <w:r w:rsidRPr="00837BF1">
        <w:rPr>
          <w:rFonts w:ascii="Arial" w:hAnsi="Arial" w:cs="Arial"/>
          <w:shd w:val="clear" w:color="auto" w:fill="FFFFFF"/>
        </w:rPr>
        <w:t xml:space="preserve">, </w:t>
      </w:r>
      <w:r w:rsidRPr="00837BF1">
        <w:rPr>
          <w:rFonts w:ascii="Arial" w:hAnsi="Arial" w:cs="Arial"/>
        </w:rPr>
        <w:t>21</w:t>
      </w:r>
      <w:r w:rsidRPr="00837BF1">
        <w:rPr>
          <w:rFonts w:ascii="Arial" w:hAnsi="Arial" w:cs="Arial"/>
          <w:shd w:val="clear" w:color="auto" w:fill="FFFFFF"/>
        </w:rPr>
        <w:t xml:space="preserve">(1), </w:t>
      </w:r>
      <w:r w:rsidRPr="00837BF1">
        <w:rPr>
          <w:rFonts w:ascii="Arial" w:hAnsi="Arial" w:cs="Arial"/>
          <w:noProof/>
        </w:rPr>
        <w:t>140–151. https://doi.org/10.1037/0882-7974.21.1.140</w:t>
      </w:r>
    </w:p>
    <w:p w14:paraId="6B9186CA" w14:textId="4099D752" w:rsidR="0091786A" w:rsidRPr="00837BF1" w:rsidRDefault="0091786A"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shd w:val="clear" w:color="auto" w:fill="FFFFFF"/>
        </w:rPr>
        <w:t>Catney, G., &amp; Sabater, A. (2015). Ethnic minority disadvantage in the labour market. York: Joseph Rowntree Foundation.</w:t>
      </w:r>
    </w:p>
    <w:p w14:paraId="201E1843" w14:textId="77777777"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shd w:val="clear" w:color="auto" w:fill="FFFFFF"/>
        </w:rPr>
        <w:t xml:space="preserve">Drydakis, N. (2015). The effect of unemployment on self-reported health and mental health in Greece from 2008 to 2013: a longitudinal study before and during the financial crisis. </w:t>
      </w:r>
      <w:r w:rsidRPr="00837BF1">
        <w:rPr>
          <w:rFonts w:ascii="Arial" w:hAnsi="Arial" w:cs="Arial"/>
        </w:rPr>
        <w:t>Social Science &amp; Medicine</w:t>
      </w:r>
      <w:r w:rsidRPr="00837BF1">
        <w:rPr>
          <w:rFonts w:ascii="Arial" w:hAnsi="Arial" w:cs="Arial"/>
          <w:shd w:val="clear" w:color="auto" w:fill="FFFFFF"/>
        </w:rPr>
        <w:t xml:space="preserve">, </w:t>
      </w:r>
      <w:r w:rsidRPr="00837BF1">
        <w:rPr>
          <w:rFonts w:ascii="Arial" w:hAnsi="Arial" w:cs="Arial"/>
        </w:rPr>
        <w:t>128</w:t>
      </w:r>
      <w:r w:rsidRPr="00837BF1">
        <w:rPr>
          <w:rFonts w:ascii="Arial" w:hAnsi="Arial" w:cs="Arial"/>
          <w:shd w:val="clear" w:color="auto" w:fill="FFFFFF"/>
        </w:rPr>
        <w:t>, 43-51.</w:t>
      </w:r>
      <w:r w:rsidRPr="00837BF1">
        <w:rPr>
          <w:rFonts w:ascii="Arial" w:hAnsi="Arial" w:cs="Arial"/>
          <w:noProof/>
        </w:rPr>
        <w:t xml:space="preserve"> https://doi.org/https://doi.org/10.1016/j.socscimed.2014.12.025</w:t>
      </w:r>
    </w:p>
    <w:p w14:paraId="3D9574C4" w14:textId="6A083EB2"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shd w:val="clear" w:color="auto" w:fill="FFFFFF"/>
        </w:rPr>
        <w:t xml:space="preserve">Evans-Lacko, S., Knapp, M., McCrone, P., Thornicroft, G., &amp; Mojtabai, R. (2013). The mental health consequences of the recession: economic hardship and employment of people with mental health problems in 27 European countries. </w:t>
      </w:r>
      <w:r w:rsidRPr="00837BF1">
        <w:rPr>
          <w:rFonts w:ascii="Arial" w:hAnsi="Arial" w:cs="Arial"/>
        </w:rPr>
        <w:t>PloS one</w:t>
      </w:r>
      <w:r w:rsidRPr="00837BF1">
        <w:rPr>
          <w:rFonts w:ascii="Arial" w:hAnsi="Arial" w:cs="Arial"/>
          <w:shd w:val="clear" w:color="auto" w:fill="FFFFFF"/>
        </w:rPr>
        <w:t xml:space="preserve">, </w:t>
      </w:r>
      <w:r w:rsidRPr="00837BF1">
        <w:rPr>
          <w:rFonts w:ascii="Arial" w:hAnsi="Arial" w:cs="Arial"/>
        </w:rPr>
        <w:t>8</w:t>
      </w:r>
      <w:r w:rsidRPr="00837BF1">
        <w:rPr>
          <w:rFonts w:ascii="Arial" w:hAnsi="Arial" w:cs="Arial"/>
          <w:shd w:val="clear" w:color="auto" w:fill="FFFFFF"/>
        </w:rPr>
        <w:t>(7), e69792.</w:t>
      </w:r>
      <w:r w:rsidRPr="00837BF1">
        <w:rPr>
          <w:rFonts w:ascii="Arial" w:hAnsi="Arial" w:cs="Arial"/>
          <w:noProof/>
        </w:rPr>
        <w:t xml:space="preserve"> https://doi.org/10.1371/journal.pone.0069792</w:t>
      </w:r>
    </w:p>
    <w:p w14:paraId="595A1891" w14:textId="795FC6DA" w:rsidR="0068585E" w:rsidRPr="00837BF1" w:rsidRDefault="0068585E"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rPr>
        <w:t>Etheridge, B., &amp; Spantig, L. (2020). The Gender Gap in Mental Well-Being During the Covid19 Outbreak: Evidence from the UK. ISER Working Paper Series No. 2020–08. Institute for Social and Economic Research. https://www.iser.essex.ac.uk/research/publications/working-papers/iser/2020- 08.pdf</w:t>
      </w:r>
    </w:p>
    <w:p w14:paraId="67047347" w14:textId="377EB8AD" w:rsidR="00E61661" w:rsidRPr="00837BF1" w:rsidRDefault="00E61661" w:rsidP="00582D55">
      <w:pPr>
        <w:widowControl w:val="0"/>
        <w:autoSpaceDE w:val="0"/>
        <w:autoSpaceDN w:val="0"/>
        <w:adjustRightInd w:val="0"/>
        <w:spacing w:line="240" w:lineRule="auto"/>
        <w:ind w:left="482" w:hanging="482"/>
        <w:jc w:val="both"/>
        <w:rPr>
          <w:rFonts w:ascii="Arial" w:hAnsi="Arial" w:cs="Arial"/>
          <w:shd w:val="clear" w:color="auto" w:fill="FFFFFF"/>
        </w:rPr>
      </w:pPr>
      <w:r w:rsidRPr="00837BF1">
        <w:rPr>
          <w:rFonts w:ascii="Arial" w:hAnsi="Arial" w:cs="Arial"/>
          <w:shd w:val="clear" w:color="auto" w:fill="FFFFFF"/>
        </w:rPr>
        <w:t>Finney, S. J., &amp; DiStefano, C. (2013). Non-normal and categorical data in structural equation modeling </w:t>
      </w:r>
      <w:r w:rsidR="00F162C6" w:rsidRPr="00837BF1">
        <w:rPr>
          <w:rFonts w:ascii="Arial" w:hAnsi="Arial" w:cs="Arial"/>
          <w:shd w:val="clear" w:color="auto" w:fill="FFFFFF"/>
        </w:rPr>
        <w:t xml:space="preserve">in Structural equation modeling: A second course, Edition: 2nd, Chapter: Non-normal and categorical data in structural equation modeling, </w:t>
      </w:r>
      <w:r w:rsidR="005820CF" w:rsidRPr="00837BF1">
        <w:rPr>
          <w:rFonts w:ascii="Arial" w:hAnsi="Arial" w:cs="Arial"/>
          <w:shd w:val="clear" w:color="auto" w:fill="FFFFFF"/>
        </w:rPr>
        <w:t xml:space="preserve">Charlotte, NC. </w:t>
      </w:r>
      <w:r w:rsidR="00F162C6" w:rsidRPr="00837BF1">
        <w:rPr>
          <w:rFonts w:ascii="Arial" w:hAnsi="Arial" w:cs="Arial"/>
          <w:shd w:val="clear" w:color="auto" w:fill="FFFFFF"/>
        </w:rPr>
        <w:t>IAP Information Age Publishing, 2013, 439-92.</w:t>
      </w:r>
    </w:p>
    <w:p w14:paraId="29AD6669" w14:textId="23EA1A6C"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shd w:val="clear" w:color="auto" w:fill="FFFFFF"/>
        </w:rPr>
        <w:t xml:space="preserve">Frasquilho, D., Matos, M. G., Salonna, F., Guerreiro, D., Storti, C. C., Gaspar, T., &amp; Caldas-de-Almeida, J. M. (2015). Mental health outcomes in times of economic recession: a systematic literature review. </w:t>
      </w:r>
      <w:r w:rsidRPr="00837BF1">
        <w:rPr>
          <w:rFonts w:ascii="Arial" w:hAnsi="Arial" w:cs="Arial"/>
        </w:rPr>
        <w:t>BMC public health</w:t>
      </w:r>
      <w:r w:rsidRPr="00837BF1">
        <w:rPr>
          <w:rFonts w:ascii="Arial" w:hAnsi="Arial" w:cs="Arial"/>
          <w:shd w:val="clear" w:color="auto" w:fill="FFFFFF"/>
        </w:rPr>
        <w:t xml:space="preserve">, </w:t>
      </w:r>
      <w:r w:rsidRPr="00837BF1">
        <w:rPr>
          <w:rFonts w:ascii="Arial" w:hAnsi="Arial" w:cs="Arial"/>
        </w:rPr>
        <w:t>16</w:t>
      </w:r>
      <w:r w:rsidRPr="00837BF1">
        <w:rPr>
          <w:rFonts w:ascii="Arial" w:hAnsi="Arial" w:cs="Arial"/>
          <w:shd w:val="clear" w:color="auto" w:fill="FFFFFF"/>
        </w:rPr>
        <w:t>(1), 1-40.</w:t>
      </w:r>
      <w:r w:rsidRPr="00837BF1">
        <w:rPr>
          <w:rFonts w:ascii="Arial" w:hAnsi="Arial" w:cs="Arial"/>
          <w:noProof/>
        </w:rPr>
        <w:t xml:space="preserve"> </w:t>
      </w:r>
      <w:r w:rsidRPr="00837BF1">
        <w:rPr>
          <w:rFonts w:ascii="Arial" w:hAnsi="Arial" w:cs="Arial"/>
          <w:noProof/>
        </w:rPr>
        <w:lastRenderedPageBreak/>
        <w:t>https://doi.org/10.1186/s12889-016-2720-y</w:t>
      </w:r>
    </w:p>
    <w:p w14:paraId="7C3E9080" w14:textId="4313E000" w:rsidR="00F06F17" w:rsidRPr="00837BF1" w:rsidRDefault="00F06F17" w:rsidP="00582D55">
      <w:pPr>
        <w:widowControl w:val="0"/>
        <w:autoSpaceDE w:val="0"/>
        <w:autoSpaceDN w:val="0"/>
        <w:adjustRightInd w:val="0"/>
        <w:spacing w:line="240" w:lineRule="auto"/>
        <w:ind w:left="482" w:hanging="482"/>
        <w:jc w:val="both"/>
        <w:rPr>
          <w:rFonts w:ascii="Arial" w:hAnsi="Arial" w:cs="Arial"/>
          <w:shd w:val="clear" w:color="auto" w:fill="FFFFFF"/>
        </w:rPr>
      </w:pPr>
      <w:r w:rsidRPr="00837BF1">
        <w:rPr>
          <w:rFonts w:ascii="Arial" w:hAnsi="Arial" w:cs="Arial"/>
          <w:shd w:val="clear" w:color="auto" w:fill="FFFFFF"/>
        </w:rPr>
        <w:t xml:space="preserve">Goldberg, D. </w:t>
      </w:r>
      <w:r w:rsidR="00586A23" w:rsidRPr="00837BF1">
        <w:rPr>
          <w:rFonts w:ascii="Arial" w:hAnsi="Arial" w:cs="Arial"/>
          <w:shd w:val="clear" w:color="auto" w:fill="FFFFFF"/>
        </w:rPr>
        <w:t>&amp;</w:t>
      </w:r>
      <w:r w:rsidRPr="00837BF1">
        <w:rPr>
          <w:rFonts w:ascii="Arial" w:hAnsi="Arial" w:cs="Arial"/>
          <w:shd w:val="clear" w:color="auto" w:fill="FFFFFF"/>
        </w:rPr>
        <w:t xml:space="preserve"> Williams, P., </w:t>
      </w:r>
      <w:r w:rsidR="00C10293" w:rsidRPr="00837BF1">
        <w:rPr>
          <w:rFonts w:ascii="Arial" w:hAnsi="Arial" w:cs="Arial"/>
          <w:shd w:val="clear" w:color="auto" w:fill="FFFFFF"/>
        </w:rPr>
        <w:t>(</w:t>
      </w:r>
      <w:r w:rsidRPr="00837BF1">
        <w:rPr>
          <w:rFonts w:ascii="Arial" w:hAnsi="Arial" w:cs="Arial"/>
          <w:shd w:val="clear" w:color="auto" w:fill="FFFFFF"/>
        </w:rPr>
        <w:t>1988</w:t>
      </w:r>
      <w:r w:rsidR="00C10293" w:rsidRPr="00837BF1">
        <w:rPr>
          <w:rFonts w:ascii="Arial" w:hAnsi="Arial" w:cs="Arial"/>
          <w:shd w:val="clear" w:color="auto" w:fill="FFFFFF"/>
        </w:rPr>
        <w:t>)</w:t>
      </w:r>
      <w:r w:rsidRPr="00837BF1">
        <w:rPr>
          <w:rFonts w:ascii="Arial" w:hAnsi="Arial" w:cs="Arial"/>
          <w:shd w:val="clear" w:color="auto" w:fill="FFFFFF"/>
        </w:rPr>
        <w:t xml:space="preserve">. </w:t>
      </w:r>
      <w:r w:rsidRPr="00837BF1">
        <w:rPr>
          <w:rFonts w:ascii="Arial" w:hAnsi="Arial" w:cs="Arial"/>
        </w:rPr>
        <w:t>A User's Guide To The General Health Questionnaire</w:t>
      </w:r>
      <w:r w:rsidRPr="00837BF1">
        <w:rPr>
          <w:rFonts w:ascii="Arial" w:hAnsi="Arial" w:cs="Arial"/>
          <w:shd w:val="clear" w:color="auto" w:fill="FFFFFF"/>
        </w:rPr>
        <w:t>. Windsor, Berks: NFER-Nelson.</w:t>
      </w:r>
    </w:p>
    <w:p w14:paraId="4DB0E1D0" w14:textId="7E93BE48" w:rsidR="00841BD0" w:rsidRPr="00837BF1" w:rsidRDefault="00841BD0"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shd w:val="clear" w:color="auto" w:fill="FFFFFF"/>
        </w:rPr>
        <w:t>Henley,</w:t>
      </w:r>
      <w:r w:rsidR="00146B72" w:rsidRPr="00837BF1">
        <w:rPr>
          <w:rFonts w:ascii="Arial" w:hAnsi="Arial" w:cs="Arial"/>
          <w:shd w:val="clear" w:color="auto" w:fill="FFFFFF"/>
        </w:rPr>
        <w:t xml:space="preserve"> A., &amp; Reus</w:t>
      </w:r>
      <w:r w:rsidR="00C10293" w:rsidRPr="00837BF1">
        <w:rPr>
          <w:rFonts w:ascii="Arial" w:hAnsi="Arial" w:cs="Arial"/>
          <w:shd w:val="clear" w:color="auto" w:fill="FFFFFF"/>
        </w:rPr>
        <w:t>ch</w:t>
      </w:r>
      <w:r w:rsidR="00146B72" w:rsidRPr="00837BF1">
        <w:rPr>
          <w:rFonts w:ascii="Arial" w:hAnsi="Arial" w:cs="Arial"/>
          <w:shd w:val="clear" w:color="auto" w:fill="FFFFFF"/>
        </w:rPr>
        <w:t xml:space="preserve">ke, </w:t>
      </w:r>
      <w:r w:rsidR="00C10293" w:rsidRPr="00837BF1">
        <w:rPr>
          <w:rFonts w:ascii="Arial" w:hAnsi="Arial" w:cs="Arial"/>
          <w:shd w:val="clear" w:color="auto" w:fill="FFFFFF"/>
        </w:rPr>
        <w:t>D., (2020). COVID-19 and self-employment in the UK</w:t>
      </w:r>
      <w:r w:rsidR="008C2964" w:rsidRPr="00837BF1">
        <w:rPr>
          <w:rFonts w:ascii="Arial" w:hAnsi="Arial" w:cs="Arial"/>
          <w:shd w:val="clear" w:color="auto" w:fill="FFFFFF"/>
        </w:rPr>
        <w:t>. Enterprise Research Centre Insight Paper</w:t>
      </w:r>
      <w:r w:rsidR="007E70A8" w:rsidRPr="00837BF1">
        <w:rPr>
          <w:rFonts w:ascii="Arial" w:hAnsi="Arial" w:cs="Arial"/>
          <w:shd w:val="clear" w:color="auto" w:fill="FFFFFF"/>
        </w:rPr>
        <w:t xml:space="preserve"> April 2020. Available at : https://www.enterpriseresearch.ac.uk/wp-content/uploads/2020/04/ERC-Insight-Covid-19-and-self-employment-in-the-UK.pdf</w:t>
      </w:r>
    </w:p>
    <w:p w14:paraId="073A6DD9" w14:textId="310D0663"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noProof/>
        </w:rPr>
        <w:t>H</w:t>
      </w:r>
      <w:r w:rsidR="00C656F7" w:rsidRPr="00837BF1">
        <w:rPr>
          <w:rFonts w:ascii="Arial" w:hAnsi="Arial" w:cs="Arial"/>
          <w:noProof/>
        </w:rPr>
        <w:t>M</w:t>
      </w:r>
      <w:r w:rsidRPr="00837BF1">
        <w:rPr>
          <w:rFonts w:ascii="Arial" w:hAnsi="Arial" w:cs="Arial"/>
          <w:noProof/>
        </w:rPr>
        <w:t xml:space="preserve"> Revenue and Customs, 2020. </w:t>
      </w:r>
      <w:r w:rsidRPr="00837BF1">
        <w:rPr>
          <w:rFonts w:ascii="Arial" w:hAnsi="Arial" w:cs="Arial"/>
          <w:shd w:val="clear" w:color="auto" w:fill="FFFFFF"/>
        </w:rPr>
        <w:t>HMRC data about the Coronavirus Job Retention Scheme, the Self-Employment Income Support Scheme, and the VAT payments deferral scheme. Available at : https://www.gov.uk/government/collections/hmrc-coronavirus-covid-19-statistics</w:t>
      </w:r>
    </w:p>
    <w:p w14:paraId="6794CE4F" w14:textId="77777777"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shd w:val="clear" w:color="auto" w:fill="FFFFFF"/>
        </w:rPr>
        <w:t xml:space="preserve">Holmes, E. A., O'Connor, R. C., Perry, V. H., Tracey, I., Wessely, S., Arseneault, L., ... &amp; Ford, T. (2020). Multidisciplinary research priorities for the COVID-19 pandemic: a call for action for mental health science. </w:t>
      </w:r>
      <w:r w:rsidRPr="00837BF1">
        <w:rPr>
          <w:rFonts w:ascii="Arial" w:hAnsi="Arial" w:cs="Arial"/>
        </w:rPr>
        <w:t>The Lancet Psychiatry</w:t>
      </w:r>
      <w:r w:rsidRPr="00837BF1">
        <w:rPr>
          <w:rFonts w:ascii="Arial" w:hAnsi="Arial" w:cs="Arial"/>
          <w:shd w:val="clear" w:color="auto" w:fill="FFFFFF"/>
        </w:rPr>
        <w:t>, 7, 547-560.</w:t>
      </w:r>
      <w:r w:rsidRPr="00837BF1">
        <w:rPr>
          <w:rFonts w:ascii="Arial" w:hAnsi="Arial" w:cs="Arial"/>
          <w:noProof/>
        </w:rPr>
        <w:t xml:space="preserve"> https://doi.org/10.1016/S2215-0366(20)30168-1</w:t>
      </w:r>
    </w:p>
    <w:p w14:paraId="52BB9A8B" w14:textId="77777777" w:rsidR="00F06F17" w:rsidRPr="00837BF1" w:rsidRDefault="00F06F17" w:rsidP="00582D55">
      <w:pPr>
        <w:autoSpaceDE w:val="0"/>
        <w:autoSpaceDN w:val="0"/>
        <w:adjustRightInd w:val="0"/>
        <w:spacing w:after="0" w:line="240" w:lineRule="auto"/>
        <w:ind w:left="482" w:hanging="482"/>
        <w:jc w:val="both"/>
        <w:rPr>
          <w:rFonts w:ascii="Arial" w:hAnsi="Arial" w:cs="Arial"/>
        </w:rPr>
      </w:pPr>
      <w:r w:rsidRPr="00837BF1">
        <w:rPr>
          <w:rFonts w:ascii="Arial" w:hAnsi="Arial" w:cs="Arial"/>
        </w:rPr>
        <w:t>Institute for Social and Economic Research, 2020. Understanding Society COVID-19 User</w:t>
      </w:r>
    </w:p>
    <w:p w14:paraId="0224AB47" w14:textId="77777777"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rPr>
        <w:t>Guide. Version 1.0, May 2020. Colchester: University of Essex.</w:t>
      </w:r>
    </w:p>
    <w:p w14:paraId="53CB8208" w14:textId="77777777" w:rsidR="00F06F17" w:rsidRPr="00837BF1" w:rsidRDefault="00F06F17" w:rsidP="00582D55">
      <w:pPr>
        <w:autoSpaceDE w:val="0"/>
        <w:autoSpaceDN w:val="0"/>
        <w:adjustRightInd w:val="0"/>
        <w:spacing w:after="0" w:line="240" w:lineRule="auto"/>
        <w:ind w:left="482" w:hanging="482"/>
        <w:jc w:val="both"/>
        <w:rPr>
          <w:rFonts w:ascii="Arial" w:hAnsi="Arial" w:cs="Arial"/>
        </w:rPr>
      </w:pPr>
      <w:r w:rsidRPr="00837BF1">
        <w:rPr>
          <w:rFonts w:ascii="Arial" w:hAnsi="Arial" w:cs="Arial"/>
        </w:rPr>
        <w:t>Ipsos MORI. Covid-19 and mental wellbeing. 2020. https://www. ipsos.com/ipsos-mori/en-uk/Covid-19-and-mental-wellbeing (accessed April 23rd, 2020).</w:t>
      </w:r>
    </w:p>
    <w:p w14:paraId="41485270" w14:textId="77777777" w:rsidR="00F06F17" w:rsidRPr="00837BF1" w:rsidRDefault="00F06F17" w:rsidP="00582D55">
      <w:pPr>
        <w:autoSpaceDE w:val="0"/>
        <w:autoSpaceDN w:val="0"/>
        <w:adjustRightInd w:val="0"/>
        <w:spacing w:after="0" w:line="240" w:lineRule="auto"/>
        <w:ind w:left="482" w:hanging="482"/>
        <w:jc w:val="both"/>
        <w:rPr>
          <w:rFonts w:ascii="Arial" w:hAnsi="Arial" w:cs="Arial"/>
        </w:rPr>
      </w:pPr>
    </w:p>
    <w:p w14:paraId="0E8F61E4" w14:textId="77777777"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shd w:val="clear" w:color="auto" w:fill="FFFFFF"/>
        </w:rPr>
        <w:t xml:space="preserve">Jahoda, M. (1988). Economic recession and mental health: Some conceptual issues. </w:t>
      </w:r>
      <w:r w:rsidRPr="00837BF1">
        <w:rPr>
          <w:rFonts w:ascii="Arial" w:hAnsi="Arial" w:cs="Arial"/>
        </w:rPr>
        <w:t>Journal of social Issues</w:t>
      </w:r>
      <w:r w:rsidRPr="00837BF1">
        <w:rPr>
          <w:rFonts w:ascii="Arial" w:hAnsi="Arial" w:cs="Arial"/>
          <w:shd w:val="clear" w:color="auto" w:fill="FFFFFF"/>
        </w:rPr>
        <w:t xml:space="preserve">, </w:t>
      </w:r>
      <w:r w:rsidRPr="00837BF1">
        <w:rPr>
          <w:rFonts w:ascii="Arial" w:hAnsi="Arial" w:cs="Arial"/>
        </w:rPr>
        <w:t>44</w:t>
      </w:r>
      <w:r w:rsidRPr="00837BF1">
        <w:rPr>
          <w:rFonts w:ascii="Arial" w:hAnsi="Arial" w:cs="Arial"/>
          <w:shd w:val="clear" w:color="auto" w:fill="FFFFFF"/>
        </w:rPr>
        <w:t>(4), 13-23.</w:t>
      </w:r>
      <w:r w:rsidRPr="00837BF1">
        <w:rPr>
          <w:rFonts w:ascii="Arial" w:hAnsi="Arial" w:cs="Arial"/>
          <w:noProof/>
        </w:rPr>
        <w:t xml:space="preserve"> https://doi.org/10.1111/j.1540-4560.1988.tb02089.x</w:t>
      </w:r>
    </w:p>
    <w:p w14:paraId="2DAB1B15" w14:textId="77777777"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lang w:val="de-DE"/>
        </w:rPr>
      </w:pPr>
      <w:r w:rsidRPr="00837BF1">
        <w:rPr>
          <w:rFonts w:ascii="Arial" w:hAnsi="Arial" w:cs="Arial"/>
          <w:shd w:val="clear" w:color="auto" w:fill="FFFFFF"/>
        </w:rPr>
        <w:t xml:space="preserve">Jahoda, M. (1981). Work, employment, and unemployment: Values, theories, and approaches in social research. </w:t>
      </w:r>
      <w:r w:rsidRPr="00837BF1">
        <w:rPr>
          <w:rFonts w:ascii="Arial" w:hAnsi="Arial" w:cs="Arial"/>
          <w:lang w:val="de-DE"/>
        </w:rPr>
        <w:t>American psychologist</w:t>
      </w:r>
      <w:r w:rsidRPr="00837BF1">
        <w:rPr>
          <w:rFonts w:ascii="Arial" w:hAnsi="Arial" w:cs="Arial"/>
          <w:shd w:val="clear" w:color="auto" w:fill="FFFFFF"/>
          <w:lang w:val="de-DE"/>
        </w:rPr>
        <w:t xml:space="preserve">, </w:t>
      </w:r>
      <w:r w:rsidRPr="00837BF1">
        <w:rPr>
          <w:rFonts w:ascii="Arial" w:hAnsi="Arial" w:cs="Arial"/>
          <w:lang w:val="de-DE"/>
        </w:rPr>
        <w:t>36</w:t>
      </w:r>
      <w:r w:rsidRPr="00837BF1">
        <w:rPr>
          <w:rFonts w:ascii="Arial" w:hAnsi="Arial" w:cs="Arial"/>
          <w:shd w:val="clear" w:color="auto" w:fill="FFFFFF"/>
          <w:lang w:val="de-DE"/>
        </w:rPr>
        <w:t>(2), 184</w:t>
      </w:r>
      <w:r w:rsidRPr="00837BF1">
        <w:rPr>
          <w:rFonts w:ascii="Arial" w:hAnsi="Arial" w:cs="Arial"/>
          <w:noProof/>
          <w:lang w:val="de-DE"/>
        </w:rPr>
        <w:t>–191. https://doi.org/10.1037/0003-066X.36.2.184</w:t>
      </w:r>
    </w:p>
    <w:p w14:paraId="183AB166" w14:textId="77777777"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shd w:val="clear" w:color="auto" w:fill="FFFFFF"/>
          <w:lang w:val="de-DE"/>
        </w:rPr>
        <w:t xml:space="preserve">Katikireddi, S. V., Niedzwiedz, C. L., &amp; Popham, F. (2012). </w:t>
      </w:r>
      <w:r w:rsidRPr="00837BF1">
        <w:rPr>
          <w:rFonts w:ascii="Arial" w:hAnsi="Arial" w:cs="Arial"/>
          <w:shd w:val="clear" w:color="auto" w:fill="FFFFFF"/>
        </w:rPr>
        <w:t xml:space="preserve">Trends in population mental health before and after the 2008 recession: a repeat cross-sectional analysis of the 1991–2010 Health Surveys of England. </w:t>
      </w:r>
      <w:r w:rsidRPr="00837BF1">
        <w:rPr>
          <w:rFonts w:ascii="Arial" w:hAnsi="Arial" w:cs="Arial"/>
        </w:rPr>
        <w:t>BMJ open</w:t>
      </w:r>
      <w:r w:rsidRPr="00837BF1">
        <w:rPr>
          <w:rFonts w:ascii="Arial" w:hAnsi="Arial" w:cs="Arial"/>
          <w:shd w:val="clear" w:color="auto" w:fill="FFFFFF"/>
        </w:rPr>
        <w:t xml:space="preserve">, </w:t>
      </w:r>
      <w:r w:rsidRPr="00837BF1">
        <w:rPr>
          <w:rFonts w:ascii="Arial" w:hAnsi="Arial" w:cs="Arial"/>
        </w:rPr>
        <w:t>2</w:t>
      </w:r>
      <w:r w:rsidRPr="00837BF1">
        <w:rPr>
          <w:rFonts w:ascii="Arial" w:hAnsi="Arial" w:cs="Arial"/>
          <w:shd w:val="clear" w:color="auto" w:fill="FFFFFF"/>
        </w:rPr>
        <w:t>(5). e001790. https://doi.org/10.1136/bmjopen-2012-001790</w:t>
      </w:r>
    </w:p>
    <w:p w14:paraId="1EB45572" w14:textId="0B288E8E"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shd w:val="clear" w:color="auto" w:fill="FFFFFF"/>
        </w:rPr>
        <w:t xml:space="preserve">Leigh-Hunt, N., Bagguley, D., Bash, K., Turner, V., Turnbull, S., Valtorta, N., &amp; Caan, W. (2017). An overview of systematic reviews on the public health consequences of social isolation and loneliness. </w:t>
      </w:r>
      <w:r w:rsidRPr="00837BF1">
        <w:rPr>
          <w:rFonts w:ascii="Arial" w:hAnsi="Arial" w:cs="Arial"/>
        </w:rPr>
        <w:t>Public Health</w:t>
      </w:r>
      <w:r w:rsidRPr="00837BF1">
        <w:rPr>
          <w:rFonts w:ascii="Arial" w:hAnsi="Arial" w:cs="Arial"/>
          <w:shd w:val="clear" w:color="auto" w:fill="FFFFFF"/>
        </w:rPr>
        <w:t xml:space="preserve">, </w:t>
      </w:r>
      <w:r w:rsidRPr="00837BF1">
        <w:rPr>
          <w:rFonts w:ascii="Arial" w:hAnsi="Arial" w:cs="Arial"/>
        </w:rPr>
        <w:t>152</w:t>
      </w:r>
      <w:r w:rsidRPr="00837BF1">
        <w:rPr>
          <w:rFonts w:ascii="Arial" w:hAnsi="Arial" w:cs="Arial"/>
          <w:shd w:val="clear" w:color="auto" w:fill="FFFFFF"/>
        </w:rPr>
        <w:t>, 157-171.</w:t>
      </w:r>
      <w:r w:rsidRPr="00837BF1">
        <w:rPr>
          <w:rFonts w:ascii="Arial" w:hAnsi="Arial" w:cs="Arial"/>
          <w:noProof/>
        </w:rPr>
        <w:t xml:space="preserve"> https://doi.org/https://doi.org/10.1016/j.puhe.2017.07.035</w:t>
      </w:r>
    </w:p>
    <w:p w14:paraId="2DF1A358" w14:textId="1E9108E9" w:rsidR="00FB0850" w:rsidRPr="00837BF1" w:rsidRDefault="00FB0850" w:rsidP="00582D55">
      <w:pPr>
        <w:shd w:val="clear" w:color="auto" w:fill="FFFFFF"/>
        <w:spacing w:line="240" w:lineRule="auto"/>
        <w:ind w:left="482" w:hanging="482"/>
        <w:jc w:val="both"/>
        <w:rPr>
          <w:rFonts w:ascii="Arial" w:hAnsi="Arial" w:cs="Arial"/>
          <w:color w:val="000000" w:themeColor="text1"/>
          <w:shd w:val="clear" w:color="auto" w:fill="FFFFFF"/>
        </w:rPr>
      </w:pPr>
      <w:r w:rsidRPr="00837BF1">
        <w:rPr>
          <w:rFonts w:ascii="Arial" w:hAnsi="Arial" w:cs="Arial"/>
          <w:color w:val="000000" w:themeColor="text1"/>
          <w:shd w:val="clear" w:color="auto" w:fill="FFFFFF"/>
        </w:rPr>
        <w:t xml:space="preserve">Little, R.J.A. &amp; Rubin, D.B. (2002).  </w:t>
      </w:r>
      <w:r w:rsidRPr="00837BF1">
        <w:rPr>
          <w:rFonts w:ascii="Arial" w:hAnsi="Arial" w:cs="Arial"/>
          <w:i/>
          <w:iCs/>
          <w:color w:val="000000" w:themeColor="text1"/>
          <w:shd w:val="clear" w:color="auto" w:fill="FFFFFF"/>
        </w:rPr>
        <w:t>Statistical analysis with missing data</w:t>
      </w:r>
      <w:r w:rsidRPr="00837BF1">
        <w:rPr>
          <w:rFonts w:ascii="Arial" w:hAnsi="Arial" w:cs="Arial"/>
          <w:color w:val="000000" w:themeColor="text1"/>
          <w:shd w:val="clear" w:color="auto" w:fill="FFFFFF"/>
        </w:rPr>
        <w:t>.  Second edition. New York: John Wiley &amp; Sons.</w:t>
      </w:r>
    </w:p>
    <w:p w14:paraId="073EC385" w14:textId="77777777"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shd w:val="clear" w:color="auto" w:fill="FFFFFF"/>
        </w:rPr>
        <w:t xml:space="preserve">Losada, A., Márquez-González, M., García-Ortiz, L., Gómez-Marcos, M. A., Fernández-Fernández, V., &amp; Rodríguez-Sánchez, E. (2012). Loneliness and mental health in a representative sample of community-dwelling Spanish older adults. </w:t>
      </w:r>
      <w:r w:rsidRPr="00837BF1">
        <w:rPr>
          <w:rFonts w:ascii="Arial" w:hAnsi="Arial" w:cs="Arial"/>
        </w:rPr>
        <w:t>The Journal of psychology</w:t>
      </w:r>
      <w:r w:rsidRPr="00837BF1">
        <w:rPr>
          <w:rFonts w:ascii="Arial" w:hAnsi="Arial" w:cs="Arial"/>
          <w:shd w:val="clear" w:color="auto" w:fill="FFFFFF"/>
        </w:rPr>
        <w:t xml:space="preserve">, </w:t>
      </w:r>
      <w:r w:rsidRPr="00837BF1">
        <w:rPr>
          <w:rFonts w:ascii="Arial" w:hAnsi="Arial" w:cs="Arial"/>
        </w:rPr>
        <w:t>146</w:t>
      </w:r>
      <w:r w:rsidRPr="00837BF1">
        <w:rPr>
          <w:rFonts w:ascii="Arial" w:hAnsi="Arial" w:cs="Arial"/>
          <w:shd w:val="clear" w:color="auto" w:fill="FFFFFF"/>
        </w:rPr>
        <w:t>(3), 277-292.</w:t>
      </w:r>
      <w:r w:rsidRPr="00837BF1">
        <w:rPr>
          <w:rFonts w:ascii="Arial" w:hAnsi="Arial" w:cs="Arial"/>
          <w:noProof/>
        </w:rPr>
        <w:t xml:space="preserve"> https://doi.org/10.1080/00223980.2011.582523</w:t>
      </w:r>
    </w:p>
    <w:p w14:paraId="0DDF7546" w14:textId="77777777"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noProof/>
        </w:rPr>
        <w:t>Lund, S., Ellingrud, K., Hancock, B., Manyika, J., &amp; Dua, A., 2020. Lives and livelihoods: Assessing the near-term impact of COVID-19 on US workers. McKinsey Global Institute. Available at: https://www.mckinsey.com/~/media/McKinsey/Industries/Public%20Sector/Our%20Insights/Lives%20and%20livelihoods%20Assessing%20the%20near%20term%20impact%20of%20COVID%2019%20on%20US%20workers/Lives-and-livelihoods-Assessing-the-near-term-impact-of-COVID-19-on-US-workers.ashx</w:t>
      </w:r>
    </w:p>
    <w:p w14:paraId="50A2BB7F" w14:textId="5ACB8CAE"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lang w:val="it-IT"/>
        </w:rPr>
      </w:pPr>
      <w:r w:rsidRPr="00837BF1">
        <w:rPr>
          <w:rFonts w:ascii="Arial" w:hAnsi="Arial" w:cs="Arial"/>
          <w:shd w:val="clear" w:color="auto" w:fill="FFFFFF"/>
          <w:lang w:val="it-IT"/>
        </w:rPr>
        <w:lastRenderedPageBreak/>
        <w:t>Mc</w:t>
      </w:r>
      <w:r w:rsidR="00C656F7" w:rsidRPr="00837BF1">
        <w:rPr>
          <w:rFonts w:ascii="Arial" w:hAnsi="Arial" w:cs="Arial"/>
          <w:shd w:val="clear" w:color="auto" w:fill="FFFFFF"/>
          <w:lang w:val="it-IT"/>
        </w:rPr>
        <w:t>K</w:t>
      </w:r>
      <w:r w:rsidRPr="00837BF1">
        <w:rPr>
          <w:rFonts w:ascii="Arial" w:hAnsi="Arial" w:cs="Arial"/>
          <w:shd w:val="clear" w:color="auto" w:fill="FFFFFF"/>
          <w:lang w:val="it-IT"/>
        </w:rPr>
        <w:t xml:space="preserve">enzie, S. K., Gunasekara, F. I., Richardson, K., &amp; Carter, K. (2014). </w:t>
      </w:r>
      <w:r w:rsidRPr="00837BF1">
        <w:rPr>
          <w:rFonts w:ascii="Arial" w:hAnsi="Arial" w:cs="Arial"/>
          <w:shd w:val="clear" w:color="auto" w:fill="FFFFFF"/>
        </w:rPr>
        <w:t xml:space="preserve">Do changes in socioeconomic factors lead to changes in mental health? Findings from three waves of a population based panel study. </w:t>
      </w:r>
      <w:r w:rsidRPr="00837BF1">
        <w:rPr>
          <w:rFonts w:ascii="Arial" w:hAnsi="Arial" w:cs="Arial"/>
          <w:lang w:val="it-IT"/>
        </w:rPr>
        <w:t>J Epidemiol Community Health</w:t>
      </w:r>
      <w:r w:rsidRPr="00837BF1">
        <w:rPr>
          <w:rFonts w:ascii="Arial" w:hAnsi="Arial" w:cs="Arial"/>
          <w:shd w:val="clear" w:color="auto" w:fill="FFFFFF"/>
          <w:lang w:val="it-IT"/>
        </w:rPr>
        <w:t xml:space="preserve">, </w:t>
      </w:r>
      <w:r w:rsidRPr="00837BF1">
        <w:rPr>
          <w:rFonts w:ascii="Arial" w:hAnsi="Arial" w:cs="Arial"/>
          <w:lang w:val="it-IT"/>
        </w:rPr>
        <w:t>68</w:t>
      </w:r>
      <w:r w:rsidRPr="00837BF1">
        <w:rPr>
          <w:rFonts w:ascii="Arial" w:hAnsi="Arial" w:cs="Arial"/>
          <w:shd w:val="clear" w:color="auto" w:fill="FFFFFF"/>
          <w:lang w:val="it-IT"/>
        </w:rPr>
        <w:t>(3), 253-260.</w:t>
      </w:r>
      <w:r w:rsidRPr="00837BF1">
        <w:rPr>
          <w:rFonts w:ascii="Arial" w:hAnsi="Arial" w:cs="Arial"/>
          <w:noProof/>
          <w:lang w:val="it-IT"/>
        </w:rPr>
        <w:t xml:space="preserve"> https://doi.org/10.1136/JECH-2013-203013</w:t>
      </w:r>
    </w:p>
    <w:p w14:paraId="0DFFD267" w14:textId="77777777"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rPr>
      </w:pPr>
      <w:r w:rsidRPr="00837BF1">
        <w:rPr>
          <w:rFonts w:ascii="Arial" w:hAnsi="Arial" w:cs="Arial"/>
          <w:shd w:val="clear" w:color="auto" w:fill="FFFFFF"/>
          <w:lang w:val="it-IT"/>
        </w:rPr>
        <w:t xml:space="preserve">Minelli, L., Pigini, C., Chiavarini, M., &amp; Bartolucci, F. (2014). </w:t>
      </w:r>
      <w:r w:rsidRPr="00837BF1">
        <w:rPr>
          <w:rFonts w:ascii="Arial" w:hAnsi="Arial" w:cs="Arial"/>
          <w:shd w:val="clear" w:color="auto" w:fill="FFFFFF"/>
        </w:rPr>
        <w:t xml:space="preserve">Employment status and perceived health condition: longitudinal data from Italy. </w:t>
      </w:r>
      <w:r w:rsidRPr="00837BF1">
        <w:rPr>
          <w:rFonts w:ascii="Arial" w:hAnsi="Arial" w:cs="Arial"/>
        </w:rPr>
        <w:t>BMC public health</w:t>
      </w:r>
      <w:r w:rsidRPr="00837BF1">
        <w:rPr>
          <w:rFonts w:ascii="Arial" w:hAnsi="Arial" w:cs="Arial"/>
          <w:shd w:val="clear" w:color="auto" w:fill="FFFFFF"/>
        </w:rPr>
        <w:t xml:space="preserve">, </w:t>
      </w:r>
      <w:r w:rsidRPr="00837BF1">
        <w:rPr>
          <w:rFonts w:ascii="Arial" w:hAnsi="Arial" w:cs="Arial"/>
        </w:rPr>
        <w:t>14</w:t>
      </w:r>
      <w:r w:rsidRPr="00837BF1">
        <w:rPr>
          <w:rFonts w:ascii="Arial" w:hAnsi="Arial" w:cs="Arial"/>
          <w:shd w:val="clear" w:color="auto" w:fill="FFFFFF"/>
        </w:rPr>
        <w:t xml:space="preserve">(1), 946. </w:t>
      </w:r>
      <w:r w:rsidRPr="00837BF1">
        <w:rPr>
          <w:rFonts w:ascii="Arial" w:hAnsi="Arial" w:cs="Arial"/>
          <w:shd w:val="clear" w:color="auto" w:fill="FCFCFC"/>
        </w:rPr>
        <w:t>https://doi.org/10.1186/1471-2458-14-946</w:t>
      </w:r>
    </w:p>
    <w:p w14:paraId="2A377609" w14:textId="2C599FDD" w:rsidR="00F06F17" w:rsidRPr="00837BF1" w:rsidRDefault="00F06F17" w:rsidP="00582D55">
      <w:pPr>
        <w:widowControl w:val="0"/>
        <w:autoSpaceDE w:val="0"/>
        <w:autoSpaceDN w:val="0"/>
        <w:adjustRightInd w:val="0"/>
        <w:spacing w:line="240" w:lineRule="auto"/>
        <w:ind w:left="482" w:hanging="482"/>
        <w:jc w:val="both"/>
        <w:rPr>
          <w:rFonts w:ascii="Arial" w:hAnsi="Arial" w:cs="Arial"/>
          <w:shd w:val="clear" w:color="auto" w:fill="FFFFFF"/>
        </w:rPr>
      </w:pPr>
      <w:r w:rsidRPr="00837BF1">
        <w:rPr>
          <w:rFonts w:ascii="Arial" w:hAnsi="Arial" w:cs="Arial"/>
          <w:shd w:val="clear" w:color="auto" w:fill="FFFFFF"/>
        </w:rPr>
        <w:t xml:space="preserve">Modrek, S., Stuckler, D., McKee, M., Cullen, M. R., &amp; Basu, S. (2013). A review of health consequences of recessions internationally and a synthesis of the US response during the Great Recession. </w:t>
      </w:r>
      <w:r w:rsidRPr="00837BF1">
        <w:rPr>
          <w:rFonts w:ascii="Arial" w:hAnsi="Arial" w:cs="Arial"/>
        </w:rPr>
        <w:t>Public Health Reviews</w:t>
      </w:r>
      <w:r w:rsidRPr="00837BF1">
        <w:rPr>
          <w:rFonts w:ascii="Arial" w:hAnsi="Arial" w:cs="Arial"/>
          <w:shd w:val="clear" w:color="auto" w:fill="FFFFFF"/>
        </w:rPr>
        <w:t xml:space="preserve">, </w:t>
      </w:r>
      <w:r w:rsidRPr="00837BF1">
        <w:rPr>
          <w:rFonts w:ascii="Arial" w:hAnsi="Arial" w:cs="Arial"/>
        </w:rPr>
        <w:t>35</w:t>
      </w:r>
      <w:r w:rsidRPr="00837BF1">
        <w:rPr>
          <w:rFonts w:ascii="Arial" w:hAnsi="Arial" w:cs="Arial"/>
          <w:shd w:val="clear" w:color="auto" w:fill="FFFFFF"/>
        </w:rPr>
        <w:t>(1), 10. https://doi.org/10.1007/BF03391695</w:t>
      </w:r>
    </w:p>
    <w:p w14:paraId="0556A540" w14:textId="2FF68BA6" w:rsidR="005379E1" w:rsidRPr="00837BF1" w:rsidRDefault="005379E1" w:rsidP="00582D55">
      <w:pPr>
        <w:widowControl w:val="0"/>
        <w:autoSpaceDE w:val="0"/>
        <w:autoSpaceDN w:val="0"/>
        <w:adjustRightInd w:val="0"/>
        <w:spacing w:line="240" w:lineRule="auto"/>
        <w:ind w:left="482" w:hanging="482"/>
        <w:jc w:val="both"/>
        <w:rPr>
          <w:rFonts w:ascii="Arial" w:hAnsi="Arial" w:cs="Arial"/>
          <w:color w:val="000000" w:themeColor="text1"/>
          <w:shd w:val="clear" w:color="auto" w:fill="FFFFFF"/>
        </w:rPr>
      </w:pPr>
      <w:r w:rsidRPr="00837BF1">
        <w:rPr>
          <w:rFonts w:ascii="Arial" w:hAnsi="Arial" w:cs="Arial"/>
          <w:shd w:val="clear" w:color="auto" w:fill="FFFFFF"/>
        </w:rPr>
        <w:t>Morris, S., Earl, K., &amp; Neave, A. (2017). Health survey for England 2016: well-being and mental health. Surrey</w:t>
      </w:r>
      <w:r w:rsidR="009810C2" w:rsidRPr="00837BF1">
        <w:rPr>
          <w:rFonts w:ascii="Arial" w:hAnsi="Arial" w:cs="Arial"/>
          <w:shd w:val="clear" w:color="auto" w:fill="FFFFFF"/>
        </w:rPr>
        <w:t xml:space="preserve">, NHS Digital. Available at: </w:t>
      </w:r>
      <w:hyperlink r:id="rId12" w:history="1">
        <w:r w:rsidR="00274A9A" w:rsidRPr="00837BF1">
          <w:rPr>
            <w:rStyle w:val="Hyperlink"/>
            <w:rFonts w:ascii="Arial" w:hAnsi="Arial" w:cs="Arial"/>
            <w:color w:val="000000" w:themeColor="text1"/>
          </w:rPr>
          <w:t>HSE2016-Adult-wel-bei.pdf (hscic.gov.uk)</w:t>
        </w:r>
      </w:hyperlink>
    </w:p>
    <w:p w14:paraId="39E96B7C" w14:textId="0B604DEE" w:rsidR="00A30D72" w:rsidRPr="00837BF1" w:rsidRDefault="00A30D72" w:rsidP="00582D55">
      <w:pPr>
        <w:pStyle w:val="Default"/>
        <w:ind w:left="482" w:hanging="482"/>
        <w:jc w:val="both"/>
        <w:rPr>
          <w:rFonts w:ascii="Arial" w:hAnsi="Arial" w:cs="Arial"/>
          <w:color w:val="000000" w:themeColor="text1"/>
          <w:sz w:val="22"/>
          <w:szCs w:val="22"/>
        </w:rPr>
      </w:pPr>
      <w:proofErr w:type="spellStart"/>
      <w:r w:rsidRPr="00837BF1">
        <w:rPr>
          <w:rFonts w:ascii="Arial" w:hAnsi="Arial" w:cs="Arial"/>
          <w:color w:val="000000" w:themeColor="text1"/>
          <w:sz w:val="22"/>
          <w:szCs w:val="22"/>
        </w:rPr>
        <w:t>Muthén</w:t>
      </w:r>
      <w:proofErr w:type="spellEnd"/>
      <w:r w:rsidRPr="00837BF1">
        <w:rPr>
          <w:rFonts w:ascii="Arial" w:hAnsi="Arial" w:cs="Arial"/>
          <w:color w:val="000000" w:themeColor="text1"/>
          <w:sz w:val="22"/>
          <w:szCs w:val="22"/>
        </w:rPr>
        <w:t xml:space="preserve">, L.K. </w:t>
      </w:r>
      <w:r w:rsidR="00C656F7" w:rsidRPr="00837BF1">
        <w:rPr>
          <w:rFonts w:ascii="Arial" w:hAnsi="Arial" w:cs="Arial"/>
          <w:color w:val="000000" w:themeColor="text1"/>
          <w:sz w:val="22"/>
          <w:szCs w:val="22"/>
        </w:rPr>
        <w:t>&amp;</w:t>
      </w:r>
      <w:r w:rsidRPr="00837BF1">
        <w:rPr>
          <w:rFonts w:ascii="Arial" w:hAnsi="Arial" w:cs="Arial"/>
          <w:color w:val="000000" w:themeColor="text1"/>
          <w:sz w:val="22"/>
          <w:szCs w:val="22"/>
        </w:rPr>
        <w:t xml:space="preserve"> </w:t>
      </w:r>
      <w:proofErr w:type="spellStart"/>
      <w:r w:rsidRPr="00837BF1">
        <w:rPr>
          <w:rFonts w:ascii="Arial" w:hAnsi="Arial" w:cs="Arial"/>
          <w:color w:val="000000" w:themeColor="text1"/>
          <w:sz w:val="22"/>
          <w:szCs w:val="22"/>
        </w:rPr>
        <w:t>Muthén</w:t>
      </w:r>
      <w:proofErr w:type="spellEnd"/>
      <w:r w:rsidRPr="00837BF1">
        <w:rPr>
          <w:rFonts w:ascii="Arial" w:hAnsi="Arial" w:cs="Arial"/>
          <w:color w:val="000000" w:themeColor="text1"/>
          <w:sz w:val="22"/>
          <w:szCs w:val="22"/>
        </w:rPr>
        <w:t xml:space="preserve">, B.O. (1998-2017). Mplus User’s Guide. Eighth Edition. </w:t>
      </w:r>
      <w:r w:rsidR="00304FC9" w:rsidRPr="00837BF1">
        <w:rPr>
          <w:rFonts w:ascii="Arial" w:hAnsi="Arial" w:cs="Arial"/>
          <w:color w:val="000000" w:themeColor="text1"/>
          <w:sz w:val="22"/>
          <w:szCs w:val="22"/>
        </w:rPr>
        <w:t xml:space="preserve">            </w:t>
      </w:r>
      <w:r w:rsidRPr="00837BF1">
        <w:rPr>
          <w:rFonts w:ascii="Arial" w:hAnsi="Arial" w:cs="Arial"/>
          <w:color w:val="000000" w:themeColor="text1"/>
        </w:rPr>
        <w:t>Los Angeles, CA: Muthén &amp; Muthén</w:t>
      </w:r>
    </w:p>
    <w:p w14:paraId="3806BAE8" w14:textId="753D313E" w:rsidR="007C7CBE" w:rsidRPr="00837BF1" w:rsidRDefault="007C7CBE" w:rsidP="00582D55">
      <w:pPr>
        <w:pStyle w:val="EndNoteBibliography"/>
        <w:spacing w:after="0"/>
        <w:ind w:left="482" w:hanging="482"/>
        <w:jc w:val="both"/>
        <w:rPr>
          <w:rFonts w:ascii="Arial" w:hAnsi="Arial" w:cs="Arial"/>
          <w:color w:val="000000" w:themeColor="text1"/>
        </w:rPr>
      </w:pPr>
    </w:p>
    <w:p w14:paraId="479704FE" w14:textId="763D59B9" w:rsidR="007C7CBE" w:rsidRPr="00837BF1" w:rsidRDefault="007C7CBE" w:rsidP="00582D55">
      <w:pPr>
        <w:shd w:val="clear" w:color="auto" w:fill="FFFFFF"/>
        <w:spacing w:after="0" w:line="240" w:lineRule="auto"/>
        <w:ind w:left="482" w:hanging="482"/>
        <w:jc w:val="both"/>
        <w:rPr>
          <w:rFonts w:ascii="Arial" w:hAnsi="Arial" w:cs="Arial"/>
          <w:color w:val="000000" w:themeColor="text1"/>
          <w:shd w:val="clear" w:color="auto" w:fill="FFFFFF"/>
        </w:rPr>
      </w:pPr>
      <w:proofErr w:type="spellStart"/>
      <w:r w:rsidRPr="00837BF1">
        <w:rPr>
          <w:rFonts w:ascii="Arial" w:hAnsi="Arial" w:cs="Arial"/>
          <w:color w:val="000000" w:themeColor="text1"/>
          <w:shd w:val="clear" w:color="auto" w:fill="FFFFFF"/>
        </w:rPr>
        <w:t>Muthén</w:t>
      </w:r>
      <w:proofErr w:type="spellEnd"/>
      <w:r w:rsidRPr="00837BF1">
        <w:rPr>
          <w:rFonts w:ascii="Arial" w:hAnsi="Arial" w:cs="Arial"/>
          <w:color w:val="000000" w:themeColor="text1"/>
          <w:shd w:val="clear" w:color="auto" w:fill="FFFFFF"/>
        </w:rPr>
        <w:t xml:space="preserve">, B.O. </w:t>
      </w:r>
      <w:proofErr w:type="spellStart"/>
      <w:r w:rsidRPr="00837BF1">
        <w:rPr>
          <w:rFonts w:ascii="Arial" w:hAnsi="Arial" w:cs="Arial"/>
          <w:color w:val="000000" w:themeColor="text1"/>
          <w:shd w:val="clear" w:color="auto" w:fill="FFFFFF"/>
        </w:rPr>
        <w:t>Muthén</w:t>
      </w:r>
      <w:proofErr w:type="spellEnd"/>
      <w:r w:rsidRPr="00837BF1">
        <w:rPr>
          <w:rFonts w:ascii="Arial" w:hAnsi="Arial" w:cs="Arial"/>
          <w:color w:val="000000" w:themeColor="text1"/>
          <w:shd w:val="clear" w:color="auto" w:fill="FFFFFF"/>
        </w:rPr>
        <w:t xml:space="preserve">, L.K. </w:t>
      </w:r>
      <w:r w:rsidR="00C656F7" w:rsidRPr="00837BF1">
        <w:rPr>
          <w:rFonts w:ascii="Arial" w:hAnsi="Arial" w:cs="Arial"/>
          <w:color w:val="000000" w:themeColor="text1"/>
          <w:shd w:val="clear" w:color="auto" w:fill="FFFFFF"/>
        </w:rPr>
        <w:t xml:space="preserve">&amp; </w:t>
      </w:r>
      <w:proofErr w:type="spellStart"/>
      <w:r w:rsidRPr="00837BF1">
        <w:rPr>
          <w:rFonts w:ascii="Arial" w:hAnsi="Arial" w:cs="Arial"/>
          <w:color w:val="000000" w:themeColor="text1"/>
          <w:shd w:val="clear" w:color="auto" w:fill="FFFFFF"/>
        </w:rPr>
        <w:t>Asparouhov</w:t>
      </w:r>
      <w:proofErr w:type="spellEnd"/>
      <w:r w:rsidRPr="00837BF1">
        <w:rPr>
          <w:rFonts w:ascii="Arial" w:hAnsi="Arial" w:cs="Arial"/>
          <w:color w:val="000000" w:themeColor="text1"/>
          <w:shd w:val="clear" w:color="auto" w:fill="FFFFFF"/>
        </w:rPr>
        <w:t xml:space="preserve">, T. (2016). </w:t>
      </w:r>
      <w:r w:rsidRPr="00837BF1">
        <w:rPr>
          <w:rFonts w:ascii="Arial" w:hAnsi="Arial" w:cs="Arial"/>
          <w:i/>
          <w:iCs/>
          <w:color w:val="000000" w:themeColor="text1"/>
          <w:shd w:val="clear" w:color="auto" w:fill="FFFFFF"/>
        </w:rPr>
        <w:t>Regression and Mediation Analysis Using Mplus</w:t>
      </w:r>
      <w:r w:rsidRPr="00837BF1">
        <w:rPr>
          <w:rFonts w:ascii="Arial" w:hAnsi="Arial" w:cs="Arial"/>
          <w:color w:val="000000" w:themeColor="text1"/>
          <w:shd w:val="clear" w:color="auto" w:fill="FFFFFF"/>
        </w:rPr>
        <w:t>. Second edition. Los Angeles, CA: Muthén &amp; Muthén.</w:t>
      </w:r>
    </w:p>
    <w:p w14:paraId="23F88FBC" w14:textId="77777777" w:rsidR="00A30D72" w:rsidRPr="00837BF1" w:rsidRDefault="00A30D72" w:rsidP="00582D55">
      <w:pPr>
        <w:widowControl w:val="0"/>
        <w:autoSpaceDE w:val="0"/>
        <w:autoSpaceDN w:val="0"/>
        <w:adjustRightInd w:val="0"/>
        <w:spacing w:line="240" w:lineRule="auto"/>
        <w:ind w:left="482" w:hanging="482"/>
        <w:jc w:val="both"/>
        <w:rPr>
          <w:rFonts w:ascii="Arial" w:hAnsi="Arial" w:cs="Arial"/>
          <w:color w:val="000000" w:themeColor="text1"/>
          <w:shd w:val="clear" w:color="auto" w:fill="FFFFFF"/>
        </w:rPr>
      </w:pPr>
    </w:p>
    <w:p w14:paraId="2CB80F16" w14:textId="32C708D5"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color w:val="000000" w:themeColor="text1"/>
        </w:rPr>
      </w:pPr>
      <w:r w:rsidRPr="00837BF1">
        <w:rPr>
          <w:rFonts w:ascii="Arial" w:hAnsi="Arial" w:cs="Arial"/>
          <w:noProof/>
          <w:color w:val="000000" w:themeColor="text1"/>
        </w:rPr>
        <w:t xml:space="preserve">Office for National Statistics (2020). Data on the UK claimant count for April 2020. Available at : </w:t>
      </w:r>
      <w:hyperlink r:id="rId13" w:history="1">
        <w:r w:rsidR="00D606D8" w:rsidRPr="00837BF1">
          <w:rPr>
            <w:rStyle w:val="Hyperlink"/>
            <w:rFonts w:ascii="Arial" w:hAnsi="Arial" w:cs="Arial"/>
            <w:color w:val="000000" w:themeColor="text1"/>
            <w:u w:val="none"/>
          </w:rPr>
          <w:t>Claimant Count : K02000001 UK : People : SA : Thousands - Office for National Statistics (ons.gov.uk)</w:t>
        </w:r>
      </w:hyperlink>
    </w:p>
    <w:p w14:paraId="2C279456" w14:textId="77777777"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color w:val="000000" w:themeColor="text1"/>
        </w:rPr>
      </w:pPr>
      <w:r w:rsidRPr="00837BF1">
        <w:rPr>
          <w:rFonts w:ascii="Arial" w:hAnsi="Arial" w:cs="Arial"/>
          <w:color w:val="000000" w:themeColor="text1"/>
          <w:shd w:val="clear" w:color="auto" w:fill="FFFFFF"/>
        </w:rPr>
        <w:t xml:space="preserve">Olesen, S. C., Butterworth, P., Leach, L. S., Kelaher, M., &amp; Pirkis, J. (2013). Mental health affects future employment as job loss affects mental health: findings from a longitudinal population study. </w:t>
      </w:r>
      <w:r w:rsidRPr="00837BF1">
        <w:rPr>
          <w:rFonts w:ascii="Arial" w:hAnsi="Arial" w:cs="Arial"/>
          <w:color w:val="000000" w:themeColor="text1"/>
        </w:rPr>
        <w:t>BMC psychiatry</w:t>
      </w:r>
      <w:r w:rsidRPr="00837BF1">
        <w:rPr>
          <w:rFonts w:ascii="Arial" w:hAnsi="Arial" w:cs="Arial"/>
          <w:color w:val="000000" w:themeColor="text1"/>
          <w:shd w:val="clear" w:color="auto" w:fill="FFFFFF"/>
        </w:rPr>
        <w:t xml:space="preserve">, </w:t>
      </w:r>
      <w:r w:rsidRPr="00837BF1">
        <w:rPr>
          <w:rFonts w:ascii="Arial" w:hAnsi="Arial" w:cs="Arial"/>
          <w:color w:val="000000" w:themeColor="text1"/>
        </w:rPr>
        <w:t>13</w:t>
      </w:r>
      <w:r w:rsidRPr="00837BF1">
        <w:rPr>
          <w:rFonts w:ascii="Arial" w:hAnsi="Arial" w:cs="Arial"/>
          <w:color w:val="000000" w:themeColor="text1"/>
          <w:shd w:val="clear" w:color="auto" w:fill="FFFFFF"/>
        </w:rPr>
        <w:t>(1), 144.</w:t>
      </w:r>
      <w:r w:rsidRPr="00837BF1">
        <w:rPr>
          <w:rFonts w:ascii="Arial" w:hAnsi="Arial" w:cs="Arial"/>
          <w:noProof/>
          <w:color w:val="000000" w:themeColor="text1"/>
        </w:rPr>
        <w:t xml:space="preserve"> https://doi.org/10.1186/1471-244X-13-144</w:t>
      </w:r>
    </w:p>
    <w:p w14:paraId="05727CD0" w14:textId="443ABE72" w:rsidR="00F06F17" w:rsidRPr="00837BF1" w:rsidRDefault="00F06F17" w:rsidP="00582D55">
      <w:pPr>
        <w:widowControl w:val="0"/>
        <w:autoSpaceDE w:val="0"/>
        <w:autoSpaceDN w:val="0"/>
        <w:adjustRightInd w:val="0"/>
        <w:spacing w:line="240" w:lineRule="auto"/>
        <w:ind w:left="482" w:hanging="482"/>
        <w:jc w:val="both"/>
        <w:rPr>
          <w:rStyle w:val="Hyperlink"/>
          <w:rFonts w:ascii="Arial" w:hAnsi="Arial" w:cs="Arial"/>
          <w:color w:val="000000" w:themeColor="text1"/>
        </w:rPr>
      </w:pPr>
      <w:r w:rsidRPr="00837BF1">
        <w:rPr>
          <w:rFonts w:ascii="Arial" w:hAnsi="Arial" w:cs="Arial"/>
          <w:color w:val="000000" w:themeColor="text1"/>
          <w:shd w:val="clear" w:color="auto" w:fill="FFFFFF"/>
        </w:rPr>
        <w:t xml:space="preserve">Oomens, S., Geurts, S., &amp; Scheepers, P. (2007). Combining work and family in the Netherlands: Blessing or burden for one's mental health?. </w:t>
      </w:r>
      <w:r w:rsidRPr="00837BF1">
        <w:rPr>
          <w:rFonts w:ascii="Arial" w:hAnsi="Arial" w:cs="Arial"/>
          <w:color w:val="000000" w:themeColor="text1"/>
        </w:rPr>
        <w:t>International Journal of Law and Psychiatry</w:t>
      </w:r>
      <w:r w:rsidRPr="00837BF1">
        <w:rPr>
          <w:rFonts w:ascii="Arial" w:hAnsi="Arial" w:cs="Arial"/>
          <w:color w:val="000000" w:themeColor="text1"/>
          <w:shd w:val="clear" w:color="auto" w:fill="FFFFFF"/>
        </w:rPr>
        <w:t xml:space="preserve">, </w:t>
      </w:r>
      <w:r w:rsidRPr="00837BF1">
        <w:rPr>
          <w:rFonts w:ascii="Arial" w:hAnsi="Arial" w:cs="Arial"/>
          <w:color w:val="000000" w:themeColor="text1"/>
        </w:rPr>
        <w:t>30</w:t>
      </w:r>
      <w:r w:rsidRPr="00837BF1">
        <w:rPr>
          <w:rFonts w:ascii="Arial" w:hAnsi="Arial" w:cs="Arial"/>
          <w:color w:val="000000" w:themeColor="text1"/>
          <w:shd w:val="clear" w:color="auto" w:fill="FFFFFF"/>
        </w:rPr>
        <w:t xml:space="preserve">(4-5), 369-384. </w:t>
      </w:r>
      <w:hyperlink r:id="rId14" w:tgtFrame="_blank" w:tooltip="Persistent link using digital object identifier" w:history="1">
        <w:r w:rsidRPr="00837BF1">
          <w:rPr>
            <w:rStyle w:val="Hyperlink"/>
            <w:rFonts w:ascii="Arial" w:hAnsi="Arial" w:cs="Arial"/>
            <w:color w:val="000000" w:themeColor="text1"/>
          </w:rPr>
          <w:t>https://doi.org/10.1016/j.ijlp.2007.06.009</w:t>
        </w:r>
      </w:hyperlink>
    </w:p>
    <w:p w14:paraId="1CA8E9DE" w14:textId="28A92B72" w:rsidR="00FE4C74" w:rsidRPr="00837BF1" w:rsidRDefault="00FE4C74" w:rsidP="00582D55">
      <w:pPr>
        <w:widowControl w:val="0"/>
        <w:autoSpaceDE w:val="0"/>
        <w:autoSpaceDN w:val="0"/>
        <w:adjustRightInd w:val="0"/>
        <w:spacing w:line="240" w:lineRule="auto"/>
        <w:ind w:left="482" w:hanging="482"/>
        <w:jc w:val="both"/>
        <w:rPr>
          <w:rStyle w:val="Hyperlink"/>
          <w:rFonts w:ascii="Arial" w:hAnsi="Arial" w:cs="Arial"/>
          <w:color w:val="000000" w:themeColor="text1"/>
        </w:rPr>
      </w:pPr>
      <w:r w:rsidRPr="00837BF1">
        <w:rPr>
          <w:rFonts w:ascii="Arial" w:hAnsi="Arial" w:cs="Arial"/>
          <w:color w:val="000000" w:themeColor="text1"/>
          <w:shd w:val="clear" w:color="auto" w:fill="FFFFFF"/>
        </w:rPr>
        <w:t>Pevalin, D. J. (2000). Multiple applications of the GHQ-12 in a general population sample: an investigation of long-term retest effects. Social psychiatry and psychiatric epidemiology, 35(11), 508-512.</w:t>
      </w:r>
      <w:r w:rsidR="00017F4C" w:rsidRPr="00837BF1">
        <w:rPr>
          <w:color w:val="000000" w:themeColor="text1"/>
        </w:rPr>
        <w:t xml:space="preserve"> </w:t>
      </w:r>
      <w:r w:rsidR="00794FA2" w:rsidRPr="00837BF1">
        <w:rPr>
          <w:rFonts w:ascii="Arial" w:hAnsi="Arial" w:cs="Arial"/>
          <w:color w:val="000000" w:themeColor="text1"/>
        </w:rPr>
        <w:t>https://doi.org/</w:t>
      </w:r>
      <w:r w:rsidR="000C0720" w:rsidRPr="00837BF1">
        <w:rPr>
          <w:rFonts w:ascii="Arial" w:hAnsi="Arial" w:cs="Arial"/>
          <w:color w:val="000000" w:themeColor="text1"/>
        </w:rPr>
        <w:t>10</w:t>
      </w:r>
      <w:r w:rsidR="009802D3" w:rsidRPr="00837BF1">
        <w:rPr>
          <w:rFonts w:ascii="Arial" w:hAnsi="Arial" w:cs="Arial"/>
          <w:color w:val="000000" w:themeColor="text1"/>
        </w:rPr>
        <w:t>.1007/s00127005027</w:t>
      </w:r>
      <w:r w:rsidR="005A5387" w:rsidRPr="00837BF1">
        <w:rPr>
          <w:rFonts w:ascii="Arial" w:hAnsi="Arial" w:cs="Arial"/>
          <w:color w:val="000000" w:themeColor="text1"/>
        </w:rPr>
        <w:t>2</w:t>
      </w:r>
      <w:r w:rsidR="00017F4C" w:rsidRPr="00837BF1">
        <w:rPr>
          <w:rFonts w:ascii="Arial" w:hAnsi="Arial" w:cs="Arial"/>
          <w:color w:val="000000" w:themeColor="text1"/>
          <w:shd w:val="clear" w:color="auto" w:fill="FFFFFF"/>
        </w:rPr>
        <w:t> </w:t>
      </w:r>
    </w:p>
    <w:p w14:paraId="647906F3" w14:textId="6DDE7E5B" w:rsidR="00366B4F" w:rsidRPr="00837BF1" w:rsidRDefault="00B227A4" w:rsidP="00582D55">
      <w:pPr>
        <w:widowControl w:val="0"/>
        <w:autoSpaceDE w:val="0"/>
        <w:autoSpaceDN w:val="0"/>
        <w:adjustRightInd w:val="0"/>
        <w:spacing w:line="240" w:lineRule="auto"/>
        <w:ind w:left="482" w:hanging="482"/>
        <w:jc w:val="both"/>
        <w:rPr>
          <w:rFonts w:ascii="Arial" w:hAnsi="Arial" w:cs="Arial"/>
          <w:noProof/>
          <w:color w:val="000000" w:themeColor="text1"/>
        </w:rPr>
      </w:pPr>
      <w:r w:rsidRPr="00837BF1">
        <w:rPr>
          <w:rFonts w:ascii="Arial" w:hAnsi="Arial" w:cs="Arial"/>
          <w:color w:val="000000" w:themeColor="text1"/>
          <w:shd w:val="clear" w:color="auto" w:fill="FFFFFF"/>
        </w:rPr>
        <w:t>Pierce, M., Hope, H., Ford, T., Hatch, S., Hotopf, M., John, A., ... &amp; Abel, K. M. (2020). Mental health before and during the COVID-19 pandemic: a longitudinal probability sample survey of the UK population. </w:t>
      </w:r>
      <w:r w:rsidRPr="00837BF1">
        <w:rPr>
          <w:rFonts w:ascii="Arial" w:hAnsi="Arial" w:cs="Arial"/>
          <w:i/>
          <w:iCs/>
          <w:color w:val="000000" w:themeColor="text1"/>
          <w:shd w:val="clear" w:color="auto" w:fill="FFFFFF"/>
        </w:rPr>
        <w:t>The Lancet Psychiatry</w:t>
      </w:r>
      <w:r w:rsidRPr="00837BF1">
        <w:rPr>
          <w:rFonts w:ascii="Arial" w:hAnsi="Arial" w:cs="Arial"/>
          <w:color w:val="000000" w:themeColor="text1"/>
          <w:shd w:val="clear" w:color="auto" w:fill="FFFFFF"/>
        </w:rPr>
        <w:t>, </w:t>
      </w:r>
      <w:r w:rsidRPr="00837BF1">
        <w:rPr>
          <w:rFonts w:ascii="Arial" w:hAnsi="Arial" w:cs="Arial"/>
          <w:i/>
          <w:iCs/>
          <w:color w:val="000000" w:themeColor="text1"/>
          <w:shd w:val="clear" w:color="auto" w:fill="FFFFFF"/>
        </w:rPr>
        <w:t>7</w:t>
      </w:r>
      <w:r w:rsidRPr="00837BF1">
        <w:rPr>
          <w:rFonts w:ascii="Arial" w:hAnsi="Arial" w:cs="Arial"/>
          <w:color w:val="000000" w:themeColor="text1"/>
          <w:shd w:val="clear" w:color="auto" w:fill="FFFFFF"/>
        </w:rPr>
        <w:t>(10), 883-892.</w:t>
      </w:r>
      <w:r w:rsidR="000B4C04" w:rsidRPr="00837BF1">
        <w:rPr>
          <w:rFonts w:ascii="Arial" w:hAnsi="Arial" w:cs="Arial"/>
          <w:color w:val="000000" w:themeColor="text1"/>
          <w:shd w:val="clear" w:color="auto" w:fill="FFFFFF"/>
        </w:rPr>
        <w:t xml:space="preserve"> </w:t>
      </w:r>
      <w:r w:rsidR="005A5387" w:rsidRPr="00837BF1">
        <w:rPr>
          <w:rFonts w:ascii="Arial" w:hAnsi="Arial" w:cs="Arial"/>
          <w:color w:val="000000" w:themeColor="text1"/>
          <w:shd w:val="clear" w:color="auto" w:fill="FFFFFF"/>
        </w:rPr>
        <w:t>https://doi.org/10.1016/S2215-0366(20)30308-4</w:t>
      </w:r>
    </w:p>
    <w:p w14:paraId="142AFBAD" w14:textId="77777777"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color w:val="000000" w:themeColor="text1"/>
        </w:rPr>
      </w:pPr>
      <w:r w:rsidRPr="00837BF1">
        <w:rPr>
          <w:rFonts w:ascii="Arial" w:hAnsi="Arial" w:cs="Arial"/>
          <w:color w:val="000000" w:themeColor="text1"/>
          <w:shd w:val="clear" w:color="auto" w:fill="FFFFFF"/>
        </w:rPr>
        <w:t xml:space="preserve">Price, R. H., Choi, J. N., &amp; Vinokur, A. D. (2002). Links in the chain of adversity following job loss: how financial strain and loss of personal control lead to depression, impaired functioning, and poor health. </w:t>
      </w:r>
      <w:r w:rsidRPr="00837BF1">
        <w:rPr>
          <w:rFonts w:ascii="Arial" w:hAnsi="Arial" w:cs="Arial"/>
          <w:color w:val="000000" w:themeColor="text1"/>
        </w:rPr>
        <w:t>Journal of occupational health psychology</w:t>
      </w:r>
      <w:r w:rsidRPr="00837BF1">
        <w:rPr>
          <w:rFonts w:ascii="Arial" w:hAnsi="Arial" w:cs="Arial"/>
          <w:color w:val="000000" w:themeColor="text1"/>
          <w:shd w:val="clear" w:color="auto" w:fill="FFFFFF"/>
        </w:rPr>
        <w:t xml:space="preserve">, </w:t>
      </w:r>
      <w:r w:rsidRPr="00837BF1">
        <w:rPr>
          <w:rFonts w:ascii="Arial" w:hAnsi="Arial" w:cs="Arial"/>
          <w:color w:val="000000" w:themeColor="text1"/>
        </w:rPr>
        <w:t>7</w:t>
      </w:r>
      <w:r w:rsidRPr="00837BF1">
        <w:rPr>
          <w:rFonts w:ascii="Arial" w:hAnsi="Arial" w:cs="Arial"/>
          <w:color w:val="000000" w:themeColor="text1"/>
          <w:shd w:val="clear" w:color="auto" w:fill="FFFFFF"/>
        </w:rPr>
        <w:t xml:space="preserve">(4), 302-312. </w:t>
      </w:r>
      <w:r w:rsidRPr="00837BF1">
        <w:rPr>
          <w:rFonts w:ascii="Arial" w:hAnsi="Arial" w:cs="Arial"/>
          <w:noProof/>
          <w:color w:val="000000" w:themeColor="text1"/>
        </w:rPr>
        <w:t>https://doi.org/10.1037/1076-8998.7.4.302</w:t>
      </w:r>
    </w:p>
    <w:p w14:paraId="5005D398" w14:textId="2502FEC4" w:rsidR="00F06F17" w:rsidRPr="00837BF1" w:rsidRDefault="00F06F17" w:rsidP="00582D55">
      <w:pPr>
        <w:autoSpaceDE w:val="0"/>
        <w:autoSpaceDN w:val="0"/>
        <w:adjustRightInd w:val="0"/>
        <w:spacing w:after="0" w:line="240" w:lineRule="auto"/>
        <w:ind w:left="482" w:hanging="482"/>
        <w:jc w:val="both"/>
        <w:rPr>
          <w:rFonts w:ascii="Arial" w:hAnsi="Arial" w:cs="Arial"/>
          <w:color w:val="000000" w:themeColor="text1"/>
        </w:rPr>
      </w:pPr>
      <w:r w:rsidRPr="00837BF1">
        <w:rPr>
          <w:rFonts w:ascii="Arial" w:hAnsi="Arial" w:cs="Arial"/>
          <w:color w:val="000000" w:themeColor="text1"/>
          <w:shd w:val="clear" w:color="auto" w:fill="FFFFFF"/>
        </w:rPr>
        <w:t xml:space="preserve">Sirviö, A., Ek, E., Jokelainen, J., Koiranen, M., Järvikoski, T., &amp; Taanila, A. (2012). Precariousness and discontinuous work history in association with health. </w:t>
      </w:r>
      <w:r w:rsidRPr="00837BF1">
        <w:rPr>
          <w:rFonts w:ascii="Arial" w:hAnsi="Arial" w:cs="Arial"/>
          <w:color w:val="000000" w:themeColor="text1"/>
        </w:rPr>
        <w:t>Scandinavian journal of public health</w:t>
      </w:r>
      <w:r w:rsidRPr="00837BF1">
        <w:rPr>
          <w:rFonts w:ascii="Arial" w:hAnsi="Arial" w:cs="Arial"/>
          <w:color w:val="000000" w:themeColor="text1"/>
          <w:shd w:val="clear" w:color="auto" w:fill="FFFFFF"/>
        </w:rPr>
        <w:t xml:space="preserve">, </w:t>
      </w:r>
      <w:r w:rsidRPr="00837BF1">
        <w:rPr>
          <w:rFonts w:ascii="Arial" w:hAnsi="Arial" w:cs="Arial"/>
          <w:color w:val="000000" w:themeColor="text1"/>
        </w:rPr>
        <w:t>40</w:t>
      </w:r>
      <w:r w:rsidRPr="00837BF1">
        <w:rPr>
          <w:rFonts w:ascii="Arial" w:hAnsi="Arial" w:cs="Arial"/>
          <w:color w:val="000000" w:themeColor="text1"/>
          <w:shd w:val="clear" w:color="auto" w:fill="FFFFFF"/>
        </w:rPr>
        <w:t>(4), 360-367.</w:t>
      </w:r>
      <w:r w:rsidRPr="00837BF1">
        <w:rPr>
          <w:rFonts w:ascii="Arial" w:hAnsi="Arial" w:cs="Arial"/>
          <w:color w:val="000000" w:themeColor="text1"/>
        </w:rPr>
        <w:t xml:space="preserve"> https://doi.org/10.1177/1403494812450092.</w:t>
      </w:r>
    </w:p>
    <w:p w14:paraId="7EF47BAB" w14:textId="77777777" w:rsidR="00DA5E27" w:rsidRPr="00837BF1" w:rsidRDefault="00DA5E27" w:rsidP="00582D55">
      <w:pPr>
        <w:autoSpaceDE w:val="0"/>
        <w:autoSpaceDN w:val="0"/>
        <w:adjustRightInd w:val="0"/>
        <w:spacing w:after="0" w:line="240" w:lineRule="auto"/>
        <w:ind w:left="482" w:hanging="482"/>
        <w:jc w:val="both"/>
        <w:rPr>
          <w:rFonts w:ascii="Arial" w:hAnsi="Arial" w:cs="Arial"/>
          <w:color w:val="000000" w:themeColor="text1"/>
        </w:rPr>
      </w:pPr>
    </w:p>
    <w:p w14:paraId="360AE910" w14:textId="45C09490" w:rsidR="004B2069" w:rsidRPr="00837BF1" w:rsidRDefault="00DA5E27" w:rsidP="00582D55">
      <w:pPr>
        <w:autoSpaceDE w:val="0"/>
        <w:autoSpaceDN w:val="0"/>
        <w:adjustRightInd w:val="0"/>
        <w:spacing w:after="0" w:line="240" w:lineRule="auto"/>
        <w:ind w:left="482" w:hanging="482"/>
        <w:jc w:val="both"/>
        <w:rPr>
          <w:rFonts w:ascii="Arial" w:hAnsi="Arial" w:cs="Arial"/>
          <w:color w:val="000000" w:themeColor="text1"/>
        </w:rPr>
      </w:pPr>
      <w:r w:rsidRPr="00837BF1">
        <w:rPr>
          <w:rFonts w:ascii="Arial" w:hAnsi="Arial" w:cs="Arial"/>
          <w:color w:val="000000" w:themeColor="text1"/>
          <w:shd w:val="clear" w:color="auto" w:fill="FCFCFC"/>
        </w:rPr>
        <w:t>StataCorp. 2015. </w:t>
      </w:r>
      <w:r w:rsidRPr="00837BF1">
        <w:rPr>
          <w:rFonts w:ascii="Arial" w:hAnsi="Arial" w:cs="Arial"/>
          <w:i/>
          <w:iCs/>
          <w:color w:val="000000" w:themeColor="text1"/>
          <w:shd w:val="clear" w:color="auto" w:fill="FCFCFC"/>
        </w:rPr>
        <w:t>Stata Statistical Software: Release 14</w:t>
      </w:r>
      <w:r w:rsidRPr="00837BF1">
        <w:rPr>
          <w:rFonts w:ascii="Arial" w:hAnsi="Arial" w:cs="Arial"/>
          <w:color w:val="000000" w:themeColor="text1"/>
          <w:shd w:val="clear" w:color="auto" w:fill="FCFCFC"/>
        </w:rPr>
        <w:t>. College Station, TX: StataCorp LP.</w:t>
      </w:r>
    </w:p>
    <w:p w14:paraId="0A934D75" w14:textId="77777777" w:rsidR="00F06F17" w:rsidRPr="00837BF1" w:rsidRDefault="00F06F17" w:rsidP="00582D55">
      <w:pPr>
        <w:autoSpaceDE w:val="0"/>
        <w:autoSpaceDN w:val="0"/>
        <w:adjustRightInd w:val="0"/>
        <w:spacing w:after="0" w:line="240" w:lineRule="auto"/>
        <w:ind w:left="482" w:hanging="482"/>
        <w:jc w:val="both"/>
        <w:rPr>
          <w:rFonts w:ascii="Arial" w:hAnsi="Arial" w:cs="Arial"/>
          <w:color w:val="000000" w:themeColor="text1"/>
        </w:rPr>
      </w:pPr>
    </w:p>
    <w:p w14:paraId="500F2FCF" w14:textId="77777777" w:rsidR="00F06F17" w:rsidRPr="00837BF1" w:rsidRDefault="00F06F17" w:rsidP="00582D55">
      <w:pPr>
        <w:widowControl w:val="0"/>
        <w:autoSpaceDE w:val="0"/>
        <w:autoSpaceDN w:val="0"/>
        <w:adjustRightInd w:val="0"/>
        <w:spacing w:line="240" w:lineRule="auto"/>
        <w:ind w:left="482" w:hanging="482"/>
        <w:jc w:val="both"/>
        <w:rPr>
          <w:rFonts w:ascii="Arial" w:hAnsi="Arial" w:cs="Arial"/>
          <w:noProof/>
          <w:color w:val="000000" w:themeColor="text1"/>
        </w:rPr>
      </w:pPr>
      <w:r w:rsidRPr="00837BF1">
        <w:rPr>
          <w:rFonts w:ascii="Arial" w:hAnsi="Arial" w:cs="Arial"/>
          <w:color w:val="000000" w:themeColor="text1"/>
          <w:shd w:val="clear" w:color="auto" w:fill="FFFFFF"/>
        </w:rPr>
        <w:t xml:space="preserve">Stokes, G., &amp; Cochrane, R. (1984). A study of the psychological effects of redundancy and unemployment. </w:t>
      </w:r>
      <w:r w:rsidRPr="00837BF1">
        <w:rPr>
          <w:rFonts w:ascii="Arial" w:hAnsi="Arial" w:cs="Arial"/>
          <w:color w:val="000000" w:themeColor="text1"/>
        </w:rPr>
        <w:t>Journal of Occupational Psychology</w:t>
      </w:r>
      <w:r w:rsidRPr="00837BF1">
        <w:rPr>
          <w:rFonts w:ascii="Arial" w:hAnsi="Arial" w:cs="Arial"/>
          <w:color w:val="000000" w:themeColor="text1"/>
          <w:shd w:val="clear" w:color="auto" w:fill="FFFFFF"/>
        </w:rPr>
        <w:t xml:space="preserve">, </w:t>
      </w:r>
      <w:r w:rsidRPr="00837BF1">
        <w:rPr>
          <w:rFonts w:ascii="Arial" w:hAnsi="Arial" w:cs="Arial"/>
          <w:color w:val="000000" w:themeColor="text1"/>
        </w:rPr>
        <w:t>57</w:t>
      </w:r>
      <w:r w:rsidRPr="00837BF1">
        <w:rPr>
          <w:rFonts w:ascii="Arial" w:hAnsi="Arial" w:cs="Arial"/>
          <w:color w:val="000000" w:themeColor="text1"/>
          <w:shd w:val="clear" w:color="auto" w:fill="FFFFFF"/>
        </w:rPr>
        <w:t>(4), 309-322.</w:t>
      </w:r>
      <w:r w:rsidRPr="00837BF1">
        <w:rPr>
          <w:rFonts w:ascii="Arial" w:hAnsi="Arial" w:cs="Arial"/>
          <w:noProof/>
          <w:color w:val="000000" w:themeColor="text1"/>
        </w:rPr>
        <w:t xml:space="preserve"> https://doi.org/10.1111/j.2044-8325.1984.tb00171.x</w:t>
      </w:r>
    </w:p>
    <w:p w14:paraId="212CEA7F" w14:textId="77777777" w:rsidR="00F06F17" w:rsidRPr="00837BF1" w:rsidRDefault="00F06F17" w:rsidP="00A93B9E">
      <w:pPr>
        <w:widowControl w:val="0"/>
        <w:autoSpaceDE w:val="0"/>
        <w:autoSpaceDN w:val="0"/>
        <w:adjustRightInd w:val="0"/>
        <w:spacing w:line="240" w:lineRule="auto"/>
        <w:ind w:left="482" w:hanging="482"/>
        <w:rPr>
          <w:rFonts w:ascii="Arial" w:hAnsi="Arial" w:cs="Arial"/>
          <w:color w:val="000000" w:themeColor="text1"/>
        </w:rPr>
      </w:pPr>
      <w:r w:rsidRPr="00837BF1">
        <w:rPr>
          <w:rFonts w:ascii="Arial" w:hAnsi="Arial" w:cs="Arial"/>
          <w:color w:val="000000" w:themeColor="text1"/>
        </w:rPr>
        <w:lastRenderedPageBreak/>
        <w:t>The Academy of Medical Sciences. (2020). Survey results:  Understanding people’s  concerns about the  mental health impacts  of the COVID-19 pandemic. Available at: http://www.acmedsci. ac.uk/COVIDmentalhealthsurveys</w:t>
      </w:r>
    </w:p>
    <w:p w14:paraId="532CBE83" w14:textId="77777777" w:rsidR="00F06F17" w:rsidRPr="00837BF1" w:rsidRDefault="00F06F17" w:rsidP="00A93B9E">
      <w:pPr>
        <w:widowControl w:val="0"/>
        <w:autoSpaceDE w:val="0"/>
        <w:autoSpaceDN w:val="0"/>
        <w:adjustRightInd w:val="0"/>
        <w:spacing w:line="240" w:lineRule="auto"/>
        <w:ind w:left="482" w:hanging="482"/>
        <w:rPr>
          <w:rFonts w:ascii="Arial" w:hAnsi="Arial" w:cs="Arial"/>
          <w:color w:val="000000" w:themeColor="text1"/>
        </w:rPr>
      </w:pPr>
      <w:r w:rsidRPr="00837BF1">
        <w:rPr>
          <w:rFonts w:ascii="Arial" w:hAnsi="Arial" w:cs="Arial"/>
          <w:color w:val="000000" w:themeColor="text1"/>
          <w:shd w:val="clear" w:color="auto" w:fill="FFFFFF"/>
        </w:rPr>
        <w:t xml:space="preserve">Thomas, C., Benzeval, M., &amp; Stansfeld, S. (2007). Psychological distress after employment transitions: the role of subjective financial position as a mediator. </w:t>
      </w:r>
      <w:r w:rsidRPr="00837BF1">
        <w:rPr>
          <w:rFonts w:ascii="Arial" w:hAnsi="Arial" w:cs="Arial"/>
          <w:color w:val="000000" w:themeColor="text1"/>
        </w:rPr>
        <w:t>Journal of Epidemiology &amp; Community Health</w:t>
      </w:r>
      <w:r w:rsidRPr="00837BF1">
        <w:rPr>
          <w:rFonts w:ascii="Arial" w:hAnsi="Arial" w:cs="Arial"/>
          <w:color w:val="000000" w:themeColor="text1"/>
          <w:shd w:val="clear" w:color="auto" w:fill="FFFFFF"/>
        </w:rPr>
        <w:t xml:space="preserve">, </w:t>
      </w:r>
      <w:r w:rsidRPr="00837BF1">
        <w:rPr>
          <w:rFonts w:ascii="Arial" w:hAnsi="Arial" w:cs="Arial"/>
          <w:color w:val="000000" w:themeColor="text1"/>
        </w:rPr>
        <w:t>61</w:t>
      </w:r>
      <w:r w:rsidRPr="00837BF1">
        <w:rPr>
          <w:rFonts w:ascii="Arial" w:hAnsi="Arial" w:cs="Arial"/>
          <w:color w:val="000000" w:themeColor="text1"/>
          <w:shd w:val="clear" w:color="auto" w:fill="FFFFFF"/>
        </w:rPr>
        <w:t>(1), 48-52. https://doi.org/10.1136/jech.2005.044206</w:t>
      </w:r>
    </w:p>
    <w:p w14:paraId="362A5A2D" w14:textId="04927B82" w:rsidR="00F06F17" w:rsidRPr="00837BF1" w:rsidRDefault="00F06F17" w:rsidP="00304FC9">
      <w:pPr>
        <w:autoSpaceDE w:val="0"/>
        <w:autoSpaceDN w:val="0"/>
        <w:adjustRightInd w:val="0"/>
        <w:spacing w:after="0" w:line="240" w:lineRule="auto"/>
        <w:ind w:left="482" w:hanging="482"/>
        <w:rPr>
          <w:rFonts w:ascii="Arial" w:hAnsi="Arial" w:cs="Arial"/>
          <w:color w:val="000000" w:themeColor="text1"/>
        </w:rPr>
      </w:pPr>
      <w:r w:rsidRPr="00837BF1">
        <w:rPr>
          <w:rFonts w:ascii="Arial" w:hAnsi="Arial" w:cs="Arial"/>
          <w:color w:val="000000" w:themeColor="text1"/>
        </w:rPr>
        <w:t>University of Essex, Institute for Social and Economic Research. (2020). Understanding</w:t>
      </w:r>
      <w:r w:rsidR="00304FC9" w:rsidRPr="00837BF1">
        <w:rPr>
          <w:rFonts w:ascii="Arial" w:hAnsi="Arial" w:cs="Arial"/>
          <w:color w:val="000000" w:themeColor="text1"/>
        </w:rPr>
        <w:t xml:space="preserve"> </w:t>
      </w:r>
      <w:r w:rsidRPr="00837BF1">
        <w:rPr>
          <w:rFonts w:ascii="Arial" w:hAnsi="Arial" w:cs="Arial"/>
          <w:color w:val="000000" w:themeColor="text1"/>
        </w:rPr>
        <w:t>Society: COVID-19 Study, 2020. [data collection]. 1st Edition. UK Data Service.</w:t>
      </w:r>
      <w:r w:rsidR="00304FC9" w:rsidRPr="00837BF1">
        <w:rPr>
          <w:rFonts w:ascii="Arial" w:hAnsi="Arial" w:cs="Arial"/>
          <w:color w:val="000000" w:themeColor="text1"/>
        </w:rPr>
        <w:t xml:space="preserve">        </w:t>
      </w:r>
      <w:r w:rsidRPr="00837BF1">
        <w:rPr>
          <w:rFonts w:ascii="Arial" w:hAnsi="Arial" w:cs="Arial"/>
          <w:color w:val="000000" w:themeColor="text1"/>
        </w:rPr>
        <w:t>SN: 8644, 10.5255/UKDA-SN-8644-1.</w:t>
      </w:r>
    </w:p>
    <w:p w14:paraId="193456C8" w14:textId="4250BC15" w:rsidR="00F2295C" w:rsidRPr="00837BF1" w:rsidRDefault="00F2295C" w:rsidP="00A93B9E">
      <w:pPr>
        <w:widowControl w:val="0"/>
        <w:autoSpaceDE w:val="0"/>
        <w:autoSpaceDN w:val="0"/>
        <w:adjustRightInd w:val="0"/>
        <w:spacing w:after="0" w:line="240" w:lineRule="auto"/>
        <w:ind w:left="482" w:hanging="482"/>
        <w:rPr>
          <w:rFonts w:ascii="Arial" w:hAnsi="Arial" w:cs="Arial"/>
          <w:color w:val="000000" w:themeColor="text1"/>
        </w:rPr>
      </w:pPr>
    </w:p>
    <w:p w14:paraId="2E4C5882" w14:textId="023B8C6A" w:rsidR="00F2295C" w:rsidRPr="00837BF1" w:rsidRDefault="00F2295C" w:rsidP="00A93B9E">
      <w:pPr>
        <w:widowControl w:val="0"/>
        <w:autoSpaceDE w:val="0"/>
        <w:autoSpaceDN w:val="0"/>
        <w:adjustRightInd w:val="0"/>
        <w:spacing w:after="0" w:line="240" w:lineRule="auto"/>
        <w:ind w:left="482" w:hanging="482"/>
        <w:rPr>
          <w:rFonts w:ascii="Arial" w:hAnsi="Arial" w:cs="Arial"/>
          <w:color w:val="000000" w:themeColor="text1"/>
        </w:rPr>
      </w:pPr>
      <w:r w:rsidRPr="00837BF1">
        <w:rPr>
          <w:rFonts w:ascii="Arial" w:hAnsi="Arial" w:cs="Arial"/>
          <w:color w:val="000000" w:themeColor="text1"/>
        </w:rPr>
        <w:t>University of Essex, Institute for Social and Economic Research, NatCen Social Research, Kantar Public. (2019). Understanding Society: Waves 1-9, 2009-2018 and Harmonised BHPS: Waves 1-18, 1991-2009. [data collection]. 12th Edition. UK Data Service. SN: 6614, http://doi.org/10.5255/UKDA-SN-6614-13.</w:t>
      </w:r>
    </w:p>
    <w:p w14:paraId="418664CC" w14:textId="77777777" w:rsidR="00582D55" w:rsidRPr="00837BF1" w:rsidRDefault="00582D55" w:rsidP="00A93B9E">
      <w:pPr>
        <w:widowControl w:val="0"/>
        <w:autoSpaceDE w:val="0"/>
        <w:autoSpaceDN w:val="0"/>
        <w:adjustRightInd w:val="0"/>
        <w:spacing w:after="0" w:line="240" w:lineRule="auto"/>
        <w:ind w:left="482" w:hanging="482"/>
        <w:rPr>
          <w:rFonts w:ascii="Arial" w:hAnsi="Arial" w:cs="Arial"/>
          <w:color w:val="000000" w:themeColor="text1"/>
        </w:rPr>
      </w:pPr>
    </w:p>
    <w:p w14:paraId="7D790A1E" w14:textId="0D0DBC60" w:rsidR="00582D55" w:rsidRPr="00837BF1" w:rsidRDefault="00582D55" w:rsidP="00A93B9E">
      <w:pPr>
        <w:widowControl w:val="0"/>
        <w:autoSpaceDE w:val="0"/>
        <w:autoSpaceDN w:val="0"/>
        <w:adjustRightInd w:val="0"/>
        <w:spacing w:after="0" w:line="240" w:lineRule="auto"/>
        <w:ind w:left="482" w:hanging="482"/>
        <w:rPr>
          <w:rFonts w:ascii="Arial" w:hAnsi="Arial" w:cs="Arial"/>
          <w:color w:val="000000" w:themeColor="text1"/>
        </w:rPr>
      </w:pPr>
      <w:r w:rsidRPr="00837BF1">
        <w:rPr>
          <w:rFonts w:ascii="Arial" w:hAnsi="Arial" w:cs="Arial"/>
          <w:color w:val="000000" w:themeColor="text1"/>
          <w:shd w:val="clear" w:color="auto" w:fill="FFFFFF"/>
        </w:rPr>
        <w:t>Van Rheenen, T. E., Meyer, D., Neill, E., Phillipou, A., Tan, E. J., Toh, W. L., &amp; Rossell, S. L. (2020). Mental health status of individuals with a mood-disorder during the COVID-19 pandemic in Australia: Initial results from the COLLATE project. Journal of affective disorders, 275, 69-77.</w:t>
      </w:r>
    </w:p>
    <w:p w14:paraId="7A3053B4" w14:textId="77777777" w:rsidR="00B21A21" w:rsidRPr="00837BF1" w:rsidRDefault="00B21A21" w:rsidP="00A93B9E">
      <w:pPr>
        <w:widowControl w:val="0"/>
        <w:autoSpaceDE w:val="0"/>
        <w:autoSpaceDN w:val="0"/>
        <w:adjustRightInd w:val="0"/>
        <w:spacing w:after="0" w:line="240" w:lineRule="auto"/>
        <w:ind w:left="482" w:hanging="482"/>
        <w:rPr>
          <w:rFonts w:ascii="Arial" w:hAnsi="Arial" w:cs="Arial"/>
          <w:color w:val="000000" w:themeColor="text1"/>
        </w:rPr>
      </w:pPr>
    </w:p>
    <w:p w14:paraId="091A6531" w14:textId="160DAE07" w:rsidR="00B21A21" w:rsidRPr="00837BF1" w:rsidRDefault="00B21A21" w:rsidP="00A93B9E">
      <w:pPr>
        <w:widowControl w:val="0"/>
        <w:autoSpaceDE w:val="0"/>
        <w:autoSpaceDN w:val="0"/>
        <w:adjustRightInd w:val="0"/>
        <w:spacing w:after="0" w:line="240" w:lineRule="auto"/>
        <w:ind w:left="482" w:hanging="482"/>
        <w:rPr>
          <w:rFonts w:ascii="Arial" w:hAnsi="Arial" w:cs="Arial"/>
          <w:color w:val="000000" w:themeColor="text1"/>
        </w:rPr>
      </w:pPr>
      <w:r w:rsidRPr="00837BF1">
        <w:rPr>
          <w:rFonts w:ascii="Arial" w:hAnsi="Arial" w:cs="Arial"/>
          <w:color w:val="000000" w:themeColor="text1"/>
          <w:shd w:val="clear" w:color="auto" w:fill="FFFFFF"/>
        </w:rPr>
        <w:t>Vindegaard, N., &amp; Benros, M. E. (2020). COVID-19 pandemic and mental health consequences: Systematic review of the current evidence. </w:t>
      </w:r>
      <w:r w:rsidRPr="00837BF1">
        <w:rPr>
          <w:rFonts w:ascii="Arial" w:hAnsi="Arial" w:cs="Arial"/>
          <w:i/>
          <w:iCs/>
          <w:color w:val="000000" w:themeColor="text1"/>
          <w:shd w:val="clear" w:color="auto" w:fill="FFFFFF"/>
        </w:rPr>
        <w:t>Brain, behavior, and immunity</w:t>
      </w:r>
      <w:r w:rsidRPr="00837BF1">
        <w:rPr>
          <w:rFonts w:ascii="Arial" w:hAnsi="Arial" w:cs="Arial"/>
          <w:color w:val="000000" w:themeColor="text1"/>
          <w:shd w:val="clear" w:color="auto" w:fill="FFFFFF"/>
        </w:rPr>
        <w:t>, </w:t>
      </w:r>
      <w:r w:rsidRPr="00837BF1">
        <w:rPr>
          <w:rFonts w:ascii="Arial" w:hAnsi="Arial" w:cs="Arial"/>
          <w:i/>
          <w:iCs/>
          <w:color w:val="000000" w:themeColor="text1"/>
          <w:shd w:val="clear" w:color="auto" w:fill="FFFFFF"/>
        </w:rPr>
        <w:t>89</w:t>
      </w:r>
      <w:r w:rsidRPr="00837BF1">
        <w:rPr>
          <w:rFonts w:ascii="Arial" w:hAnsi="Arial" w:cs="Arial"/>
          <w:color w:val="000000" w:themeColor="text1"/>
          <w:shd w:val="clear" w:color="auto" w:fill="FFFFFF"/>
        </w:rPr>
        <w:t>, 531-542.</w:t>
      </w:r>
    </w:p>
    <w:p w14:paraId="6E9FE7AB" w14:textId="77777777" w:rsidR="00A93B9E" w:rsidRPr="00837BF1" w:rsidRDefault="00A93B9E" w:rsidP="00A93B9E">
      <w:pPr>
        <w:widowControl w:val="0"/>
        <w:autoSpaceDE w:val="0"/>
        <w:autoSpaceDN w:val="0"/>
        <w:adjustRightInd w:val="0"/>
        <w:spacing w:after="0" w:line="240" w:lineRule="auto"/>
        <w:ind w:left="482" w:hanging="482"/>
        <w:rPr>
          <w:rFonts w:ascii="Arial" w:hAnsi="Arial" w:cs="Arial"/>
          <w:color w:val="000000" w:themeColor="text1"/>
        </w:rPr>
      </w:pPr>
    </w:p>
    <w:p w14:paraId="11D23F2D" w14:textId="77777777" w:rsidR="00F06F17" w:rsidRPr="00837BF1" w:rsidRDefault="00F06F17" w:rsidP="00A93B9E">
      <w:pPr>
        <w:autoSpaceDE w:val="0"/>
        <w:autoSpaceDN w:val="0"/>
        <w:adjustRightInd w:val="0"/>
        <w:spacing w:after="0" w:line="240" w:lineRule="auto"/>
        <w:ind w:left="482" w:hanging="482"/>
        <w:rPr>
          <w:rFonts w:ascii="Arial" w:hAnsi="Arial" w:cs="Arial"/>
          <w:color w:val="000000" w:themeColor="text1"/>
        </w:rPr>
      </w:pPr>
      <w:r w:rsidRPr="00837BF1">
        <w:rPr>
          <w:rFonts w:ascii="Arial" w:hAnsi="Arial" w:cs="Arial"/>
          <w:color w:val="000000" w:themeColor="text1"/>
        </w:rPr>
        <w:t>WHO. (2011). Impact of economic crises on mental health. Geneva: The Regional Office for Europe of the World Health Organization.</w:t>
      </w:r>
    </w:p>
    <w:p w14:paraId="5D775180" w14:textId="77777777" w:rsidR="00FA3592" w:rsidRPr="00837BF1" w:rsidRDefault="00F06F17" w:rsidP="00A93B9E">
      <w:pPr>
        <w:ind w:left="482" w:hanging="482"/>
        <w:rPr>
          <w:rFonts w:ascii="Arial" w:hAnsi="Arial" w:cs="Arial"/>
        </w:rPr>
        <w:sectPr w:rsidR="00FA3592" w:rsidRPr="00837BF1" w:rsidSect="00837BF1">
          <w:type w:val="continuous"/>
          <w:pgSz w:w="11906" w:h="16838"/>
          <w:pgMar w:top="1440" w:right="1440" w:bottom="1440" w:left="1440" w:header="709" w:footer="709" w:gutter="0"/>
          <w:cols w:space="708"/>
          <w:docGrid w:linePitch="360"/>
        </w:sectPr>
      </w:pPr>
      <w:r w:rsidRPr="00837BF1">
        <w:rPr>
          <w:rFonts w:ascii="Arial" w:hAnsi="Arial" w:cs="Arial"/>
        </w:rPr>
        <w:fldChar w:fldCharType="end"/>
      </w:r>
    </w:p>
    <w:p w14:paraId="40FD82EE" w14:textId="77777777" w:rsidR="00350DE7" w:rsidRPr="00837BF1" w:rsidRDefault="00350DE7" w:rsidP="00350DE7">
      <w:pPr>
        <w:rPr>
          <w:rFonts w:ascii="Arial" w:hAnsi="Arial" w:cs="Arial"/>
        </w:rPr>
      </w:pPr>
      <w:bookmarkStart w:id="0" w:name="_Hlk44335628"/>
      <w:r w:rsidRPr="00837BF1">
        <w:rPr>
          <w:rFonts w:ascii="Arial" w:hAnsi="Arial" w:cs="Arial"/>
          <w:b/>
          <w:bCs/>
          <w:i/>
          <w:iCs/>
        </w:rPr>
        <w:lastRenderedPageBreak/>
        <w:t>Table 1: Sample characteristics of persons employed at baseline aged 18-65 years.</w:t>
      </w:r>
    </w:p>
    <w:tbl>
      <w:tblPr>
        <w:tblStyle w:val="TableGrid"/>
        <w:tblW w:w="9923" w:type="dxa"/>
        <w:tblInd w:w="-289" w:type="dxa"/>
        <w:tblLayout w:type="fixed"/>
        <w:tblLook w:val="04A0" w:firstRow="1" w:lastRow="0" w:firstColumn="1" w:lastColumn="0" w:noHBand="0" w:noVBand="1"/>
      </w:tblPr>
      <w:tblGrid>
        <w:gridCol w:w="3403"/>
        <w:gridCol w:w="850"/>
        <w:gridCol w:w="1985"/>
        <w:gridCol w:w="1843"/>
        <w:gridCol w:w="1842"/>
      </w:tblGrid>
      <w:tr w:rsidR="004B31C4" w:rsidRPr="00837BF1" w14:paraId="18D0AAE2" w14:textId="77777777" w:rsidTr="005D170E">
        <w:trPr>
          <w:trHeight w:val="410"/>
        </w:trPr>
        <w:tc>
          <w:tcPr>
            <w:tcW w:w="3403" w:type="dxa"/>
          </w:tcPr>
          <w:p w14:paraId="5894C4F8" w14:textId="77777777" w:rsidR="001F1E9C" w:rsidRPr="00837BF1" w:rsidRDefault="001F1E9C" w:rsidP="00520D32">
            <w:pPr>
              <w:rPr>
                <w:rFonts w:ascii="Arial" w:hAnsi="Arial" w:cs="Arial"/>
                <w:b/>
                <w:bCs/>
              </w:rPr>
            </w:pPr>
          </w:p>
        </w:tc>
        <w:tc>
          <w:tcPr>
            <w:tcW w:w="850" w:type="dxa"/>
          </w:tcPr>
          <w:p w14:paraId="5E553622" w14:textId="064B0D66" w:rsidR="001F1E9C" w:rsidRPr="00837BF1" w:rsidRDefault="00A47C0C" w:rsidP="00520D32">
            <w:pPr>
              <w:jc w:val="center"/>
              <w:rPr>
                <w:rFonts w:ascii="Arial" w:hAnsi="Arial" w:cs="Arial"/>
                <w:b/>
                <w:bCs/>
              </w:rPr>
            </w:pPr>
            <w:r w:rsidRPr="00837BF1">
              <w:rPr>
                <w:rFonts w:ascii="Arial" w:hAnsi="Arial" w:cs="Arial"/>
                <w:b/>
                <w:bCs/>
              </w:rPr>
              <w:t>n</w:t>
            </w:r>
          </w:p>
        </w:tc>
        <w:tc>
          <w:tcPr>
            <w:tcW w:w="1985" w:type="dxa"/>
          </w:tcPr>
          <w:p w14:paraId="060AA09B" w14:textId="06E62CD7" w:rsidR="001F1E9C" w:rsidRPr="00837BF1" w:rsidRDefault="001F1E9C" w:rsidP="00C64AC4">
            <w:pPr>
              <w:jc w:val="center"/>
              <w:rPr>
                <w:rFonts w:ascii="Arial" w:hAnsi="Arial" w:cs="Arial"/>
                <w:b/>
                <w:bCs/>
              </w:rPr>
            </w:pPr>
            <w:r w:rsidRPr="00837BF1">
              <w:rPr>
                <w:rFonts w:ascii="Arial" w:hAnsi="Arial" w:cs="Arial"/>
                <w:b/>
                <w:bCs/>
              </w:rPr>
              <w:t>Sample characteristics (</w:t>
            </w:r>
            <w:r w:rsidR="00544187" w:rsidRPr="00837BF1">
              <w:rPr>
                <w:rFonts w:ascii="Arial" w:hAnsi="Arial" w:cs="Arial"/>
                <w:b/>
                <w:bCs/>
              </w:rPr>
              <w:t xml:space="preserve">%, </w:t>
            </w:r>
            <w:r w:rsidRPr="00837BF1">
              <w:rPr>
                <w:rFonts w:ascii="Arial" w:hAnsi="Arial" w:cs="Arial"/>
                <w:b/>
                <w:bCs/>
              </w:rPr>
              <w:t>95%CI)</w:t>
            </w:r>
          </w:p>
        </w:tc>
        <w:tc>
          <w:tcPr>
            <w:tcW w:w="1843" w:type="dxa"/>
          </w:tcPr>
          <w:p w14:paraId="6394DDBB" w14:textId="77777777" w:rsidR="001F1E9C" w:rsidRPr="00837BF1" w:rsidRDefault="001F1E9C" w:rsidP="00520D32">
            <w:pPr>
              <w:jc w:val="center"/>
              <w:rPr>
                <w:rFonts w:ascii="Arial" w:hAnsi="Arial" w:cs="Arial"/>
                <w:b/>
                <w:bCs/>
              </w:rPr>
            </w:pPr>
            <w:r w:rsidRPr="00837BF1">
              <w:rPr>
                <w:rFonts w:ascii="Arial" w:hAnsi="Arial" w:cs="Arial"/>
                <w:b/>
                <w:bCs/>
              </w:rPr>
              <w:t>Prevalence of psychological  distress at baseline</w:t>
            </w:r>
          </w:p>
          <w:p w14:paraId="60BFFD26" w14:textId="2FB9CC47" w:rsidR="005A5387" w:rsidRPr="00837BF1" w:rsidRDefault="005A5387" w:rsidP="00520D32">
            <w:pPr>
              <w:jc w:val="center"/>
              <w:rPr>
                <w:rFonts w:ascii="Arial" w:hAnsi="Arial" w:cs="Arial"/>
                <w:b/>
                <w:bCs/>
              </w:rPr>
            </w:pPr>
            <w:r w:rsidRPr="00837BF1">
              <w:rPr>
                <w:rFonts w:ascii="Arial" w:hAnsi="Arial" w:cs="Arial"/>
                <w:b/>
                <w:bCs/>
              </w:rPr>
              <w:t>(%, 95%CI)</w:t>
            </w:r>
          </w:p>
        </w:tc>
        <w:tc>
          <w:tcPr>
            <w:tcW w:w="1842" w:type="dxa"/>
          </w:tcPr>
          <w:p w14:paraId="3FE14BEC" w14:textId="77777777" w:rsidR="001F1E9C" w:rsidRPr="00837BF1" w:rsidRDefault="001F1E9C" w:rsidP="00520D32">
            <w:pPr>
              <w:jc w:val="center"/>
              <w:rPr>
                <w:rFonts w:ascii="Arial" w:hAnsi="Arial" w:cs="Arial"/>
                <w:b/>
                <w:bCs/>
                <w:vertAlign w:val="superscript"/>
              </w:rPr>
            </w:pPr>
            <w:r w:rsidRPr="00837BF1">
              <w:rPr>
                <w:rFonts w:ascii="Arial" w:hAnsi="Arial" w:cs="Arial"/>
                <w:b/>
                <w:bCs/>
              </w:rPr>
              <w:t>Prevalence of psychological distress   April 2020</w:t>
            </w:r>
          </w:p>
          <w:p w14:paraId="405F8667" w14:textId="412A6B8F" w:rsidR="005A5387" w:rsidRPr="00837BF1" w:rsidRDefault="005A5387" w:rsidP="00520D32">
            <w:pPr>
              <w:jc w:val="center"/>
              <w:rPr>
                <w:rFonts w:ascii="Arial" w:hAnsi="Arial" w:cs="Arial"/>
                <w:b/>
                <w:bCs/>
              </w:rPr>
            </w:pPr>
            <w:r w:rsidRPr="00837BF1">
              <w:rPr>
                <w:rFonts w:ascii="Arial" w:hAnsi="Arial" w:cs="Arial"/>
                <w:b/>
                <w:bCs/>
              </w:rPr>
              <w:t>(%, 95%CI)</w:t>
            </w:r>
          </w:p>
        </w:tc>
      </w:tr>
      <w:tr w:rsidR="00F8590F" w:rsidRPr="00837BF1" w14:paraId="6AA722F8" w14:textId="77777777" w:rsidTr="00B22C35">
        <w:trPr>
          <w:trHeight w:val="557"/>
        </w:trPr>
        <w:tc>
          <w:tcPr>
            <w:tcW w:w="3403" w:type="dxa"/>
            <w:shd w:val="clear" w:color="auto" w:fill="auto"/>
          </w:tcPr>
          <w:p w14:paraId="18384EDC" w14:textId="1E8B997D" w:rsidR="001F1E9C" w:rsidRPr="00837BF1" w:rsidRDefault="001F1E9C" w:rsidP="00520D32">
            <w:pPr>
              <w:rPr>
                <w:rFonts w:ascii="Arial" w:hAnsi="Arial" w:cs="Arial"/>
                <w:b/>
                <w:bCs/>
              </w:rPr>
            </w:pPr>
            <w:r w:rsidRPr="00837BF1">
              <w:rPr>
                <w:rFonts w:ascii="Arial" w:hAnsi="Arial" w:cs="Arial"/>
                <w:b/>
                <w:bCs/>
              </w:rPr>
              <w:t>Age-group:</w:t>
            </w:r>
          </w:p>
          <w:p w14:paraId="43360E96" w14:textId="77777777" w:rsidR="001F1E9C" w:rsidRPr="00837BF1" w:rsidRDefault="001F1E9C" w:rsidP="00520D32">
            <w:pPr>
              <w:rPr>
                <w:rFonts w:ascii="Arial" w:hAnsi="Arial" w:cs="Arial"/>
              </w:rPr>
            </w:pPr>
            <w:r w:rsidRPr="00837BF1">
              <w:rPr>
                <w:rFonts w:ascii="Arial" w:hAnsi="Arial" w:cs="Arial"/>
              </w:rPr>
              <w:t>18-24</w:t>
            </w:r>
          </w:p>
          <w:p w14:paraId="0BDA60F8" w14:textId="77777777" w:rsidR="001F1E9C" w:rsidRPr="00837BF1" w:rsidRDefault="001F1E9C" w:rsidP="00520D32">
            <w:pPr>
              <w:rPr>
                <w:rFonts w:ascii="Arial" w:hAnsi="Arial" w:cs="Arial"/>
              </w:rPr>
            </w:pPr>
            <w:r w:rsidRPr="00837BF1">
              <w:rPr>
                <w:rFonts w:ascii="Arial" w:hAnsi="Arial" w:cs="Arial"/>
              </w:rPr>
              <w:t>25-34</w:t>
            </w:r>
          </w:p>
          <w:p w14:paraId="53C6C0B7" w14:textId="77777777" w:rsidR="001F1E9C" w:rsidRPr="00837BF1" w:rsidRDefault="001F1E9C" w:rsidP="00520D32">
            <w:pPr>
              <w:rPr>
                <w:rFonts w:ascii="Arial" w:hAnsi="Arial" w:cs="Arial"/>
              </w:rPr>
            </w:pPr>
            <w:r w:rsidRPr="00837BF1">
              <w:rPr>
                <w:rFonts w:ascii="Arial" w:hAnsi="Arial" w:cs="Arial"/>
              </w:rPr>
              <w:t>35-44</w:t>
            </w:r>
          </w:p>
          <w:p w14:paraId="0ADC1648" w14:textId="77777777" w:rsidR="001F1E9C" w:rsidRPr="00837BF1" w:rsidRDefault="001F1E9C" w:rsidP="00520D32">
            <w:pPr>
              <w:rPr>
                <w:rFonts w:ascii="Arial" w:hAnsi="Arial" w:cs="Arial"/>
              </w:rPr>
            </w:pPr>
            <w:r w:rsidRPr="00837BF1">
              <w:rPr>
                <w:rFonts w:ascii="Arial" w:hAnsi="Arial" w:cs="Arial"/>
              </w:rPr>
              <w:t>45-54</w:t>
            </w:r>
          </w:p>
          <w:p w14:paraId="384F8DEA" w14:textId="77777777" w:rsidR="001F1E9C" w:rsidRPr="00837BF1" w:rsidRDefault="001F1E9C" w:rsidP="00520D32">
            <w:pPr>
              <w:rPr>
                <w:rFonts w:ascii="Arial" w:hAnsi="Arial" w:cs="Arial"/>
              </w:rPr>
            </w:pPr>
            <w:r w:rsidRPr="00837BF1">
              <w:rPr>
                <w:rFonts w:ascii="Arial" w:hAnsi="Arial" w:cs="Arial"/>
              </w:rPr>
              <w:t>55-65</w:t>
            </w:r>
          </w:p>
          <w:p w14:paraId="5F0427F7" w14:textId="2227E0F0" w:rsidR="001F1E9C" w:rsidRPr="00837BF1" w:rsidRDefault="001F1E9C" w:rsidP="00520D32">
            <w:pPr>
              <w:rPr>
                <w:rFonts w:ascii="Arial" w:hAnsi="Arial" w:cs="Arial"/>
                <w:b/>
                <w:bCs/>
              </w:rPr>
            </w:pPr>
            <w:r w:rsidRPr="00837BF1">
              <w:rPr>
                <w:rFonts w:ascii="Arial" w:hAnsi="Arial" w:cs="Arial"/>
                <w:b/>
                <w:bCs/>
              </w:rPr>
              <w:t>Sex:</w:t>
            </w:r>
          </w:p>
          <w:p w14:paraId="3D7E2664" w14:textId="77777777" w:rsidR="001F1E9C" w:rsidRPr="00837BF1" w:rsidRDefault="001F1E9C" w:rsidP="00520D32">
            <w:pPr>
              <w:rPr>
                <w:rFonts w:ascii="Arial" w:hAnsi="Arial" w:cs="Arial"/>
              </w:rPr>
            </w:pPr>
            <w:r w:rsidRPr="00837BF1">
              <w:rPr>
                <w:rFonts w:ascii="Arial" w:hAnsi="Arial" w:cs="Arial"/>
              </w:rPr>
              <w:t>Male</w:t>
            </w:r>
          </w:p>
          <w:p w14:paraId="2B93A73E" w14:textId="77777777" w:rsidR="001F1E9C" w:rsidRPr="00837BF1" w:rsidRDefault="001F1E9C" w:rsidP="00520D32">
            <w:pPr>
              <w:rPr>
                <w:rFonts w:ascii="Arial" w:hAnsi="Arial" w:cs="Arial"/>
              </w:rPr>
            </w:pPr>
            <w:r w:rsidRPr="00837BF1">
              <w:rPr>
                <w:rFonts w:ascii="Arial" w:hAnsi="Arial" w:cs="Arial"/>
              </w:rPr>
              <w:t>Female</w:t>
            </w:r>
          </w:p>
          <w:p w14:paraId="5A83B1FD" w14:textId="63884913" w:rsidR="001F1E9C" w:rsidRPr="00837BF1" w:rsidRDefault="001F1E9C" w:rsidP="00520D32">
            <w:pPr>
              <w:rPr>
                <w:rFonts w:ascii="Arial" w:hAnsi="Arial" w:cs="Arial"/>
                <w:b/>
                <w:bCs/>
              </w:rPr>
            </w:pPr>
            <w:r w:rsidRPr="00837BF1">
              <w:rPr>
                <w:rFonts w:ascii="Arial" w:hAnsi="Arial" w:cs="Arial"/>
                <w:b/>
                <w:bCs/>
              </w:rPr>
              <w:t>Living as a couple:</w:t>
            </w:r>
          </w:p>
          <w:p w14:paraId="09502728" w14:textId="77777777" w:rsidR="001F1E9C" w:rsidRPr="00837BF1" w:rsidRDefault="001F1E9C" w:rsidP="00520D32">
            <w:pPr>
              <w:rPr>
                <w:rFonts w:ascii="Arial" w:hAnsi="Arial" w:cs="Arial"/>
              </w:rPr>
            </w:pPr>
            <w:r w:rsidRPr="00837BF1">
              <w:rPr>
                <w:rFonts w:ascii="Arial" w:hAnsi="Arial" w:cs="Arial"/>
              </w:rPr>
              <w:t>No</w:t>
            </w:r>
          </w:p>
          <w:p w14:paraId="62FAE0C0" w14:textId="77777777" w:rsidR="001F1E9C" w:rsidRPr="00837BF1" w:rsidRDefault="001F1E9C" w:rsidP="00520D32">
            <w:pPr>
              <w:rPr>
                <w:rFonts w:ascii="Arial" w:hAnsi="Arial" w:cs="Arial"/>
              </w:rPr>
            </w:pPr>
            <w:r w:rsidRPr="00837BF1">
              <w:rPr>
                <w:rFonts w:ascii="Arial" w:hAnsi="Arial" w:cs="Arial"/>
              </w:rPr>
              <w:t>Yes</w:t>
            </w:r>
          </w:p>
          <w:p w14:paraId="4D8D20EE" w14:textId="30C1B48F" w:rsidR="001F1E9C" w:rsidRPr="00837BF1" w:rsidRDefault="001F1E9C" w:rsidP="00520D32">
            <w:pPr>
              <w:rPr>
                <w:rFonts w:ascii="Arial" w:hAnsi="Arial" w:cs="Arial"/>
                <w:b/>
                <w:bCs/>
              </w:rPr>
            </w:pPr>
            <w:r w:rsidRPr="00837BF1">
              <w:rPr>
                <w:rFonts w:ascii="Arial" w:hAnsi="Arial" w:cs="Arial"/>
                <w:b/>
                <w:bCs/>
              </w:rPr>
              <w:t>Ethnicity:</w:t>
            </w:r>
          </w:p>
          <w:p w14:paraId="3A353BFA" w14:textId="77777777" w:rsidR="001F1E9C" w:rsidRPr="00837BF1" w:rsidRDefault="001F1E9C" w:rsidP="00520D32">
            <w:pPr>
              <w:rPr>
                <w:rFonts w:ascii="Arial" w:hAnsi="Arial" w:cs="Arial"/>
              </w:rPr>
            </w:pPr>
            <w:r w:rsidRPr="00837BF1">
              <w:rPr>
                <w:rFonts w:ascii="Arial" w:hAnsi="Arial" w:cs="Arial"/>
              </w:rPr>
              <w:t>White (British)</w:t>
            </w:r>
          </w:p>
          <w:p w14:paraId="274AC6C8" w14:textId="77777777" w:rsidR="001F1E9C" w:rsidRPr="00837BF1" w:rsidRDefault="001F1E9C" w:rsidP="00520D32">
            <w:pPr>
              <w:rPr>
                <w:rFonts w:ascii="Arial" w:hAnsi="Arial" w:cs="Arial"/>
              </w:rPr>
            </w:pPr>
            <w:r w:rsidRPr="00837BF1">
              <w:rPr>
                <w:rFonts w:ascii="Arial" w:hAnsi="Arial" w:cs="Arial"/>
              </w:rPr>
              <w:t>White (Non-British)</w:t>
            </w:r>
          </w:p>
          <w:p w14:paraId="7AB89BC7" w14:textId="47A187BD" w:rsidR="001F1E9C" w:rsidRPr="00837BF1" w:rsidRDefault="001F1E9C" w:rsidP="00520D32">
            <w:pPr>
              <w:rPr>
                <w:rFonts w:ascii="Arial" w:hAnsi="Arial" w:cs="Arial"/>
              </w:rPr>
            </w:pPr>
            <w:r w:rsidRPr="00837BF1">
              <w:rPr>
                <w:rFonts w:ascii="Arial" w:hAnsi="Arial" w:cs="Arial"/>
              </w:rPr>
              <w:t>Mixed</w:t>
            </w:r>
          </w:p>
          <w:p w14:paraId="173D192E" w14:textId="77777777" w:rsidR="001F1E9C" w:rsidRPr="00837BF1" w:rsidRDefault="001F1E9C" w:rsidP="00520D32">
            <w:pPr>
              <w:rPr>
                <w:rFonts w:ascii="Arial" w:hAnsi="Arial" w:cs="Arial"/>
              </w:rPr>
            </w:pPr>
            <w:r w:rsidRPr="00837BF1">
              <w:rPr>
                <w:rFonts w:ascii="Arial" w:hAnsi="Arial" w:cs="Arial"/>
              </w:rPr>
              <w:t>Asian</w:t>
            </w:r>
          </w:p>
          <w:p w14:paraId="1DFBC52B" w14:textId="77777777" w:rsidR="001F1E9C" w:rsidRPr="00837BF1" w:rsidRDefault="001F1E9C" w:rsidP="00520D32">
            <w:pPr>
              <w:rPr>
                <w:rFonts w:ascii="Arial" w:hAnsi="Arial" w:cs="Arial"/>
              </w:rPr>
            </w:pPr>
            <w:r w:rsidRPr="00837BF1">
              <w:rPr>
                <w:rFonts w:ascii="Arial" w:hAnsi="Arial" w:cs="Arial"/>
              </w:rPr>
              <w:t>Black</w:t>
            </w:r>
          </w:p>
          <w:p w14:paraId="5EC7B2B9" w14:textId="197B4B92" w:rsidR="001F1E9C" w:rsidRPr="00837BF1" w:rsidRDefault="001F1E9C" w:rsidP="00520D32">
            <w:pPr>
              <w:rPr>
                <w:rFonts w:ascii="Arial" w:hAnsi="Arial" w:cs="Arial"/>
              </w:rPr>
            </w:pPr>
            <w:r w:rsidRPr="00837BF1">
              <w:rPr>
                <w:rFonts w:ascii="Arial" w:hAnsi="Arial" w:cs="Arial"/>
              </w:rPr>
              <w:t xml:space="preserve">Other </w:t>
            </w:r>
          </w:p>
          <w:p w14:paraId="2E205493" w14:textId="3FC3A8A1" w:rsidR="001F1E9C" w:rsidRPr="00837BF1" w:rsidRDefault="001F1E9C" w:rsidP="00520D32">
            <w:pPr>
              <w:rPr>
                <w:rFonts w:ascii="Arial" w:hAnsi="Arial" w:cs="Arial"/>
                <w:b/>
                <w:bCs/>
              </w:rPr>
            </w:pPr>
            <w:r w:rsidRPr="00837BF1">
              <w:rPr>
                <w:rFonts w:ascii="Arial" w:hAnsi="Arial" w:cs="Arial"/>
                <w:b/>
                <w:bCs/>
              </w:rPr>
              <w:t>Weekly baseline earnings</w:t>
            </w:r>
            <w:r w:rsidR="00BD499E" w:rsidRPr="00837BF1">
              <w:rPr>
                <w:rFonts w:ascii="Arial" w:hAnsi="Arial" w:cs="Arial"/>
                <w:b/>
                <w:bCs/>
              </w:rPr>
              <w:t xml:space="preserve"> (£)</w:t>
            </w:r>
            <w:r w:rsidRPr="00837BF1">
              <w:rPr>
                <w:rFonts w:ascii="Arial" w:hAnsi="Arial" w:cs="Arial"/>
                <w:b/>
                <w:bCs/>
              </w:rPr>
              <w:t xml:space="preserve">: </w:t>
            </w:r>
          </w:p>
          <w:p w14:paraId="29595E6D" w14:textId="77777777" w:rsidR="001F1E9C" w:rsidRPr="00837BF1" w:rsidRDefault="001F1E9C" w:rsidP="00520D32">
            <w:pPr>
              <w:rPr>
                <w:rFonts w:ascii="Arial" w:hAnsi="Arial" w:cs="Arial"/>
              </w:rPr>
            </w:pPr>
            <w:r w:rsidRPr="00837BF1">
              <w:rPr>
                <w:rFonts w:ascii="Arial" w:hAnsi="Arial" w:cs="Arial"/>
              </w:rPr>
              <w:t>0-</w:t>
            </w:r>
          </w:p>
          <w:p w14:paraId="648838F6" w14:textId="77777777" w:rsidR="001F1E9C" w:rsidRPr="00837BF1" w:rsidRDefault="001F1E9C" w:rsidP="00520D32">
            <w:pPr>
              <w:rPr>
                <w:rFonts w:ascii="Arial" w:hAnsi="Arial" w:cs="Arial"/>
              </w:rPr>
            </w:pPr>
            <w:r w:rsidRPr="00837BF1">
              <w:rPr>
                <w:rFonts w:ascii="Arial" w:hAnsi="Arial" w:cs="Arial"/>
              </w:rPr>
              <w:t>165-</w:t>
            </w:r>
          </w:p>
          <w:p w14:paraId="58FE2C81" w14:textId="77777777" w:rsidR="001F1E9C" w:rsidRPr="00837BF1" w:rsidRDefault="001F1E9C" w:rsidP="00520D32">
            <w:pPr>
              <w:rPr>
                <w:rFonts w:ascii="Arial" w:hAnsi="Arial" w:cs="Arial"/>
              </w:rPr>
            </w:pPr>
            <w:r w:rsidRPr="00837BF1">
              <w:rPr>
                <w:rFonts w:ascii="Arial" w:hAnsi="Arial" w:cs="Arial"/>
              </w:rPr>
              <w:t>438-</w:t>
            </w:r>
          </w:p>
          <w:p w14:paraId="29FE235C" w14:textId="77777777" w:rsidR="001F1E9C" w:rsidRPr="00837BF1" w:rsidRDefault="001F1E9C" w:rsidP="00520D32">
            <w:pPr>
              <w:rPr>
                <w:rFonts w:ascii="Arial" w:hAnsi="Arial" w:cs="Arial"/>
              </w:rPr>
            </w:pPr>
            <w:r w:rsidRPr="00837BF1">
              <w:rPr>
                <w:rFonts w:ascii="Arial" w:hAnsi="Arial" w:cs="Arial"/>
              </w:rPr>
              <w:t>692-</w:t>
            </w:r>
          </w:p>
          <w:p w14:paraId="159F59BD" w14:textId="77777777" w:rsidR="001F1E9C" w:rsidRPr="00837BF1" w:rsidRDefault="001F1E9C" w:rsidP="00520D32">
            <w:pPr>
              <w:rPr>
                <w:rFonts w:ascii="Arial" w:hAnsi="Arial" w:cs="Arial"/>
              </w:rPr>
            </w:pPr>
            <w:r w:rsidRPr="00837BF1">
              <w:rPr>
                <w:rFonts w:ascii="Arial" w:hAnsi="Arial" w:cs="Arial"/>
              </w:rPr>
              <w:t>950-</w:t>
            </w:r>
          </w:p>
          <w:p w14:paraId="1D426EEB" w14:textId="772D1488" w:rsidR="001F1E9C" w:rsidRPr="00837BF1" w:rsidRDefault="001F1E9C" w:rsidP="00520D32">
            <w:pPr>
              <w:rPr>
                <w:rFonts w:ascii="Arial" w:hAnsi="Arial" w:cs="Arial"/>
                <w:b/>
                <w:bCs/>
              </w:rPr>
            </w:pPr>
            <w:r w:rsidRPr="00837BF1">
              <w:rPr>
                <w:rFonts w:ascii="Arial" w:hAnsi="Arial" w:cs="Arial"/>
                <w:b/>
                <w:bCs/>
              </w:rPr>
              <w:t>Subjective financial situation:</w:t>
            </w:r>
          </w:p>
          <w:p w14:paraId="18A5FD3F" w14:textId="498696BA" w:rsidR="001F1E9C" w:rsidRPr="00837BF1" w:rsidRDefault="001F1E9C" w:rsidP="00520D32">
            <w:pPr>
              <w:rPr>
                <w:rFonts w:ascii="Arial" w:hAnsi="Arial" w:cs="Arial"/>
              </w:rPr>
            </w:pPr>
            <w:r w:rsidRPr="00837BF1">
              <w:rPr>
                <w:rFonts w:ascii="Arial" w:hAnsi="Arial" w:cs="Arial"/>
              </w:rPr>
              <w:t>Comfortable</w:t>
            </w:r>
          </w:p>
          <w:p w14:paraId="32F1257E" w14:textId="77777777" w:rsidR="001F1E9C" w:rsidRPr="00837BF1" w:rsidRDefault="001F1E9C" w:rsidP="00520D32">
            <w:pPr>
              <w:rPr>
                <w:rFonts w:ascii="Arial" w:hAnsi="Arial" w:cs="Arial"/>
              </w:rPr>
            </w:pPr>
            <w:r w:rsidRPr="00837BF1">
              <w:rPr>
                <w:rFonts w:ascii="Arial" w:hAnsi="Arial" w:cs="Arial"/>
              </w:rPr>
              <w:t>Just about getting by</w:t>
            </w:r>
          </w:p>
          <w:p w14:paraId="683810D0" w14:textId="7E0480EE" w:rsidR="001F1E9C" w:rsidRPr="00837BF1" w:rsidRDefault="001F1E9C" w:rsidP="00520D32">
            <w:pPr>
              <w:rPr>
                <w:rFonts w:ascii="Arial" w:hAnsi="Arial" w:cs="Arial"/>
              </w:rPr>
            </w:pPr>
            <w:r w:rsidRPr="00837BF1">
              <w:rPr>
                <w:rFonts w:ascii="Arial" w:hAnsi="Arial" w:cs="Arial"/>
              </w:rPr>
              <w:t>Finding it difficult</w:t>
            </w:r>
            <w:r w:rsidR="00BD499E" w:rsidRPr="00837BF1">
              <w:rPr>
                <w:rFonts w:ascii="Arial" w:hAnsi="Arial" w:cs="Arial"/>
              </w:rPr>
              <w:t>/very difficult</w:t>
            </w:r>
          </w:p>
          <w:p w14:paraId="49E9E4B0" w14:textId="0829F84F" w:rsidR="001F1E9C" w:rsidRPr="00837BF1" w:rsidRDefault="001F1E9C" w:rsidP="00520D32">
            <w:pPr>
              <w:rPr>
                <w:rFonts w:ascii="Arial" w:hAnsi="Arial" w:cs="Arial"/>
                <w:b/>
                <w:bCs/>
              </w:rPr>
            </w:pPr>
            <w:r w:rsidRPr="00837BF1">
              <w:rPr>
                <w:rFonts w:ascii="Arial" w:hAnsi="Arial" w:cs="Arial"/>
                <w:b/>
                <w:bCs/>
              </w:rPr>
              <w:t xml:space="preserve">Reduced </w:t>
            </w:r>
            <w:r w:rsidR="00C65FB8" w:rsidRPr="00837BF1">
              <w:rPr>
                <w:rFonts w:ascii="Arial" w:hAnsi="Arial" w:cs="Arial"/>
                <w:b/>
                <w:bCs/>
              </w:rPr>
              <w:t>working</w:t>
            </w:r>
            <w:r w:rsidR="004E406E" w:rsidRPr="00837BF1">
              <w:rPr>
                <w:rFonts w:ascii="Arial" w:hAnsi="Arial" w:cs="Arial"/>
                <w:b/>
                <w:bCs/>
              </w:rPr>
              <w:t xml:space="preserve"> </w:t>
            </w:r>
            <w:r w:rsidRPr="00837BF1">
              <w:rPr>
                <w:rFonts w:ascii="Arial" w:hAnsi="Arial" w:cs="Arial"/>
                <w:b/>
                <w:bCs/>
              </w:rPr>
              <w:t>:</w:t>
            </w:r>
          </w:p>
          <w:p w14:paraId="2CF707B5" w14:textId="77777777" w:rsidR="001F1E9C" w:rsidRPr="00837BF1" w:rsidRDefault="001F1E9C" w:rsidP="00520D32">
            <w:pPr>
              <w:rPr>
                <w:rFonts w:ascii="Arial" w:hAnsi="Arial" w:cs="Arial"/>
              </w:rPr>
            </w:pPr>
            <w:r w:rsidRPr="00837BF1">
              <w:rPr>
                <w:rFonts w:ascii="Arial" w:hAnsi="Arial" w:cs="Arial"/>
              </w:rPr>
              <w:t>No</w:t>
            </w:r>
          </w:p>
          <w:p w14:paraId="1BEF8771" w14:textId="77777777" w:rsidR="001F1E9C" w:rsidRPr="00837BF1" w:rsidRDefault="001F1E9C" w:rsidP="00520D32">
            <w:pPr>
              <w:rPr>
                <w:rFonts w:ascii="Arial" w:hAnsi="Arial" w:cs="Arial"/>
              </w:rPr>
            </w:pPr>
            <w:r w:rsidRPr="00837BF1">
              <w:rPr>
                <w:rFonts w:ascii="Arial" w:hAnsi="Arial" w:cs="Arial"/>
              </w:rPr>
              <w:t>Yes</w:t>
            </w:r>
          </w:p>
          <w:p w14:paraId="4F2BC7FA" w14:textId="77777777" w:rsidR="001F1E9C" w:rsidRPr="00837BF1" w:rsidRDefault="001F1E9C" w:rsidP="00520D32">
            <w:pPr>
              <w:rPr>
                <w:rFonts w:ascii="Arial" w:hAnsi="Arial" w:cs="Arial"/>
                <w:b/>
                <w:bCs/>
              </w:rPr>
            </w:pPr>
            <w:r w:rsidRPr="00837BF1">
              <w:rPr>
                <w:rFonts w:ascii="Arial" w:hAnsi="Arial" w:cs="Arial"/>
                <w:b/>
                <w:bCs/>
              </w:rPr>
              <w:t>Employer cuts:</w:t>
            </w:r>
          </w:p>
          <w:p w14:paraId="5DA39810" w14:textId="77777777" w:rsidR="001F1E9C" w:rsidRPr="00837BF1" w:rsidRDefault="001F1E9C" w:rsidP="00520D32">
            <w:pPr>
              <w:rPr>
                <w:rFonts w:ascii="Arial" w:hAnsi="Arial" w:cs="Arial"/>
              </w:rPr>
            </w:pPr>
            <w:r w:rsidRPr="00837BF1">
              <w:rPr>
                <w:rFonts w:ascii="Arial" w:hAnsi="Arial" w:cs="Arial"/>
              </w:rPr>
              <w:t>No</w:t>
            </w:r>
          </w:p>
          <w:p w14:paraId="680D7A46" w14:textId="77777777" w:rsidR="001F1E9C" w:rsidRPr="00837BF1" w:rsidRDefault="001F1E9C" w:rsidP="00520D32">
            <w:pPr>
              <w:rPr>
                <w:rFonts w:ascii="Arial" w:hAnsi="Arial" w:cs="Arial"/>
              </w:rPr>
            </w:pPr>
            <w:r w:rsidRPr="00837BF1">
              <w:rPr>
                <w:rFonts w:ascii="Arial" w:hAnsi="Arial" w:cs="Arial"/>
              </w:rPr>
              <w:t>Yes</w:t>
            </w:r>
          </w:p>
          <w:p w14:paraId="6818AED0" w14:textId="4127A708" w:rsidR="001F1E9C" w:rsidRPr="00837BF1" w:rsidRDefault="001F1E9C" w:rsidP="00520D32">
            <w:pPr>
              <w:rPr>
                <w:rFonts w:ascii="Arial" w:hAnsi="Arial" w:cs="Arial"/>
                <w:b/>
                <w:bCs/>
              </w:rPr>
            </w:pPr>
            <w:r w:rsidRPr="00837BF1">
              <w:rPr>
                <w:rFonts w:ascii="Arial" w:hAnsi="Arial" w:cs="Arial"/>
                <w:b/>
                <w:bCs/>
              </w:rPr>
              <w:t>Furloughed/paid leave</w:t>
            </w:r>
            <w:r w:rsidR="002B09A5" w:rsidRPr="00837BF1">
              <w:rPr>
                <w:rFonts w:ascii="Arial" w:hAnsi="Arial" w:cs="Arial"/>
                <w:b/>
                <w:bCs/>
              </w:rPr>
              <w:t>:</w:t>
            </w:r>
          </w:p>
          <w:p w14:paraId="15F7442C" w14:textId="77777777" w:rsidR="001F1E9C" w:rsidRPr="00837BF1" w:rsidRDefault="001F1E9C" w:rsidP="00520D32">
            <w:pPr>
              <w:rPr>
                <w:rFonts w:ascii="Arial" w:hAnsi="Arial" w:cs="Arial"/>
              </w:rPr>
            </w:pPr>
            <w:r w:rsidRPr="00837BF1">
              <w:rPr>
                <w:rFonts w:ascii="Arial" w:hAnsi="Arial" w:cs="Arial"/>
              </w:rPr>
              <w:t>No</w:t>
            </w:r>
          </w:p>
          <w:p w14:paraId="49FF00F5" w14:textId="77777777" w:rsidR="001F1E9C" w:rsidRPr="00837BF1" w:rsidRDefault="001F1E9C" w:rsidP="00520D32">
            <w:pPr>
              <w:rPr>
                <w:rFonts w:ascii="Arial" w:hAnsi="Arial" w:cs="Arial"/>
              </w:rPr>
            </w:pPr>
            <w:r w:rsidRPr="00837BF1">
              <w:rPr>
                <w:rFonts w:ascii="Arial" w:hAnsi="Arial" w:cs="Arial"/>
              </w:rPr>
              <w:t>Yes</w:t>
            </w:r>
          </w:p>
          <w:p w14:paraId="56D4A0F4" w14:textId="293FC23D" w:rsidR="001F1E9C" w:rsidRPr="00837BF1" w:rsidRDefault="001F1E9C" w:rsidP="00520D32">
            <w:pPr>
              <w:rPr>
                <w:rFonts w:ascii="Arial" w:hAnsi="Arial" w:cs="Arial"/>
                <w:b/>
                <w:bCs/>
              </w:rPr>
            </w:pPr>
            <w:r w:rsidRPr="00837BF1">
              <w:rPr>
                <w:rFonts w:ascii="Arial" w:hAnsi="Arial" w:cs="Arial"/>
                <w:b/>
                <w:bCs/>
              </w:rPr>
              <w:t>Self-isolating or sick</w:t>
            </w:r>
            <w:r w:rsidR="002B09A5" w:rsidRPr="00837BF1">
              <w:rPr>
                <w:rFonts w:ascii="Arial" w:hAnsi="Arial" w:cs="Arial"/>
                <w:b/>
                <w:bCs/>
              </w:rPr>
              <w:t>:</w:t>
            </w:r>
          </w:p>
          <w:p w14:paraId="362F8456" w14:textId="77777777" w:rsidR="001F1E9C" w:rsidRPr="00837BF1" w:rsidRDefault="001F1E9C" w:rsidP="00520D32">
            <w:pPr>
              <w:rPr>
                <w:rFonts w:ascii="Arial" w:hAnsi="Arial" w:cs="Arial"/>
              </w:rPr>
            </w:pPr>
            <w:r w:rsidRPr="00837BF1">
              <w:rPr>
                <w:rFonts w:ascii="Arial" w:hAnsi="Arial" w:cs="Arial"/>
              </w:rPr>
              <w:t>No</w:t>
            </w:r>
          </w:p>
          <w:p w14:paraId="57F4ACF6" w14:textId="77777777" w:rsidR="001F1E9C" w:rsidRPr="00837BF1" w:rsidRDefault="001F1E9C" w:rsidP="00520D32">
            <w:pPr>
              <w:rPr>
                <w:rFonts w:ascii="Arial" w:hAnsi="Arial" w:cs="Arial"/>
              </w:rPr>
            </w:pPr>
            <w:r w:rsidRPr="00837BF1">
              <w:rPr>
                <w:rFonts w:ascii="Arial" w:hAnsi="Arial" w:cs="Arial"/>
              </w:rPr>
              <w:t>Yes</w:t>
            </w:r>
          </w:p>
          <w:p w14:paraId="609C2B69" w14:textId="0E0B59F5" w:rsidR="001F1E9C" w:rsidRPr="00837BF1" w:rsidRDefault="001F1E9C" w:rsidP="00520D32">
            <w:pPr>
              <w:rPr>
                <w:rFonts w:ascii="Arial" w:hAnsi="Arial" w:cs="Arial"/>
                <w:b/>
                <w:bCs/>
              </w:rPr>
            </w:pPr>
            <w:r w:rsidRPr="00837BF1">
              <w:rPr>
                <w:rFonts w:ascii="Arial" w:hAnsi="Arial" w:cs="Arial"/>
                <w:b/>
                <w:bCs/>
              </w:rPr>
              <w:t>Permanently laid off</w:t>
            </w:r>
            <w:r w:rsidR="002B09A5" w:rsidRPr="00837BF1">
              <w:rPr>
                <w:rFonts w:ascii="Arial" w:hAnsi="Arial" w:cs="Arial"/>
                <w:b/>
                <w:bCs/>
              </w:rPr>
              <w:t>:</w:t>
            </w:r>
          </w:p>
          <w:p w14:paraId="623A5760" w14:textId="77777777" w:rsidR="001F1E9C" w:rsidRPr="00837BF1" w:rsidRDefault="001F1E9C" w:rsidP="00520D32">
            <w:pPr>
              <w:rPr>
                <w:rFonts w:ascii="Arial" w:hAnsi="Arial" w:cs="Arial"/>
              </w:rPr>
            </w:pPr>
            <w:r w:rsidRPr="00837BF1">
              <w:rPr>
                <w:rFonts w:ascii="Arial" w:hAnsi="Arial" w:cs="Arial"/>
              </w:rPr>
              <w:t>No</w:t>
            </w:r>
          </w:p>
          <w:p w14:paraId="7336DDDB" w14:textId="77777777" w:rsidR="001F1E9C" w:rsidRPr="00837BF1" w:rsidRDefault="001F1E9C" w:rsidP="00520D32">
            <w:pPr>
              <w:rPr>
                <w:rFonts w:ascii="Arial" w:hAnsi="Arial" w:cs="Arial"/>
              </w:rPr>
            </w:pPr>
            <w:r w:rsidRPr="00837BF1">
              <w:rPr>
                <w:rFonts w:ascii="Arial" w:hAnsi="Arial" w:cs="Arial"/>
              </w:rPr>
              <w:t>Yes</w:t>
            </w:r>
          </w:p>
          <w:p w14:paraId="1AEA0E8D" w14:textId="6486BD88" w:rsidR="001F1E9C" w:rsidRPr="00837BF1" w:rsidRDefault="001F1E9C" w:rsidP="00520D32">
            <w:pPr>
              <w:rPr>
                <w:rFonts w:ascii="Arial" w:hAnsi="Arial" w:cs="Arial"/>
                <w:b/>
                <w:bCs/>
              </w:rPr>
            </w:pPr>
            <w:r w:rsidRPr="00837BF1">
              <w:rPr>
                <w:rFonts w:ascii="Arial" w:hAnsi="Arial" w:cs="Arial"/>
                <w:b/>
                <w:bCs/>
              </w:rPr>
              <w:t>Caring for children/ others</w:t>
            </w:r>
            <w:r w:rsidR="002B09A5" w:rsidRPr="00837BF1">
              <w:rPr>
                <w:rFonts w:ascii="Arial" w:hAnsi="Arial" w:cs="Arial"/>
                <w:b/>
                <w:bCs/>
              </w:rPr>
              <w:t>:</w:t>
            </w:r>
          </w:p>
          <w:p w14:paraId="203CF198" w14:textId="77777777" w:rsidR="001F1E9C" w:rsidRPr="00837BF1" w:rsidRDefault="001F1E9C" w:rsidP="00520D32">
            <w:pPr>
              <w:rPr>
                <w:rFonts w:ascii="Arial" w:hAnsi="Arial" w:cs="Arial"/>
              </w:rPr>
            </w:pPr>
            <w:r w:rsidRPr="00837BF1">
              <w:rPr>
                <w:rFonts w:ascii="Arial" w:hAnsi="Arial" w:cs="Arial"/>
              </w:rPr>
              <w:t>No</w:t>
            </w:r>
          </w:p>
          <w:p w14:paraId="5D0D1ACD" w14:textId="77777777" w:rsidR="001F1E9C" w:rsidRPr="00837BF1" w:rsidRDefault="001F1E9C" w:rsidP="00520D32">
            <w:pPr>
              <w:rPr>
                <w:rFonts w:ascii="Arial" w:hAnsi="Arial" w:cs="Arial"/>
              </w:rPr>
            </w:pPr>
            <w:r w:rsidRPr="00837BF1">
              <w:rPr>
                <w:rFonts w:ascii="Arial" w:hAnsi="Arial" w:cs="Arial"/>
              </w:rPr>
              <w:t>Yes</w:t>
            </w:r>
          </w:p>
          <w:p w14:paraId="5ACA085B" w14:textId="2021E6B8" w:rsidR="001F1E9C" w:rsidRPr="00837BF1" w:rsidRDefault="001F1E9C" w:rsidP="00520D32">
            <w:pPr>
              <w:rPr>
                <w:rFonts w:ascii="Arial" w:hAnsi="Arial" w:cs="Arial"/>
                <w:b/>
                <w:bCs/>
              </w:rPr>
            </w:pPr>
            <w:r w:rsidRPr="00837BF1">
              <w:rPr>
                <w:rFonts w:ascii="Arial" w:hAnsi="Arial" w:cs="Arial"/>
                <w:b/>
                <w:bCs/>
              </w:rPr>
              <w:t>Other reasons</w:t>
            </w:r>
            <w:r w:rsidR="002B09A5" w:rsidRPr="00837BF1">
              <w:rPr>
                <w:rFonts w:ascii="Arial" w:hAnsi="Arial" w:cs="Arial"/>
                <w:b/>
                <w:bCs/>
              </w:rPr>
              <w:t>:</w:t>
            </w:r>
          </w:p>
          <w:p w14:paraId="13AF7BC1" w14:textId="77777777" w:rsidR="001F1E9C" w:rsidRPr="00837BF1" w:rsidRDefault="001F1E9C" w:rsidP="00520D32">
            <w:pPr>
              <w:rPr>
                <w:rFonts w:ascii="Arial" w:hAnsi="Arial" w:cs="Arial"/>
              </w:rPr>
            </w:pPr>
            <w:r w:rsidRPr="00837BF1">
              <w:rPr>
                <w:rFonts w:ascii="Arial" w:hAnsi="Arial" w:cs="Arial"/>
              </w:rPr>
              <w:lastRenderedPageBreak/>
              <w:t>No</w:t>
            </w:r>
          </w:p>
          <w:p w14:paraId="4E2B55C8" w14:textId="77777777" w:rsidR="001F1E9C" w:rsidRPr="00837BF1" w:rsidRDefault="001F1E9C" w:rsidP="00520D32">
            <w:pPr>
              <w:rPr>
                <w:rFonts w:ascii="Arial" w:hAnsi="Arial" w:cs="Arial"/>
              </w:rPr>
            </w:pPr>
            <w:r w:rsidRPr="00837BF1">
              <w:rPr>
                <w:rFonts w:ascii="Arial" w:hAnsi="Arial" w:cs="Arial"/>
              </w:rPr>
              <w:t>Yes</w:t>
            </w:r>
          </w:p>
        </w:tc>
        <w:tc>
          <w:tcPr>
            <w:tcW w:w="850" w:type="dxa"/>
            <w:shd w:val="clear" w:color="auto" w:fill="auto"/>
          </w:tcPr>
          <w:p w14:paraId="1401E241" w14:textId="77777777" w:rsidR="001F1E9C" w:rsidRPr="00837BF1" w:rsidRDefault="001F1E9C" w:rsidP="00520D32">
            <w:pPr>
              <w:jc w:val="center"/>
              <w:rPr>
                <w:rFonts w:ascii="Arial" w:hAnsi="Arial" w:cs="Arial"/>
              </w:rPr>
            </w:pPr>
          </w:p>
          <w:p w14:paraId="7A4878EA" w14:textId="77777777" w:rsidR="001F1E9C" w:rsidRPr="00837BF1" w:rsidRDefault="001F1E9C" w:rsidP="00520D32">
            <w:pPr>
              <w:jc w:val="center"/>
              <w:rPr>
                <w:rFonts w:ascii="Arial" w:hAnsi="Arial" w:cs="Arial"/>
              </w:rPr>
            </w:pPr>
            <w:r w:rsidRPr="00837BF1">
              <w:rPr>
                <w:rFonts w:ascii="Arial" w:hAnsi="Arial" w:cs="Arial"/>
              </w:rPr>
              <w:t>717</w:t>
            </w:r>
          </w:p>
          <w:p w14:paraId="4BBEFA65" w14:textId="4DBD2B61" w:rsidR="001F1E9C" w:rsidRPr="00837BF1" w:rsidRDefault="001F1E9C" w:rsidP="00520D32">
            <w:pPr>
              <w:jc w:val="center"/>
              <w:rPr>
                <w:rFonts w:ascii="Arial" w:hAnsi="Arial" w:cs="Arial"/>
              </w:rPr>
            </w:pPr>
            <w:r w:rsidRPr="00837BF1">
              <w:rPr>
                <w:rFonts w:ascii="Arial" w:hAnsi="Arial" w:cs="Arial"/>
              </w:rPr>
              <w:t>1,469</w:t>
            </w:r>
          </w:p>
          <w:p w14:paraId="34296189" w14:textId="72C6BFE8" w:rsidR="001F1E9C" w:rsidRPr="00837BF1" w:rsidRDefault="001F1E9C" w:rsidP="00520D32">
            <w:pPr>
              <w:jc w:val="center"/>
              <w:rPr>
                <w:rFonts w:ascii="Arial" w:hAnsi="Arial" w:cs="Arial"/>
              </w:rPr>
            </w:pPr>
            <w:r w:rsidRPr="00837BF1">
              <w:rPr>
                <w:rFonts w:ascii="Arial" w:hAnsi="Arial" w:cs="Arial"/>
              </w:rPr>
              <w:t>2,061</w:t>
            </w:r>
          </w:p>
          <w:p w14:paraId="73CBDC3D" w14:textId="6D360B11" w:rsidR="001F1E9C" w:rsidRPr="00837BF1" w:rsidRDefault="001F1E9C" w:rsidP="00520D32">
            <w:pPr>
              <w:jc w:val="center"/>
              <w:rPr>
                <w:rFonts w:ascii="Arial" w:hAnsi="Arial" w:cs="Arial"/>
              </w:rPr>
            </w:pPr>
            <w:r w:rsidRPr="00837BF1">
              <w:rPr>
                <w:rFonts w:ascii="Arial" w:hAnsi="Arial" w:cs="Arial"/>
              </w:rPr>
              <w:t>2,498</w:t>
            </w:r>
          </w:p>
          <w:p w14:paraId="35D989AC" w14:textId="77777777" w:rsidR="001F1E9C" w:rsidRPr="00837BF1" w:rsidRDefault="001F1E9C" w:rsidP="00520D32">
            <w:pPr>
              <w:jc w:val="center"/>
              <w:rPr>
                <w:rFonts w:ascii="Arial" w:hAnsi="Arial" w:cs="Arial"/>
              </w:rPr>
            </w:pPr>
            <w:r w:rsidRPr="00837BF1">
              <w:rPr>
                <w:rFonts w:ascii="Arial" w:hAnsi="Arial" w:cs="Arial"/>
              </w:rPr>
              <w:t>1,963</w:t>
            </w:r>
          </w:p>
          <w:p w14:paraId="4BBC1F5E" w14:textId="77777777" w:rsidR="001F1E9C" w:rsidRPr="00837BF1" w:rsidRDefault="001F1E9C" w:rsidP="00520D32">
            <w:pPr>
              <w:jc w:val="center"/>
              <w:rPr>
                <w:rFonts w:ascii="Arial" w:hAnsi="Arial" w:cs="Arial"/>
              </w:rPr>
            </w:pPr>
          </w:p>
          <w:p w14:paraId="443B2157" w14:textId="7939967C" w:rsidR="001F1E9C" w:rsidRPr="00837BF1" w:rsidRDefault="001F1E9C" w:rsidP="00520D32">
            <w:pPr>
              <w:jc w:val="center"/>
              <w:rPr>
                <w:rFonts w:ascii="Arial" w:hAnsi="Arial" w:cs="Arial"/>
              </w:rPr>
            </w:pPr>
            <w:r w:rsidRPr="00837BF1">
              <w:rPr>
                <w:rFonts w:ascii="Arial" w:hAnsi="Arial" w:cs="Arial"/>
              </w:rPr>
              <w:t>3,479</w:t>
            </w:r>
          </w:p>
          <w:p w14:paraId="0FEEF045" w14:textId="314F186C" w:rsidR="001F1E9C" w:rsidRPr="00837BF1" w:rsidRDefault="001F1E9C" w:rsidP="00520D32">
            <w:pPr>
              <w:jc w:val="center"/>
              <w:rPr>
                <w:rFonts w:ascii="Arial" w:hAnsi="Arial" w:cs="Arial"/>
              </w:rPr>
            </w:pPr>
            <w:r w:rsidRPr="00837BF1">
              <w:rPr>
                <w:rFonts w:ascii="Arial" w:hAnsi="Arial" w:cs="Arial"/>
              </w:rPr>
              <w:t>5,229</w:t>
            </w:r>
          </w:p>
          <w:p w14:paraId="55EF4D60" w14:textId="77777777" w:rsidR="001F1E9C" w:rsidRPr="00837BF1" w:rsidRDefault="001F1E9C" w:rsidP="00520D32">
            <w:pPr>
              <w:jc w:val="center"/>
              <w:rPr>
                <w:rFonts w:ascii="Arial" w:hAnsi="Arial" w:cs="Arial"/>
              </w:rPr>
            </w:pPr>
          </w:p>
          <w:p w14:paraId="476CEBAD" w14:textId="77777777" w:rsidR="001F1E9C" w:rsidRPr="00837BF1" w:rsidRDefault="001F1E9C" w:rsidP="00520D32">
            <w:pPr>
              <w:jc w:val="center"/>
              <w:rPr>
                <w:rFonts w:ascii="Arial" w:hAnsi="Arial" w:cs="Arial"/>
              </w:rPr>
            </w:pPr>
            <w:r w:rsidRPr="00837BF1">
              <w:rPr>
                <w:rFonts w:ascii="Arial" w:hAnsi="Arial" w:cs="Arial"/>
              </w:rPr>
              <w:t>2,333</w:t>
            </w:r>
          </w:p>
          <w:p w14:paraId="76CDA8D6" w14:textId="77777777" w:rsidR="001F1E9C" w:rsidRPr="00837BF1" w:rsidRDefault="001F1E9C" w:rsidP="00520D32">
            <w:pPr>
              <w:jc w:val="center"/>
              <w:rPr>
                <w:rFonts w:ascii="Arial" w:hAnsi="Arial" w:cs="Arial"/>
              </w:rPr>
            </w:pPr>
            <w:r w:rsidRPr="00837BF1">
              <w:rPr>
                <w:rFonts w:ascii="Arial" w:hAnsi="Arial" w:cs="Arial"/>
              </w:rPr>
              <w:t>6,375</w:t>
            </w:r>
          </w:p>
          <w:p w14:paraId="2109F9E8" w14:textId="77777777" w:rsidR="001F1E9C" w:rsidRPr="00837BF1" w:rsidRDefault="001F1E9C" w:rsidP="00520D32">
            <w:pPr>
              <w:jc w:val="center"/>
              <w:rPr>
                <w:rFonts w:ascii="Arial" w:hAnsi="Arial" w:cs="Arial"/>
              </w:rPr>
            </w:pPr>
          </w:p>
          <w:p w14:paraId="34A4118A" w14:textId="77777777" w:rsidR="001F1E9C" w:rsidRPr="00837BF1" w:rsidRDefault="001F1E9C" w:rsidP="00520D32">
            <w:pPr>
              <w:jc w:val="center"/>
              <w:rPr>
                <w:rFonts w:ascii="Arial" w:hAnsi="Arial" w:cs="Arial"/>
              </w:rPr>
            </w:pPr>
            <w:r w:rsidRPr="00837BF1">
              <w:rPr>
                <w:rFonts w:ascii="Arial" w:hAnsi="Arial" w:cs="Arial"/>
              </w:rPr>
              <w:t>7,015</w:t>
            </w:r>
          </w:p>
          <w:p w14:paraId="519859A5" w14:textId="77777777" w:rsidR="001F1E9C" w:rsidRPr="00837BF1" w:rsidRDefault="001F1E9C" w:rsidP="00520D32">
            <w:pPr>
              <w:jc w:val="center"/>
              <w:rPr>
                <w:rFonts w:ascii="Arial" w:hAnsi="Arial" w:cs="Arial"/>
              </w:rPr>
            </w:pPr>
            <w:r w:rsidRPr="00837BF1">
              <w:rPr>
                <w:rFonts w:ascii="Arial" w:hAnsi="Arial" w:cs="Arial"/>
              </w:rPr>
              <w:t>395</w:t>
            </w:r>
          </w:p>
          <w:p w14:paraId="5D2F5344" w14:textId="77777777" w:rsidR="001F1E9C" w:rsidRPr="00837BF1" w:rsidRDefault="001F1E9C" w:rsidP="00520D32">
            <w:pPr>
              <w:jc w:val="center"/>
              <w:rPr>
                <w:rFonts w:ascii="Arial" w:hAnsi="Arial" w:cs="Arial"/>
              </w:rPr>
            </w:pPr>
            <w:r w:rsidRPr="00837BF1">
              <w:rPr>
                <w:rFonts w:ascii="Arial" w:hAnsi="Arial" w:cs="Arial"/>
              </w:rPr>
              <w:t>164</w:t>
            </w:r>
          </w:p>
          <w:p w14:paraId="62E228CF" w14:textId="77777777" w:rsidR="001F1E9C" w:rsidRPr="00837BF1" w:rsidRDefault="001F1E9C" w:rsidP="00520D32">
            <w:pPr>
              <w:jc w:val="center"/>
              <w:rPr>
                <w:rFonts w:ascii="Arial" w:hAnsi="Arial" w:cs="Arial"/>
              </w:rPr>
            </w:pPr>
            <w:r w:rsidRPr="00837BF1">
              <w:rPr>
                <w:rFonts w:ascii="Arial" w:hAnsi="Arial" w:cs="Arial"/>
              </w:rPr>
              <w:t>650</w:t>
            </w:r>
          </w:p>
          <w:p w14:paraId="66625536" w14:textId="77777777" w:rsidR="001F1E9C" w:rsidRPr="00837BF1" w:rsidRDefault="001F1E9C" w:rsidP="00520D32">
            <w:pPr>
              <w:jc w:val="center"/>
              <w:rPr>
                <w:rFonts w:ascii="Arial" w:hAnsi="Arial" w:cs="Arial"/>
              </w:rPr>
            </w:pPr>
            <w:r w:rsidRPr="00837BF1">
              <w:rPr>
                <w:rFonts w:ascii="Arial" w:hAnsi="Arial" w:cs="Arial"/>
              </w:rPr>
              <w:t>234</w:t>
            </w:r>
          </w:p>
          <w:p w14:paraId="530B9446" w14:textId="77777777" w:rsidR="001F1E9C" w:rsidRPr="00837BF1" w:rsidRDefault="001F1E9C" w:rsidP="00520D32">
            <w:pPr>
              <w:jc w:val="center"/>
              <w:rPr>
                <w:rFonts w:ascii="Arial" w:hAnsi="Arial" w:cs="Arial"/>
              </w:rPr>
            </w:pPr>
            <w:r w:rsidRPr="00837BF1">
              <w:rPr>
                <w:rFonts w:ascii="Arial" w:hAnsi="Arial" w:cs="Arial"/>
              </w:rPr>
              <w:t>34</w:t>
            </w:r>
          </w:p>
          <w:p w14:paraId="5418A5F7" w14:textId="77777777" w:rsidR="001F1E9C" w:rsidRPr="00837BF1" w:rsidRDefault="001F1E9C" w:rsidP="00520D32">
            <w:pPr>
              <w:jc w:val="center"/>
              <w:rPr>
                <w:rFonts w:ascii="Arial" w:hAnsi="Arial" w:cs="Arial"/>
              </w:rPr>
            </w:pPr>
          </w:p>
          <w:p w14:paraId="4E0FD844" w14:textId="77777777" w:rsidR="001F1E9C" w:rsidRPr="00837BF1" w:rsidRDefault="001F1E9C" w:rsidP="00520D32">
            <w:pPr>
              <w:jc w:val="center"/>
              <w:rPr>
                <w:rFonts w:ascii="Arial" w:hAnsi="Arial" w:cs="Arial"/>
              </w:rPr>
            </w:pPr>
            <w:r w:rsidRPr="00837BF1">
              <w:rPr>
                <w:rFonts w:ascii="Arial" w:hAnsi="Arial" w:cs="Arial"/>
              </w:rPr>
              <w:t>482</w:t>
            </w:r>
          </w:p>
          <w:p w14:paraId="1210BC7B" w14:textId="77777777" w:rsidR="001F1E9C" w:rsidRPr="00837BF1" w:rsidRDefault="001F1E9C" w:rsidP="00520D32">
            <w:pPr>
              <w:jc w:val="center"/>
              <w:rPr>
                <w:rFonts w:ascii="Arial" w:hAnsi="Arial" w:cs="Arial"/>
              </w:rPr>
            </w:pPr>
            <w:r w:rsidRPr="00837BF1">
              <w:rPr>
                <w:rFonts w:ascii="Arial" w:hAnsi="Arial" w:cs="Arial"/>
              </w:rPr>
              <w:t>1,314</w:t>
            </w:r>
          </w:p>
          <w:p w14:paraId="1A6B12D7" w14:textId="77777777" w:rsidR="001F1E9C" w:rsidRPr="00837BF1" w:rsidRDefault="001F1E9C" w:rsidP="00520D32">
            <w:pPr>
              <w:jc w:val="center"/>
              <w:rPr>
                <w:rFonts w:ascii="Arial" w:hAnsi="Arial" w:cs="Arial"/>
              </w:rPr>
            </w:pPr>
            <w:r w:rsidRPr="00837BF1">
              <w:rPr>
                <w:rFonts w:ascii="Arial" w:hAnsi="Arial" w:cs="Arial"/>
              </w:rPr>
              <w:t>1,620</w:t>
            </w:r>
          </w:p>
          <w:p w14:paraId="31FE0B75" w14:textId="77777777" w:rsidR="001F1E9C" w:rsidRPr="00837BF1" w:rsidRDefault="001F1E9C" w:rsidP="00520D32">
            <w:pPr>
              <w:jc w:val="center"/>
              <w:rPr>
                <w:rFonts w:ascii="Arial" w:hAnsi="Arial" w:cs="Arial"/>
              </w:rPr>
            </w:pPr>
            <w:r w:rsidRPr="00837BF1">
              <w:rPr>
                <w:rFonts w:ascii="Arial" w:hAnsi="Arial" w:cs="Arial"/>
              </w:rPr>
              <w:t>2,012</w:t>
            </w:r>
          </w:p>
          <w:p w14:paraId="3CE75574" w14:textId="4FF0E46A" w:rsidR="001F1E9C" w:rsidRPr="00837BF1" w:rsidRDefault="001F1E9C" w:rsidP="00520D32">
            <w:pPr>
              <w:jc w:val="center"/>
              <w:rPr>
                <w:rFonts w:ascii="Arial" w:hAnsi="Arial" w:cs="Arial"/>
              </w:rPr>
            </w:pPr>
            <w:r w:rsidRPr="00837BF1">
              <w:rPr>
                <w:rFonts w:ascii="Arial" w:hAnsi="Arial" w:cs="Arial"/>
              </w:rPr>
              <w:t>2,012</w:t>
            </w:r>
          </w:p>
          <w:p w14:paraId="3F1FC5B9" w14:textId="77777777" w:rsidR="001F1E9C" w:rsidRPr="00837BF1" w:rsidRDefault="001F1E9C" w:rsidP="00520D32">
            <w:pPr>
              <w:jc w:val="center"/>
              <w:rPr>
                <w:rFonts w:ascii="Arial" w:hAnsi="Arial" w:cs="Arial"/>
              </w:rPr>
            </w:pPr>
          </w:p>
          <w:p w14:paraId="45C6B3B0" w14:textId="652E5FD8" w:rsidR="001F1E9C" w:rsidRPr="00837BF1" w:rsidRDefault="001F1E9C" w:rsidP="00520D32">
            <w:pPr>
              <w:jc w:val="center"/>
              <w:rPr>
                <w:rFonts w:ascii="Arial" w:hAnsi="Arial" w:cs="Arial"/>
              </w:rPr>
            </w:pPr>
            <w:r w:rsidRPr="00837BF1">
              <w:rPr>
                <w:rFonts w:ascii="Arial" w:hAnsi="Arial" w:cs="Arial"/>
              </w:rPr>
              <w:t>6,607</w:t>
            </w:r>
          </w:p>
          <w:p w14:paraId="68F3A72C" w14:textId="1A0049BB" w:rsidR="001F1E9C" w:rsidRPr="00837BF1" w:rsidRDefault="001F1E9C" w:rsidP="00520D32">
            <w:pPr>
              <w:jc w:val="center"/>
              <w:rPr>
                <w:rFonts w:ascii="Arial" w:hAnsi="Arial" w:cs="Arial"/>
              </w:rPr>
            </w:pPr>
            <w:r w:rsidRPr="00837BF1">
              <w:rPr>
                <w:rFonts w:ascii="Arial" w:hAnsi="Arial" w:cs="Arial"/>
              </w:rPr>
              <w:t>1,363</w:t>
            </w:r>
          </w:p>
          <w:p w14:paraId="1819556A" w14:textId="587CA9E6" w:rsidR="001F1E9C" w:rsidRPr="00837BF1" w:rsidRDefault="001F1E9C" w:rsidP="00520D32">
            <w:pPr>
              <w:jc w:val="center"/>
              <w:rPr>
                <w:rFonts w:ascii="Arial" w:hAnsi="Arial" w:cs="Arial"/>
              </w:rPr>
            </w:pPr>
            <w:r w:rsidRPr="00837BF1">
              <w:rPr>
                <w:rFonts w:ascii="Arial" w:hAnsi="Arial" w:cs="Arial"/>
              </w:rPr>
              <w:t>402</w:t>
            </w:r>
          </w:p>
          <w:p w14:paraId="7A18C66B" w14:textId="40F12565" w:rsidR="001F1E9C" w:rsidRPr="00837BF1" w:rsidRDefault="001F1E9C" w:rsidP="00520D32">
            <w:pPr>
              <w:jc w:val="center"/>
              <w:rPr>
                <w:rFonts w:ascii="Arial" w:hAnsi="Arial" w:cs="Arial"/>
              </w:rPr>
            </w:pPr>
          </w:p>
          <w:p w14:paraId="7E346FB3" w14:textId="59BABD8B" w:rsidR="001F1E9C" w:rsidRPr="00837BF1" w:rsidRDefault="001F1E9C" w:rsidP="00520D32">
            <w:pPr>
              <w:jc w:val="center"/>
              <w:rPr>
                <w:rFonts w:ascii="Arial" w:hAnsi="Arial" w:cs="Arial"/>
              </w:rPr>
            </w:pPr>
            <w:r w:rsidRPr="00837BF1">
              <w:rPr>
                <w:rFonts w:ascii="Arial" w:hAnsi="Arial" w:cs="Arial"/>
              </w:rPr>
              <w:t>5,143</w:t>
            </w:r>
          </w:p>
          <w:p w14:paraId="6C06663E" w14:textId="7ADA859E" w:rsidR="001F1E9C" w:rsidRPr="00837BF1" w:rsidRDefault="001F1E9C" w:rsidP="00520D32">
            <w:pPr>
              <w:jc w:val="center"/>
              <w:rPr>
                <w:rFonts w:ascii="Arial" w:hAnsi="Arial" w:cs="Arial"/>
              </w:rPr>
            </w:pPr>
            <w:r w:rsidRPr="00837BF1">
              <w:rPr>
                <w:rFonts w:ascii="Arial" w:hAnsi="Arial" w:cs="Arial"/>
              </w:rPr>
              <w:t>3,565</w:t>
            </w:r>
          </w:p>
          <w:p w14:paraId="2C44F9F5" w14:textId="6D35F3B5" w:rsidR="001F1E9C" w:rsidRPr="00837BF1" w:rsidRDefault="001F1E9C" w:rsidP="00520D32">
            <w:pPr>
              <w:jc w:val="center"/>
              <w:rPr>
                <w:rFonts w:ascii="Arial" w:hAnsi="Arial" w:cs="Arial"/>
              </w:rPr>
            </w:pPr>
          </w:p>
          <w:p w14:paraId="49D36070" w14:textId="78A1429F" w:rsidR="001F1E9C" w:rsidRPr="00837BF1" w:rsidRDefault="001F1E9C" w:rsidP="00520D32">
            <w:pPr>
              <w:jc w:val="center"/>
              <w:rPr>
                <w:rFonts w:ascii="Arial" w:hAnsi="Arial" w:cs="Arial"/>
              </w:rPr>
            </w:pPr>
            <w:r w:rsidRPr="00837BF1">
              <w:rPr>
                <w:rFonts w:ascii="Arial" w:hAnsi="Arial" w:cs="Arial"/>
              </w:rPr>
              <w:t>8,294</w:t>
            </w:r>
          </w:p>
          <w:p w14:paraId="5D85C665" w14:textId="1BF93E3B" w:rsidR="001F1E9C" w:rsidRPr="00837BF1" w:rsidRDefault="001F1E9C" w:rsidP="00520D32">
            <w:pPr>
              <w:jc w:val="center"/>
              <w:rPr>
                <w:rFonts w:ascii="Arial" w:hAnsi="Arial" w:cs="Arial"/>
              </w:rPr>
            </w:pPr>
            <w:r w:rsidRPr="00837BF1">
              <w:rPr>
                <w:rFonts w:ascii="Arial" w:hAnsi="Arial" w:cs="Arial"/>
              </w:rPr>
              <w:t>407</w:t>
            </w:r>
          </w:p>
          <w:p w14:paraId="43D523A4" w14:textId="62C52BFC" w:rsidR="001F1E9C" w:rsidRPr="00837BF1" w:rsidRDefault="001F1E9C" w:rsidP="00520D32">
            <w:pPr>
              <w:jc w:val="center"/>
              <w:rPr>
                <w:rFonts w:ascii="Arial" w:hAnsi="Arial" w:cs="Arial"/>
              </w:rPr>
            </w:pPr>
          </w:p>
          <w:p w14:paraId="4135417B" w14:textId="6ADFA445" w:rsidR="001F1E9C" w:rsidRPr="00837BF1" w:rsidRDefault="001F1E9C" w:rsidP="00520D32">
            <w:pPr>
              <w:jc w:val="center"/>
              <w:rPr>
                <w:rFonts w:ascii="Arial" w:hAnsi="Arial" w:cs="Arial"/>
              </w:rPr>
            </w:pPr>
            <w:r w:rsidRPr="00837BF1">
              <w:rPr>
                <w:rFonts w:ascii="Arial" w:hAnsi="Arial" w:cs="Arial"/>
              </w:rPr>
              <w:t>7,046</w:t>
            </w:r>
          </w:p>
          <w:p w14:paraId="20ADD697" w14:textId="78D72A42" w:rsidR="001F1E9C" w:rsidRPr="00837BF1" w:rsidRDefault="001F1E9C" w:rsidP="00520D32">
            <w:pPr>
              <w:jc w:val="center"/>
              <w:rPr>
                <w:rFonts w:ascii="Arial" w:hAnsi="Arial" w:cs="Arial"/>
              </w:rPr>
            </w:pPr>
            <w:r w:rsidRPr="00837BF1">
              <w:rPr>
                <w:rFonts w:ascii="Arial" w:hAnsi="Arial" w:cs="Arial"/>
              </w:rPr>
              <w:t>1,655</w:t>
            </w:r>
          </w:p>
          <w:p w14:paraId="717D1671" w14:textId="66D2DF9D" w:rsidR="001F1E9C" w:rsidRPr="00837BF1" w:rsidRDefault="001F1E9C" w:rsidP="00520D32">
            <w:pPr>
              <w:jc w:val="center"/>
              <w:rPr>
                <w:rFonts w:ascii="Arial" w:hAnsi="Arial" w:cs="Arial"/>
              </w:rPr>
            </w:pPr>
          </w:p>
          <w:p w14:paraId="42D97FE6" w14:textId="07E482E4" w:rsidR="001F1E9C" w:rsidRPr="00837BF1" w:rsidRDefault="001F1E9C" w:rsidP="00520D32">
            <w:pPr>
              <w:jc w:val="center"/>
              <w:rPr>
                <w:rFonts w:ascii="Arial" w:hAnsi="Arial" w:cs="Arial"/>
              </w:rPr>
            </w:pPr>
            <w:r w:rsidRPr="00837BF1">
              <w:rPr>
                <w:rFonts w:ascii="Arial" w:hAnsi="Arial" w:cs="Arial"/>
              </w:rPr>
              <w:t>8,468</w:t>
            </w:r>
          </w:p>
          <w:p w14:paraId="647E2018" w14:textId="192506C1" w:rsidR="001F1E9C" w:rsidRPr="00837BF1" w:rsidRDefault="001F1E9C" w:rsidP="00520D32">
            <w:pPr>
              <w:jc w:val="center"/>
              <w:rPr>
                <w:rFonts w:ascii="Arial" w:hAnsi="Arial" w:cs="Arial"/>
              </w:rPr>
            </w:pPr>
            <w:r w:rsidRPr="00837BF1">
              <w:rPr>
                <w:rFonts w:ascii="Arial" w:hAnsi="Arial" w:cs="Arial"/>
              </w:rPr>
              <w:t>233</w:t>
            </w:r>
          </w:p>
          <w:p w14:paraId="3C80EB7C" w14:textId="38D6D7ED" w:rsidR="001F1E9C" w:rsidRPr="00837BF1" w:rsidRDefault="001F1E9C" w:rsidP="00520D32">
            <w:pPr>
              <w:jc w:val="center"/>
              <w:rPr>
                <w:rFonts w:ascii="Arial" w:hAnsi="Arial" w:cs="Arial"/>
              </w:rPr>
            </w:pPr>
          </w:p>
          <w:p w14:paraId="25267DCF" w14:textId="6D514A22" w:rsidR="001F1E9C" w:rsidRPr="00837BF1" w:rsidRDefault="001F1E9C" w:rsidP="00520D32">
            <w:pPr>
              <w:jc w:val="center"/>
              <w:rPr>
                <w:rFonts w:ascii="Arial" w:hAnsi="Arial" w:cs="Arial"/>
              </w:rPr>
            </w:pPr>
            <w:r w:rsidRPr="00837BF1">
              <w:rPr>
                <w:rFonts w:ascii="Arial" w:hAnsi="Arial" w:cs="Arial"/>
              </w:rPr>
              <w:t>8,630</w:t>
            </w:r>
          </w:p>
          <w:p w14:paraId="6295EF9D" w14:textId="26A4BCAA" w:rsidR="001F1E9C" w:rsidRPr="00837BF1" w:rsidRDefault="001F1E9C" w:rsidP="00520D32">
            <w:pPr>
              <w:jc w:val="center"/>
              <w:rPr>
                <w:rFonts w:ascii="Arial" w:hAnsi="Arial" w:cs="Arial"/>
              </w:rPr>
            </w:pPr>
            <w:r w:rsidRPr="00837BF1">
              <w:rPr>
                <w:rFonts w:ascii="Arial" w:hAnsi="Arial" w:cs="Arial"/>
              </w:rPr>
              <w:t>71</w:t>
            </w:r>
          </w:p>
          <w:p w14:paraId="12628C79" w14:textId="69B3AE6F" w:rsidR="001F1E9C" w:rsidRPr="00837BF1" w:rsidRDefault="001F1E9C" w:rsidP="00520D32">
            <w:pPr>
              <w:jc w:val="center"/>
              <w:rPr>
                <w:rFonts w:ascii="Arial" w:hAnsi="Arial" w:cs="Arial"/>
              </w:rPr>
            </w:pPr>
          </w:p>
          <w:p w14:paraId="2D37C62C" w14:textId="3D81B754" w:rsidR="001F1E9C" w:rsidRPr="00837BF1" w:rsidRDefault="001F1E9C" w:rsidP="00520D32">
            <w:pPr>
              <w:jc w:val="center"/>
              <w:rPr>
                <w:rFonts w:ascii="Arial" w:hAnsi="Arial" w:cs="Arial"/>
              </w:rPr>
            </w:pPr>
            <w:r w:rsidRPr="00837BF1">
              <w:rPr>
                <w:rFonts w:ascii="Arial" w:hAnsi="Arial" w:cs="Arial"/>
              </w:rPr>
              <w:t>8,459</w:t>
            </w:r>
          </w:p>
          <w:p w14:paraId="3462EF1A" w14:textId="1E122171" w:rsidR="001F1E9C" w:rsidRPr="00837BF1" w:rsidRDefault="001F1E9C" w:rsidP="00520D32">
            <w:pPr>
              <w:jc w:val="center"/>
              <w:rPr>
                <w:rFonts w:ascii="Arial" w:hAnsi="Arial" w:cs="Arial"/>
              </w:rPr>
            </w:pPr>
            <w:r w:rsidRPr="00837BF1">
              <w:rPr>
                <w:rFonts w:ascii="Arial" w:hAnsi="Arial" w:cs="Arial"/>
              </w:rPr>
              <w:t>242</w:t>
            </w:r>
          </w:p>
          <w:p w14:paraId="3899BD93" w14:textId="7D0A7BDA" w:rsidR="001F1E9C" w:rsidRPr="00837BF1" w:rsidRDefault="001F1E9C" w:rsidP="00520D32">
            <w:pPr>
              <w:jc w:val="center"/>
              <w:rPr>
                <w:rFonts w:ascii="Arial" w:hAnsi="Arial" w:cs="Arial"/>
              </w:rPr>
            </w:pPr>
          </w:p>
          <w:p w14:paraId="163E5707" w14:textId="351A1B7A" w:rsidR="001F1E9C" w:rsidRPr="00837BF1" w:rsidRDefault="001F1E9C" w:rsidP="00520D32">
            <w:pPr>
              <w:jc w:val="center"/>
              <w:rPr>
                <w:rFonts w:ascii="Arial" w:hAnsi="Arial" w:cs="Arial"/>
              </w:rPr>
            </w:pPr>
            <w:r w:rsidRPr="00837BF1">
              <w:rPr>
                <w:rFonts w:ascii="Arial" w:hAnsi="Arial" w:cs="Arial"/>
              </w:rPr>
              <w:lastRenderedPageBreak/>
              <w:t>7,601</w:t>
            </w:r>
          </w:p>
          <w:p w14:paraId="1AE55FEC" w14:textId="61D8FE26" w:rsidR="001F1E9C" w:rsidRPr="00837BF1" w:rsidRDefault="001F1E9C" w:rsidP="00AB284D">
            <w:pPr>
              <w:jc w:val="center"/>
              <w:rPr>
                <w:rFonts w:ascii="Arial" w:hAnsi="Arial" w:cs="Arial"/>
              </w:rPr>
            </w:pPr>
            <w:r w:rsidRPr="00837BF1">
              <w:rPr>
                <w:rFonts w:ascii="Arial" w:hAnsi="Arial" w:cs="Arial"/>
              </w:rPr>
              <w:t>1,100</w:t>
            </w:r>
          </w:p>
        </w:tc>
        <w:tc>
          <w:tcPr>
            <w:tcW w:w="1985" w:type="dxa"/>
            <w:shd w:val="clear" w:color="auto" w:fill="auto"/>
          </w:tcPr>
          <w:p w14:paraId="00AA06A9" w14:textId="77777777" w:rsidR="001F1E9C" w:rsidRPr="00837BF1" w:rsidRDefault="001F1E9C" w:rsidP="00520D32">
            <w:pPr>
              <w:jc w:val="center"/>
              <w:rPr>
                <w:rFonts w:ascii="Arial" w:hAnsi="Arial" w:cs="Arial"/>
              </w:rPr>
            </w:pPr>
          </w:p>
          <w:p w14:paraId="40E16211" w14:textId="77777777" w:rsidR="001F1E9C" w:rsidRPr="00837BF1" w:rsidRDefault="001F1E9C" w:rsidP="00520D32">
            <w:pPr>
              <w:jc w:val="center"/>
              <w:rPr>
                <w:rFonts w:ascii="Arial" w:hAnsi="Arial" w:cs="Arial"/>
              </w:rPr>
            </w:pPr>
            <w:r w:rsidRPr="00837BF1">
              <w:rPr>
                <w:rFonts w:ascii="Arial" w:hAnsi="Arial" w:cs="Arial"/>
              </w:rPr>
              <w:t>11.1 (10.1, 12.3)</w:t>
            </w:r>
          </w:p>
          <w:p w14:paraId="18BF7CF7" w14:textId="77777777" w:rsidR="001F1E9C" w:rsidRPr="00837BF1" w:rsidRDefault="001F1E9C" w:rsidP="00520D32">
            <w:pPr>
              <w:jc w:val="center"/>
              <w:rPr>
                <w:rFonts w:ascii="Arial" w:hAnsi="Arial" w:cs="Arial"/>
              </w:rPr>
            </w:pPr>
            <w:r w:rsidRPr="00837BF1">
              <w:rPr>
                <w:rFonts w:ascii="Arial" w:hAnsi="Arial" w:cs="Arial"/>
              </w:rPr>
              <w:t>19.7 (18.5, 21.1)</w:t>
            </w:r>
          </w:p>
          <w:p w14:paraId="0B4C057C" w14:textId="77777777" w:rsidR="001F1E9C" w:rsidRPr="00837BF1" w:rsidRDefault="001F1E9C" w:rsidP="00520D32">
            <w:pPr>
              <w:jc w:val="center"/>
              <w:rPr>
                <w:rFonts w:ascii="Arial" w:hAnsi="Arial" w:cs="Arial"/>
              </w:rPr>
            </w:pPr>
            <w:r w:rsidRPr="00837BF1">
              <w:rPr>
                <w:rFonts w:ascii="Arial" w:hAnsi="Arial" w:cs="Arial"/>
              </w:rPr>
              <w:t>22.3 (21.1, 23.5)</w:t>
            </w:r>
          </w:p>
          <w:p w14:paraId="3AA58254" w14:textId="77777777" w:rsidR="001F1E9C" w:rsidRPr="00837BF1" w:rsidRDefault="001F1E9C" w:rsidP="00520D32">
            <w:pPr>
              <w:jc w:val="center"/>
              <w:rPr>
                <w:rFonts w:ascii="Arial" w:hAnsi="Arial" w:cs="Arial"/>
              </w:rPr>
            </w:pPr>
            <w:r w:rsidRPr="00837BF1">
              <w:rPr>
                <w:rFonts w:ascii="Arial" w:hAnsi="Arial" w:cs="Arial"/>
              </w:rPr>
              <w:t>25.2 (24.0, 26.4)</w:t>
            </w:r>
          </w:p>
          <w:p w14:paraId="74EACFE5" w14:textId="77777777" w:rsidR="001F1E9C" w:rsidRPr="00837BF1" w:rsidRDefault="001F1E9C" w:rsidP="00520D32">
            <w:pPr>
              <w:jc w:val="center"/>
              <w:rPr>
                <w:rFonts w:ascii="Arial" w:hAnsi="Arial" w:cs="Arial"/>
              </w:rPr>
            </w:pPr>
            <w:r w:rsidRPr="00837BF1">
              <w:rPr>
                <w:rFonts w:ascii="Arial" w:hAnsi="Arial" w:cs="Arial"/>
              </w:rPr>
              <w:t>21.7 (20.6, 22.8)</w:t>
            </w:r>
          </w:p>
          <w:p w14:paraId="19FD82F4" w14:textId="77777777" w:rsidR="001F1E9C" w:rsidRPr="00837BF1" w:rsidRDefault="001F1E9C" w:rsidP="00520D32">
            <w:pPr>
              <w:jc w:val="center"/>
              <w:rPr>
                <w:rFonts w:ascii="Arial" w:hAnsi="Arial" w:cs="Arial"/>
              </w:rPr>
            </w:pPr>
          </w:p>
          <w:p w14:paraId="498A05B0" w14:textId="77777777" w:rsidR="001F1E9C" w:rsidRPr="00837BF1" w:rsidRDefault="001F1E9C" w:rsidP="00520D32">
            <w:pPr>
              <w:jc w:val="center"/>
              <w:rPr>
                <w:rFonts w:ascii="Arial" w:hAnsi="Arial" w:cs="Arial"/>
              </w:rPr>
            </w:pPr>
            <w:r w:rsidRPr="00837BF1">
              <w:rPr>
                <w:rFonts w:ascii="Arial" w:hAnsi="Arial" w:cs="Arial"/>
              </w:rPr>
              <w:t>45.9 (44.4, 47.4)</w:t>
            </w:r>
          </w:p>
          <w:p w14:paraId="53F42453" w14:textId="77777777" w:rsidR="001F1E9C" w:rsidRPr="00837BF1" w:rsidRDefault="001F1E9C" w:rsidP="00520D32">
            <w:pPr>
              <w:jc w:val="center"/>
              <w:rPr>
                <w:rFonts w:ascii="Arial" w:hAnsi="Arial" w:cs="Arial"/>
              </w:rPr>
            </w:pPr>
            <w:r w:rsidRPr="00837BF1">
              <w:rPr>
                <w:rFonts w:ascii="Arial" w:hAnsi="Arial" w:cs="Arial"/>
              </w:rPr>
              <w:t>54.1 (52.6, 55.6)</w:t>
            </w:r>
          </w:p>
          <w:p w14:paraId="3B6834D5" w14:textId="77777777" w:rsidR="001F1E9C" w:rsidRPr="00837BF1" w:rsidRDefault="001F1E9C" w:rsidP="00520D32">
            <w:pPr>
              <w:jc w:val="center"/>
              <w:rPr>
                <w:rFonts w:ascii="Arial" w:hAnsi="Arial" w:cs="Arial"/>
              </w:rPr>
            </w:pPr>
          </w:p>
          <w:p w14:paraId="24DFA679" w14:textId="6CCDD9E5" w:rsidR="001F1E9C" w:rsidRPr="00837BF1" w:rsidRDefault="001F1E9C" w:rsidP="00520D32">
            <w:pPr>
              <w:jc w:val="center"/>
              <w:rPr>
                <w:rFonts w:ascii="Arial" w:hAnsi="Arial" w:cs="Arial"/>
              </w:rPr>
            </w:pPr>
            <w:r w:rsidRPr="00837BF1">
              <w:rPr>
                <w:rFonts w:ascii="Arial" w:hAnsi="Arial" w:cs="Arial"/>
              </w:rPr>
              <w:t>3</w:t>
            </w:r>
            <w:r w:rsidR="00C44B27" w:rsidRPr="00837BF1">
              <w:rPr>
                <w:rFonts w:ascii="Arial" w:hAnsi="Arial" w:cs="Arial"/>
              </w:rPr>
              <w:t>2</w:t>
            </w:r>
            <w:r w:rsidRPr="00837BF1">
              <w:rPr>
                <w:rFonts w:ascii="Arial" w:hAnsi="Arial" w:cs="Arial"/>
              </w:rPr>
              <w:t>.4 (30.9, 33.9)</w:t>
            </w:r>
          </w:p>
          <w:p w14:paraId="0969D987" w14:textId="77777777" w:rsidR="001F1E9C" w:rsidRPr="00837BF1" w:rsidRDefault="001F1E9C" w:rsidP="008A6219">
            <w:pPr>
              <w:jc w:val="center"/>
              <w:rPr>
                <w:rFonts w:ascii="Arial" w:hAnsi="Arial" w:cs="Arial"/>
              </w:rPr>
            </w:pPr>
            <w:r w:rsidRPr="00837BF1">
              <w:rPr>
                <w:rFonts w:ascii="Arial" w:hAnsi="Arial" w:cs="Arial"/>
              </w:rPr>
              <w:t>67.6 (66.1, 69.1)</w:t>
            </w:r>
          </w:p>
          <w:p w14:paraId="4A7C2E53" w14:textId="77777777" w:rsidR="001F1E9C" w:rsidRPr="00837BF1" w:rsidRDefault="001F1E9C" w:rsidP="008A6219">
            <w:pPr>
              <w:jc w:val="center"/>
              <w:rPr>
                <w:rFonts w:ascii="Arial" w:hAnsi="Arial" w:cs="Arial"/>
              </w:rPr>
            </w:pPr>
          </w:p>
          <w:p w14:paraId="05CEA1D9" w14:textId="77777777" w:rsidR="001F1E9C" w:rsidRPr="00837BF1" w:rsidRDefault="001F1E9C" w:rsidP="008A6219">
            <w:pPr>
              <w:jc w:val="center"/>
              <w:rPr>
                <w:rFonts w:ascii="Arial" w:hAnsi="Arial" w:cs="Arial"/>
              </w:rPr>
            </w:pPr>
            <w:r w:rsidRPr="00837BF1">
              <w:rPr>
                <w:rFonts w:ascii="Arial" w:hAnsi="Arial" w:cs="Arial"/>
              </w:rPr>
              <w:t>87.9 (86.8, 88.8)</w:t>
            </w:r>
          </w:p>
          <w:p w14:paraId="57AC42B4" w14:textId="77777777" w:rsidR="001F1E9C" w:rsidRPr="00837BF1" w:rsidRDefault="001F1E9C" w:rsidP="008A6219">
            <w:pPr>
              <w:jc w:val="center"/>
              <w:rPr>
                <w:rFonts w:ascii="Arial" w:hAnsi="Arial" w:cs="Arial"/>
              </w:rPr>
            </w:pPr>
            <w:r w:rsidRPr="00837BF1">
              <w:rPr>
                <w:rFonts w:ascii="Arial" w:hAnsi="Arial" w:cs="Arial"/>
              </w:rPr>
              <w:t>4.3 (3.7, 5.0)</w:t>
            </w:r>
          </w:p>
          <w:p w14:paraId="097065B0" w14:textId="10FDCCFE" w:rsidR="001F1E9C" w:rsidRPr="00837BF1" w:rsidRDefault="001F1E9C" w:rsidP="008A6219">
            <w:pPr>
              <w:jc w:val="center"/>
              <w:rPr>
                <w:rFonts w:ascii="Arial" w:hAnsi="Arial" w:cs="Arial"/>
              </w:rPr>
            </w:pPr>
            <w:r w:rsidRPr="00837BF1">
              <w:rPr>
                <w:rFonts w:ascii="Arial" w:hAnsi="Arial" w:cs="Arial"/>
              </w:rPr>
              <w:t>1</w:t>
            </w:r>
            <w:r w:rsidR="00A00BB8" w:rsidRPr="00837BF1">
              <w:rPr>
                <w:rFonts w:ascii="Arial" w:hAnsi="Arial" w:cs="Arial"/>
              </w:rPr>
              <w:t>.4</w:t>
            </w:r>
            <w:r w:rsidRPr="00837BF1">
              <w:rPr>
                <w:rFonts w:ascii="Arial" w:hAnsi="Arial" w:cs="Arial"/>
              </w:rPr>
              <w:t xml:space="preserve"> (1</w:t>
            </w:r>
            <w:r w:rsidR="00BC25DF" w:rsidRPr="00837BF1">
              <w:rPr>
                <w:rFonts w:ascii="Arial" w:hAnsi="Arial" w:cs="Arial"/>
              </w:rPr>
              <w:t>.1</w:t>
            </w:r>
            <w:r w:rsidRPr="00837BF1">
              <w:rPr>
                <w:rFonts w:ascii="Arial" w:hAnsi="Arial" w:cs="Arial"/>
              </w:rPr>
              <w:t>, 1</w:t>
            </w:r>
            <w:r w:rsidR="00BC25DF" w:rsidRPr="00837BF1">
              <w:rPr>
                <w:rFonts w:ascii="Arial" w:hAnsi="Arial" w:cs="Arial"/>
              </w:rPr>
              <w:t>.8</w:t>
            </w:r>
            <w:r w:rsidRPr="00837BF1">
              <w:rPr>
                <w:rFonts w:ascii="Arial" w:hAnsi="Arial" w:cs="Arial"/>
              </w:rPr>
              <w:t>)</w:t>
            </w:r>
          </w:p>
          <w:p w14:paraId="3CA15684" w14:textId="77777777" w:rsidR="001F1E9C" w:rsidRPr="00837BF1" w:rsidRDefault="001F1E9C" w:rsidP="008A6219">
            <w:pPr>
              <w:jc w:val="center"/>
              <w:rPr>
                <w:rFonts w:ascii="Arial" w:hAnsi="Arial" w:cs="Arial"/>
              </w:rPr>
            </w:pPr>
            <w:r w:rsidRPr="00837BF1">
              <w:rPr>
                <w:rFonts w:ascii="Arial" w:hAnsi="Arial" w:cs="Arial"/>
              </w:rPr>
              <w:t>4.1 (3.6, 4.7)</w:t>
            </w:r>
          </w:p>
          <w:p w14:paraId="7431A98F" w14:textId="77777777" w:rsidR="001F1E9C" w:rsidRPr="00837BF1" w:rsidRDefault="001F1E9C" w:rsidP="008A6219">
            <w:pPr>
              <w:jc w:val="center"/>
              <w:rPr>
                <w:rFonts w:ascii="Arial" w:hAnsi="Arial" w:cs="Arial"/>
              </w:rPr>
            </w:pPr>
            <w:r w:rsidRPr="00837BF1">
              <w:rPr>
                <w:rFonts w:ascii="Arial" w:hAnsi="Arial" w:cs="Arial"/>
              </w:rPr>
              <w:t>1.9 (1.5, 2.4)</w:t>
            </w:r>
          </w:p>
          <w:p w14:paraId="1D7C845C" w14:textId="77777777" w:rsidR="001F1E9C" w:rsidRPr="00837BF1" w:rsidRDefault="001F1E9C" w:rsidP="008A6219">
            <w:pPr>
              <w:jc w:val="center"/>
              <w:rPr>
                <w:rFonts w:ascii="Arial" w:hAnsi="Arial" w:cs="Arial"/>
              </w:rPr>
            </w:pPr>
            <w:r w:rsidRPr="00837BF1">
              <w:rPr>
                <w:rFonts w:ascii="Arial" w:hAnsi="Arial" w:cs="Arial"/>
              </w:rPr>
              <w:t>0.4 (0.3, 0.7)</w:t>
            </w:r>
          </w:p>
          <w:p w14:paraId="11F380BE" w14:textId="77777777" w:rsidR="001F1E9C" w:rsidRPr="00837BF1" w:rsidRDefault="001F1E9C" w:rsidP="008A6219">
            <w:pPr>
              <w:jc w:val="center"/>
              <w:rPr>
                <w:rFonts w:ascii="Arial" w:hAnsi="Arial" w:cs="Arial"/>
              </w:rPr>
            </w:pPr>
          </w:p>
          <w:p w14:paraId="4413C6F7" w14:textId="77777777" w:rsidR="001F1E9C" w:rsidRPr="00837BF1" w:rsidRDefault="001F1E9C" w:rsidP="008A6219">
            <w:pPr>
              <w:jc w:val="center"/>
              <w:rPr>
                <w:rFonts w:ascii="Arial" w:hAnsi="Arial" w:cs="Arial"/>
              </w:rPr>
            </w:pPr>
            <w:r w:rsidRPr="00837BF1">
              <w:rPr>
                <w:rFonts w:ascii="Arial" w:hAnsi="Arial" w:cs="Arial"/>
              </w:rPr>
              <w:t>6.4 (5.6, 7.2)</w:t>
            </w:r>
          </w:p>
          <w:p w14:paraId="4A49E6FD" w14:textId="77777777" w:rsidR="001F1E9C" w:rsidRPr="00837BF1" w:rsidRDefault="001F1E9C" w:rsidP="008A6219">
            <w:pPr>
              <w:jc w:val="center"/>
              <w:rPr>
                <w:rFonts w:ascii="Arial" w:hAnsi="Arial" w:cs="Arial"/>
              </w:rPr>
            </w:pPr>
            <w:r w:rsidRPr="00837BF1">
              <w:rPr>
                <w:rFonts w:ascii="Arial" w:hAnsi="Arial" w:cs="Arial"/>
              </w:rPr>
              <w:t>19.8 (18.5, 21.2)</w:t>
            </w:r>
          </w:p>
          <w:p w14:paraId="14AC0133" w14:textId="77777777" w:rsidR="001F1E9C" w:rsidRPr="00837BF1" w:rsidRDefault="001F1E9C" w:rsidP="008A6219">
            <w:pPr>
              <w:jc w:val="center"/>
              <w:rPr>
                <w:rFonts w:ascii="Arial" w:hAnsi="Arial" w:cs="Arial"/>
              </w:rPr>
            </w:pPr>
            <w:r w:rsidRPr="00837BF1">
              <w:rPr>
                <w:rFonts w:ascii="Arial" w:hAnsi="Arial" w:cs="Arial"/>
              </w:rPr>
              <w:t>22.7 (21.4, 24.1)</w:t>
            </w:r>
          </w:p>
          <w:p w14:paraId="7A5A838A" w14:textId="77777777" w:rsidR="001F1E9C" w:rsidRPr="00837BF1" w:rsidRDefault="001F1E9C" w:rsidP="008A6219">
            <w:pPr>
              <w:jc w:val="center"/>
              <w:rPr>
                <w:rFonts w:ascii="Arial" w:hAnsi="Arial" w:cs="Arial"/>
              </w:rPr>
            </w:pPr>
            <w:r w:rsidRPr="00837BF1">
              <w:rPr>
                <w:rFonts w:ascii="Arial" w:hAnsi="Arial" w:cs="Arial"/>
              </w:rPr>
              <w:t>25.9 (24.5, 27.3)</w:t>
            </w:r>
          </w:p>
          <w:p w14:paraId="7B360584" w14:textId="77777777" w:rsidR="001F1E9C" w:rsidRPr="00837BF1" w:rsidRDefault="001F1E9C" w:rsidP="008A6219">
            <w:pPr>
              <w:jc w:val="center"/>
              <w:rPr>
                <w:rFonts w:ascii="Arial" w:hAnsi="Arial" w:cs="Arial"/>
              </w:rPr>
            </w:pPr>
            <w:r w:rsidRPr="00837BF1">
              <w:rPr>
                <w:rFonts w:ascii="Arial" w:hAnsi="Arial" w:cs="Arial"/>
              </w:rPr>
              <w:t>25.3 (24.0, 26.7)</w:t>
            </w:r>
          </w:p>
          <w:p w14:paraId="0A7BABEE" w14:textId="4B5135D6" w:rsidR="001F1E9C" w:rsidRPr="00837BF1" w:rsidRDefault="001F1E9C" w:rsidP="008A6219">
            <w:pPr>
              <w:jc w:val="center"/>
              <w:rPr>
                <w:rFonts w:ascii="Arial" w:hAnsi="Arial" w:cs="Arial"/>
              </w:rPr>
            </w:pPr>
          </w:p>
          <w:p w14:paraId="058B2B89" w14:textId="644B788D" w:rsidR="001F1E9C" w:rsidRPr="00837BF1" w:rsidRDefault="001F1E9C" w:rsidP="008A6219">
            <w:pPr>
              <w:jc w:val="center"/>
              <w:rPr>
                <w:rFonts w:ascii="Arial" w:hAnsi="Arial" w:cs="Arial"/>
              </w:rPr>
            </w:pPr>
            <w:r w:rsidRPr="00837BF1">
              <w:rPr>
                <w:rFonts w:ascii="Arial" w:hAnsi="Arial" w:cs="Arial"/>
              </w:rPr>
              <w:t>77.2 (75.8, 78.5)</w:t>
            </w:r>
          </w:p>
          <w:p w14:paraId="3E5C9BC1" w14:textId="07801F6B" w:rsidR="001F1E9C" w:rsidRPr="00837BF1" w:rsidRDefault="001F1E9C" w:rsidP="008A6219">
            <w:pPr>
              <w:jc w:val="center"/>
              <w:rPr>
                <w:rFonts w:ascii="Arial" w:hAnsi="Arial" w:cs="Arial"/>
              </w:rPr>
            </w:pPr>
            <w:r w:rsidRPr="00837BF1">
              <w:rPr>
                <w:rFonts w:ascii="Arial" w:hAnsi="Arial" w:cs="Arial"/>
              </w:rPr>
              <w:t>17.7 (16.5, 18.9)</w:t>
            </w:r>
          </w:p>
          <w:p w14:paraId="5941ED70" w14:textId="4DF52C99" w:rsidR="001F1E9C" w:rsidRPr="00837BF1" w:rsidRDefault="001F1E9C" w:rsidP="008A6219">
            <w:pPr>
              <w:jc w:val="center"/>
              <w:rPr>
                <w:rFonts w:ascii="Arial" w:hAnsi="Arial" w:cs="Arial"/>
              </w:rPr>
            </w:pPr>
            <w:r w:rsidRPr="00837BF1">
              <w:rPr>
                <w:rFonts w:ascii="Arial" w:hAnsi="Arial" w:cs="Arial"/>
              </w:rPr>
              <w:t>5.2 (4.5, 5.9)</w:t>
            </w:r>
          </w:p>
          <w:p w14:paraId="51BCD721" w14:textId="5495ECE5" w:rsidR="001F1E9C" w:rsidRPr="00837BF1" w:rsidRDefault="001F1E9C" w:rsidP="008A6219">
            <w:pPr>
              <w:jc w:val="center"/>
              <w:rPr>
                <w:rFonts w:ascii="Arial" w:hAnsi="Arial" w:cs="Arial"/>
              </w:rPr>
            </w:pPr>
          </w:p>
          <w:p w14:paraId="16ADFA37" w14:textId="7B5560A7" w:rsidR="001F1E9C" w:rsidRPr="00837BF1" w:rsidRDefault="001F1E9C" w:rsidP="008A6219">
            <w:pPr>
              <w:jc w:val="center"/>
              <w:rPr>
                <w:rFonts w:ascii="Arial" w:hAnsi="Arial" w:cs="Arial"/>
              </w:rPr>
            </w:pPr>
            <w:r w:rsidRPr="00837BF1">
              <w:rPr>
                <w:rFonts w:ascii="Arial" w:hAnsi="Arial" w:cs="Arial"/>
              </w:rPr>
              <w:t>57.8 (56.3, 59.2)</w:t>
            </w:r>
          </w:p>
          <w:p w14:paraId="1569D7D0" w14:textId="6BDDA98B" w:rsidR="001F1E9C" w:rsidRPr="00837BF1" w:rsidRDefault="001F1E9C" w:rsidP="008A6219">
            <w:pPr>
              <w:jc w:val="center"/>
              <w:rPr>
                <w:rFonts w:ascii="Arial" w:hAnsi="Arial" w:cs="Arial"/>
              </w:rPr>
            </w:pPr>
            <w:r w:rsidRPr="00837BF1">
              <w:rPr>
                <w:rFonts w:ascii="Arial" w:hAnsi="Arial" w:cs="Arial"/>
              </w:rPr>
              <w:t>42.2 (40.8, 43.7)</w:t>
            </w:r>
          </w:p>
          <w:p w14:paraId="31BE18BB" w14:textId="64C792AD" w:rsidR="001F1E9C" w:rsidRPr="00837BF1" w:rsidRDefault="001F1E9C" w:rsidP="008A6219">
            <w:pPr>
              <w:jc w:val="center"/>
              <w:rPr>
                <w:rFonts w:ascii="Arial" w:hAnsi="Arial" w:cs="Arial"/>
              </w:rPr>
            </w:pPr>
          </w:p>
          <w:p w14:paraId="5752E165" w14:textId="309793A5" w:rsidR="001F1E9C" w:rsidRPr="00837BF1" w:rsidRDefault="001F1E9C" w:rsidP="008A6219">
            <w:pPr>
              <w:jc w:val="center"/>
              <w:rPr>
                <w:rFonts w:ascii="Arial" w:hAnsi="Arial" w:cs="Arial"/>
              </w:rPr>
            </w:pPr>
            <w:r w:rsidRPr="00837BF1">
              <w:rPr>
                <w:rFonts w:ascii="Arial" w:hAnsi="Arial" w:cs="Arial"/>
              </w:rPr>
              <w:t>95.6 (94.9, 96.1)</w:t>
            </w:r>
          </w:p>
          <w:p w14:paraId="4207E474" w14:textId="3A91DAF2" w:rsidR="001F1E9C" w:rsidRPr="00837BF1" w:rsidRDefault="001F1E9C" w:rsidP="008A6219">
            <w:pPr>
              <w:jc w:val="center"/>
              <w:rPr>
                <w:rFonts w:ascii="Arial" w:hAnsi="Arial" w:cs="Arial"/>
              </w:rPr>
            </w:pPr>
            <w:r w:rsidRPr="00837BF1">
              <w:rPr>
                <w:rFonts w:ascii="Arial" w:hAnsi="Arial" w:cs="Arial"/>
              </w:rPr>
              <w:t>4.4 (3.9, 5.1)</w:t>
            </w:r>
          </w:p>
          <w:p w14:paraId="08894D36" w14:textId="1663CC30" w:rsidR="001F1E9C" w:rsidRPr="00837BF1" w:rsidRDefault="001F1E9C" w:rsidP="008A6219">
            <w:pPr>
              <w:jc w:val="center"/>
              <w:rPr>
                <w:rFonts w:ascii="Arial" w:hAnsi="Arial" w:cs="Arial"/>
              </w:rPr>
            </w:pPr>
          </w:p>
          <w:p w14:paraId="0D9D106D" w14:textId="75E37CA4" w:rsidR="001F1E9C" w:rsidRPr="00837BF1" w:rsidRDefault="001F1E9C" w:rsidP="008A6219">
            <w:pPr>
              <w:jc w:val="center"/>
              <w:rPr>
                <w:rFonts w:ascii="Arial" w:hAnsi="Arial" w:cs="Arial"/>
              </w:rPr>
            </w:pPr>
            <w:r w:rsidRPr="00837BF1">
              <w:rPr>
                <w:rFonts w:ascii="Arial" w:hAnsi="Arial" w:cs="Arial"/>
              </w:rPr>
              <w:t>78.3 (77.0, 79.6)</w:t>
            </w:r>
          </w:p>
          <w:p w14:paraId="3331A0E8" w14:textId="035F2D2C" w:rsidR="001F1E9C" w:rsidRPr="00837BF1" w:rsidRDefault="001F1E9C" w:rsidP="008A6219">
            <w:pPr>
              <w:jc w:val="center"/>
              <w:rPr>
                <w:rFonts w:ascii="Arial" w:hAnsi="Arial" w:cs="Arial"/>
              </w:rPr>
            </w:pPr>
            <w:r w:rsidRPr="00837BF1">
              <w:rPr>
                <w:rFonts w:ascii="Arial" w:hAnsi="Arial" w:cs="Arial"/>
              </w:rPr>
              <w:t>21.7 (20.4, 23.0)</w:t>
            </w:r>
          </w:p>
          <w:p w14:paraId="7554AEB9" w14:textId="4CBFE2D2" w:rsidR="001F1E9C" w:rsidRPr="00837BF1" w:rsidRDefault="001F1E9C" w:rsidP="008A6219">
            <w:pPr>
              <w:jc w:val="center"/>
              <w:rPr>
                <w:rFonts w:ascii="Arial" w:hAnsi="Arial" w:cs="Arial"/>
              </w:rPr>
            </w:pPr>
          </w:p>
          <w:p w14:paraId="786D769D" w14:textId="79D43079" w:rsidR="001F1E9C" w:rsidRPr="00837BF1" w:rsidRDefault="001F1E9C" w:rsidP="008A6219">
            <w:pPr>
              <w:jc w:val="center"/>
              <w:rPr>
                <w:rFonts w:ascii="Arial" w:hAnsi="Arial" w:cs="Arial"/>
              </w:rPr>
            </w:pPr>
            <w:r w:rsidRPr="00837BF1">
              <w:rPr>
                <w:rFonts w:ascii="Arial" w:hAnsi="Arial" w:cs="Arial"/>
              </w:rPr>
              <w:t>97.5 (96.9, 97.9)</w:t>
            </w:r>
          </w:p>
          <w:p w14:paraId="5C549142" w14:textId="51B2F136" w:rsidR="001F1E9C" w:rsidRPr="00837BF1" w:rsidRDefault="001F1E9C" w:rsidP="008A6219">
            <w:pPr>
              <w:jc w:val="center"/>
              <w:rPr>
                <w:rFonts w:ascii="Arial" w:hAnsi="Arial" w:cs="Arial"/>
              </w:rPr>
            </w:pPr>
            <w:r w:rsidRPr="00837BF1">
              <w:rPr>
                <w:rFonts w:ascii="Arial" w:hAnsi="Arial" w:cs="Arial"/>
              </w:rPr>
              <w:t>2.6 (2.1, 3.1)</w:t>
            </w:r>
          </w:p>
          <w:p w14:paraId="58DC7A69" w14:textId="1D50E729" w:rsidR="001F1E9C" w:rsidRPr="00837BF1" w:rsidRDefault="001F1E9C" w:rsidP="008A6219">
            <w:pPr>
              <w:jc w:val="center"/>
              <w:rPr>
                <w:rFonts w:ascii="Arial" w:hAnsi="Arial" w:cs="Arial"/>
              </w:rPr>
            </w:pPr>
          </w:p>
          <w:p w14:paraId="43C0E1A4" w14:textId="2C894D71" w:rsidR="001F1E9C" w:rsidRPr="00837BF1" w:rsidRDefault="001F1E9C" w:rsidP="008A6219">
            <w:pPr>
              <w:jc w:val="center"/>
              <w:rPr>
                <w:rFonts w:ascii="Arial" w:hAnsi="Arial" w:cs="Arial"/>
              </w:rPr>
            </w:pPr>
            <w:r w:rsidRPr="00837BF1">
              <w:rPr>
                <w:rFonts w:ascii="Arial" w:hAnsi="Arial" w:cs="Arial"/>
              </w:rPr>
              <w:t>99.2 (98.8, 99.4)</w:t>
            </w:r>
          </w:p>
          <w:p w14:paraId="2A6CB6A7" w14:textId="48117A5D" w:rsidR="001F1E9C" w:rsidRPr="00837BF1" w:rsidRDefault="001F1E9C" w:rsidP="008A6219">
            <w:pPr>
              <w:jc w:val="center"/>
              <w:rPr>
                <w:rFonts w:ascii="Arial" w:hAnsi="Arial" w:cs="Arial"/>
              </w:rPr>
            </w:pPr>
            <w:r w:rsidRPr="00837BF1">
              <w:rPr>
                <w:rFonts w:ascii="Arial" w:hAnsi="Arial" w:cs="Arial"/>
              </w:rPr>
              <w:t>0.9 (0.6, 1.2)</w:t>
            </w:r>
          </w:p>
          <w:p w14:paraId="619026B6" w14:textId="722A07A7" w:rsidR="001F1E9C" w:rsidRPr="00837BF1" w:rsidRDefault="001F1E9C" w:rsidP="008A6219">
            <w:pPr>
              <w:jc w:val="center"/>
              <w:rPr>
                <w:rFonts w:ascii="Arial" w:hAnsi="Arial" w:cs="Arial"/>
              </w:rPr>
            </w:pPr>
          </w:p>
          <w:p w14:paraId="5B179ECE" w14:textId="7FB45AB8" w:rsidR="001F1E9C" w:rsidRPr="00837BF1" w:rsidRDefault="001F1E9C" w:rsidP="008A6219">
            <w:pPr>
              <w:jc w:val="center"/>
              <w:rPr>
                <w:rFonts w:ascii="Arial" w:hAnsi="Arial" w:cs="Arial"/>
              </w:rPr>
            </w:pPr>
            <w:r w:rsidRPr="00837BF1">
              <w:rPr>
                <w:rFonts w:ascii="Arial" w:hAnsi="Arial" w:cs="Arial"/>
              </w:rPr>
              <w:t>97.5 (97.0, 97.9)</w:t>
            </w:r>
          </w:p>
          <w:p w14:paraId="45094618" w14:textId="06BB7F10" w:rsidR="001F1E9C" w:rsidRPr="00837BF1" w:rsidRDefault="001F1E9C" w:rsidP="008A6219">
            <w:pPr>
              <w:jc w:val="center"/>
              <w:rPr>
                <w:rFonts w:ascii="Arial" w:hAnsi="Arial" w:cs="Arial"/>
              </w:rPr>
            </w:pPr>
            <w:r w:rsidRPr="00837BF1">
              <w:rPr>
                <w:rFonts w:ascii="Arial" w:hAnsi="Arial" w:cs="Arial"/>
              </w:rPr>
              <w:t>2.5 (2.1, 3.0)</w:t>
            </w:r>
          </w:p>
          <w:p w14:paraId="62064461" w14:textId="257A2697" w:rsidR="001F1E9C" w:rsidRPr="00837BF1" w:rsidRDefault="001F1E9C" w:rsidP="008A6219">
            <w:pPr>
              <w:jc w:val="center"/>
              <w:rPr>
                <w:rFonts w:ascii="Arial" w:hAnsi="Arial" w:cs="Arial"/>
              </w:rPr>
            </w:pPr>
          </w:p>
          <w:p w14:paraId="5A27312A" w14:textId="10577817" w:rsidR="001F1E9C" w:rsidRPr="00837BF1" w:rsidRDefault="001F1E9C" w:rsidP="008A6219">
            <w:pPr>
              <w:jc w:val="center"/>
              <w:rPr>
                <w:rFonts w:ascii="Arial" w:hAnsi="Arial" w:cs="Arial"/>
              </w:rPr>
            </w:pPr>
            <w:r w:rsidRPr="00837BF1">
              <w:rPr>
                <w:rFonts w:ascii="Arial" w:hAnsi="Arial" w:cs="Arial"/>
              </w:rPr>
              <w:lastRenderedPageBreak/>
              <w:t>87.8 (86.8, 88.8)</w:t>
            </w:r>
          </w:p>
          <w:p w14:paraId="4919D574" w14:textId="0B455910" w:rsidR="001F1E9C" w:rsidRPr="00837BF1" w:rsidRDefault="001F1E9C" w:rsidP="00B22C35">
            <w:pPr>
              <w:jc w:val="center"/>
              <w:rPr>
                <w:rFonts w:ascii="Arial" w:hAnsi="Arial" w:cs="Arial"/>
              </w:rPr>
            </w:pPr>
            <w:r w:rsidRPr="00837BF1">
              <w:rPr>
                <w:rFonts w:ascii="Arial" w:hAnsi="Arial" w:cs="Arial"/>
              </w:rPr>
              <w:t>12.2 (11.24, 13.2)</w:t>
            </w:r>
          </w:p>
        </w:tc>
        <w:tc>
          <w:tcPr>
            <w:tcW w:w="1843" w:type="dxa"/>
          </w:tcPr>
          <w:p w14:paraId="7F1E90EA" w14:textId="77777777" w:rsidR="001F1E9C" w:rsidRPr="00837BF1" w:rsidRDefault="001F1E9C" w:rsidP="00520D32">
            <w:pPr>
              <w:jc w:val="center"/>
              <w:rPr>
                <w:rFonts w:ascii="Arial" w:hAnsi="Arial" w:cs="Arial"/>
              </w:rPr>
            </w:pPr>
          </w:p>
          <w:p w14:paraId="29C0D5D9" w14:textId="7A242FE3" w:rsidR="001F1E9C" w:rsidRPr="00837BF1" w:rsidRDefault="001F1E9C" w:rsidP="00520D32">
            <w:pPr>
              <w:jc w:val="center"/>
              <w:rPr>
                <w:rFonts w:ascii="Arial" w:hAnsi="Arial" w:cs="Arial"/>
              </w:rPr>
            </w:pPr>
            <w:r w:rsidRPr="00837BF1">
              <w:rPr>
                <w:rFonts w:ascii="Arial" w:hAnsi="Arial" w:cs="Arial"/>
              </w:rPr>
              <w:t>27.8</w:t>
            </w:r>
            <w:r w:rsidR="00D2089B" w:rsidRPr="00837BF1">
              <w:rPr>
                <w:rFonts w:ascii="Arial" w:hAnsi="Arial" w:cs="Arial"/>
              </w:rPr>
              <w:t xml:space="preserve"> (23.3, 32.9)</w:t>
            </w:r>
          </w:p>
          <w:p w14:paraId="44DA2700" w14:textId="029715F2" w:rsidR="001F1E9C" w:rsidRPr="00837BF1" w:rsidRDefault="001F1E9C" w:rsidP="00520D32">
            <w:pPr>
              <w:jc w:val="center"/>
              <w:rPr>
                <w:rFonts w:ascii="Arial" w:hAnsi="Arial" w:cs="Arial"/>
              </w:rPr>
            </w:pPr>
            <w:r w:rsidRPr="00837BF1">
              <w:rPr>
                <w:rFonts w:ascii="Arial" w:hAnsi="Arial" w:cs="Arial"/>
              </w:rPr>
              <w:t>21.8</w:t>
            </w:r>
            <w:r w:rsidR="00D2089B" w:rsidRPr="00837BF1">
              <w:rPr>
                <w:rFonts w:ascii="Arial" w:hAnsi="Arial" w:cs="Arial"/>
              </w:rPr>
              <w:t xml:space="preserve"> (18.8, 25.1)</w:t>
            </w:r>
          </w:p>
          <w:p w14:paraId="0607FD2B" w14:textId="2184ED3D" w:rsidR="001F1E9C" w:rsidRPr="00837BF1" w:rsidRDefault="001F1E9C" w:rsidP="00520D32">
            <w:pPr>
              <w:jc w:val="center"/>
              <w:rPr>
                <w:rFonts w:ascii="Arial" w:hAnsi="Arial" w:cs="Arial"/>
              </w:rPr>
            </w:pPr>
            <w:r w:rsidRPr="00837BF1">
              <w:rPr>
                <w:rFonts w:ascii="Arial" w:hAnsi="Arial" w:cs="Arial"/>
              </w:rPr>
              <w:t>19.1</w:t>
            </w:r>
            <w:r w:rsidR="007A0E75" w:rsidRPr="00837BF1">
              <w:rPr>
                <w:rFonts w:ascii="Arial" w:hAnsi="Arial" w:cs="Arial"/>
              </w:rPr>
              <w:t xml:space="preserve"> (16.7, 21.6)</w:t>
            </w:r>
          </w:p>
          <w:p w14:paraId="69C9A33C" w14:textId="3AB4771B" w:rsidR="001F1E9C" w:rsidRPr="00837BF1" w:rsidRDefault="001F1E9C" w:rsidP="00520D32">
            <w:pPr>
              <w:jc w:val="center"/>
              <w:rPr>
                <w:rFonts w:ascii="Arial" w:hAnsi="Arial" w:cs="Arial"/>
              </w:rPr>
            </w:pPr>
            <w:r w:rsidRPr="00837BF1">
              <w:rPr>
                <w:rFonts w:ascii="Arial" w:hAnsi="Arial" w:cs="Arial"/>
              </w:rPr>
              <w:t>18.2</w:t>
            </w:r>
            <w:r w:rsidR="007A0E75" w:rsidRPr="00837BF1">
              <w:rPr>
                <w:rFonts w:ascii="Arial" w:hAnsi="Arial" w:cs="Arial"/>
              </w:rPr>
              <w:t xml:space="preserve"> (16.2, 20.4)</w:t>
            </w:r>
          </w:p>
          <w:p w14:paraId="7544B280" w14:textId="53F0DECD" w:rsidR="001F1E9C" w:rsidRPr="00837BF1" w:rsidRDefault="001F1E9C" w:rsidP="00520D32">
            <w:pPr>
              <w:jc w:val="center"/>
              <w:rPr>
                <w:rFonts w:ascii="Arial" w:hAnsi="Arial" w:cs="Arial"/>
              </w:rPr>
            </w:pPr>
            <w:r w:rsidRPr="00837BF1">
              <w:rPr>
                <w:rFonts w:ascii="Arial" w:hAnsi="Arial" w:cs="Arial"/>
              </w:rPr>
              <w:t>18.1</w:t>
            </w:r>
            <w:r w:rsidR="007A0E75" w:rsidRPr="00837BF1">
              <w:rPr>
                <w:rFonts w:ascii="Arial" w:hAnsi="Arial" w:cs="Arial"/>
              </w:rPr>
              <w:t xml:space="preserve"> (16.0, 20.4)</w:t>
            </w:r>
          </w:p>
          <w:p w14:paraId="60AD8599" w14:textId="7BEB37D0" w:rsidR="001F1E9C" w:rsidRPr="00837BF1" w:rsidRDefault="001F1E9C" w:rsidP="00520D32">
            <w:pPr>
              <w:jc w:val="center"/>
              <w:rPr>
                <w:rFonts w:ascii="Arial" w:hAnsi="Arial" w:cs="Arial"/>
              </w:rPr>
            </w:pPr>
          </w:p>
          <w:p w14:paraId="09C922B9" w14:textId="0AC8F296" w:rsidR="001F1E9C" w:rsidRPr="00837BF1" w:rsidRDefault="001F1E9C" w:rsidP="00520D32">
            <w:pPr>
              <w:jc w:val="center"/>
              <w:rPr>
                <w:rFonts w:ascii="Arial" w:hAnsi="Arial" w:cs="Arial"/>
              </w:rPr>
            </w:pPr>
            <w:r w:rsidRPr="00837BF1">
              <w:rPr>
                <w:rFonts w:ascii="Arial" w:hAnsi="Arial" w:cs="Arial"/>
              </w:rPr>
              <w:t>15.8</w:t>
            </w:r>
            <w:r w:rsidR="007A0E75" w:rsidRPr="00837BF1">
              <w:rPr>
                <w:rFonts w:ascii="Arial" w:hAnsi="Arial" w:cs="Arial"/>
              </w:rPr>
              <w:t xml:space="preserve"> (14.1, 17.6)</w:t>
            </w:r>
          </w:p>
          <w:p w14:paraId="35D0CBF4" w14:textId="2769D6C3" w:rsidR="001F1E9C" w:rsidRPr="00837BF1" w:rsidRDefault="001F1E9C" w:rsidP="00520D32">
            <w:pPr>
              <w:jc w:val="center"/>
              <w:rPr>
                <w:rFonts w:ascii="Arial" w:hAnsi="Arial" w:cs="Arial"/>
              </w:rPr>
            </w:pPr>
            <w:r w:rsidRPr="00837BF1">
              <w:rPr>
                <w:rFonts w:ascii="Arial" w:hAnsi="Arial" w:cs="Arial"/>
              </w:rPr>
              <w:t>23.9</w:t>
            </w:r>
            <w:r w:rsidR="007A0E75" w:rsidRPr="00837BF1">
              <w:rPr>
                <w:rFonts w:ascii="Arial" w:hAnsi="Arial" w:cs="Arial"/>
              </w:rPr>
              <w:t xml:space="preserve"> (22.2, 25.6)</w:t>
            </w:r>
          </w:p>
          <w:p w14:paraId="20CD30C1" w14:textId="7AD42970" w:rsidR="001F1E9C" w:rsidRPr="00837BF1" w:rsidRDefault="001F1E9C" w:rsidP="00520D32">
            <w:pPr>
              <w:jc w:val="center"/>
              <w:rPr>
                <w:rFonts w:ascii="Arial" w:hAnsi="Arial" w:cs="Arial"/>
              </w:rPr>
            </w:pPr>
          </w:p>
          <w:p w14:paraId="384698E9" w14:textId="337C6720" w:rsidR="001F1E9C" w:rsidRPr="00837BF1" w:rsidRDefault="001F1E9C" w:rsidP="00520D32">
            <w:pPr>
              <w:jc w:val="center"/>
              <w:rPr>
                <w:rFonts w:ascii="Arial" w:hAnsi="Arial" w:cs="Arial"/>
              </w:rPr>
            </w:pPr>
            <w:r w:rsidRPr="00837BF1">
              <w:rPr>
                <w:rFonts w:ascii="Arial" w:hAnsi="Arial" w:cs="Arial"/>
              </w:rPr>
              <w:t>25.7</w:t>
            </w:r>
            <w:r w:rsidR="007A0E75" w:rsidRPr="00837BF1">
              <w:rPr>
                <w:rFonts w:ascii="Arial" w:hAnsi="Arial" w:cs="Arial"/>
              </w:rPr>
              <w:t xml:space="preserve"> (</w:t>
            </w:r>
            <w:r w:rsidR="004000EF" w:rsidRPr="00837BF1">
              <w:rPr>
                <w:rFonts w:ascii="Arial" w:hAnsi="Arial" w:cs="Arial"/>
              </w:rPr>
              <w:t>23.2, 28.3)</w:t>
            </w:r>
          </w:p>
          <w:p w14:paraId="492B5B2B" w14:textId="2D588226" w:rsidR="001F1E9C" w:rsidRPr="00837BF1" w:rsidRDefault="001F1E9C" w:rsidP="00520D32">
            <w:pPr>
              <w:jc w:val="center"/>
              <w:rPr>
                <w:rFonts w:ascii="Arial" w:hAnsi="Arial" w:cs="Arial"/>
              </w:rPr>
            </w:pPr>
            <w:r w:rsidRPr="00837BF1">
              <w:rPr>
                <w:rFonts w:ascii="Arial" w:hAnsi="Arial" w:cs="Arial"/>
              </w:rPr>
              <w:t>17.5</w:t>
            </w:r>
            <w:r w:rsidR="004000EF" w:rsidRPr="00837BF1">
              <w:rPr>
                <w:rFonts w:ascii="Arial" w:hAnsi="Arial" w:cs="Arial"/>
              </w:rPr>
              <w:t xml:space="preserve"> (16.2, 18.9)</w:t>
            </w:r>
          </w:p>
          <w:p w14:paraId="271855DA" w14:textId="6BA25F70" w:rsidR="001F1E9C" w:rsidRPr="00837BF1" w:rsidRDefault="001F1E9C" w:rsidP="00520D32">
            <w:pPr>
              <w:jc w:val="center"/>
              <w:rPr>
                <w:rFonts w:ascii="Arial" w:hAnsi="Arial" w:cs="Arial"/>
              </w:rPr>
            </w:pPr>
          </w:p>
          <w:p w14:paraId="4F344452" w14:textId="55222708" w:rsidR="001F1E9C" w:rsidRPr="00837BF1" w:rsidRDefault="001F1E9C" w:rsidP="00520D32">
            <w:pPr>
              <w:jc w:val="center"/>
              <w:rPr>
                <w:rFonts w:ascii="Arial" w:hAnsi="Arial" w:cs="Arial"/>
              </w:rPr>
            </w:pPr>
            <w:r w:rsidRPr="00837BF1">
              <w:rPr>
                <w:rFonts w:ascii="Arial" w:hAnsi="Arial" w:cs="Arial"/>
              </w:rPr>
              <w:t>20.4</w:t>
            </w:r>
            <w:r w:rsidR="004000EF" w:rsidRPr="00837BF1">
              <w:rPr>
                <w:rFonts w:ascii="Arial" w:hAnsi="Arial" w:cs="Arial"/>
              </w:rPr>
              <w:t xml:space="preserve"> (19.1, 21.7)</w:t>
            </w:r>
          </w:p>
          <w:p w14:paraId="57C42ACF" w14:textId="58F98F5A" w:rsidR="001F1E9C" w:rsidRPr="00837BF1" w:rsidRDefault="001F1E9C" w:rsidP="00520D32">
            <w:pPr>
              <w:jc w:val="center"/>
              <w:rPr>
                <w:rFonts w:ascii="Arial" w:hAnsi="Arial" w:cs="Arial"/>
              </w:rPr>
            </w:pPr>
            <w:r w:rsidRPr="00837BF1">
              <w:rPr>
                <w:rFonts w:ascii="Arial" w:hAnsi="Arial" w:cs="Arial"/>
              </w:rPr>
              <w:t>14.9</w:t>
            </w:r>
            <w:r w:rsidR="004000EF" w:rsidRPr="00837BF1">
              <w:rPr>
                <w:rFonts w:ascii="Arial" w:hAnsi="Arial" w:cs="Arial"/>
              </w:rPr>
              <w:t xml:space="preserve"> (</w:t>
            </w:r>
            <w:r w:rsidR="00FA7209" w:rsidRPr="00837BF1">
              <w:rPr>
                <w:rFonts w:ascii="Arial" w:hAnsi="Arial" w:cs="Arial"/>
              </w:rPr>
              <w:t>10.5, 20.6)</w:t>
            </w:r>
          </w:p>
          <w:p w14:paraId="2750A870" w14:textId="6FA3233A" w:rsidR="001F1E9C" w:rsidRPr="00837BF1" w:rsidRDefault="001F1E9C" w:rsidP="00520D32">
            <w:pPr>
              <w:jc w:val="center"/>
              <w:rPr>
                <w:rFonts w:ascii="Arial" w:hAnsi="Arial" w:cs="Arial"/>
              </w:rPr>
            </w:pPr>
            <w:r w:rsidRPr="00837BF1">
              <w:rPr>
                <w:rFonts w:ascii="Arial" w:hAnsi="Arial" w:cs="Arial"/>
              </w:rPr>
              <w:t>26.9</w:t>
            </w:r>
            <w:r w:rsidR="00FA7209" w:rsidRPr="00837BF1">
              <w:rPr>
                <w:rFonts w:ascii="Arial" w:hAnsi="Arial" w:cs="Arial"/>
              </w:rPr>
              <w:t xml:space="preserve"> (17.6, 38.7)</w:t>
            </w:r>
          </w:p>
          <w:p w14:paraId="0988CD7D" w14:textId="6D214147" w:rsidR="001F1E9C" w:rsidRPr="00837BF1" w:rsidRDefault="001F1E9C" w:rsidP="00520D32">
            <w:pPr>
              <w:jc w:val="center"/>
              <w:rPr>
                <w:rFonts w:ascii="Arial" w:hAnsi="Arial" w:cs="Arial"/>
              </w:rPr>
            </w:pPr>
            <w:r w:rsidRPr="00837BF1">
              <w:rPr>
                <w:rFonts w:ascii="Arial" w:hAnsi="Arial" w:cs="Arial"/>
              </w:rPr>
              <w:t>19.9</w:t>
            </w:r>
            <w:r w:rsidR="00FA7209" w:rsidRPr="00837BF1">
              <w:rPr>
                <w:rFonts w:ascii="Arial" w:hAnsi="Arial" w:cs="Arial"/>
              </w:rPr>
              <w:t xml:space="preserve"> (15.0, 25.9)</w:t>
            </w:r>
          </w:p>
          <w:p w14:paraId="30F6CDE1" w14:textId="3744A82A" w:rsidR="001F1E9C" w:rsidRPr="00837BF1" w:rsidRDefault="001F1E9C" w:rsidP="00520D32">
            <w:pPr>
              <w:jc w:val="center"/>
              <w:rPr>
                <w:rFonts w:ascii="Arial" w:hAnsi="Arial" w:cs="Arial"/>
              </w:rPr>
            </w:pPr>
            <w:r w:rsidRPr="00837BF1">
              <w:rPr>
                <w:rFonts w:ascii="Arial" w:hAnsi="Arial" w:cs="Arial"/>
              </w:rPr>
              <w:t>19.9</w:t>
            </w:r>
            <w:r w:rsidR="00FA7209" w:rsidRPr="00837BF1">
              <w:rPr>
                <w:rFonts w:ascii="Arial" w:hAnsi="Arial" w:cs="Arial"/>
              </w:rPr>
              <w:t xml:space="preserve"> (11.8,</w:t>
            </w:r>
            <w:r w:rsidR="00876C33" w:rsidRPr="00837BF1">
              <w:rPr>
                <w:rFonts w:ascii="Arial" w:hAnsi="Arial" w:cs="Arial"/>
              </w:rPr>
              <w:t xml:space="preserve"> 31.5)</w:t>
            </w:r>
          </w:p>
          <w:p w14:paraId="4EA15B9E" w14:textId="2394FE6B" w:rsidR="001F1E9C" w:rsidRPr="00837BF1" w:rsidRDefault="001F1E9C" w:rsidP="00520D32">
            <w:pPr>
              <w:jc w:val="center"/>
              <w:rPr>
                <w:rFonts w:ascii="Arial" w:hAnsi="Arial" w:cs="Arial"/>
              </w:rPr>
            </w:pPr>
            <w:r w:rsidRPr="00837BF1">
              <w:rPr>
                <w:rFonts w:ascii="Arial" w:hAnsi="Arial" w:cs="Arial"/>
              </w:rPr>
              <w:t>23.1</w:t>
            </w:r>
            <w:r w:rsidR="00876C33" w:rsidRPr="00837BF1">
              <w:rPr>
                <w:rFonts w:ascii="Arial" w:hAnsi="Arial" w:cs="Arial"/>
              </w:rPr>
              <w:t xml:space="preserve"> (7.8, 51.7)</w:t>
            </w:r>
          </w:p>
          <w:p w14:paraId="5CCB47B7" w14:textId="7D8B1F8D" w:rsidR="001F1E9C" w:rsidRPr="00837BF1" w:rsidRDefault="001F1E9C" w:rsidP="00520D32">
            <w:pPr>
              <w:jc w:val="center"/>
              <w:rPr>
                <w:rFonts w:ascii="Arial" w:hAnsi="Arial" w:cs="Arial"/>
              </w:rPr>
            </w:pPr>
          </w:p>
          <w:p w14:paraId="5D466FE3" w14:textId="51C4EDEC" w:rsidR="001F1E9C" w:rsidRPr="00837BF1" w:rsidRDefault="001F1E9C" w:rsidP="00520D32">
            <w:pPr>
              <w:jc w:val="center"/>
              <w:rPr>
                <w:rFonts w:ascii="Arial" w:hAnsi="Arial" w:cs="Arial"/>
              </w:rPr>
            </w:pPr>
            <w:r w:rsidRPr="00837BF1">
              <w:rPr>
                <w:rFonts w:ascii="Arial" w:hAnsi="Arial" w:cs="Arial"/>
              </w:rPr>
              <w:t>32.1</w:t>
            </w:r>
            <w:r w:rsidR="00876C33" w:rsidRPr="00837BF1">
              <w:rPr>
                <w:rFonts w:ascii="Arial" w:hAnsi="Arial" w:cs="Arial"/>
              </w:rPr>
              <w:t xml:space="preserve"> (26.2, 38.8)</w:t>
            </w:r>
          </w:p>
          <w:p w14:paraId="19A50416" w14:textId="665CA425" w:rsidR="001F1E9C" w:rsidRPr="00837BF1" w:rsidRDefault="001F1E9C" w:rsidP="00520D32">
            <w:pPr>
              <w:jc w:val="center"/>
              <w:rPr>
                <w:rFonts w:ascii="Arial" w:hAnsi="Arial" w:cs="Arial"/>
              </w:rPr>
            </w:pPr>
            <w:r w:rsidRPr="00837BF1">
              <w:rPr>
                <w:rFonts w:ascii="Arial" w:hAnsi="Arial" w:cs="Arial"/>
              </w:rPr>
              <w:t>22.5</w:t>
            </w:r>
            <w:r w:rsidR="00876C33" w:rsidRPr="00837BF1">
              <w:rPr>
                <w:rFonts w:ascii="Arial" w:hAnsi="Arial" w:cs="Arial"/>
              </w:rPr>
              <w:t xml:space="preserve"> (19.4, 25.9)</w:t>
            </w:r>
          </w:p>
          <w:p w14:paraId="237A923C" w14:textId="1E0EB624" w:rsidR="001F1E9C" w:rsidRPr="00837BF1" w:rsidRDefault="001F1E9C" w:rsidP="00520D32">
            <w:pPr>
              <w:jc w:val="center"/>
              <w:rPr>
                <w:rFonts w:ascii="Arial" w:hAnsi="Arial" w:cs="Arial"/>
              </w:rPr>
            </w:pPr>
            <w:r w:rsidRPr="00837BF1">
              <w:rPr>
                <w:rFonts w:ascii="Arial" w:hAnsi="Arial" w:cs="Arial"/>
              </w:rPr>
              <w:t>20.6</w:t>
            </w:r>
            <w:r w:rsidR="00876C33" w:rsidRPr="00837BF1">
              <w:rPr>
                <w:rFonts w:ascii="Arial" w:hAnsi="Arial" w:cs="Arial"/>
              </w:rPr>
              <w:t xml:space="preserve"> (</w:t>
            </w:r>
            <w:r w:rsidR="004A2C60" w:rsidRPr="00837BF1">
              <w:rPr>
                <w:rFonts w:ascii="Arial" w:hAnsi="Arial" w:cs="Arial"/>
              </w:rPr>
              <w:t>18.0, 23.4)</w:t>
            </w:r>
          </w:p>
          <w:p w14:paraId="1BDFDA16" w14:textId="6968C472" w:rsidR="001F1E9C" w:rsidRPr="00837BF1" w:rsidRDefault="001F1E9C" w:rsidP="00520D32">
            <w:pPr>
              <w:jc w:val="center"/>
              <w:rPr>
                <w:rFonts w:ascii="Arial" w:hAnsi="Arial" w:cs="Arial"/>
              </w:rPr>
            </w:pPr>
            <w:r w:rsidRPr="00837BF1">
              <w:rPr>
                <w:rFonts w:ascii="Arial" w:hAnsi="Arial" w:cs="Arial"/>
              </w:rPr>
              <w:t>18.4</w:t>
            </w:r>
            <w:r w:rsidR="004A2C60" w:rsidRPr="00837BF1">
              <w:rPr>
                <w:rFonts w:ascii="Arial" w:hAnsi="Arial" w:cs="Arial"/>
              </w:rPr>
              <w:t xml:space="preserve"> </w:t>
            </w:r>
            <w:r w:rsidR="009E76FA" w:rsidRPr="00837BF1">
              <w:rPr>
                <w:rFonts w:ascii="Arial" w:hAnsi="Arial" w:cs="Arial"/>
              </w:rPr>
              <w:t>(16.1, 20.9)</w:t>
            </w:r>
          </w:p>
          <w:p w14:paraId="1BF7DD90" w14:textId="5D3A7C18" w:rsidR="001F1E9C" w:rsidRPr="00837BF1" w:rsidRDefault="001F1E9C" w:rsidP="00520D32">
            <w:pPr>
              <w:jc w:val="center"/>
              <w:rPr>
                <w:rFonts w:ascii="Arial" w:hAnsi="Arial" w:cs="Arial"/>
              </w:rPr>
            </w:pPr>
            <w:r w:rsidRPr="00837BF1">
              <w:rPr>
                <w:rFonts w:ascii="Arial" w:hAnsi="Arial" w:cs="Arial"/>
              </w:rPr>
              <w:t>16.2</w:t>
            </w:r>
            <w:r w:rsidR="009E76FA" w:rsidRPr="00837BF1">
              <w:rPr>
                <w:rFonts w:ascii="Arial" w:hAnsi="Arial" w:cs="Arial"/>
              </w:rPr>
              <w:t xml:space="preserve"> (14.0, 18.7)</w:t>
            </w:r>
          </w:p>
          <w:p w14:paraId="22F9F9A8" w14:textId="6AEB6ED5" w:rsidR="001F1E9C" w:rsidRPr="00837BF1" w:rsidRDefault="001F1E9C" w:rsidP="00520D32">
            <w:pPr>
              <w:jc w:val="center"/>
              <w:rPr>
                <w:rFonts w:ascii="Arial" w:hAnsi="Arial" w:cs="Arial"/>
              </w:rPr>
            </w:pPr>
          </w:p>
          <w:p w14:paraId="6507C22F" w14:textId="15273C64" w:rsidR="001F1E9C" w:rsidRPr="00837BF1" w:rsidRDefault="001F1E9C" w:rsidP="00520D32">
            <w:pPr>
              <w:jc w:val="center"/>
              <w:rPr>
                <w:rFonts w:ascii="Arial" w:hAnsi="Arial" w:cs="Arial"/>
              </w:rPr>
            </w:pPr>
            <w:r w:rsidRPr="00837BF1">
              <w:rPr>
                <w:rFonts w:ascii="Arial" w:hAnsi="Arial" w:cs="Arial"/>
              </w:rPr>
              <w:t>17.9</w:t>
            </w:r>
            <w:r w:rsidR="009E76FA" w:rsidRPr="00837BF1">
              <w:rPr>
                <w:rFonts w:ascii="Arial" w:hAnsi="Arial" w:cs="Arial"/>
              </w:rPr>
              <w:t xml:space="preserve"> (</w:t>
            </w:r>
            <w:r w:rsidR="00576EF6" w:rsidRPr="00837BF1">
              <w:rPr>
                <w:rFonts w:ascii="Arial" w:hAnsi="Arial" w:cs="Arial"/>
              </w:rPr>
              <w:t>16.7, 19.3)</w:t>
            </w:r>
          </w:p>
          <w:p w14:paraId="72F1FF39" w14:textId="79A97581" w:rsidR="001F1E9C" w:rsidRPr="00837BF1" w:rsidRDefault="001F1E9C" w:rsidP="00520D32">
            <w:pPr>
              <w:jc w:val="center"/>
              <w:rPr>
                <w:rFonts w:ascii="Arial" w:hAnsi="Arial" w:cs="Arial"/>
              </w:rPr>
            </w:pPr>
            <w:r w:rsidRPr="00837BF1">
              <w:rPr>
                <w:rFonts w:ascii="Arial" w:hAnsi="Arial" w:cs="Arial"/>
              </w:rPr>
              <w:t>24.4</w:t>
            </w:r>
            <w:r w:rsidR="00576EF6" w:rsidRPr="00837BF1">
              <w:rPr>
                <w:rFonts w:ascii="Arial" w:hAnsi="Arial" w:cs="Arial"/>
              </w:rPr>
              <w:t xml:space="preserve"> (21.3, 27.7)</w:t>
            </w:r>
          </w:p>
          <w:p w14:paraId="72979DBE" w14:textId="7B8F6BF1" w:rsidR="001F1E9C" w:rsidRPr="00837BF1" w:rsidRDefault="001F1E9C" w:rsidP="00520D32">
            <w:pPr>
              <w:jc w:val="center"/>
              <w:rPr>
                <w:rFonts w:ascii="Arial" w:hAnsi="Arial" w:cs="Arial"/>
              </w:rPr>
            </w:pPr>
            <w:r w:rsidRPr="00837BF1">
              <w:rPr>
                <w:rFonts w:ascii="Arial" w:hAnsi="Arial" w:cs="Arial"/>
              </w:rPr>
              <w:t>38.8</w:t>
            </w:r>
            <w:r w:rsidR="00576EF6" w:rsidRPr="00837BF1">
              <w:rPr>
                <w:rFonts w:ascii="Arial" w:hAnsi="Arial" w:cs="Arial"/>
              </w:rPr>
              <w:t xml:space="preserve"> (32.9, 47</w:t>
            </w:r>
            <w:r w:rsidR="000C7E2F" w:rsidRPr="00837BF1">
              <w:rPr>
                <w:rFonts w:ascii="Arial" w:hAnsi="Arial" w:cs="Arial"/>
              </w:rPr>
              <w:t>.1)</w:t>
            </w:r>
          </w:p>
          <w:p w14:paraId="20F2D3DE" w14:textId="1EB6A63F" w:rsidR="001F1E9C" w:rsidRPr="00837BF1" w:rsidRDefault="001F1E9C" w:rsidP="00520D32">
            <w:pPr>
              <w:jc w:val="center"/>
              <w:rPr>
                <w:rFonts w:ascii="Arial" w:hAnsi="Arial" w:cs="Arial"/>
              </w:rPr>
            </w:pPr>
          </w:p>
          <w:p w14:paraId="60147402" w14:textId="6D1CB72C" w:rsidR="001F1E9C" w:rsidRPr="00837BF1" w:rsidRDefault="001F1E9C" w:rsidP="00520D32">
            <w:pPr>
              <w:jc w:val="center"/>
              <w:rPr>
                <w:rFonts w:ascii="Arial" w:hAnsi="Arial" w:cs="Arial"/>
              </w:rPr>
            </w:pPr>
            <w:r w:rsidRPr="00837BF1">
              <w:rPr>
                <w:rFonts w:ascii="Arial" w:hAnsi="Arial" w:cs="Arial"/>
              </w:rPr>
              <w:t>19.0</w:t>
            </w:r>
            <w:r w:rsidR="00A542E9" w:rsidRPr="00837BF1">
              <w:rPr>
                <w:rFonts w:ascii="Arial" w:hAnsi="Arial" w:cs="Arial"/>
              </w:rPr>
              <w:t xml:space="preserve"> (17.5, 20.6)</w:t>
            </w:r>
          </w:p>
          <w:p w14:paraId="45555124" w14:textId="6F03E16B" w:rsidR="001F1E9C" w:rsidRPr="00837BF1" w:rsidRDefault="001F1E9C" w:rsidP="00520D32">
            <w:pPr>
              <w:jc w:val="center"/>
              <w:rPr>
                <w:rFonts w:ascii="Arial" w:hAnsi="Arial" w:cs="Arial"/>
              </w:rPr>
            </w:pPr>
            <w:r w:rsidRPr="00837BF1">
              <w:rPr>
                <w:rFonts w:ascii="Arial" w:hAnsi="Arial" w:cs="Arial"/>
              </w:rPr>
              <w:t>21.8</w:t>
            </w:r>
            <w:r w:rsidR="00A542E9" w:rsidRPr="00837BF1">
              <w:rPr>
                <w:rFonts w:ascii="Arial" w:hAnsi="Arial" w:cs="Arial"/>
              </w:rPr>
              <w:t xml:space="preserve"> (19.9, 23.8)</w:t>
            </w:r>
          </w:p>
          <w:p w14:paraId="7516B581" w14:textId="77777777" w:rsidR="001F1E9C" w:rsidRPr="00837BF1" w:rsidRDefault="001F1E9C" w:rsidP="00520D32">
            <w:pPr>
              <w:jc w:val="center"/>
              <w:rPr>
                <w:rFonts w:ascii="Arial" w:hAnsi="Arial" w:cs="Arial"/>
              </w:rPr>
            </w:pPr>
          </w:p>
          <w:p w14:paraId="2A9A80E5" w14:textId="18A87E8B" w:rsidR="001F1E9C" w:rsidRPr="00837BF1" w:rsidRDefault="001F1E9C" w:rsidP="00520D32">
            <w:pPr>
              <w:jc w:val="center"/>
              <w:rPr>
                <w:rFonts w:ascii="Arial" w:hAnsi="Arial" w:cs="Arial"/>
              </w:rPr>
            </w:pPr>
            <w:r w:rsidRPr="00837BF1">
              <w:rPr>
                <w:rFonts w:ascii="Arial" w:hAnsi="Arial" w:cs="Arial"/>
              </w:rPr>
              <w:t>19.8</w:t>
            </w:r>
            <w:r w:rsidR="00A542E9" w:rsidRPr="00837BF1">
              <w:rPr>
                <w:rFonts w:ascii="Arial" w:hAnsi="Arial" w:cs="Arial"/>
              </w:rPr>
              <w:t xml:space="preserve"> (</w:t>
            </w:r>
            <w:r w:rsidR="00F83199" w:rsidRPr="00837BF1">
              <w:rPr>
                <w:rFonts w:ascii="Arial" w:hAnsi="Arial" w:cs="Arial"/>
              </w:rPr>
              <w:t>18.6, 21.1)</w:t>
            </w:r>
          </w:p>
          <w:p w14:paraId="09307139" w14:textId="51816747" w:rsidR="001F1E9C" w:rsidRPr="00837BF1" w:rsidRDefault="001F1E9C" w:rsidP="00520D32">
            <w:pPr>
              <w:jc w:val="center"/>
              <w:rPr>
                <w:rFonts w:ascii="Arial" w:hAnsi="Arial" w:cs="Arial"/>
              </w:rPr>
            </w:pPr>
            <w:r w:rsidRPr="00837BF1">
              <w:rPr>
                <w:rFonts w:ascii="Arial" w:hAnsi="Arial" w:cs="Arial"/>
              </w:rPr>
              <w:t>28.0</w:t>
            </w:r>
            <w:r w:rsidR="00F83199" w:rsidRPr="00837BF1">
              <w:rPr>
                <w:rFonts w:ascii="Arial" w:hAnsi="Arial" w:cs="Arial"/>
              </w:rPr>
              <w:t xml:space="preserve"> (22.3, 34.6)</w:t>
            </w:r>
          </w:p>
          <w:p w14:paraId="6152C8CE" w14:textId="77777777" w:rsidR="001F1E9C" w:rsidRPr="00837BF1" w:rsidRDefault="001F1E9C" w:rsidP="00520D32">
            <w:pPr>
              <w:jc w:val="center"/>
              <w:rPr>
                <w:rFonts w:ascii="Arial" w:hAnsi="Arial" w:cs="Arial"/>
              </w:rPr>
            </w:pPr>
          </w:p>
          <w:p w14:paraId="11FEA008" w14:textId="7099E0C6" w:rsidR="001F1E9C" w:rsidRPr="00837BF1" w:rsidRDefault="001F1E9C" w:rsidP="00520D32">
            <w:pPr>
              <w:jc w:val="center"/>
              <w:rPr>
                <w:rFonts w:ascii="Arial" w:hAnsi="Arial" w:cs="Arial"/>
              </w:rPr>
            </w:pPr>
            <w:r w:rsidRPr="00837BF1">
              <w:rPr>
                <w:rFonts w:ascii="Arial" w:hAnsi="Arial" w:cs="Arial"/>
              </w:rPr>
              <w:t>20.6</w:t>
            </w:r>
            <w:r w:rsidR="00F83199" w:rsidRPr="00837BF1">
              <w:rPr>
                <w:rFonts w:ascii="Arial" w:hAnsi="Arial" w:cs="Arial"/>
              </w:rPr>
              <w:t xml:space="preserve"> (19.3, 22.0)</w:t>
            </w:r>
          </w:p>
          <w:p w14:paraId="0AECA5AB" w14:textId="6504105F" w:rsidR="001F1E9C" w:rsidRPr="00837BF1" w:rsidRDefault="001F1E9C" w:rsidP="00520D32">
            <w:pPr>
              <w:jc w:val="center"/>
              <w:rPr>
                <w:rFonts w:ascii="Arial" w:hAnsi="Arial" w:cs="Arial"/>
              </w:rPr>
            </w:pPr>
            <w:r w:rsidRPr="00837BF1">
              <w:rPr>
                <w:rFonts w:ascii="Arial" w:hAnsi="Arial" w:cs="Arial"/>
              </w:rPr>
              <w:t>18.6</w:t>
            </w:r>
            <w:r w:rsidR="00F83199" w:rsidRPr="00837BF1">
              <w:rPr>
                <w:rFonts w:ascii="Arial" w:hAnsi="Arial" w:cs="Arial"/>
              </w:rPr>
              <w:t xml:space="preserve"> (</w:t>
            </w:r>
            <w:r w:rsidR="000743E2" w:rsidRPr="00837BF1">
              <w:rPr>
                <w:rFonts w:ascii="Arial" w:hAnsi="Arial" w:cs="Arial"/>
              </w:rPr>
              <w:t>16.1, 21.3)</w:t>
            </w:r>
          </w:p>
          <w:p w14:paraId="0EE648E7" w14:textId="77777777" w:rsidR="001F1E9C" w:rsidRPr="00837BF1" w:rsidRDefault="001F1E9C" w:rsidP="00520D32">
            <w:pPr>
              <w:jc w:val="center"/>
              <w:rPr>
                <w:rFonts w:ascii="Arial" w:hAnsi="Arial" w:cs="Arial"/>
              </w:rPr>
            </w:pPr>
          </w:p>
          <w:p w14:paraId="2DDD797D" w14:textId="5D5296D7" w:rsidR="001F1E9C" w:rsidRPr="00837BF1" w:rsidRDefault="001F1E9C" w:rsidP="00520D32">
            <w:pPr>
              <w:jc w:val="center"/>
              <w:rPr>
                <w:rFonts w:ascii="Arial" w:hAnsi="Arial" w:cs="Arial"/>
              </w:rPr>
            </w:pPr>
            <w:r w:rsidRPr="00837BF1">
              <w:rPr>
                <w:rFonts w:ascii="Arial" w:hAnsi="Arial" w:cs="Arial"/>
              </w:rPr>
              <w:t>19.9</w:t>
            </w:r>
            <w:r w:rsidR="000743E2" w:rsidRPr="00837BF1">
              <w:rPr>
                <w:rFonts w:ascii="Arial" w:hAnsi="Arial" w:cs="Arial"/>
              </w:rPr>
              <w:t xml:space="preserve"> (18.7, 21.1)</w:t>
            </w:r>
          </w:p>
          <w:p w14:paraId="49DD5138" w14:textId="24CB5DA5" w:rsidR="001F1E9C" w:rsidRPr="00837BF1" w:rsidRDefault="001F1E9C" w:rsidP="00520D32">
            <w:pPr>
              <w:jc w:val="center"/>
              <w:rPr>
                <w:rFonts w:ascii="Arial" w:hAnsi="Arial" w:cs="Arial"/>
              </w:rPr>
            </w:pPr>
            <w:r w:rsidRPr="00837BF1">
              <w:rPr>
                <w:rFonts w:ascii="Arial" w:hAnsi="Arial" w:cs="Arial"/>
              </w:rPr>
              <w:t>31.3</w:t>
            </w:r>
            <w:r w:rsidR="000743E2" w:rsidRPr="00837BF1">
              <w:rPr>
                <w:rFonts w:ascii="Arial" w:hAnsi="Arial" w:cs="Arial"/>
              </w:rPr>
              <w:t xml:space="preserve"> (23.1, 40.9)</w:t>
            </w:r>
          </w:p>
          <w:p w14:paraId="6C2F14A1" w14:textId="77777777" w:rsidR="001F1E9C" w:rsidRPr="00837BF1" w:rsidRDefault="001F1E9C" w:rsidP="00520D32">
            <w:pPr>
              <w:jc w:val="center"/>
              <w:rPr>
                <w:rFonts w:ascii="Arial" w:hAnsi="Arial" w:cs="Arial"/>
              </w:rPr>
            </w:pPr>
          </w:p>
          <w:p w14:paraId="7EF11478" w14:textId="07B43BF5" w:rsidR="001F1E9C" w:rsidRPr="00837BF1" w:rsidRDefault="001F1E9C" w:rsidP="00520D32">
            <w:pPr>
              <w:jc w:val="center"/>
              <w:rPr>
                <w:rFonts w:ascii="Arial" w:hAnsi="Arial" w:cs="Arial"/>
              </w:rPr>
            </w:pPr>
            <w:r w:rsidRPr="00837BF1">
              <w:rPr>
                <w:rFonts w:ascii="Arial" w:hAnsi="Arial" w:cs="Arial"/>
              </w:rPr>
              <w:t>20.1</w:t>
            </w:r>
            <w:r w:rsidR="000743E2" w:rsidRPr="00837BF1">
              <w:rPr>
                <w:rFonts w:ascii="Arial" w:hAnsi="Arial" w:cs="Arial"/>
              </w:rPr>
              <w:t xml:space="preserve"> (</w:t>
            </w:r>
            <w:r w:rsidR="00AB6010" w:rsidRPr="00837BF1">
              <w:rPr>
                <w:rFonts w:ascii="Arial" w:hAnsi="Arial" w:cs="Arial"/>
              </w:rPr>
              <w:t>18.9, 21.4)</w:t>
            </w:r>
          </w:p>
          <w:p w14:paraId="634765D1" w14:textId="79AAD7DC" w:rsidR="001F1E9C" w:rsidRPr="00837BF1" w:rsidRDefault="001F1E9C" w:rsidP="00520D32">
            <w:pPr>
              <w:jc w:val="center"/>
              <w:rPr>
                <w:rFonts w:ascii="Arial" w:hAnsi="Arial" w:cs="Arial"/>
              </w:rPr>
            </w:pPr>
            <w:r w:rsidRPr="00837BF1">
              <w:rPr>
                <w:rFonts w:ascii="Arial" w:hAnsi="Arial" w:cs="Arial"/>
              </w:rPr>
              <w:t>23.7</w:t>
            </w:r>
            <w:r w:rsidR="00AB6010" w:rsidRPr="00837BF1">
              <w:rPr>
                <w:rFonts w:ascii="Arial" w:hAnsi="Arial" w:cs="Arial"/>
              </w:rPr>
              <w:t xml:space="preserve"> (11.7, 42.4)</w:t>
            </w:r>
          </w:p>
          <w:p w14:paraId="0C7881AC" w14:textId="77777777" w:rsidR="001F1E9C" w:rsidRPr="00837BF1" w:rsidRDefault="001F1E9C" w:rsidP="00520D32">
            <w:pPr>
              <w:jc w:val="center"/>
              <w:rPr>
                <w:rFonts w:ascii="Arial" w:hAnsi="Arial" w:cs="Arial"/>
              </w:rPr>
            </w:pPr>
          </w:p>
          <w:p w14:paraId="0B0E736F" w14:textId="26041AB1" w:rsidR="001F1E9C" w:rsidRPr="00837BF1" w:rsidRDefault="001F1E9C" w:rsidP="00520D32">
            <w:pPr>
              <w:jc w:val="center"/>
              <w:rPr>
                <w:rFonts w:ascii="Arial" w:hAnsi="Arial" w:cs="Arial"/>
              </w:rPr>
            </w:pPr>
            <w:r w:rsidRPr="00837BF1">
              <w:rPr>
                <w:rFonts w:ascii="Arial" w:hAnsi="Arial" w:cs="Arial"/>
              </w:rPr>
              <w:t>19.8</w:t>
            </w:r>
            <w:r w:rsidR="00AB6010" w:rsidRPr="00837BF1">
              <w:rPr>
                <w:rFonts w:ascii="Arial" w:hAnsi="Arial" w:cs="Arial"/>
              </w:rPr>
              <w:t xml:space="preserve"> (18.6, 21.1)</w:t>
            </w:r>
          </w:p>
          <w:p w14:paraId="09A0D1CB" w14:textId="20820EC1" w:rsidR="001F1E9C" w:rsidRPr="00837BF1" w:rsidRDefault="001F1E9C" w:rsidP="00520D32">
            <w:pPr>
              <w:jc w:val="center"/>
              <w:rPr>
                <w:rFonts w:ascii="Arial" w:hAnsi="Arial" w:cs="Arial"/>
              </w:rPr>
            </w:pPr>
            <w:r w:rsidRPr="00837BF1">
              <w:rPr>
                <w:rFonts w:ascii="Arial" w:hAnsi="Arial" w:cs="Arial"/>
              </w:rPr>
              <w:t>32.9</w:t>
            </w:r>
            <w:r w:rsidR="00AB6010" w:rsidRPr="00837BF1">
              <w:rPr>
                <w:rFonts w:ascii="Arial" w:hAnsi="Arial" w:cs="Arial"/>
              </w:rPr>
              <w:t xml:space="preserve"> (24.8, 42.3)</w:t>
            </w:r>
          </w:p>
          <w:p w14:paraId="1AF0211A" w14:textId="77777777" w:rsidR="001F1E9C" w:rsidRPr="00837BF1" w:rsidRDefault="001F1E9C" w:rsidP="00520D32">
            <w:pPr>
              <w:jc w:val="center"/>
              <w:rPr>
                <w:rFonts w:ascii="Arial" w:hAnsi="Arial" w:cs="Arial"/>
              </w:rPr>
            </w:pPr>
          </w:p>
          <w:p w14:paraId="4E304AF1" w14:textId="6A8FE35A" w:rsidR="001F1E9C" w:rsidRPr="00837BF1" w:rsidRDefault="001F1E9C" w:rsidP="00520D32">
            <w:pPr>
              <w:jc w:val="center"/>
              <w:rPr>
                <w:rFonts w:ascii="Arial" w:hAnsi="Arial" w:cs="Arial"/>
              </w:rPr>
            </w:pPr>
            <w:r w:rsidRPr="00837BF1">
              <w:rPr>
                <w:rFonts w:ascii="Arial" w:hAnsi="Arial" w:cs="Arial"/>
              </w:rPr>
              <w:lastRenderedPageBreak/>
              <w:t>19.9</w:t>
            </w:r>
            <w:r w:rsidR="00AB6010" w:rsidRPr="00837BF1">
              <w:rPr>
                <w:rFonts w:ascii="Arial" w:hAnsi="Arial" w:cs="Arial"/>
              </w:rPr>
              <w:t xml:space="preserve"> (18.6, 21.2)</w:t>
            </w:r>
          </w:p>
          <w:p w14:paraId="317C1EB9" w14:textId="199E7203" w:rsidR="001F1E9C" w:rsidRPr="00837BF1" w:rsidRDefault="001F1E9C" w:rsidP="00520D32">
            <w:pPr>
              <w:jc w:val="center"/>
              <w:rPr>
                <w:rFonts w:ascii="Arial" w:hAnsi="Arial" w:cs="Arial"/>
              </w:rPr>
            </w:pPr>
            <w:r w:rsidRPr="00837BF1">
              <w:rPr>
                <w:rFonts w:ascii="Arial" w:hAnsi="Arial" w:cs="Arial"/>
              </w:rPr>
              <w:t>22.1</w:t>
            </w:r>
            <w:r w:rsidR="00AB6010" w:rsidRPr="00837BF1">
              <w:rPr>
                <w:rFonts w:ascii="Arial" w:hAnsi="Arial" w:cs="Arial"/>
              </w:rPr>
              <w:t xml:space="preserve"> (</w:t>
            </w:r>
            <w:r w:rsidR="006E4EB8" w:rsidRPr="00837BF1">
              <w:rPr>
                <w:rFonts w:ascii="Arial" w:hAnsi="Arial" w:cs="Arial"/>
              </w:rPr>
              <w:t>18.7, 25.8)</w:t>
            </w:r>
          </w:p>
        </w:tc>
        <w:tc>
          <w:tcPr>
            <w:tcW w:w="1842" w:type="dxa"/>
          </w:tcPr>
          <w:p w14:paraId="38CE8F85" w14:textId="77777777" w:rsidR="001F1E9C" w:rsidRPr="00837BF1" w:rsidRDefault="001F1E9C" w:rsidP="00AB284D">
            <w:pPr>
              <w:jc w:val="center"/>
              <w:rPr>
                <w:rFonts w:ascii="Arial" w:hAnsi="Arial" w:cs="Arial"/>
              </w:rPr>
            </w:pPr>
          </w:p>
          <w:p w14:paraId="7762D2EE" w14:textId="05E73044" w:rsidR="001F1E9C" w:rsidRPr="00837BF1" w:rsidRDefault="001F1E9C" w:rsidP="00AB284D">
            <w:pPr>
              <w:jc w:val="center"/>
              <w:rPr>
                <w:rFonts w:ascii="Arial" w:hAnsi="Arial" w:cs="Arial"/>
              </w:rPr>
            </w:pPr>
            <w:r w:rsidRPr="00837BF1">
              <w:rPr>
                <w:rFonts w:ascii="Arial" w:hAnsi="Arial" w:cs="Arial"/>
              </w:rPr>
              <w:t>46.2</w:t>
            </w:r>
            <w:r w:rsidR="006E4EB8" w:rsidRPr="00837BF1">
              <w:rPr>
                <w:rFonts w:ascii="Arial" w:hAnsi="Arial" w:cs="Arial"/>
              </w:rPr>
              <w:t xml:space="preserve"> (40.6, 51.9)</w:t>
            </w:r>
          </w:p>
          <w:p w14:paraId="65257DC4" w14:textId="3F0565A3" w:rsidR="001F1E9C" w:rsidRPr="00837BF1" w:rsidRDefault="001F1E9C" w:rsidP="00AB284D">
            <w:pPr>
              <w:jc w:val="center"/>
              <w:rPr>
                <w:rFonts w:ascii="Arial" w:hAnsi="Arial" w:cs="Arial"/>
              </w:rPr>
            </w:pPr>
            <w:r w:rsidRPr="00837BF1">
              <w:rPr>
                <w:rFonts w:ascii="Arial" w:hAnsi="Arial" w:cs="Arial"/>
              </w:rPr>
              <w:t>39.9</w:t>
            </w:r>
            <w:r w:rsidR="006E4EB8" w:rsidRPr="00837BF1">
              <w:rPr>
                <w:rFonts w:ascii="Arial" w:hAnsi="Arial" w:cs="Arial"/>
              </w:rPr>
              <w:t xml:space="preserve"> (</w:t>
            </w:r>
            <w:r w:rsidR="006C21CB" w:rsidRPr="00837BF1">
              <w:rPr>
                <w:rFonts w:ascii="Arial" w:hAnsi="Arial" w:cs="Arial"/>
              </w:rPr>
              <w:t>36.1, 43.9)</w:t>
            </w:r>
          </w:p>
          <w:p w14:paraId="53D1B8BA" w14:textId="0ED6070F" w:rsidR="001F1E9C" w:rsidRPr="00837BF1" w:rsidRDefault="001F1E9C" w:rsidP="00AB284D">
            <w:pPr>
              <w:jc w:val="center"/>
              <w:rPr>
                <w:rFonts w:ascii="Arial" w:hAnsi="Arial" w:cs="Arial"/>
              </w:rPr>
            </w:pPr>
            <w:r w:rsidRPr="00837BF1">
              <w:rPr>
                <w:rFonts w:ascii="Arial" w:hAnsi="Arial" w:cs="Arial"/>
              </w:rPr>
              <w:t>32.0</w:t>
            </w:r>
            <w:r w:rsidR="006C21CB" w:rsidRPr="00837BF1">
              <w:rPr>
                <w:rFonts w:ascii="Arial" w:hAnsi="Arial" w:cs="Arial"/>
              </w:rPr>
              <w:t xml:space="preserve"> (29.1, 35.0)</w:t>
            </w:r>
          </w:p>
          <w:p w14:paraId="5B9260AE" w14:textId="4E1FBE0D" w:rsidR="001F1E9C" w:rsidRPr="00837BF1" w:rsidRDefault="001F1E9C" w:rsidP="00AB284D">
            <w:pPr>
              <w:jc w:val="center"/>
              <w:rPr>
                <w:rFonts w:ascii="Arial" w:hAnsi="Arial" w:cs="Arial"/>
              </w:rPr>
            </w:pPr>
            <w:r w:rsidRPr="00837BF1">
              <w:rPr>
                <w:rFonts w:ascii="Arial" w:hAnsi="Arial" w:cs="Arial"/>
              </w:rPr>
              <w:t>35.2</w:t>
            </w:r>
            <w:r w:rsidR="006C21CB" w:rsidRPr="00837BF1">
              <w:rPr>
                <w:rFonts w:ascii="Arial" w:hAnsi="Arial" w:cs="Arial"/>
              </w:rPr>
              <w:t xml:space="preserve"> (22.9, 27.6)</w:t>
            </w:r>
          </w:p>
          <w:p w14:paraId="45A07ED9" w14:textId="4754A791" w:rsidR="001F1E9C" w:rsidRPr="00837BF1" w:rsidRDefault="001F1E9C" w:rsidP="00AB284D">
            <w:pPr>
              <w:jc w:val="center"/>
              <w:rPr>
                <w:rFonts w:ascii="Arial" w:hAnsi="Arial" w:cs="Arial"/>
              </w:rPr>
            </w:pPr>
            <w:r w:rsidRPr="00837BF1">
              <w:rPr>
                <w:rFonts w:ascii="Arial" w:hAnsi="Arial" w:cs="Arial"/>
              </w:rPr>
              <w:t>25.6</w:t>
            </w:r>
            <w:r w:rsidR="006C21CB" w:rsidRPr="00837BF1">
              <w:rPr>
                <w:rFonts w:ascii="Arial" w:hAnsi="Arial" w:cs="Arial"/>
              </w:rPr>
              <w:t xml:space="preserve"> (</w:t>
            </w:r>
            <w:r w:rsidR="005D12FF" w:rsidRPr="00837BF1">
              <w:rPr>
                <w:rFonts w:ascii="Arial" w:hAnsi="Arial" w:cs="Arial"/>
              </w:rPr>
              <w:t>23.2, 28.2)</w:t>
            </w:r>
          </w:p>
          <w:p w14:paraId="5F00BEC7" w14:textId="77777777" w:rsidR="001F1E9C" w:rsidRPr="00837BF1" w:rsidRDefault="001F1E9C" w:rsidP="00AB284D">
            <w:pPr>
              <w:jc w:val="center"/>
              <w:rPr>
                <w:rFonts w:ascii="Arial" w:hAnsi="Arial" w:cs="Arial"/>
              </w:rPr>
            </w:pPr>
          </w:p>
          <w:p w14:paraId="404DFE97" w14:textId="2FFB48F9" w:rsidR="001F1E9C" w:rsidRPr="00837BF1" w:rsidRDefault="001F1E9C" w:rsidP="00AB284D">
            <w:pPr>
              <w:jc w:val="center"/>
              <w:rPr>
                <w:rFonts w:ascii="Arial" w:hAnsi="Arial" w:cs="Arial"/>
              </w:rPr>
            </w:pPr>
            <w:r w:rsidRPr="00837BF1">
              <w:rPr>
                <w:rFonts w:ascii="Arial" w:hAnsi="Arial" w:cs="Arial"/>
              </w:rPr>
              <w:t>23.4</w:t>
            </w:r>
            <w:r w:rsidR="005D12FF" w:rsidRPr="00837BF1">
              <w:rPr>
                <w:rFonts w:ascii="Arial" w:hAnsi="Arial" w:cs="Arial"/>
              </w:rPr>
              <w:t xml:space="preserve"> (21.4, 25.6)</w:t>
            </w:r>
          </w:p>
          <w:p w14:paraId="2E64CC82" w14:textId="7C7B0A25" w:rsidR="001F1E9C" w:rsidRPr="00837BF1" w:rsidRDefault="001F1E9C" w:rsidP="00AB284D">
            <w:pPr>
              <w:jc w:val="center"/>
              <w:rPr>
                <w:rFonts w:ascii="Arial" w:hAnsi="Arial" w:cs="Arial"/>
              </w:rPr>
            </w:pPr>
            <w:r w:rsidRPr="00837BF1">
              <w:rPr>
                <w:rFonts w:ascii="Arial" w:hAnsi="Arial" w:cs="Arial"/>
              </w:rPr>
              <w:t>38.9</w:t>
            </w:r>
            <w:r w:rsidR="005D12FF" w:rsidRPr="00837BF1">
              <w:rPr>
                <w:rFonts w:ascii="Arial" w:hAnsi="Arial" w:cs="Arial"/>
              </w:rPr>
              <w:t xml:space="preserve"> (37.0, 40.9)</w:t>
            </w:r>
          </w:p>
          <w:p w14:paraId="4AD3D163" w14:textId="77777777" w:rsidR="001F1E9C" w:rsidRPr="00837BF1" w:rsidRDefault="001F1E9C" w:rsidP="00AB284D">
            <w:pPr>
              <w:jc w:val="center"/>
              <w:rPr>
                <w:rFonts w:ascii="Arial" w:hAnsi="Arial" w:cs="Arial"/>
              </w:rPr>
            </w:pPr>
          </w:p>
          <w:p w14:paraId="2DB1A5CB" w14:textId="53503860" w:rsidR="001F1E9C" w:rsidRPr="00837BF1" w:rsidRDefault="001F1E9C" w:rsidP="00AB284D">
            <w:pPr>
              <w:jc w:val="center"/>
              <w:rPr>
                <w:rFonts w:ascii="Arial" w:hAnsi="Arial" w:cs="Arial"/>
              </w:rPr>
            </w:pPr>
            <w:r w:rsidRPr="00837BF1">
              <w:rPr>
                <w:rFonts w:ascii="Arial" w:hAnsi="Arial" w:cs="Arial"/>
              </w:rPr>
              <w:t>39.8</w:t>
            </w:r>
            <w:r w:rsidR="005D12FF" w:rsidRPr="00837BF1">
              <w:rPr>
                <w:rFonts w:ascii="Arial" w:hAnsi="Arial" w:cs="Arial"/>
              </w:rPr>
              <w:t xml:space="preserve"> </w:t>
            </w:r>
            <w:r w:rsidR="00AD761D" w:rsidRPr="00837BF1">
              <w:rPr>
                <w:rFonts w:ascii="Arial" w:hAnsi="Arial" w:cs="Arial"/>
              </w:rPr>
              <w:t>(36.9, 42.8)</w:t>
            </w:r>
          </w:p>
          <w:p w14:paraId="0625605B" w14:textId="1C8F37DE" w:rsidR="001F1E9C" w:rsidRPr="00837BF1" w:rsidRDefault="001F1E9C" w:rsidP="00AB284D">
            <w:pPr>
              <w:jc w:val="center"/>
              <w:rPr>
                <w:rFonts w:ascii="Arial" w:hAnsi="Arial" w:cs="Arial"/>
              </w:rPr>
            </w:pPr>
            <w:r w:rsidRPr="00837BF1">
              <w:rPr>
                <w:rFonts w:ascii="Arial" w:hAnsi="Arial" w:cs="Arial"/>
              </w:rPr>
              <w:t>28.0</w:t>
            </w:r>
            <w:r w:rsidR="005D12FF" w:rsidRPr="00837BF1">
              <w:rPr>
                <w:rFonts w:ascii="Arial" w:hAnsi="Arial" w:cs="Arial"/>
              </w:rPr>
              <w:t xml:space="preserve"> </w:t>
            </w:r>
            <w:r w:rsidR="00AD761D" w:rsidRPr="00837BF1">
              <w:rPr>
                <w:rFonts w:ascii="Arial" w:hAnsi="Arial" w:cs="Arial"/>
              </w:rPr>
              <w:t>(26.5, 29.6)</w:t>
            </w:r>
          </w:p>
          <w:p w14:paraId="673459D5" w14:textId="77777777" w:rsidR="001F1E9C" w:rsidRPr="00837BF1" w:rsidRDefault="001F1E9C" w:rsidP="00AB284D">
            <w:pPr>
              <w:jc w:val="center"/>
              <w:rPr>
                <w:rFonts w:ascii="Arial" w:hAnsi="Arial" w:cs="Arial"/>
              </w:rPr>
            </w:pPr>
          </w:p>
          <w:p w14:paraId="73BCE57E" w14:textId="1B28EDDF" w:rsidR="001F1E9C" w:rsidRPr="00837BF1" w:rsidRDefault="001F1E9C" w:rsidP="00AB284D">
            <w:pPr>
              <w:jc w:val="center"/>
              <w:rPr>
                <w:rFonts w:ascii="Arial" w:hAnsi="Arial" w:cs="Arial"/>
              </w:rPr>
            </w:pPr>
            <w:r w:rsidRPr="00837BF1">
              <w:rPr>
                <w:rFonts w:ascii="Arial" w:hAnsi="Arial" w:cs="Arial"/>
              </w:rPr>
              <w:t>31.2</w:t>
            </w:r>
            <w:r w:rsidR="0019020E" w:rsidRPr="00837BF1">
              <w:rPr>
                <w:rFonts w:ascii="Arial" w:hAnsi="Arial" w:cs="Arial"/>
              </w:rPr>
              <w:t xml:space="preserve"> (30.2, 33.3)</w:t>
            </w:r>
          </w:p>
          <w:p w14:paraId="28124733" w14:textId="4590756C" w:rsidR="001F1E9C" w:rsidRPr="00837BF1" w:rsidRDefault="001F1E9C" w:rsidP="00AB284D">
            <w:pPr>
              <w:jc w:val="center"/>
              <w:rPr>
                <w:rFonts w:ascii="Arial" w:hAnsi="Arial" w:cs="Arial"/>
              </w:rPr>
            </w:pPr>
            <w:r w:rsidRPr="00837BF1">
              <w:rPr>
                <w:rFonts w:ascii="Arial" w:hAnsi="Arial" w:cs="Arial"/>
              </w:rPr>
              <w:t>32.0</w:t>
            </w:r>
            <w:r w:rsidR="0019020E" w:rsidRPr="00837BF1">
              <w:rPr>
                <w:rFonts w:ascii="Arial" w:hAnsi="Arial" w:cs="Arial"/>
              </w:rPr>
              <w:t xml:space="preserve"> (25.3, 39.5)</w:t>
            </w:r>
          </w:p>
          <w:p w14:paraId="5F4D9D51" w14:textId="685CB419" w:rsidR="001F1E9C" w:rsidRPr="00837BF1" w:rsidRDefault="001F1E9C" w:rsidP="00AB284D">
            <w:pPr>
              <w:jc w:val="center"/>
              <w:rPr>
                <w:rFonts w:ascii="Arial" w:hAnsi="Arial" w:cs="Arial"/>
              </w:rPr>
            </w:pPr>
            <w:r w:rsidRPr="00837BF1">
              <w:rPr>
                <w:rFonts w:ascii="Arial" w:hAnsi="Arial" w:cs="Arial"/>
              </w:rPr>
              <w:t>35.2</w:t>
            </w:r>
            <w:r w:rsidR="0019020E" w:rsidRPr="00837BF1">
              <w:rPr>
                <w:rFonts w:ascii="Arial" w:hAnsi="Arial" w:cs="Arial"/>
              </w:rPr>
              <w:t xml:space="preserve"> (23.7, 48.6)</w:t>
            </w:r>
          </w:p>
          <w:p w14:paraId="777DCE2D" w14:textId="396DC2F9" w:rsidR="001F1E9C" w:rsidRPr="00837BF1" w:rsidRDefault="001F1E9C" w:rsidP="00AB284D">
            <w:pPr>
              <w:jc w:val="center"/>
              <w:rPr>
                <w:rFonts w:ascii="Arial" w:hAnsi="Arial" w:cs="Arial"/>
              </w:rPr>
            </w:pPr>
            <w:r w:rsidRPr="00837BF1">
              <w:rPr>
                <w:rFonts w:ascii="Arial" w:hAnsi="Arial" w:cs="Arial"/>
              </w:rPr>
              <w:t>34.2</w:t>
            </w:r>
            <w:r w:rsidR="0019020E" w:rsidRPr="00837BF1">
              <w:rPr>
                <w:rFonts w:ascii="Arial" w:hAnsi="Arial" w:cs="Arial"/>
              </w:rPr>
              <w:t xml:space="preserve"> (27.5, 41.6)</w:t>
            </w:r>
          </w:p>
          <w:p w14:paraId="200EE766" w14:textId="1FF88066" w:rsidR="001F1E9C" w:rsidRPr="00837BF1" w:rsidRDefault="001F1E9C" w:rsidP="00AB284D">
            <w:pPr>
              <w:jc w:val="center"/>
              <w:rPr>
                <w:rFonts w:ascii="Arial" w:hAnsi="Arial" w:cs="Arial"/>
              </w:rPr>
            </w:pPr>
            <w:r w:rsidRPr="00837BF1">
              <w:rPr>
                <w:rFonts w:ascii="Arial" w:hAnsi="Arial" w:cs="Arial"/>
              </w:rPr>
              <w:t>26.5</w:t>
            </w:r>
            <w:r w:rsidR="0019020E" w:rsidRPr="00837BF1">
              <w:rPr>
                <w:rFonts w:ascii="Arial" w:hAnsi="Arial" w:cs="Arial"/>
              </w:rPr>
              <w:t xml:space="preserve"> (16.8, 39.3)</w:t>
            </w:r>
          </w:p>
          <w:p w14:paraId="6B1D17B3" w14:textId="6267FA5C" w:rsidR="001F1E9C" w:rsidRPr="00837BF1" w:rsidRDefault="001F1E9C" w:rsidP="00AB284D">
            <w:pPr>
              <w:jc w:val="center"/>
              <w:rPr>
                <w:rFonts w:ascii="Arial" w:hAnsi="Arial" w:cs="Arial"/>
              </w:rPr>
            </w:pPr>
            <w:r w:rsidRPr="00837BF1">
              <w:rPr>
                <w:rFonts w:ascii="Arial" w:hAnsi="Arial" w:cs="Arial"/>
              </w:rPr>
              <w:t>46.9</w:t>
            </w:r>
            <w:r w:rsidR="0019020E" w:rsidRPr="00837BF1">
              <w:rPr>
                <w:rFonts w:ascii="Arial" w:hAnsi="Arial" w:cs="Arial"/>
              </w:rPr>
              <w:t xml:space="preserve"> (22.2, 73.3)</w:t>
            </w:r>
          </w:p>
          <w:p w14:paraId="35EF764D" w14:textId="3E9A25DD" w:rsidR="001F1E9C" w:rsidRPr="00837BF1" w:rsidRDefault="001F1E9C" w:rsidP="00AB284D">
            <w:pPr>
              <w:jc w:val="center"/>
              <w:rPr>
                <w:rFonts w:ascii="Arial" w:hAnsi="Arial" w:cs="Arial"/>
              </w:rPr>
            </w:pPr>
          </w:p>
          <w:p w14:paraId="3AAB6A79" w14:textId="032EB56D" w:rsidR="001F1E9C" w:rsidRPr="00837BF1" w:rsidRDefault="001F1E9C" w:rsidP="00AB284D">
            <w:pPr>
              <w:jc w:val="center"/>
              <w:rPr>
                <w:rFonts w:ascii="Arial" w:hAnsi="Arial" w:cs="Arial"/>
              </w:rPr>
            </w:pPr>
            <w:r w:rsidRPr="00837BF1">
              <w:rPr>
                <w:rFonts w:ascii="Arial" w:hAnsi="Arial" w:cs="Arial"/>
              </w:rPr>
              <w:t>37.6</w:t>
            </w:r>
            <w:r w:rsidR="0019020E" w:rsidRPr="00837BF1">
              <w:rPr>
                <w:rFonts w:ascii="Arial" w:hAnsi="Arial" w:cs="Arial"/>
              </w:rPr>
              <w:t xml:space="preserve"> (</w:t>
            </w:r>
            <w:r w:rsidR="00BE6A03" w:rsidRPr="00837BF1">
              <w:rPr>
                <w:rFonts w:ascii="Arial" w:hAnsi="Arial" w:cs="Arial"/>
              </w:rPr>
              <w:t>31.2, 44.5)</w:t>
            </w:r>
          </w:p>
          <w:p w14:paraId="7586F41C" w14:textId="68B26619" w:rsidR="001F1E9C" w:rsidRPr="00837BF1" w:rsidRDefault="001F1E9C" w:rsidP="00AB284D">
            <w:pPr>
              <w:jc w:val="center"/>
              <w:rPr>
                <w:rFonts w:ascii="Arial" w:hAnsi="Arial" w:cs="Arial"/>
              </w:rPr>
            </w:pPr>
            <w:r w:rsidRPr="00837BF1">
              <w:rPr>
                <w:rFonts w:ascii="Arial" w:hAnsi="Arial" w:cs="Arial"/>
              </w:rPr>
              <w:t>33.7</w:t>
            </w:r>
            <w:r w:rsidR="00BE6A03" w:rsidRPr="00837BF1">
              <w:rPr>
                <w:rFonts w:ascii="Arial" w:hAnsi="Arial" w:cs="Arial"/>
              </w:rPr>
              <w:t xml:space="preserve"> (30.1, 37.6)</w:t>
            </w:r>
          </w:p>
          <w:p w14:paraId="0BE9C871" w14:textId="3E4047C2" w:rsidR="001F1E9C" w:rsidRPr="00837BF1" w:rsidRDefault="001F1E9C" w:rsidP="00AB284D">
            <w:pPr>
              <w:jc w:val="center"/>
              <w:rPr>
                <w:rFonts w:ascii="Arial" w:hAnsi="Arial" w:cs="Arial"/>
              </w:rPr>
            </w:pPr>
            <w:r w:rsidRPr="00837BF1">
              <w:rPr>
                <w:rFonts w:ascii="Arial" w:hAnsi="Arial" w:cs="Arial"/>
              </w:rPr>
              <w:t>33.5</w:t>
            </w:r>
            <w:r w:rsidR="00BE6A03" w:rsidRPr="00837BF1">
              <w:rPr>
                <w:rFonts w:ascii="Arial" w:hAnsi="Arial" w:cs="Arial"/>
              </w:rPr>
              <w:t xml:space="preserve"> (30.3, 36.8)</w:t>
            </w:r>
          </w:p>
          <w:p w14:paraId="5E8FF1CB" w14:textId="79856D25" w:rsidR="001F1E9C" w:rsidRPr="00837BF1" w:rsidRDefault="001F1E9C" w:rsidP="00AB284D">
            <w:pPr>
              <w:jc w:val="center"/>
              <w:rPr>
                <w:rFonts w:ascii="Arial" w:hAnsi="Arial" w:cs="Arial"/>
              </w:rPr>
            </w:pPr>
            <w:r w:rsidRPr="00837BF1">
              <w:rPr>
                <w:rFonts w:ascii="Arial" w:hAnsi="Arial" w:cs="Arial"/>
              </w:rPr>
              <w:t>28.0</w:t>
            </w:r>
            <w:r w:rsidR="00BE6A03" w:rsidRPr="00837BF1">
              <w:rPr>
                <w:rFonts w:ascii="Arial" w:hAnsi="Arial" w:cs="Arial"/>
              </w:rPr>
              <w:t xml:space="preserve"> (25.3, 30.8)</w:t>
            </w:r>
          </w:p>
          <w:p w14:paraId="78561777" w14:textId="02307B6D" w:rsidR="001F1E9C" w:rsidRPr="00837BF1" w:rsidRDefault="001F1E9C" w:rsidP="00AB284D">
            <w:pPr>
              <w:jc w:val="center"/>
              <w:rPr>
                <w:rFonts w:ascii="Arial" w:hAnsi="Arial" w:cs="Arial"/>
              </w:rPr>
            </w:pPr>
            <w:r w:rsidRPr="00837BF1">
              <w:rPr>
                <w:rFonts w:ascii="Arial" w:hAnsi="Arial" w:cs="Arial"/>
              </w:rPr>
              <w:t>30.0</w:t>
            </w:r>
            <w:r w:rsidR="00BE6A03" w:rsidRPr="00837BF1">
              <w:rPr>
                <w:rFonts w:ascii="Arial" w:hAnsi="Arial" w:cs="Arial"/>
              </w:rPr>
              <w:t xml:space="preserve"> (27.1, 32.8)</w:t>
            </w:r>
          </w:p>
          <w:p w14:paraId="24062A67" w14:textId="1B9588B6" w:rsidR="001F1E9C" w:rsidRPr="00837BF1" w:rsidRDefault="001F1E9C" w:rsidP="00AB284D">
            <w:pPr>
              <w:jc w:val="center"/>
              <w:rPr>
                <w:rFonts w:ascii="Arial" w:hAnsi="Arial" w:cs="Arial"/>
              </w:rPr>
            </w:pPr>
          </w:p>
          <w:p w14:paraId="52AA790B" w14:textId="19FF8BCA" w:rsidR="001F1E9C" w:rsidRPr="00837BF1" w:rsidRDefault="001F1E9C" w:rsidP="00AB284D">
            <w:pPr>
              <w:jc w:val="center"/>
              <w:rPr>
                <w:rFonts w:ascii="Arial" w:hAnsi="Arial" w:cs="Arial"/>
              </w:rPr>
            </w:pPr>
            <w:r w:rsidRPr="00837BF1">
              <w:rPr>
                <w:rFonts w:ascii="Arial" w:hAnsi="Arial" w:cs="Arial"/>
              </w:rPr>
              <w:t>27.7</w:t>
            </w:r>
            <w:r w:rsidR="00BE6A03" w:rsidRPr="00837BF1">
              <w:rPr>
                <w:rFonts w:ascii="Arial" w:hAnsi="Arial" w:cs="Arial"/>
              </w:rPr>
              <w:t xml:space="preserve"> (26.2, 29.3)</w:t>
            </w:r>
          </w:p>
          <w:p w14:paraId="04B1A0D8" w14:textId="0A192338" w:rsidR="001F1E9C" w:rsidRPr="00837BF1" w:rsidRDefault="001F1E9C" w:rsidP="00AB284D">
            <w:pPr>
              <w:jc w:val="center"/>
              <w:rPr>
                <w:rFonts w:ascii="Arial" w:hAnsi="Arial" w:cs="Arial"/>
              </w:rPr>
            </w:pPr>
            <w:r w:rsidRPr="00837BF1">
              <w:rPr>
                <w:rFonts w:ascii="Arial" w:hAnsi="Arial" w:cs="Arial"/>
              </w:rPr>
              <w:t>40.2</w:t>
            </w:r>
            <w:r w:rsidR="00BE6A03" w:rsidRPr="00837BF1">
              <w:rPr>
                <w:rFonts w:ascii="Arial" w:hAnsi="Arial" w:cs="Arial"/>
              </w:rPr>
              <w:t xml:space="preserve"> (</w:t>
            </w:r>
            <w:r w:rsidR="00DB1BD3" w:rsidRPr="00837BF1">
              <w:rPr>
                <w:rFonts w:ascii="Arial" w:hAnsi="Arial" w:cs="Arial"/>
              </w:rPr>
              <w:t>36.5, 44.1)</w:t>
            </w:r>
          </w:p>
          <w:p w14:paraId="126B1FC3" w14:textId="0A372FB5" w:rsidR="001F1E9C" w:rsidRPr="00837BF1" w:rsidRDefault="001F1E9C" w:rsidP="00AB284D">
            <w:pPr>
              <w:jc w:val="center"/>
              <w:rPr>
                <w:rFonts w:ascii="Arial" w:hAnsi="Arial" w:cs="Arial"/>
              </w:rPr>
            </w:pPr>
            <w:r w:rsidRPr="00837BF1">
              <w:rPr>
                <w:rFonts w:ascii="Arial" w:hAnsi="Arial" w:cs="Arial"/>
              </w:rPr>
              <w:t>66.5</w:t>
            </w:r>
            <w:r w:rsidR="00DB1BD3" w:rsidRPr="00837BF1">
              <w:rPr>
                <w:rFonts w:ascii="Arial" w:hAnsi="Arial" w:cs="Arial"/>
              </w:rPr>
              <w:t xml:space="preserve"> (59.2, 73.1)</w:t>
            </w:r>
          </w:p>
          <w:p w14:paraId="65AAAFB3" w14:textId="6023628E" w:rsidR="001F1E9C" w:rsidRPr="00837BF1" w:rsidRDefault="001F1E9C" w:rsidP="00AB284D">
            <w:pPr>
              <w:jc w:val="center"/>
              <w:rPr>
                <w:rFonts w:ascii="Arial" w:hAnsi="Arial" w:cs="Arial"/>
              </w:rPr>
            </w:pPr>
          </w:p>
          <w:p w14:paraId="4888DD71" w14:textId="7AA11564" w:rsidR="001F1E9C" w:rsidRPr="00837BF1" w:rsidRDefault="001F1E9C" w:rsidP="00AB284D">
            <w:pPr>
              <w:jc w:val="center"/>
              <w:rPr>
                <w:rFonts w:ascii="Arial" w:hAnsi="Arial" w:cs="Arial"/>
              </w:rPr>
            </w:pPr>
            <w:r w:rsidRPr="00837BF1">
              <w:rPr>
                <w:rFonts w:ascii="Arial" w:hAnsi="Arial" w:cs="Arial"/>
              </w:rPr>
              <w:t>29.3</w:t>
            </w:r>
            <w:r w:rsidR="00DB1BD3" w:rsidRPr="00837BF1">
              <w:rPr>
                <w:rFonts w:ascii="Arial" w:hAnsi="Arial" w:cs="Arial"/>
              </w:rPr>
              <w:t xml:space="preserve"> (27.5, 31.2)</w:t>
            </w:r>
          </w:p>
          <w:p w14:paraId="5BE3AC03" w14:textId="08AC529F" w:rsidR="001F1E9C" w:rsidRPr="00837BF1" w:rsidRDefault="001F1E9C" w:rsidP="00AB284D">
            <w:pPr>
              <w:jc w:val="center"/>
              <w:rPr>
                <w:rFonts w:ascii="Arial" w:hAnsi="Arial" w:cs="Arial"/>
              </w:rPr>
            </w:pPr>
            <w:r w:rsidRPr="00837BF1">
              <w:rPr>
                <w:rFonts w:ascii="Arial" w:hAnsi="Arial" w:cs="Arial"/>
              </w:rPr>
              <w:t>35.0</w:t>
            </w:r>
            <w:r w:rsidR="00DB1BD3" w:rsidRPr="00837BF1">
              <w:rPr>
                <w:rFonts w:ascii="Arial" w:hAnsi="Arial" w:cs="Arial"/>
              </w:rPr>
              <w:t xml:space="preserve"> (</w:t>
            </w:r>
            <w:r w:rsidR="00A77061" w:rsidRPr="00837BF1">
              <w:rPr>
                <w:rFonts w:ascii="Arial" w:hAnsi="Arial" w:cs="Arial"/>
              </w:rPr>
              <w:t>32.8, 37.4)</w:t>
            </w:r>
          </w:p>
          <w:p w14:paraId="10954F3C" w14:textId="4B0D6DA3" w:rsidR="001F1E9C" w:rsidRPr="00837BF1" w:rsidRDefault="001F1E9C" w:rsidP="00AB284D">
            <w:pPr>
              <w:jc w:val="center"/>
              <w:rPr>
                <w:rFonts w:ascii="Arial" w:hAnsi="Arial" w:cs="Arial"/>
              </w:rPr>
            </w:pPr>
          </w:p>
          <w:p w14:paraId="5D33F2EF" w14:textId="047C68E8" w:rsidR="001F1E9C" w:rsidRPr="00837BF1" w:rsidRDefault="001F1E9C" w:rsidP="00AB284D">
            <w:pPr>
              <w:jc w:val="center"/>
              <w:rPr>
                <w:rFonts w:ascii="Arial" w:hAnsi="Arial" w:cs="Arial"/>
              </w:rPr>
            </w:pPr>
            <w:r w:rsidRPr="00837BF1">
              <w:rPr>
                <w:rFonts w:ascii="Arial" w:hAnsi="Arial" w:cs="Arial"/>
              </w:rPr>
              <w:t>31.6</w:t>
            </w:r>
            <w:r w:rsidR="00A77061" w:rsidRPr="00837BF1">
              <w:rPr>
                <w:rFonts w:ascii="Arial" w:hAnsi="Arial" w:cs="Arial"/>
              </w:rPr>
              <w:t xml:space="preserve"> (30.2, 33.1)</w:t>
            </w:r>
          </w:p>
          <w:p w14:paraId="23A270B0" w14:textId="4CE2A7C2" w:rsidR="001F1E9C" w:rsidRPr="00837BF1" w:rsidRDefault="00BD499E" w:rsidP="00AB284D">
            <w:pPr>
              <w:jc w:val="center"/>
              <w:rPr>
                <w:rFonts w:ascii="Arial" w:hAnsi="Arial" w:cs="Arial"/>
              </w:rPr>
            </w:pPr>
            <w:r w:rsidRPr="00837BF1">
              <w:rPr>
                <w:rFonts w:ascii="Arial" w:hAnsi="Arial" w:cs="Arial"/>
              </w:rPr>
              <w:t>3</w:t>
            </w:r>
            <w:r w:rsidR="001F1E9C" w:rsidRPr="00837BF1">
              <w:rPr>
                <w:rFonts w:ascii="Arial" w:hAnsi="Arial" w:cs="Arial"/>
              </w:rPr>
              <w:t>6.2</w:t>
            </w:r>
            <w:r w:rsidR="00A77061" w:rsidRPr="00837BF1">
              <w:rPr>
                <w:rFonts w:ascii="Arial" w:hAnsi="Arial" w:cs="Arial"/>
              </w:rPr>
              <w:t xml:space="preserve"> (</w:t>
            </w:r>
            <w:r w:rsidR="00001746" w:rsidRPr="00837BF1">
              <w:rPr>
                <w:rFonts w:ascii="Arial" w:hAnsi="Arial" w:cs="Arial"/>
              </w:rPr>
              <w:t>29.6, 43.4)</w:t>
            </w:r>
          </w:p>
          <w:p w14:paraId="1F58B84A" w14:textId="29A2C0EE" w:rsidR="001F1E9C" w:rsidRPr="00837BF1" w:rsidRDefault="001F1E9C" w:rsidP="00AB284D">
            <w:pPr>
              <w:jc w:val="center"/>
              <w:rPr>
                <w:rFonts w:ascii="Arial" w:hAnsi="Arial" w:cs="Arial"/>
              </w:rPr>
            </w:pPr>
          </w:p>
          <w:p w14:paraId="63D04054" w14:textId="47A879D0" w:rsidR="001F1E9C" w:rsidRPr="00837BF1" w:rsidRDefault="001F1E9C" w:rsidP="00AB284D">
            <w:pPr>
              <w:jc w:val="center"/>
              <w:rPr>
                <w:rFonts w:ascii="Arial" w:hAnsi="Arial" w:cs="Arial"/>
              </w:rPr>
            </w:pPr>
            <w:r w:rsidRPr="00837BF1">
              <w:rPr>
                <w:rFonts w:ascii="Arial" w:hAnsi="Arial" w:cs="Arial"/>
              </w:rPr>
              <w:t>31.7</w:t>
            </w:r>
            <w:r w:rsidR="00001746" w:rsidRPr="00837BF1">
              <w:rPr>
                <w:rFonts w:ascii="Arial" w:hAnsi="Arial" w:cs="Arial"/>
              </w:rPr>
              <w:t xml:space="preserve"> (</w:t>
            </w:r>
            <w:r w:rsidR="003D5D28" w:rsidRPr="00837BF1">
              <w:rPr>
                <w:rFonts w:ascii="Arial" w:hAnsi="Arial" w:cs="Arial"/>
              </w:rPr>
              <w:t>30.1, 33.4)</w:t>
            </w:r>
          </w:p>
          <w:p w14:paraId="33B40046" w14:textId="26613CF4" w:rsidR="001F1E9C" w:rsidRPr="00837BF1" w:rsidRDefault="001F1E9C" w:rsidP="00AB284D">
            <w:pPr>
              <w:jc w:val="center"/>
              <w:rPr>
                <w:rFonts w:ascii="Arial" w:hAnsi="Arial" w:cs="Arial"/>
              </w:rPr>
            </w:pPr>
            <w:r w:rsidRPr="00837BF1">
              <w:rPr>
                <w:rFonts w:ascii="Arial" w:hAnsi="Arial" w:cs="Arial"/>
              </w:rPr>
              <w:t>32.3</w:t>
            </w:r>
            <w:r w:rsidR="003D5D28" w:rsidRPr="00837BF1">
              <w:rPr>
                <w:rFonts w:ascii="Arial" w:hAnsi="Arial" w:cs="Arial"/>
              </w:rPr>
              <w:t xml:space="preserve"> (29</w:t>
            </w:r>
            <w:r w:rsidR="00154DDC" w:rsidRPr="00837BF1">
              <w:rPr>
                <w:rFonts w:ascii="Arial" w:hAnsi="Arial" w:cs="Arial"/>
              </w:rPr>
              <w:t>.2, 35.6)</w:t>
            </w:r>
          </w:p>
          <w:p w14:paraId="6E36438A" w14:textId="32CA076F" w:rsidR="001F1E9C" w:rsidRPr="00837BF1" w:rsidRDefault="001F1E9C" w:rsidP="00AB284D">
            <w:pPr>
              <w:jc w:val="center"/>
              <w:rPr>
                <w:rFonts w:ascii="Arial" w:hAnsi="Arial" w:cs="Arial"/>
              </w:rPr>
            </w:pPr>
          </w:p>
          <w:p w14:paraId="0B8C025F" w14:textId="2E4D9ADD" w:rsidR="001F1E9C" w:rsidRPr="00837BF1" w:rsidRDefault="001F1E9C" w:rsidP="00AB284D">
            <w:pPr>
              <w:jc w:val="center"/>
              <w:rPr>
                <w:rFonts w:ascii="Arial" w:hAnsi="Arial" w:cs="Arial"/>
              </w:rPr>
            </w:pPr>
            <w:r w:rsidRPr="00837BF1">
              <w:rPr>
                <w:rFonts w:ascii="Arial" w:hAnsi="Arial" w:cs="Arial"/>
              </w:rPr>
              <w:t>31.5</w:t>
            </w:r>
            <w:r w:rsidR="00154DDC" w:rsidRPr="00837BF1">
              <w:rPr>
                <w:rFonts w:ascii="Arial" w:hAnsi="Arial" w:cs="Arial"/>
              </w:rPr>
              <w:t xml:space="preserve"> (</w:t>
            </w:r>
            <w:r w:rsidR="007F4AEB" w:rsidRPr="00837BF1">
              <w:rPr>
                <w:rFonts w:ascii="Arial" w:hAnsi="Arial" w:cs="Arial"/>
              </w:rPr>
              <w:t>30.1, 33.0)</w:t>
            </w:r>
          </w:p>
          <w:p w14:paraId="7DF3E876" w14:textId="4EC8956F" w:rsidR="001F1E9C" w:rsidRPr="00837BF1" w:rsidRDefault="001F1E9C" w:rsidP="00AB284D">
            <w:pPr>
              <w:jc w:val="center"/>
              <w:rPr>
                <w:rFonts w:ascii="Arial" w:hAnsi="Arial" w:cs="Arial"/>
              </w:rPr>
            </w:pPr>
            <w:r w:rsidRPr="00837BF1">
              <w:rPr>
                <w:rFonts w:ascii="Arial" w:hAnsi="Arial" w:cs="Arial"/>
              </w:rPr>
              <w:t>43.5</w:t>
            </w:r>
            <w:r w:rsidR="007F4AEB" w:rsidRPr="00837BF1">
              <w:rPr>
                <w:rFonts w:ascii="Arial" w:hAnsi="Arial" w:cs="Arial"/>
              </w:rPr>
              <w:t xml:space="preserve"> (34.4, 53.0)</w:t>
            </w:r>
          </w:p>
          <w:p w14:paraId="19869FE9" w14:textId="5CB175CD" w:rsidR="001F1E9C" w:rsidRPr="00837BF1" w:rsidRDefault="001F1E9C" w:rsidP="00AB284D">
            <w:pPr>
              <w:jc w:val="center"/>
              <w:rPr>
                <w:rFonts w:ascii="Arial" w:hAnsi="Arial" w:cs="Arial"/>
              </w:rPr>
            </w:pPr>
          </w:p>
          <w:p w14:paraId="1F01103E" w14:textId="59947652" w:rsidR="001F1E9C" w:rsidRPr="00837BF1" w:rsidRDefault="001F1E9C" w:rsidP="00AB284D">
            <w:pPr>
              <w:jc w:val="center"/>
              <w:rPr>
                <w:rFonts w:ascii="Arial" w:hAnsi="Arial" w:cs="Arial"/>
              </w:rPr>
            </w:pPr>
            <w:r w:rsidRPr="00837BF1">
              <w:rPr>
                <w:rFonts w:ascii="Arial" w:hAnsi="Arial" w:cs="Arial"/>
              </w:rPr>
              <w:t>31.5</w:t>
            </w:r>
            <w:r w:rsidR="007F4AEB" w:rsidRPr="00837BF1">
              <w:rPr>
                <w:rFonts w:ascii="Arial" w:hAnsi="Arial" w:cs="Arial"/>
              </w:rPr>
              <w:t xml:space="preserve"> (30.1, 33.0)</w:t>
            </w:r>
          </w:p>
          <w:p w14:paraId="24E1E478" w14:textId="2566F728" w:rsidR="001F1E9C" w:rsidRPr="00837BF1" w:rsidRDefault="001F1E9C" w:rsidP="00AB284D">
            <w:pPr>
              <w:jc w:val="center"/>
              <w:rPr>
                <w:rFonts w:ascii="Arial" w:hAnsi="Arial" w:cs="Arial"/>
              </w:rPr>
            </w:pPr>
            <w:r w:rsidRPr="00837BF1">
              <w:rPr>
                <w:rFonts w:ascii="Arial" w:hAnsi="Arial" w:cs="Arial"/>
              </w:rPr>
              <w:t>69.4</w:t>
            </w:r>
            <w:r w:rsidR="007F4AEB" w:rsidRPr="00837BF1">
              <w:rPr>
                <w:rFonts w:ascii="Arial" w:hAnsi="Arial" w:cs="Arial"/>
              </w:rPr>
              <w:t xml:space="preserve"> (</w:t>
            </w:r>
            <w:r w:rsidR="0000126E" w:rsidRPr="00837BF1">
              <w:rPr>
                <w:rFonts w:ascii="Arial" w:hAnsi="Arial" w:cs="Arial"/>
              </w:rPr>
              <w:t>51.2, 83.0)</w:t>
            </w:r>
          </w:p>
          <w:p w14:paraId="4D7E3FA8" w14:textId="7F5CE67F" w:rsidR="001F1E9C" w:rsidRPr="00837BF1" w:rsidRDefault="001F1E9C" w:rsidP="00AB284D">
            <w:pPr>
              <w:jc w:val="center"/>
              <w:rPr>
                <w:rFonts w:ascii="Arial" w:hAnsi="Arial" w:cs="Arial"/>
              </w:rPr>
            </w:pPr>
          </w:p>
          <w:p w14:paraId="2A038781" w14:textId="337D3828" w:rsidR="001F1E9C" w:rsidRPr="00837BF1" w:rsidRDefault="001F1E9C" w:rsidP="00AB284D">
            <w:pPr>
              <w:jc w:val="center"/>
              <w:rPr>
                <w:rFonts w:ascii="Arial" w:hAnsi="Arial" w:cs="Arial"/>
              </w:rPr>
            </w:pPr>
            <w:r w:rsidRPr="00837BF1">
              <w:rPr>
                <w:rFonts w:ascii="Arial" w:hAnsi="Arial" w:cs="Arial"/>
              </w:rPr>
              <w:t>31.5</w:t>
            </w:r>
            <w:r w:rsidR="0000126E" w:rsidRPr="00837BF1">
              <w:rPr>
                <w:rFonts w:ascii="Arial" w:hAnsi="Arial" w:cs="Arial"/>
              </w:rPr>
              <w:t xml:space="preserve"> (30.0, 32.9)</w:t>
            </w:r>
          </w:p>
          <w:p w14:paraId="4BCD1711" w14:textId="4BFFF824" w:rsidR="001F1E9C" w:rsidRPr="00837BF1" w:rsidRDefault="001F1E9C" w:rsidP="00AB284D">
            <w:pPr>
              <w:jc w:val="center"/>
              <w:rPr>
                <w:rFonts w:ascii="Arial" w:hAnsi="Arial" w:cs="Arial"/>
              </w:rPr>
            </w:pPr>
            <w:r w:rsidRPr="00837BF1">
              <w:rPr>
                <w:rFonts w:ascii="Arial" w:hAnsi="Arial" w:cs="Arial"/>
              </w:rPr>
              <w:t>46.2</w:t>
            </w:r>
            <w:r w:rsidR="0000126E" w:rsidRPr="00837BF1">
              <w:rPr>
                <w:rFonts w:ascii="Arial" w:hAnsi="Arial" w:cs="Arial"/>
              </w:rPr>
              <w:t xml:space="preserve"> (37.1, 55.5)</w:t>
            </w:r>
          </w:p>
          <w:p w14:paraId="7CE88969" w14:textId="7FEC8C95" w:rsidR="001F1E9C" w:rsidRPr="00837BF1" w:rsidRDefault="001F1E9C" w:rsidP="00AB284D">
            <w:pPr>
              <w:jc w:val="center"/>
              <w:rPr>
                <w:rFonts w:ascii="Arial" w:hAnsi="Arial" w:cs="Arial"/>
              </w:rPr>
            </w:pPr>
          </w:p>
          <w:p w14:paraId="30DA31AE" w14:textId="3FE63087" w:rsidR="001F1E9C" w:rsidRPr="00837BF1" w:rsidRDefault="001F1E9C" w:rsidP="00AB284D">
            <w:pPr>
              <w:jc w:val="center"/>
              <w:rPr>
                <w:rFonts w:ascii="Arial" w:hAnsi="Arial" w:cs="Arial"/>
              </w:rPr>
            </w:pPr>
            <w:r w:rsidRPr="00837BF1">
              <w:rPr>
                <w:rFonts w:ascii="Arial" w:hAnsi="Arial" w:cs="Arial"/>
              </w:rPr>
              <w:lastRenderedPageBreak/>
              <w:t>31.4</w:t>
            </w:r>
            <w:r w:rsidR="0000126E" w:rsidRPr="00837BF1">
              <w:rPr>
                <w:rFonts w:ascii="Arial" w:hAnsi="Arial" w:cs="Arial"/>
              </w:rPr>
              <w:t xml:space="preserve"> (29.9, 33.0)</w:t>
            </w:r>
          </w:p>
          <w:p w14:paraId="006B9650" w14:textId="0F6896A2" w:rsidR="001F1E9C" w:rsidRPr="00837BF1" w:rsidRDefault="001F1E9C" w:rsidP="00AB284D">
            <w:pPr>
              <w:jc w:val="center"/>
              <w:rPr>
                <w:rFonts w:ascii="Arial" w:hAnsi="Arial" w:cs="Arial"/>
              </w:rPr>
            </w:pPr>
            <w:r w:rsidRPr="00837BF1">
              <w:rPr>
                <w:rFonts w:ascii="Arial" w:hAnsi="Arial" w:cs="Arial"/>
              </w:rPr>
              <w:t>34.8</w:t>
            </w:r>
            <w:r w:rsidR="0000126E" w:rsidRPr="00837BF1">
              <w:rPr>
                <w:rFonts w:ascii="Arial" w:hAnsi="Arial" w:cs="Arial"/>
              </w:rPr>
              <w:t xml:space="preserve"> (</w:t>
            </w:r>
            <w:r w:rsidR="00D63243" w:rsidRPr="00837BF1">
              <w:rPr>
                <w:rFonts w:ascii="Arial" w:hAnsi="Arial" w:cs="Arial"/>
              </w:rPr>
              <w:t>30.6, 39.2)</w:t>
            </w:r>
          </w:p>
          <w:p w14:paraId="0596CC9A" w14:textId="562320AB" w:rsidR="001F1E9C" w:rsidRPr="00837BF1" w:rsidRDefault="001F1E9C" w:rsidP="00AB284D">
            <w:pPr>
              <w:jc w:val="center"/>
              <w:rPr>
                <w:rFonts w:ascii="Arial" w:hAnsi="Arial" w:cs="Arial"/>
              </w:rPr>
            </w:pPr>
          </w:p>
        </w:tc>
      </w:tr>
    </w:tbl>
    <w:p w14:paraId="0AE1DF39" w14:textId="7C17F6CD" w:rsidR="009E1A18" w:rsidRPr="00837BF1" w:rsidRDefault="00A77B6D" w:rsidP="00350DE7">
      <w:pPr>
        <w:rPr>
          <w:sz w:val="16"/>
          <w:szCs w:val="16"/>
        </w:rPr>
      </w:pPr>
      <w:r w:rsidRPr="00837BF1">
        <w:rPr>
          <w:sz w:val="16"/>
          <w:szCs w:val="16"/>
        </w:rPr>
        <w:lastRenderedPageBreak/>
        <w:t>Frequencies represent true n values (unweighted).</w:t>
      </w:r>
      <w:r w:rsidR="00AF6AC6" w:rsidRPr="00837BF1">
        <w:rPr>
          <w:sz w:val="16"/>
          <w:szCs w:val="16"/>
        </w:rPr>
        <w:t xml:space="preserve"> Percentages and prevalence rates are weighted estimates</w:t>
      </w:r>
      <w:r w:rsidR="009E20D5" w:rsidRPr="00837BF1">
        <w:rPr>
          <w:sz w:val="16"/>
          <w:szCs w:val="16"/>
        </w:rPr>
        <w:t>, with a cut-off GHQ score of 4 or more indicating psychological distress</w:t>
      </w:r>
      <w:r w:rsidR="00CA1B93" w:rsidRPr="00837BF1">
        <w:rPr>
          <w:sz w:val="16"/>
          <w:szCs w:val="16"/>
        </w:rPr>
        <w:t>.</w:t>
      </w:r>
    </w:p>
    <w:p w14:paraId="52775FBE" w14:textId="77777777" w:rsidR="00C5688E" w:rsidRPr="00837BF1" w:rsidRDefault="00C5688E" w:rsidP="00C5688E">
      <w:pPr>
        <w:rPr>
          <w:sz w:val="16"/>
          <w:szCs w:val="16"/>
        </w:rPr>
      </w:pPr>
      <w:r w:rsidRPr="00837BF1">
        <w:rPr>
          <w:sz w:val="16"/>
          <w:szCs w:val="16"/>
        </w:rPr>
        <w:t>95% CI, 95% confidence interval</w:t>
      </w:r>
    </w:p>
    <w:p w14:paraId="03106AB1" w14:textId="6644FBA1" w:rsidR="00C5688E" w:rsidRPr="00837BF1" w:rsidRDefault="00C5688E" w:rsidP="00350DE7">
      <w:pPr>
        <w:rPr>
          <w:sz w:val="16"/>
          <w:szCs w:val="16"/>
        </w:rPr>
      </w:pPr>
      <w:r w:rsidRPr="00837BF1">
        <w:rPr>
          <w:sz w:val="16"/>
          <w:szCs w:val="16"/>
        </w:rPr>
        <w:t>Prevalence</w:t>
      </w:r>
      <w:r w:rsidR="0029547F" w:rsidRPr="00837BF1">
        <w:rPr>
          <w:sz w:val="16"/>
          <w:szCs w:val="16"/>
        </w:rPr>
        <w:t xml:space="preserve"> rates presented are based on all available </w:t>
      </w:r>
      <w:r w:rsidRPr="00837BF1">
        <w:rPr>
          <w:sz w:val="16"/>
          <w:szCs w:val="16"/>
        </w:rPr>
        <w:t>data at baseline and April 2020 respectively.</w:t>
      </w:r>
    </w:p>
    <w:p w14:paraId="37D63A2D" w14:textId="03202ADC" w:rsidR="00817F99" w:rsidRPr="00837BF1" w:rsidRDefault="000E6DFE" w:rsidP="00350DE7">
      <w:pPr>
        <w:rPr>
          <w:sz w:val="16"/>
          <w:szCs w:val="16"/>
        </w:rPr>
      </w:pPr>
      <w:r w:rsidRPr="00837BF1">
        <w:rPr>
          <w:sz w:val="16"/>
          <w:szCs w:val="16"/>
        </w:rPr>
        <w:t>Two-tailed paired-</w:t>
      </w:r>
      <w:r w:rsidR="009E4D48" w:rsidRPr="00837BF1">
        <w:rPr>
          <w:sz w:val="16"/>
          <w:szCs w:val="16"/>
        </w:rPr>
        <w:t>proportions</w:t>
      </w:r>
      <w:r w:rsidRPr="00837BF1">
        <w:rPr>
          <w:sz w:val="16"/>
          <w:szCs w:val="16"/>
        </w:rPr>
        <w:t xml:space="preserve"> tests </w:t>
      </w:r>
      <w:r w:rsidR="00C5688E" w:rsidRPr="00837BF1">
        <w:rPr>
          <w:sz w:val="16"/>
          <w:szCs w:val="16"/>
        </w:rPr>
        <w:t xml:space="preserve">(based only on </w:t>
      </w:r>
      <w:r w:rsidR="00046D9E" w:rsidRPr="00837BF1">
        <w:rPr>
          <w:sz w:val="16"/>
          <w:szCs w:val="16"/>
        </w:rPr>
        <w:t xml:space="preserve">those with GHQ data at both time-points) </w:t>
      </w:r>
      <w:r w:rsidRPr="00837BF1">
        <w:rPr>
          <w:sz w:val="16"/>
          <w:szCs w:val="16"/>
        </w:rPr>
        <w:t xml:space="preserve">show a significant difference between baseline and April 2020 psychological distress </w:t>
      </w:r>
      <w:r w:rsidR="009E4D48" w:rsidRPr="00837BF1">
        <w:rPr>
          <w:sz w:val="16"/>
          <w:szCs w:val="16"/>
        </w:rPr>
        <w:t xml:space="preserve">at the 5% level </w:t>
      </w:r>
      <w:r w:rsidRPr="00837BF1">
        <w:rPr>
          <w:sz w:val="16"/>
          <w:szCs w:val="16"/>
        </w:rPr>
        <w:t>across all characteristics</w:t>
      </w:r>
      <w:r w:rsidR="009E4D48" w:rsidRPr="00837BF1">
        <w:rPr>
          <w:sz w:val="16"/>
          <w:szCs w:val="16"/>
        </w:rPr>
        <w:t>, with the exception of those of mixed ethnicity.</w:t>
      </w:r>
      <w:r w:rsidR="00FD7817" w:rsidRPr="00837BF1">
        <w:rPr>
          <w:sz w:val="16"/>
          <w:szCs w:val="16"/>
        </w:rPr>
        <w:t xml:space="preserve"> </w:t>
      </w:r>
    </w:p>
    <w:p w14:paraId="2FBCD8E1" w14:textId="77777777" w:rsidR="00F8590F" w:rsidRPr="00837BF1" w:rsidRDefault="00F8590F" w:rsidP="00120BA7">
      <w:pPr>
        <w:rPr>
          <w:b/>
          <w:bCs/>
          <w:i/>
          <w:iCs/>
        </w:rPr>
        <w:sectPr w:rsidR="00F8590F" w:rsidRPr="00837BF1" w:rsidSect="00837BF1">
          <w:type w:val="continuous"/>
          <w:pgSz w:w="11906" w:h="16838"/>
          <w:pgMar w:top="1440" w:right="1440" w:bottom="1440" w:left="1440" w:header="709" w:footer="709" w:gutter="0"/>
          <w:cols w:space="708"/>
          <w:docGrid w:linePitch="360"/>
        </w:sectPr>
      </w:pPr>
    </w:p>
    <w:p w14:paraId="238D5A38" w14:textId="70E4D411" w:rsidR="00120BA7" w:rsidRPr="00837BF1" w:rsidRDefault="00120BA7" w:rsidP="00120BA7">
      <w:pPr>
        <w:rPr>
          <w:rFonts w:ascii="Arial" w:hAnsi="Arial" w:cs="Arial"/>
          <w:b/>
          <w:bCs/>
          <w:i/>
          <w:iCs/>
        </w:rPr>
      </w:pPr>
      <w:r w:rsidRPr="00837BF1">
        <w:rPr>
          <w:rFonts w:ascii="Arial" w:hAnsi="Arial" w:cs="Arial"/>
          <w:b/>
          <w:bCs/>
          <w:i/>
          <w:iCs/>
        </w:rPr>
        <w:lastRenderedPageBreak/>
        <w:t>Table 2: Logistic regression models showing the association between reduced working and psychological distress among employees aged 18-65</w:t>
      </w:r>
      <w:r w:rsidR="00DB7CD3" w:rsidRPr="00837BF1">
        <w:rPr>
          <w:rFonts w:ascii="Arial" w:hAnsi="Arial" w:cs="Arial"/>
          <w:b/>
          <w:bCs/>
          <w:i/>
          <w:iCs/>
        </w:rPr>
        <w:t xml:space="preserve"> </w:t>
      </w:r>
    </w:p>
    <w:bookmarkEnd w:id="0"/>
    <w:tbl>
      <w:tblPr>
        <w:tblStyle w:val="TableGrid"/>
        <w:tblW w:w="0" w:type="auto"/>
        <w:tblLayout w:type="fixed"/>
        <w:tblLook w:val="04A0" w:firstRow="1" w:lastRow="0" w:firstColumn="1" w:lastColumn="0" w:noHBand="0" w:noVBand="1"/>
      </w:tblPr>
      <w:tblGrid>
        <w:gridCol w:w="5240"/>
        <w:gridCol w:w="851"/>
        <w:gridCol w:w="1275"/>
        <w:gridCol w:w="851"/>
        <w:gridCol w:w="1276"/>
        <w:gridCol w:w="992"/>
        <w:gridCol w:w="1276"/>
        <w:gridCol w:w="850"/>
        <w:gridCol w:w="1337"/>
      </w:tblGrid>
      <w:tr w:rsidR="00120BA7" w:rsidRPr="00837BF1" w14:paraId="3E889240" w14:textId="77777777" w:rsidTr="00D66187">
        <w:trPr>
          <w:trHeight w:val="537"/>
        </w:trPr>
        <w:tc>
          <w:tcPr>
            <w:tcW w:w="5240" w:type="dxa"/>
          </w:tcPr>
          <w:p w14:paraId="00CAEB3E" w14:textId="77777777" w:rsidR="00120BA7" w:rsidRPr="00837BF1" w:rsidRDefault="00120BA7" w:rsidP="00520D32">
            <w:pPr>
              <w:rPr>
                <w:rFonts w:ascii="Arial" w:hAnsi="Arial" w:cs="Arial"/>
              </w:rPr>
            </w:pPr>
          </w:p>
        </w:tc>
        <w:tc>
          <w:tcPr>
            <w:tcW w:w="2126" w:type="dxa"/>
            <w:gridSpan w:val="2"/>
          </w:tcPr>
          <w:p w14:paraId="03AF5549" w14:textId="784D2229" w:rsidR="00120BA7" w:rsidRPr="00837BF1" w:rsidRDefault="00120BA7" w:rsidP="00520D32">
            <w:pPr>
              <w:jc w:val="center"/>
              <w:rPr>
                <w:rFonts w:ascii="Arial" w:hAnsi="Arial" w:cs="Arial"/>
                <w:b/>
                <w:bCs/>
              </w:rPr>
            </w:pPr>
            <w:r w:rsidRPr="00837BF1">
              <w:rPr>
                <w:rFonts w:ascii="Arial" w:hAnsi="Arial" w:cs="Arial"/>
                <w:b/>
                <w:bCs/>
              </w:rPr>
              <w:t>Univariable association</w:t>
            </w:r>
            <w:r w:rsidR="00A42806" w:rsidRPr="00837BF1">
              <w:rPr>
                <w:rFonts w:ascii="Arial" w:hAnsi="Arial" w:cs="Arial"/>
                <w:b/>
                <w:bCs/>
              </w:rPr>
              <w:t xml:space="preserve"> with psycholo</w:t>
            </w:r>
            <w:r w:rsidR="00512A59" w:rsidRPr="00837BF1">
              <w:rPr>
                <w:rFonts w:ascii="Arial" w:hAnsi="Arial" w:cs="Arial"/>
                <w:b/>
                <w:bCs/>
              </w:rPr>
              <w:t>gical distress</w:t>
            </w:r>
            <w:r w:rsidRPr="00837BF1">
              <w:rPr>
                <w:rFonts w:ascii="Arial" w:hAnsi="Arial" w:cs="Arial"/>
                <w:b/>
                <w:bCs/>
              </w:rPr>
              <w:t xml:space="preserve"> </w:t>
            </w:r>
          </w:p>
        </w:tc>
        <w:tc>
          <w:tcPr>
            <w:tcW w:w="2127" w:type="dxa"/>
            <w:gridSpan w:val="2"/>
          </w:tcPr>
          <w:p w14:paraId="786787FE" w14:textId="77777777" w:rsidR="00120BA7" w:rsidRPr="00837BF1" w:rsidRDefault="00120BA7" w:rsidP="00520D32">
            <w:pPr>
              <w:jc w:val="center"/>
              <w:rPr>
                <w:rFonts w:ascii="Arial" w:hAnsi="Arial" w:cs="Arial"/>
                <w:b/>
                <w:bCs/>
              </w:rPr>
            </w:pPr>
            <w:r w:rsidRPr="00837BF1">
              <w:rPr>
                <w:rFonts w:ascii="Arial" w:hAnsi="Arial" w:cs="Arial"/>
                <w:b/>
                <w:bCs/>
              </w:rPr>
              <w:t>M1: adjustment for socio-demographic characteristics</w:t>
            </w:r>
          </w:p>
        </w:tc>
        <w:tc>
          <w:tcPr>
            <w:tcW w:w="2268" w:type="dxa"/>
            <w:gridSpan w:val="2"/>
          </w:tcPr>
          <w:p w14:paraId="36D902A2" w14:textId="77777777" w:rsidR="00120BA7" w:rsidRPr="00837BF1" w:rsidRDefault="00120BA7" w:rsidP="00520D32">
            <w:pPr>
              <w:jc w:val="center"/>
              <w:rPr>
                <w:rFonts w:ascii="Arial" w:hAnsi="Arial" w:cs="Arial"/>
                <w:b/>
                <w:bCs/>
              </w:rPr>
            </w:pPr>
            <w:r w:rsidRPr="00837BF1">
              <w:rPr>
                <w:rFonts w:ascii="Arial" w:hAnsi="Arial" w:cs="Arial"/>
                <w:b/>
                <w:bCs/>
              </w:rPr>
              <w:t>M2: M1 + adjustment for socio-economic characteristics</w:t>
            </w:r>
          </w:p>
        </w:tc>
        <w:tc>
          <w:tcPr>
            <w:tcW w:w="2187" w:type="dxa"/>
            <w:gridSpan w:val="2"/>
          </w:tcPr>
          <w:p w14:paraId="3E46D5E5" w14:textId="4A49A8E3" w:rsidR="00120BA7" w:rsidRPr="00837BF1" w:rsidRDefault="00120BA7" w:rsidP="00520D32">
            <w:pPr>
              <w:jc w:val="center"/>
              <w:rPr>
                <w:rFonts w:ascii="Arial" w:hAnsi="Arial" w:cs="Arial"/>
                <w:b/>
                <w:bCs/>
              </w:rPr>
            </w:pPr>
            <w:r w:rsidRPr="00837BF1">
              <w:rPr>
                <w:rFonts w:ascii="Arial" w:hAnsi="Arial" w:cs="Arial"/>
                <w:b/>
                <w:bCs/>
              </w:rPr>
              <w:t>M3: M2 + adjustment for baseline psychol</w:t>
            </w:r>
            <w:r w:rsidR="00512A59" w:rsidRPr="00837BF1">
              <w:rPr>
                <w:rFonts w:ascii="Arial" w:hAnsi="Arial" w:cs="Arial"/>
                <w:b/>
                <w:bCs/>
              </w:rPr>
              <w:t>ogical</w:t>
            </w:r>
            <w:r w:rsidRPr="00837BF1">
              <w:rPr>
                <w:rFonts w:ascii="Arial" w:hAnsi="Arial" w:cs="Arial"/>
                <w:b/>
                <w:bCs/>
              </w:rPr>
              <w:t xml:space="preserve"> distress</w:t>
            </w:r>
          </w:p>
        </w:tc>
      </w:tr>
      <w:tr w:rsidR="006733DB" w:rsidRPr="00837BF1" w14:paraId="31F62DA1" w14:textId="77777777" w:rsidTr="00D66187">
        <w:trPr>
          <w:trHeight w:val="287"/>
        </w:trPr>
        <w:tc>
          <w:tcPr>
            <w:tcW w:w="5240" w:type="dxa"/>
          </w:tcPr>
          <w:p w14:paraId="185F75D9" w14:textId="77777777" w:rsidR="00120BA7" w:rsidRPr="00837BF1" w:rsidRDefault="00120BA7" w:rsidP="00520D32">
            <w:pPr>
              <w:rPr>
                <w:rFonts w:ascii="Arial" w:hAnsi="Arial" w:cs="Arial"/>
              </w:rPr>
            </w:pPr>
          </w:p>
        </w:tc>
        <w:tc>
          <w:tcPr>
            <w:tcW w:w="851" w:type="dxa"/>
          </w:tcPr>
          <w:p w14:paraId="2138BC15" w14:textId="77777777" w:rsidR="00120BA7" w:rsidRPr="00837BF1" w:rsidRDefault="00120BA7" w:rsidP="00520D32">
            <w:pPr>
              <w:jc w:val="center"/>
              <w:rPr>
                <w:rFonts w:ascii="Arial" w:hAnsi="Arial" w:cs="Arial"/>
                <w:b/>
                <w:bCs/>
              </w:rPr>
            </w:pPr>
            <w:r w:rsidRPr="00837BF1">
              <w:rPr>
                <w:rFonts w:ascii="Arial" w:hAnsi="Arial" w:cs="Arial"/>
                <w:b/>
                <w:bCs/>
              </w:rPr>
              <w:t>OR</w:t>
            </w:r>
          </w:p>
        </w:tc>
        <w:tc>
          <w:tcPr>
            <w:tcW w:w="1275" w:type="dxa"/>
          </w:tcPr>
          <w:p w14:paraId="18943897" w14:textId="77777777" w:rsidR="00120BA7" w:rsidRPr="00837BF1" w:rsidRDefault="00120BA7" w:rsidP="00520D32">
            <w:pPr>
              <w:jc w:val="center"/>
              <w:rPr>
                <w:rFonts w:ascii="Arial" w:hAnsi="Arial" w:cs="Arial"/>
                <w:b/>
                <w:bCs/>
              </w:rPr>
            </w:pPr>
            <w:r w:rsidRPr="00837BF1">
              <w:rPr>
                <w:rFonts w:ascii="Arial" w:hAnsi="Arial" w:cs="Arial"/>
                <w:b/>
                <w:bCs/>
              </w:rPr>
              <w:t>95% CI</w:t>
            </w:r>
          </w:p>
        </w:tc>
        <w:tc>
          <w:tcPr>
            <w:tcW w:w="851" w:type="dxa"/>
          </w:tcPr>
          <w:p w14:paraId="094BACDC" w14:textId="77777777" w:rsidR="00120BA7" w:rsidRPr="00837BF1" w:rsidRDefault="00120BA7" w:rsidP="00520D32">
            <w:pPr>
              <w:jc w:val="center"/>
              <w:rPr>
                <w:rFonts w:ascii="Arial" w:hAnsi="Arial" w:cs="Arial"/>
                <w:b/>
                <w:bCs/>
              </w:rPr>
            </w:pPr>
            <w:r w:rsidRPr="00837BF1">
              <w:rPr>
                <w:rFonts w:ascii="Arial" w:hAnsi="Arial" w:cs="Arial"/>
                <w:b/>
                <w:bCs/>
              </w:rPr>
              <w:t>OR</w:t>
            </w:r>
          </w:p>
        </w:tc>
        <w:tc>
          <w:tcPr>
            <w:tcW w:w="1276" w:type="dxa"/>
          </w:tcPr>
          <w:p w14:paraId="373329A5" w14:textId="77777777" w:rsidR="00120BA7" w:rsidRPr="00837BF1" w:rsidRDefault="00120BA7" w:rsidP="00520D32">
            <w:pPr>
              <w:jc w:val="center"/>
              <w:rPr>
                <w:rFonts w:ascii="Arial" w:hAnsi="Arial" w:cs="Arial"/>
                <w:b/>
                <w:bCs/>
              </w:rPr>
            </w:pPr>
            <w:r w:rsidRPr="00837BF1">
              <w:rPr>
                <w:rFonts w:ascii="Arial" w:hAnsi="Arial" w:cs="Arial"/>
                <w:b/>
                <w:bCs/>
              </w:rPr>
              <w:t>95% CI</w:t>
            </w:r>
          </w:p>
        </w:tc>
        <w:tc>
          <w:tcPr>
            <w:tcW w:w="992" w:type="dxa"/>
          </w:tcPr>
          <w:p w14:paraId="40D181D9" w14:textId="77777777" w:rsidR="00120BA7" w:rsidRPr="00837BF1" w:rsidRDefault="00120BA7" w:rsidP="00520D32">
            <w:pPr>
              <w:jc w:val="center"/>
              <w:rPr>
                <w:rFonts w:ascii="Arial" w:hAnsi="Arial" w:cs="Arial"/>
                <w:b/>
                <w:bCs/>
              </w:rPr>
            </w:pPr>
            <w:r w:rsidRPr="00837BF1">
              <w:rPr>
                <w:rFonts w:ascii="Arial" w:hAnsi="Arial" w:cs="Arial"/>
                <w:b/>
                <w:bCs/>
              </w:rPr>
              <w:t>OR</w:t>
            </w:r>
          </w:p>
        </w:tc>
        <w:tc>
          <w:tcPr>
            <w:tcW w:w="1276" w:type="dxa"/>
          </w:tcPr>
          <w:p w14:paraId="406F32AE" w14:textId="77777777" w:rsidR="00120BA7" w:rsidRPr="00837BF1" w:rsidRDefault="00120BA7" w:rsidP="00520D32">
            <w:pPr>
              <w:jc w:val="center"/>
              <w:rPr>
                <w:rFonts w:ascii="Arial" w:hAnsi="Arial" w:cs="Arial"/>
                <w:b/>
                <w:bCs/>
              </w:rPr>
            </w:pPr>
            <w:r w:rsidRPr="00837BF1">
              <w:rPr>
                <w:rFonts w:ascii="Arial" w:hAnsi="Arial" w:cs="Arial"/>
                <w:b/>
                <w:bCs/>
              </w:rPr>
              <w:t>95% CI</w:t>
            </w:r>
          </w:p>
        </w:tc>
        <w:tc>
          <w:tcPr>
            <w:tcW w:w="850" w:type="dxa"/>
          </w:tcPr>
          <w:p w14:paraId="04F816AE" w14:textId="77777777" w:rsidR="00120BA7" w:rsidRPr="00837BF1" w:rsidRDefault="00120BA7" w:rsidP="00520D32">
            <w:pPr>
              <w:jc w:val="center"/>
              <w:rPr>
                <w:rFonts w:ascii="Arial" w:hAnsi="Arial" w:cs="Arial"/>
                <w:b/>
                <w:bCs/>
              </w:rPr>
            </w:pPr>
            <w:r w:rsidRPr="00837BF1">
              <w:rPr>
                <w:rFonts w:ascii="Arial" w:hAnsi="Arial" w:cs="Arial"/>
                <w:b/>
                <w:bCs/>
              </w:rPr>
              <w:t>OR</w:t>
            </w:r>
          </w:p>
        </w:tc>
        <w:tc>
          <w:tcPr>
            <w:tcW w:w="1337" w:type="dxa"/>
          </w:tcPr>
          <w:p w14:paraId="3C8AC00B" w14:textId="77777777" w:rsidR="00120BA7" w:rsidRPr="00837BF1" w:rsidRDefault="00120BA7" w:rsidP="00520D32">
            <w:pPr>
              <w:jc w:val="center"/>
              <w:rPr>
                <w:rFonts w:ascii="Arial" w:hAnsi="Arial" w:cs="Arial"/>
                <w:b/>
                <w:bCs/>
              </w:rPr>
            </w:pPr>
            <w:r w:rsidRPr="00837BF1">
              <w:rPr>
                <w:rFonts w:ascii="Arial" w:hAnsi="Arial" w:cs="Arial"/>
                <w:b/>
                <w:bCs/>
              </w:rPr>
              <w:t>95% CI</w:t>
            </w:r>
          </w:p>
        </w:tc>
      </w:tr>
      <w:tr w:rsidR="006733DB" w:rsidRPr="00837BF1" w14:paraId="22D305C9" w14:textId="77777777" w:rsidTr="00D66187">
        <w:trPr>
          <w:trHeight w:val="5004"/>
        </w:trPr>
        <w:tc>
          <w:tcPr>
            <w:tcW w:w="5240" w:type="dxa"/>
          </w:tcPr>
          <w:p w14:paraId="4C4145D7" w14:textId="77777777" w:rsidR="00120BA7" w:rsidRPr="00837BF1" w:rsidRDefault="00120BA7" w:rsidP="00520D32">
            <w:pPr>
              <w:rPr>
                <w:rFonts w:ascii="Arial" w:hAnsi="Arial" w:cs="Arial"/>
                <w:b/>
                <w:bCs/>
              </w:rPr>
            </w:pPr>
            <w:r w:rsidRPr="00837BF1">
              <w:rPr>
                <w:rFonts w:ascii="Arial" w:hAnsi="Arial" w:cs="Arial"/>
                <w:b/>
                <w:bCs/>
              </w:rPr>
              <w:t>Reduced working hours (reference: no)</w:t>
            </w:r>
          </w:p>
          <w:p w14:paraId="7F212676" w14:textId="77777777" w:rsidR="00120BA7" w:rsidRPr="00837BF1" w:rsidRDefault="00120BA7" w:rsidP="00520D32">
            <w:pPr>
              <w:ind w:left="720"/>
              <w:rPr>
                <w:rFonts w:ascii="Arial" w:hAnsi="Arial" w:cs="Arial"/>
              </w:rPr>
            </w:pPr>
            <w:r w:rsidRPr="00837BF1">
              <w:rPr>
                <w:rFonts w:ascii="Arial" w:hAnsi="Arial" w:cs="Arial"/>
              </w:rPr>
              <w:t>Yes</w:t>
            </w:r>
          </w:p>
          <w:p w14:paraId="35CD8982" w14:textId="77777777" w:rsidR="00120BA7" w:rsidRPr="00837BF1" w:rsidRDefault="00120BA7" w:rsidP="00520D32">
            <w:pPr>
              <w:rPr>
                <w:rFonts w:ascii="Arial" w:hAnsi="Arial" w:cs="Arial"/>
                <w:b/>
                <w:bCs/>
              </w:rPr>
            </w:pPr>
            <w:r w:rsidRPr="00837BF1">
              <w:rPr>
                <w:rFonts w:ascii="Arial" w:hAnsi="Arial" w:cs="Arial"/>
                <w:b/>
                <w:bCs/>
              </w:rPr>
              <w:t>Age category (reference: 18-24)</w:t>
            </w:r>
          </w:p>
          <w:p w14:paraId="292117D2" w14:textId="77777777" w:rsidR="00120BA7" w:rsidRPr="00837BF1" w:rsidRDefault="00120BA7" w:rsidP="00520D32">
            <w:pPr>
              <w:ind w:left="720"/>
              <w:rPr>
                <w:rFonts w:ascii="Arial" w:hAnsi="Arial" w:cs="Arial"/>
              </w:rPr>
            </w:pPr>
            <w:r w:rsidRPr="00837BF1">
              <w:rPr>
                <w:rFonts w:ascii="Arial" w:hAnsi="Arial" w:cs="Arial"/>
              </w:rPr>
              <w:t>25-34</w:t>
            </w:r>
          </w:p>
          <w:p w14:paraId="759B93B9" w14:textId="77777777" w:rsidR="00120BA7" w:rsidRPr="00837BF1" w:rsidRDefault="00120BA7" w:rsidP="00520D32">
            <w:pPr>
              <w:ind w:left="720"/>
              <w:rPr>
                <w:rFonts w:ascii="Arial" w:hAnsi="Arial" w:cs="Arial"/>
              </w:rPr>
            </w:pPr>
            <w:r w:rsidRPr="00837BF1">
              <w:rPr>
                <w:rFonts w:ascii="Arial" w:hAnsi="Arial" w:cs="Arial"/>
              </w:rPr>
              <w:t>35-44</w:t>
            </w:r>
          </w:p>
          <w:p w14:paraId="6C7F2880" w14:textId="77777777" w:rsidR="00120BA7" w:rsidRPr="00837BF1" w:rsidRDefault="00120BA7" w:rsidP="00520D32">
            <w:pPr>
              <w:ind w:left="720"/>
              <w:rPr>
                <w:rFonts w:ascii="Arial" w:hAnsi="Arial" w:cs="Arial"/>
              </w:rPr>
            </w:pPr>
            <w:r w:rsidRPr="00837BF1">
              <w:rPr>
                <w:rFonts w:ascii="Arial" w:hAnsi="Arial" w:cs="Arial"/>
              </w:rPr>
              <w:t>45-54</w:t>
            </w:r>
          </w:p>
          <w:p w14:paraId="21A11074" w14:textId="2C9354C0" w:rsidR="00120BA7" w:rsidRPr="00837BF1" w:rsidRDefault="00120BA7" w:rsidP="009A1E68">
            <w:pPr>
              <w:ind w:left="720"/>
              <w:rPr>
                <w:rFonts w:ascii="Arial" w:hAnsi="Arial" w:cs="Arial"/>
              </w:rPr>
            </w:pPr>
            <w:r w:rsidRPr="00837BF1">
              <w:rPr>
                <w:rFonts w:ascii="Arial" w:hAnsi="Arial" w:cs="Arial"/>
              </w:rPr>
              <w:t>55-65</w:t>
            </w:r>
          </w:p>
          <w:p w14:paraId="3135995E" w14:textId="28C4C67E" w:rsidR="00120BA7" w:rsidRPr="00837BF1" w:rsidRDefault="00120BA7" w:rsidP="00520D32">
            <w:pPr>
              <w:rPr>
                <w:rFonts w:ascii="Arial" w:hAnsi="Arial" w:cs="Arial"/>
                <w:b/>
                <w:bCs/>
              </w:rPr>
            </w:pPr>
            <w:r w:rsidRPr="00837BF1">
              <w:rPr>
                <w:rFonts w:ascii="Arial" w:hAnsi="Arial" w:cs="Arial"/>
                <w:b/>
                <w:bCs/>
              </w:rPr>
              <w:t>Sex (reference: male)</w:t>
            </w:r>
          </w:p>
          <w:p w14:paraId="4CE7AD75" w14:textId="66648965" w:rsidR="00120BA7" w:rsidRPr="00837BF1" w:rsidRDefault="00120BA7" w:rsidP="00520D32">
            <w:pPr>
              <w:rPr>
                <w:rFonts w:ascii="Arial" w:hAnsi="Arial" w:cs="Arial"/>
                <w:b/>
                <w:bCs/>
              </w:rPr>
            </w:pPr>
            <w:r w:rsidRPr="00837BF1">
              <w:rPr>
                <w:rFonts w:ascii="Arial" w:hAnsi="Arial" w:cs="Arial"/>
                <w:b/>
                <w:bCs/>
              </w:rPr>
              <w:t>Living in a couple (reference: yes)</w:t>
            </w:r>
          </w:p>
          <w:p w14:paraId="6EF633D9" w14:textId="6AF48A98" w:rsidR="00120BA7" w:rsidRPr="00837BF1" w:rsidRDefault="00120BA7" w:rsidP="00520D32">
            <w:pPr>
              <w:rPr>
                <w:rFonts w:ascii="Arial" w:hAnsi="Arial" w:cs="Arial"/>
                <w:b/>
                <w:bCs/>
              </w:rPr>
            </w:pPr>
            <w:r w:rsidRPr="00837BF1">
              <w:rPr>
                <w:rFonts w:ascii="Arial" w:hAnsi="Arial" w:cs="Arial"/>
                <w:b/>
                <w:bCs/>
              </w:rPr>
              <w:t>Ethnicity (reference: white</w:t>
            </w:r>
            <w:r w:rsidR="0026425E" w:rsidRPr="00837BF1">
              <w:rPr>
                <w:rFonts w:ascii="Arial" w:hAnsi="Arial" w:cs="Arial"/>
                <w:b/>
                <w:bCs/>
              </w:rPr>
              <w:t xml:space="preserve"> </w:t>
            </w:r>
            <w:r w:rsidR="00E17996" w:rsidRPr="00837BF1">
              <w:rPr>
                <w:rFonts w:ascii="Arial" w:hAnsi="Arial" w:cs="Arial"/>
                <w:b/>
                <w:bCs/>
              </w:rPr>
              <w:t>(</w:t>
            </w:r>
            <w:r w:rsidRPr="00837BF1">
              <w:rPr>
                <w:rFonts w:ascii="Arial" w:hAnsi="Arial" w:cs="Arial"/>
                <w:b/>
                <w:bCs/>
              </w:rPr>
              <w:t>British</w:t>
            </w:r>
            <w:r w:rsidR="00E17996" w:rsidRPr="00837BF1">
              <w:rPr>
                <w:rFonts w:ascii="Arial" w:hAnsi="Arial" w:cs="Arial"/>
                <w:b/>
                <w:bCs/>
              </w:rPr>
              <w:t>)</w:t>
            </w:r>
            <w:r w:rsidRPr="00837BF1">
              <w:rPr>
                <w:rFonts w:ascii="Arial" w:hAnsi="Arial" w:cs="Arial"/>
                <w:b/>
                <w:bCs/>
              </w:rPr>
              <w:t>):</w:t>
            </w:r>
          </w:p>
          <w:p w14:paraId="762FFD92" w14:textId="360E05C3" w:rsidR="00120BA7" w:rsidRPr="00837BF1" w:rsidRDefault="00120BA7" w:rsidP="00520D32">
            <w:pPr>
              <w:ind w:left="720"/>
              <w:rPr>
                <w:rFonts w:ascii="Arial" w:hAnsi="Arial" w:cs="Arial"/>
              </w:rPr>
            </w:pPr>
            <w:r w:rsidRPr="00837BF1">
              <w:rPr>
                <w:rFonts w:ascii="Arial" w:hAnsi="Arial" w:cs="Arial"/>
              </w:rPr>
              <w:t>White</w:t>
            </w:r>
            <w:r w:rsidR="0026425E" w:rsidRPr="00837BF1">
              <w:rPr>
                <w:rFonts w:ascii="Arial" w:hAnsi="Arial" w:cs="Arial"/>
              </w:rPr>
              <w:t xml:space="preserve"> (</w:t>
            </w:r>
            <w:r w:rsidRPr="00837BF1">
              <w:rPr>
                <w:rFonts w:ascii="Arial" w:hAnsi="Arial" w:cs="Arial"/>
              </w:rPr>
              <w:t>non-British)</w:t>
            </w:r>
          </w:p>
          <w:p w14:paraId="2A1FC00E" w14:textId="77777777" w:rsidR="00120BA7" w:rsidRPr="00837BF1" w:rsidRDefault="00120BA7" w:rsidP="00520D32">
            <w:pPr>
              <w:ind w:left="720"/>
              <w:rPr>
                <w:rFonts w:ascii="Arial" w:hAnsi="Arial" w:cs="Arial"/>
              </w:rPr>
            </w:pPr>
            <w:r w:rsidRPr="00837BF1">
              <w:rPr>
                <w:rFonts w:ascii="Arial" w:hAnsi="Arial" w:cs="Arial"/>
              </w:rPr>
              <w:t>Mixed</w:t>
            </w:r>
          </w:p>
          <w:p w14:paraId="1F178FDC" w14:textId="77777777" w:rsidR="00120BA7" w:rsidRPr="00837BF1" w:rsidRDefault="00120BA7" w:rsidP="00520D32">
            <w:pPr>
              <w:ind w:left="720"/>
              <w:rPr>
                <w:rFonts w:ascii="Arial" w:hAnsi="Arial" w:cs="Arial"/>
              </w:rPr>
            </w:pPr>
            <w:r w:rsidRPr="00837BF1">
              <w:rPr>
                <w:rFonts w:ascii="Arial" w:hAnsi="Arial" w:cs="Arial"/>
              </w:rPr>
              <w:t>Asian</w:t>
            </w:r>
          </w:p>
          <w:p w14:paraId="65F6BC4B" w14:textId="77777777" w:rsidR="00120BA7" w:rsidRPr="00837BF1" w:rsidRDefault="00120BA7" w:rsidP="00520D32">
            <w:pPr>
              <w:ind w:left="720"/>
              <w:rPr>
                <w:rFonts w:ascii="Arial" w:hAnsi="Arial" w:cs="Arial"/>
              </w:rPr>
            </w:pPr>
            <w:r w:rsidRPr="00837BF1">
              <w:rPr>
                <w:rFonts w:ascii="Arial" w:hAnsi="Arial" w:cs="Arial"/>
              </w:rPr>
              <w:t>Black</w:t>
            </w:r>
          </w:p>
          <w:p w14:paraId="03414357" w14:textId="679B9D15" w:rsidR="00120BA7" w:rsidRPr="00837BF1" w:rsidRDefault="00120BA7" w:rsidP="0062485A">
            <w:pPr>
              <w:ind w:left="720"/>
              <w:rPr>
                <w:rFonts w:ascii="Arial" w:hAnsi="Arial" w:cs="Arial"/>
              </w:rPr>
            </w:pPr>
            <w:r w:rsidRPr="00837BF1">
              <w:rPr>
                <w:rFonts w:ascii="Arial" w:hAnsi="Arial" w:cs="Arial"/>
              </w:rPr>
              <w:t>Other</w:t>
            </w:r>
          </w:p>
          <w:p w14:paraId="7CD65633" w14:textId="013C2DBE" w:rsidR="00120BA7" w:rsidRPr="00837BF1" w:rsidRDefault="00120BA7" w:rsidP="00520D32">
            <w:pPr>
              <w:rPr>
                <w:rFonts w:ascii="Arial" w:hAnsi="Arial" w:cs="Arial"/>
                <w:b/>
                <w:bCs/>
              </w:rPr>
            </w:pPr>
            <w:r w:rsidRPr="00837BF1">
              <w:rPr>
                <w:rFonts w:ascii="Arial" w:hAnsi="Arial" w:cs="Arial"/>
                <w:b/>
                <w:bCs/>
              </w:rPr>
              <w:t>Baseline household earnings (reference: &lt;£165)</w:t>
            </w:r>
          </w:p>
          <w:p w14:paraId="45B5E02F" w14:textId="2897A3B9" w:rsidR="00120BA7" w:rsidRPr="00837BF1" w:rsidRDefault="00120BA7" w:rsidP="00520D32">
            <w:pPr>
              <w:rPr>
                <w:rFonts w:ascii="Arial" w:hAnsi="Arial" w:cs="Arial"/>
                <w:b/>
                <w:bCs/>
              </w:rPr>
            </w:pPr>
            <w:r w:rsidRPr="00837BF1">
              <w:rPr>
                <w:rFonts w:ascii="Arial" w:hAnsi="Arial" w:cs="Arial"/>
                <w:b/>
                <w:bCs/>
              </w:rPr>
              <w:t>Subjective financial sit</w:t>
            </w:r>
            <w:r w:rsidR="0026425E" w:rsidRPr="00837BF1">
              <w:rPr>
                <w:rFonts w:ascii="Arial" w:hAnsi="Arial" w:cs="Arial"/>
                <w:b/>
                <w:bCs/>
              </w:rPr>
              <w:t>uatio</w:t>
            </w:r>
            <w:r w:rsidRPr="00837BF1">
              <w:rPr>
                <w:rFonts w:ascii="Arial" w:hAnsi="Arial" w:cs="Arial"/>
                <w:b/>
                <w:bCs/>
              </w:rPr>
              <w:t xml:space="preserve">n </w:t>
            </w:r>
            <w:r w:rsidR="006733DB" w:rsidRPr="00837BF1">
              <w:rPr>
                <w:rFonts w:ascii="Arial" w:hAnsi="Arial" w:cs="Arial"/>
                <w:b/>
                <w:bCs/>
              </w:rPr>
              <w:t xml:space="preserve"> </w:t>
            </w:r>
            <w:r w:rsidRPr="00837BF1">
              <w:rPr>
                <w:rFonts w:ascii="Arial" w:hAnsi="Arial" w:cs="Arial"/>
                <w:b/>
                <w:bCs/>
              </w:rPr>
              <w:t>(ref</w:t>
            </w:r>
            <w:r w:rsidR="0026425E" w:rsidRPr="00837BF1">
              <w:rPr>
                <w:rFonts w:ascii="Arial" w:hAnsi="Arial" w:cs="Arial"/>
                <w:b/>
                <w:bCs/>
              </w:rPr>
              <w:t>erence</w:t>
            </w:r>
            <w:r w:rsidRPr="00837BF1">
              <w:rPr>
                <w:rFonts w:ascii="Arial" w:hAnsi="Arial" w:cs="Arial"/>
                <w:b/>
                <w:bCs/>
              </w:rPr>
              <w:t xml:space="preserve">: </w:t>
            </w:r>
            <w:r w:rsidR="00CF3B42" w:rsidRPr="00837BF1">
              <w:rPr>
                <w:rFonts w:ascii="Arial" w:hAnsi="Arial" w:cs="Arial"/>
                <w:b/>
                <w:bCs/>
              </w:rPr>
              <w:t>comfortable</w:t>
            </w:r>
            <w:r w:rsidRPr="00837BF1">
              <w:rPr>
                <w:rFonts w:ascii="Arial" w:hAnsi="Arial" w:cs="Arial"/>
                <w:b/>
                <w:bCs/>
              </w:rPr>
              <w:t>)</w:t>
            </w:r>
          </w:p>
          <w:p w14:paraId="6D663613" w14:textId="77777777" w:rsidR="00120BA7" w:rsidRPr="00837BF1" w:rsidRDefault="00120BA7" w:rsidP="00520D32">
            <w:pPr>
              <w:ind w:left="720"/>
              <w:rPr>
                <w:rFonts w:ascii="Arial" w:hAnsi="Arial" w:cs="Arial"/>
              </w:rPr>
            </w:pPr>
            <w:r w:rsidRPr="00837BF1">
              <w:rPr>
                <w:rFonts w:ascii="Arial" w:hAnsi="Arial" w:cs="Arial"/>
              </w:rPr>
              <w:t>Just about getting by</w:t>
            </w:r>
          </w:p>
          <w:p w14:paraId="6E21843F" w14:textId="05DC6D27" w:rsidR="00120BA7" w:rsidRPr="00837BF1" w:rsidRDefault="00120BA7" w:rsidP="00F97DD5">
            <w:pPr>
              <w:ind w:left="720"/>
              <w:rPr>
                <w:rFonts w:ascii="Arial" w:hAnsi="Arial" w:cs="Arial"/>
              </w:rPr>
            </w:pPr>
            <w:r w:rsidRPr="00837BF1">
              <w:rPr>
                <w:rFonts w:ascii="Arial" w:hAnsi="Arial" w:cs="Arial"/>
              </w:rPr>
              <w:t>Finding it difficult/very difficult</w:t>
            </w:r>
          </w:p>
          <w:p w14:paraId="16DB5C07" w14:textId="77CA66AD" w:rsidR="00120BA7" w:rsidRPr="00837BF1" w:rsidRDefault="00120BA7" w:rsidP="00520D32">
            <w:pPr>
              <w:rPr>
                <w:rFonts w:ascii="Arial" w:hAnsi="Arial" w:cs="Arial"/>
                <w:b/>
                <w:bCs/>
              </w:rPr>
            </w:pPr>
            <w:r w:rsidRPr="00837BF1">
              <w:rPr>
                <w:rFonts w:ascii="Arial" w:hAnsi="Arial" w:cs="Arial"/>
                <w:b/>
                <w:bCs/>
              </w:rPr>
              <w:t>Baseline psychological distress (ref</w:t>
            </w:r>
            <w:r w:rsidR="00E17996" w:rsidRPr="00837BF1">
              <w:rPr>
                <w:rFonts w:ascii="Arial" w:hAnsi="Arial" w:cs="Arial"/>
                <w:b/>
                <w:bCs/>
              </w:rPr>
              <w:t>erence</w:t>
            </w:r>
            <w:r w:rsidRPr="00837BF1">
              <w:rPr>
                <w:rFonts w:ascii="Arial" w:hAnsi="Arial" w:cs="Arial"/>
                <w:b/>
                <w:bCs/>
              </w:rPr>
              <w:t>: no)</w:t>
            </w:r>
          </w:p>
        </w:tc>
        <w:tc>
          <w:tcPr>
            <w:tcW w:w="851" w:type="dxa"/>
          </w:tcPr>
          <w:p w14:paraId="786624D3" w14:textId="77777777" w:rsidR="00120BA7" w:rsidRPr="00837BF1" w:rsidRDefault="00120BA7" w:rsidP="00520D32">
            <w:pPr>
              <w:jc w:val="center"/>
              <w:rPr>
                <w:rFonts w:ascii="Arial" w:hAnsi="Arial" w:cs="Arial"/>
              </w:rPr>
            </w:pPr>
          </w:p>
          <w:p w14:paraId="7548BA3F" w14:textId="45CFF3D2" w:rsidR="004D2860" w:rsidRPr="00837BF1" w:rsidRDefault="00120BA7" w:rsidP="00C73A3B">
            <w:pPr>
              <w:jc w:val="center"/>
              <w:rPr>
                <w:rFonts w:ascii="Arial" w:hAnsi="Arial" w:cs="Arial"/>
                <w:b/>
                <w:bCs/>
              </w:rPr>
            </w:pPr>
            <w:r w:rsidRPr="00837BF1">
              <w:rPr>
                <w:rFonts w:ascii="Arial" w:hAnsi="Arial" w:cs="Arial"/>
                <w:b/>
                <w:bCs/>
              </w:rPr>
              <w:t>1.30</w:t>
            </w:r>
          </w:p>
          <w:p w14:paraId="55C9A232" w14:textId="33602903" w:rsidR="00C73A3B" w:rsidRPr="00837BF1" w:rsidRDefault="00C73A3B" w:rsidP="00C73A3B">
            <w:pPr>
              <w:jc w:val="center"/>
              <w:rPr>
                <w:rFonts w:ascii="Arial" w:hAnsi="Arial" w:cs="Arial"/>
                <w:b/>
                <w:bCs/>
              </w:rPr>
            </w:pPr>
          </w:p>
          <w:p w14:paraId="0B12318F" w14:textId="6DA3A7CF" w:rsidR="00C73A3B" w:rsidRPr="00837BF1" w:rsidRDefault="00C73A3B" w:rsidP="00C73A3B">
            <w:pPr>
              <w:jc w:val="center"/>
              <w:rPr>
                <w:rFonts w:ascii="Arial" w:hAnsi="Arial" w:cs="Arial"/>
              </w:rPr>
            </w:pPr>
            <w:r w:rsidRPr="00837BF1">
              <w:rPr>
                <w:rFonts w:ascii="Arial" w:hAnsi="Arial" w:cs="Arial"/>
              </w:rPr>
              <w:t>0.78</w:t>
            </w:r>
          </w:p>
          <w:p w14:paraId="3A699EB8" w14:textId="65D64DF5" w:rsidR="00C73A3B" w:rsidRPr="00837BF1" w:rsidRDefault="00C73A3B" w:rsidP="00C73A3B">
            <w:pPr>
              <w:jc w:val="center"/>
              <w:rPr>
                <w:rFonts w:ascii="Arial" w:hAnsi="Arial" w:cs="Arial"/>
                <w:b/>
                <w:bCs/>
              </w:rPr>
            </w:pPr>
            <w:r w:rsidRPr="00837BF1">
              <w:rPr>
                <w:rFonts w:ascii="Arial" w:hAnsi="Arial" w:cs="Arial"/>
                <w:b/>
                <w:bCs/>
              </w:rPr>
              <w:t>0.55</w:t>
            </w:r>
          </w:p>
          <w:p w14:paraId="69798EF9" w14:textId="1740F725" w:rsidR="00C73A3B" w:rsidRPr="00837BF1" w:rsidRDefault="00C73A3B" w:rsidP="00C73A3B">
            <w:pPr>
              <w:jc w:val="center"/>
              <w:rPr>
                <w:rFonts w:ascii="Arial" w:hAnsi="Arial" w:cs="Arial"/>
                <w:b/>
                <w:bCs/>
              </w:rPr>
            </w:pPr>
            <w:r w:rsidRPr="00837BF1">
              <w:rPr>
                <w:rFonts w:ascii="Arial" w:hAnsi="Arial" w:cs="Arial"/>
                <w:b/>
                <w:bCs/>
              </w:rPr>
              <w:t>0.39</w:t>
            </w:r>
          </w:p>
          <w:p w14:paraId="29C9D23A" w14:textId="116375E1" w:rsidR="004D2860" w:rsidRPr="00837BF1" w:rsidRDefault="00C73A3B" w:rsidP="009A1E68">
            <w:pPr>
              <w:jc w:val="center"/>
              <w:rPr>
                <w:rFonts w:ascii="Arial" w:hAnsi="Arial" w:cs="Arial"/>
                <w:b/>
                <w:bCs/>
              </w:rPr>
            </w:pPr>
            <w:r w:rsidRPr="00837BF1">
              <w:rPr>
                <w:rFonts w:ascii="Arial" w:hAnsi="Arial" w:cs="Arial"/>
                <w:b/>
                <w:bCs/>
              </w:rPr>
              <w:t>0.40</w:t>
            </w:r>
          </w:p>
          <w:p w14:paraId="0FEC742A" w14:textId="30683BC5" w:rsidR="00120BA7" w:rsidRPr="00837BF1" w:rsidRDefault="00D26EEA" w:rsidP="009A1E68">
            <w:pPr>
              <w:jc w:val="center"/>
              <w:rPr>
                <w:rFonts w:ascii="Arial" w:hAnsi="Arial" w:cs="Arial"/>
                <w:b/>
                <w:bCs/>
                <w:vertAlign w:val="superscript"/>
              </w:rPr>
            </w:pPr>
            <w:r w:rsidRPr="00837BF1">
              <w:rPr>
                <w:rFonts w:ascii="Arial" w:hAnsi="Arial" w:cs="Arial"/>
                <w:b/>
                <w:bCs/>
              </w:rPr>
              <w:t>2.09</w:t>
            </w:r>
          </w:p>
          <w:p w14:paraId="513CE0EA" w14:textId="0D7A02C3" w:rsidR="00120BA7" w:rsidRPr="00837BF1" w:rsidRDefault="00D26EEA" w:rsidP="00520D32">
            <w:pPr>
              <w:jc w:val="center"/>
              <w:rPr>
                <w:rFonts w:ascii="Arial" w:hAnsi="Arial" w:cs="Arial"/>
              </w:rPr>
            </w:pPr>
            <w:r w:rsidRPr="00837BF1">
              <w:rPr>
                <w:rFonts w:ascii="Arial" w:hAnsi="Arial" w:cs="Arial"/>
                <w:b/>
                <w:bCs/>
              </w:rPr>
              <w:t>1.70</w:t>
            </w:r>
          </w:p>
          <w:p w14:paraId="1221B0F3" w14:textId="77777777" w:rsidR="00CF3B42" w:rsidRPr="00837BF1" w:rsidRDefault="00CF3B42" w:rsidP="00520D32">
            <w:pPr>
              <w:jc w:val="center"/>
              <w:rPr>
                <w:rFonts w:ascii="Arial" w:hAnsi="Arial" w:cs="Arial"/>
              </w:rPr>
            </w:pPr>
          </w:p>
          <w:p w14:paraId="278D423B" w14:textId="0D51B1E1" w:rsidR="00120BA7" w:rsidRPr="00837BF1" w:rsidRDefault="00120BA7" w:rsidP="00520D32">
            <w:pPr>
              <w:jc w:val="center"/>
              <w:rPr>
                <w:rFonts w:ascii="Arial" w:hAnsi="Arial" w:cs="Arial"/>
              </w:rPr>
            </w:pPr>
            <w:r w:rsidRPr="00837BF1">
              <w:rPr>
                <w:rFonts w:ascii="Arial" w:hAnsi="Arial" w:cs="Arial"/>
              </w:rPr>
              <w:t>1.0</w:t>
            </w:r>
            <w:r w:rsidR="005E3D13" w:rsidRPr="00837BF1">
              <w:rPr>
                <w:rFonts w:ascii="Arial" w:hAnsi="Arial" w:cs="Arial"/>
              </w:rPr>
              <w:t>1</w:t>
            </w:r>
          </w:p>
          <w:p w14:paraId="7132A760" w14:textId="4FC26D4A" w:rsidR="00120BA7" w:rsidRPr="00837BF1" w:rsidRDefault="00120BA7" w:rsidP="00520D32">
            <w:pPr>
              <w:jc w:val="center"/>
              <w:rPr>
                <w:rFonts w:ascii="Arial" w:hAnsi="Arial" w:cs="Arial"/>
              </w:rPr>
            </w:pPr>
            <w:r w:rsidRPr="00837BF1">
              <w:rPr>
                <w:rFonts w:ascii="Arial" w:hAnsi="Arial" w:cs="Arial"/>
              </w:rPr>
              <w:t>1.1</w:t>
            </w:r>
            <w:r w:rsidR="005E3D13" w:rsidRPr="00837BF1">
              <w:rPr>
                <w:rFonts w:ascii="Arial" w:hAnsi="Arial" w:cs="Arial"/>
              </w:rPr>
              <w:t>7</w:t>
            </w:r>
          </w:p>
          <w:p w14:paraId="3F4BF4D4" w14:textId="70E78BE4" w:rsidR="00120BA7" w:rsidRPr="00837BF1" w:rsidRDefault="00120BA7" w:rsidP="00520D32">
            <w:pPr>
              <w:jc w:val="center"/>
              <w:rPr>
                <w:rFonts w:ascii="Arial" w:hAnsi="Arial" w:cs="Arial"/>
              </w:rPr>
            </w:pPr>
            <w:r w:rsidRPr="00837BF1">
              <w:rPr>
                <w:rFonts w:ascii="Arial" w:hAnsi="Arial" w:cs="Arial"/>
              </w:rPr>
              <w:t>1.1</w:t>
            </w:r>
            <w:r w:rsidR="006135E9" w:rsidRPr="00837BF1">
              <w:rPr>
                <w:rFonts w:ascii="Arial" w:hAnsi="Arial" w:cs="Arial"/>
              </w:rPr>
              <w:t>2</w:t>
            </w:r>
          </w:p>
          <w:p w14:paraId="5FFC32AB" w14:textId="7DEEAC20" w:rsidR="00120BA7" w:rsidRPr="00837BF1" w:rsidRDefault="00120BA7" w:rsidP="00520D32">
            <w:pPr>
              <w:jc w:val="center"/>
              <w:rPr>
                <w:rFonts w:ascii="Arial" w:hAnsi="Arial" w:cs="Arial"/>
              </w:rPr>
            </w:pPr>
            <w:r w:rsidRPr="00837BF1">
              <w:rPr>
                <w:rFonts w:ascii="Arial" w:hAnsi="Arial" w:cs="Arial"/>
              </w:rPr>
              <w:t>0.7</w:t>
            </w:r>
            <w:r w:rsidR="006135E9" w:rsidRPr="00837BF1">
              <w:rPr>
                <w:rFonts w:ascii="Arial" w:hAnsi="Arial" w:cs="Arial"/>
              </w:rPr>
              <w:t>8</w:t>
            </w:r>
          </w:p>
          <w:p w14:paraId="6930B92A" w14:textId="1ABA5650" w:rsidR="00120BA7" w:rsidRPr="00837BF1" w:rsidRDefault="00120BA7" w:rsidP="00520D32">
            <w:pPr>
              <w:jc w:val="center"/>
              <w:rPr>
                <w:rFonts w:ascii="Arial" w:hAnsi="Arial" w:cs="Arial"/>
              </w:rPr>
            </w:pPr>
            <w:r w:rsidRPr="00837BF1">
              <w:rPr>
                <w:rFonts w:ascii="Arial" w:hAnsi="Arial" w:cs="Arial"/>
              </w:rPr>
              <w:t>1.</w:t>
            </w:r>
            <w:r w:rsidR="00D26EEA" w:rsidRPr="00837BF1">
              <w:rPr>
                <w:rFonts w:ascii="Arial" w:hAnsi="Arial" w:cs="Arial"/>
              </w:rPr>
              <w:t>9</w:t>
            </w:r>
            <w:r w:rsidR="006135E9" w:rsidRPr="00837BF1">
              <w:rPr>
                <w:rFonts w:ascii="Arial" w:hAnsi="Arial" w:cs="Arial"/>
              </w:rPr>
              <w:t>0</w:t>
            </w:r>
          </w:p>
          <w:p w14:paraId="7EE431E4" w14:textId="77777777" w:rsidR="00120BA7" w:rsidRPr="00837BF1" w:rsidRDefault="00D26EEA" w:rsidP="00520D32">
            <w:pPr>
              <w:jc w:val="center"/>
              <w:rPr>
                <w:rFonts w:ascii="Arial" w:hAnsi="Arial" w:cs="Arial"/>
                <w:b/>
                <w:bCs/>
              </w:rPr>
            </w:pPr>
            <w:r w:rsidRPr="00837BF1">
              <w:rPr>
                <w:rFonts w:ascii="Arial" w:hAnsi="Arial" w:cs="Arial"/>
                <w:b/>
                <w:bCs/>
              </w:rPr>
              <w:t>0.92</w:t>
            </w:r>
          </w:p>
          <w:p w14:paraId="4216C64F" w14:textId="1F8CEC87" w:rsidR="00D26EEA" w:rsidRPr="00837BF1" w:rsidRDefault="00D26EEA" w:rsidP="00520D32">
            <w:pPr>
              <w:jc w:val="center"/>
              <w:rPr>
                <w:rFonts w:ascii="Arial" w:hAnsi="Arial" w:cs="Arial"/>
                <w:b/>
                <w:bCs/>
              </w:rPr>
            </w:pPr>
          </w:p>
          <w:p w14:paraId="6F69D0BB" w14:textId="77777777" w:rsidR="00ED509E" w:rsidRPr="00837BF1" w:rsidRDefault="00ED509E" w:rsidP="00520D32">
            <w:pPr>
              <w:jc w:val="center"/>
              <w:rPr>
                <w:rFonts w:ascii="Arial" w:hAnsi="Arial" w:cs="Arial"/>
                <w:b/>
                <w:bCs/>
              </w:rPr>
            </w:pPr>
          </w:p>
          <w:p w14:paraId="5F1D7CDD" w14:textId="7796CE00" w:rsidR="00D26EEA" w:rsidRPr="00837BF1" w:rsidRDefault="001F3C17" w:rsidP="00520D32">
            <w:pPr>
              <w:jc w:val="center"/>
              <w:rPr>
                <w:rFonts w:ascii="Arial" w:hAnsi="Arial" w:cs="Arial"/>
                <w:b/>
                <w:bCs/>
              </w:rPr>
            </w:pPr>
            <w:r w:rsidRPr="00837BF1">
              <w:rPr>
                <w:rFonts w:ascii="Arial" w:hAnsi="Arial" w:cs="Arial"/>
                <w:b/>
                <w:bCs/>
              </w:rPr>
              <w:t>1.76</w:t>
            </w:r>
          </w:p>
          <w:p w14:paraId="499FA615" w14:textId="06D78EB2" w:rsidR="001F3C17" w:rsidRPr="00837BF1" w:rsidRDefault="001F3C17" w:rsidP="00F97DD5">
            <w:pPr>
              <w:jc w:val="center"/>
              <w:rPr>
                <w:rFonts w:ascii="Arial" w:hAnsi="Arial" w:cs="Arial"/>
                <w:b/>
                <w:bCs/>
              </w:rPr>
            </w:pPr>
            <w:r w:rsidRPr="00837BF1">
              <w:rPr>
                <w:rFonts w:ascii="Arial" w:hAnsi="Arial" w:cs="Arial"/>
                <w:b/>
                <w:bCs/>
              </w:rPr>
              <w:t>5.20</w:t>
            </w:r>
          </w:p>
          <w:p w14:paraId="4777E4D0" w14:textId="4521251A" w:rsidR="001F3C17" w:rsidRPr="00837BF1" w:rsidRDefault="001F3C17" w:rsidP="00520D32">
            <w:pPr>
              <w:jc w:val="center"/>
              <w:rPr>
                <w:rFonts w:ascii="Arial" w:hAnsi="Arial" w:cs="Arial"/>
              </w:rPr>
            </w:pPr>
            <w:r w:rsidRPr="00837BF1">
              <w:rPr>
                <w:rFonts w:ascii="Arial" w:hAnsi="Arial" w:cs="Arial"/>
                <w:b/>
                <w:bCs/>
              </w:rPr>
              <w:t>3.</w:t>
            </w:r>
            <w:r w:rsidR="008D3D74" w:rsidRPr="00837BF1">
              <w:rPr>
                <w:rFonts w:ascii="Arial" w:hAnsi="Arial" w:cs="Arial"/>
                <w:b/>
                <w:bCs/>
              </w:rPr>
              <w:t>32</w:t>
            </w:r>
          </w:p>
        </w:tc>
        <w:tc>
          <w:tcPr>
            <w:tcW w:w="1275" w:type="dxa"/>
          </w:tcPr>
          <w:p w14:paraId="5D91CE89" w14:textId="77777777" w:rsidR="00120BA7" w:rsidRPr="00837BF1" w:rsidRDefault="00120BA7" w:rsidP="00520D32">
            <w:pPr>
              <w:jc w:val="center"/>
              <w:rPr>
                <w:rFonts w:ascii="Arial" w:hAnsi="Arial" w:cs="Arial"/>
              </w:rPr>
            </w:pPr>
          </w:p>
          <w:p w14:paraId="3DAD48D8" w14:textId="34E2A980" w:rsidR="00120BA7" w:rsidRPr="00837BF1" w:rsidRDefault="00120BA7" w:rsidP="00520D32">
            <w:pPr>
              <w:jc w:val="center"/>
              <w:rPr>
                <w:rFonts w:ascii="Arial" w:hAnsi="Arial" w:cs="Arial"/>
                <w:b/>
                <w:bCs/>
              </w:rPr>
            </w:pPr>
            <w:r w:rsidRPr="00837BF1">
              <w:rPr>
                <w:rFonts w:ascii="Arial" w:hAnsi="Arial" w:cs="Arial"/>
                <w:b/>
                <w:bCs/>
              </w:rPr>
              <w:t>1.14, 1.4</w:t>
            </w:r>
            <w:r w:rsidR="00553E32" w:rsidRPr="00837BF1">
              <w:rPr>
                <w:rFonts w:ascii="Arial" w:hAnsi="Arial" w:cs="Arial"/>
                <w:b/>
                <w:bCs/>
              </w:rPr>
              <w:t>9</w:t>
            </w:r>
          </w:p>
          <w:p w14:paraId="3BD04F99" w14:textId="77777777" w:rsidR="00120BA7" w:rsidRPr="00837BF1" w:rsidRDefault="00120BA7" w:rsidP="00520D32">
            <w:pPr>
              <w:jc w:val="center"/>
              <w:rPr>
                <w:rFonts w:ascii="Arial" w:hAnsi="Arial" w:cs="Arial"/>
              </w:rPr>
            </w:pPr>
          </w:p>
          <w:p w14:paraId="3A0A6C7B" w14:textId="1D195070" w:rsidR="00AE4B57" w:rsidRPr="00837BF1" w:rsidRDefault="002444E1" w:rsidP="009A1E68">
            <w:pPr>
              <w:jc w:val="center"/>
              <w:rPr>
                <w:rFonts w:ascii="Arial" w:hAnsi="Arial" w:cs="Arial"/>
              </w:rPr>
            </w:pPr>
            <w:r w:rsidRPr="00837BF1">
              <w:rPr>
                <w:rFonts w:ascii="Arial" w:hAnsi="Arial" w:cs="Arial"/>
              </w:rPr>
              <w:t>0.59, 1.02</w:t>
            </w:r>
          </w:p>
          <w:p w14:paraId="6F2F9560" w14:textId="1A26E92A" w:rsidR="002444E1" w:rsidRPr="00837BF1" w:rsidRDefault="002444E1" w:rsidP="009A1E68">
            <w:pPr>
              <w:jc w:val="center"/>
              <w:rPr>
                <w:rFonts w:ascii="Arial" w:hAnsi="Arial" w:cs="Arial"/>
                <w:b/>
                <w:bCs/>
              </w:rPr>
            </w:pPr>
            <w:r w:rsidRPr="00837BF1">
              <w:rPr>
                <w:rFonts w:ascii="Arial" w:hAnsi="Arial" w:cs="Arial"/>
                <w:b/>
                <w:bCs/>
              </w:rPr>
              <w:t>0.42, 0.71</w:t>
            </w:r>
          </w:p>
          <w:p w14:paraId="61CBA2FC" w14:textId="36191E5A" w:rsidR="002444E1" w:rsidRPr="00837BF1" w:rsidRDefault="002444E1" w:rsidP="009A1E68">
            <w:pPr>
              <w:jc w:val="center"/>
              <w:rPr>
                <w:rFonts w:ascii="Arial" w:hAnsi="Arial" w:cs="Arial"/>
                <w:b/>
                <w:bCs/>
              </w:rPr>
            </w:pPr>
            <w:r w:rsidRPr="00837BF1">
              <w:rPr>
                <w:rFonts w:ascii="Arial" w:hAnsi="Arial" w:cs="Arial"/>
                <w:b/>
                <w:bCs/>
              </w:rPr>
              <w:t>0.30, 0.51</w:t>
            </w:r>
          </w:p>
          <w:p w14:paraId="5BCC33B7" w14:textId="6DEC3F04" w:rsidR="00AE4B57" w:rsidRPr="00837BF1" w:rsidRDefault="005F62AB" w:rsidP="009A1E68">
            <w:pPr>
              <w:jc w:val="center"/>
              <w:rPr>
                <w:rFonts w:ascii="Arial" w:hAnsi="Arial" w:cs="Arial"/>
                <w:b/>
                <w:bCs/>
              </w:rPr>
            </w:pPr>
            <w:r w:rsidRPr="00837BF1">
              <w:rPr>
                <w:rFonts w:ascii="Arial" w:hAnsi="Arial" w:cs="Arial"/>
                <w:b/>
                <w:bCs/>
              </w:rPr>
              <w:t>0.31, 0.52</w:t>
            </w:r>
          </w:p>
          <w:p w14:paraId="02579B8A" w14:textId="5497BA20" w:rsidR="00120BA7" w:rsidRPr="00837BF1" w:rsidRDefault="00120BA7" w:rsidP="009A1E68">
            <w:pPr>
              <w:jc w:val="center"/>
              <w:rPr>
                <w:rFonts w:ascii="Arial" w:hAnsi="Arial" w:cs="Arial"/>
                <w:b/>
                <w:bCs/>
              </w:rPr>
            </w:pPr>
            <w:r w:rsidRPr="00837BF1">
              <w:rPr>
                <w:rFonts w:ascii="Arial" w:hAnsi="Arial" w:cs="Arial"/>
                <w:b/>
                <w:bCs/>
              </w:rPr>
              <w:t>1.8</w:t>
            </w:r>
            <w:r w:rsidR="001F3C17" w:rsidRPr="00837BF1">
              <w:rPr>
                <w:rFonts w:ascii="Arial" w:hAnsi="Arial" w:cs="Arial"/>
                <w:b/>
                <w:bCs/>
              </w:rPr>
              <w:t>2</w:t>
            </w:r>
            <w:r w:rsidRPr="00837BF1">
              <w:rPr>
                <w:rFonts w:ascii="Arial" w:hAnsi="Arial" w:cs="Arial"/>
                <w:b/>
                <w:bCs/>
              </w:rPr>
              <w:t>, 2.</w:t>
            </w:r>
            <w:r w:rsidR="00E6483E" w:rsidRPr="00837BF1">
              <w:rPr>
                <w:rFonts w:ascii="Arial" w:hAnsi="Arial" w:cs="Arial"/>
                <w:b/>
                <w:bCs/>
              </w:rPr>
              <w:t>4</w:t>
            </w:r>
            <w:r w:rsidR="001F3C17" w:rsidRPr="00837BF1">
              <w:rPr>
                <w:rFonts w:ascii="Arial" w:hAnsi="Arial" w:cs="Arial"/>
                <w:b/>
                <w:bCs/>
              </w:rPr>
              <w:t>0</w:t>
            </w:r>
          </w:p>
          <w:p w14:paraId="20AA5D50" w14:textId="286CB536" w:rsidR="00120BA7" w:rsidRPr="00837BF1" w:rsidRDefault="00120BA7" w:rsidP="00520D32">
            <w:pPr>
              <w:jc w:val="center"/>
              <w:rPr>
                <w:rFonts w:ascii="Arial" w:hAnsi="Arial" w:cs="Arial"/>
              </w:rPr>
            </w:pPr>
            <w:r w:rsidRPr="00837BF1">
              <w:rPr>
                <w:rFonts w:ascii="Arial" w:hAnsi="Arial" w:cs="Arial"/>
                <w:b/>
                <w:bCs/>
              </w:rPr>
              <w:t>1.4</w:t>
            </w:r>
            <w:r w:rsidR="00E6483E" w:rsidRPr="00837BF1">
              <w:rPr>
                <w:rFonts w:ascii="Arial" w:hAnsi="Arial" w:cs="Arial"/>
                <w:b/>
                <w:bCs/>
              </w:rPr>
              <w:t>7</w:t>
            </w:r>
            <w:r w:rsidRPr="00837BF1">
              <w:rPr>
                <w:rFonts w:ascii="Arial" w:hAnsi="Arial" w:cs="Arial"/>
                <w:b/>
                <w:bCs/>
              </w:rPr>
              <w:t>, 1.9</w:t>
            </w:r>
            <w:r w:rsidR="001F3C17" w:rsidRPr="00837BF1">
              <w:rPr>
                <w:rFonts w:ascii="Arial" w:hAnsi="Arial" w:cs="Arial"/>
                <w:b/>
                <w:bCs/>
              </w:rPr>
              <w:t>6</w:t>
            </w:r>
          </w:p>
          <w:p w14:paraId="32A9ABAA" w14:textId="77777777" w:rsidR="00CF3B42" w:rsidRPr="00837BF1" w:rsidRDefault="00CF3B42" w:rsidP="00520D32">
            <w:pPr>
              <w:jc w:val="center"/>
              <w:rPr>
                <w:rFonts w:ascii="Arial" w:hAnsi="Arial" w:cs="Arial"/>
              </w:rPr>
            </w:pPr>
          </w:p>
          <w:p w14:paraId="42CA7784" w14:textId="318E1433" w:rsidR="00120BA7" w:rsidRPr="00837BF1" w:rsidRDefault="00120BA7" w:rsidP="00520D32">
            <w:pPr>
              <w:jc w:val="center"/>
              <w:rPr>
                <w:rFonts w:ascii="Arial" w:hAnsi="Arial" w:cs="Arial"/>
              </w:rPr>
            </w:pPr>
            <w:r w:rsidRPr="00837BF1">
              <w:rPr>
                <w:rFonts w:ascii="Arial" w:hAnsi="Arial" w:cs="Arial"/>
              </w:rPr>
              <w:t>0.7</w:t>
            </w:r>
            <w:r w:rsidR="001F3C17" w:rsidRPr="00837BF1">
              <w:rPr>
                <w:rFonts w:ascii="Arial" w:hAnsi="Arial" w:cs="Arial"/>
              </w:rPr>
              <w:t>3</w:t>
            </w:r>
            <w:r w:rsidRPr="00837BF1">
              <w:rPr>
                <w:rFonts w:ascii="Arial" w:hAnsi="Arial" w:cs="Arial"/>
              </w:rPr>
              <w:t>, 1.4</w:t>
            </w:r>
            <w:r w:rsidR="001F3C17" w:rsidRPr="00837BF1">
              <w:rPr>
                <w:rFonts w:ascii="Arial" w:hAnsi="Arial" w:cs="Arial"/>
              </w:rPr>
              <w:t>1</w:t>
            </w:r>
          </w:p>
          <w:p w14:paraId="6C57D84B" w14:textId="282BAF94" w:rsidR="00120BA7" w:rsidRPr="00837BF1" w:rsidRDefault="00120BA7" w:rsidP="00520D32">
            <w:pPr>
              <w:jc w:val="center"/>
              <w:rPr>
                <w:rFonts w:ascii="Arial" w:hAnsi="Arial" w:cs="Arial"/>
              </w:rPr>
            </w:pPr>
            <w:r w:rsidRPr="00837BF1">
              <w:rPr>
                <w:rFonts w:ascii="Arial" w:hAnsi="Arial" w:cs="Arial"/>
              </w:rPr>
              <w:t>0.6</w:t>
            </w:r>
            <w:r w:rsidR="001F3C17" w:rsidRPr="00837BF1">
              <w:rPr>
                <w:rFonts w:ascii="Arial" w:hAnsi="Arial" w:cs="Arial"/>
              </w:rPr>
              <w:t>8</w:t>
            </w:r>
            <w:r w:rsidRPr="00837BF1">
              <w:rPr>
                <w:rFonts w:ascii="Arial" w:hAnsi="Arial" w:cs="Arial"/>
              </w:rPr>
              <w:t xml:space="preserve">, </w:t>
            </w:r>
            <w:r w:rsidR="00412332" w:rsidRPr="00837BF1">
              <w:rPr>
                <w:rFonts w:ascii="Arial" w:hAnsi="Arial" w:cs="Arial"/>
              </w:rPr>
              <w:t>2</w:t>
            </w:r>
            <w:r w:rsidRPr="00837BF1">
              <w:rPr>
                <w:rFonts w:ascii="Arial" w:hAnsi="Arial" w:cs="Arial"/>
              </w:rPr>
              <w:t>.</w:t>
            </w:r>
            <w:r w:rsidR="00412332" w:rsidRPr="00837BF1">
              <w:rPr>
                <w:rFonts w:ascii="Arial" w:hAnsi="Arial" w:cs="Arial"/>
              </w:rPr>
              <w:t>0</w:t>
            </w:r>
            <w:r w:rsidR="001F3C17" w:rsidRPr="00837BF1">
              <w:rPr>
                <w:rFonts w:ascii="Arial" w:hAnsi="Arial" w:cs="Arial"/>
              </w:rPr>
              <w:t>2</w:t>
            </w:r>
          </w:p>
          <w:p w14:paraId="0111B12F" w14:textId="513EA719" w:rsidR="00120BA7" w:rsidRPr="00837BF1" w:rsidRDefault="00120BA7" w:rsidP="00520D32">
            <w:pPr>
              <w:jc w:val="center"/>
              <w:rPr>
                <w:rFonts w:ascii="Arial" w:hAnsi="Arial" w:cs="Arial"/>
              </w:rPr>
            </w:pPr>
            <w:r w:rsidRPr="00837BF1">
              <w:rPr>
                <w:rFonts w:ascii="Arial" w:hAnsi="Arial" w:cs="Arial"/>
              </w:rPr>
              <w:t>0.8</w:t>
            </w:r>
            <w:r w:rsidR="001F3C17" w:rsidRPr="00837BF1">
              <w:rPr>
                <w:rFonts w:ascii="Arial" w:hAnsi="Arial" w:cs="Arial"/>
              </w:rPr>
              <w:t>2</w:t>
            </w:r>
            <w:r w:rsidRPr="00837BF1">
              <w:rPr>
                <w:rFonts w:ascii="Arial" w:hAnsi="Arial" w:cs="Arial"/>
              </w:rPr>
              <w:t>, 1.5</w:t>
            </w:r>
            <w:r w:rsidR="001F3C17" w:rsidRPr="00837BF1">
              <w:rPr>
                <w:rFonts w:ascii="Arial" w:hAnsi="Arial" w:cs="Arial"/>
              </w:rPr>
              <w:t>2</w:t>
            </w:r>
          </w:p>
          <w:p w14:paraId="1EC6F5F9" w14:textId="20BB308B" w:rsidR="00120BA7" w:rsidRPr="00837BF1" w:rsidRDefault="00120BA7" w:rsidP="00520D32">
            <w:pPr>
              <w:jc w:val="center"/>
              <w:rPr>
                <w:rFonts w:ascii="Arial" w:hAnsi="Arial" w:cs="Arial"/>
              </w:rPr>
            </w:pPr>
            <w:r w:rsidRPr="00837BF1">
              <w:rPr>
                <w:rFonts w:ascii="Arial" w:hAnsi="Arial" w:cs="Arial"/>
              </w:rPr>
              <w:t>0.4</w:t>
            </w:r>
            <w:r w:rsidR="00B8693F" w:rsidRPr="00837BF1">
              <w:rPr>
                <w:rFonts w:ascii="Arial" w:hAnsi="Arial" w:cs="Arial"/>
              </w:rPr>
              <w:t>3</w:t>
            </w:r>
            <w:r w:rsidRPr="00837BF1">
              <w:rPr>
                <w:rFonts w:ascii="Arial" w:hAnsi="Arial" w:cs="Arial"/>
              </w:rPr>
              <w:t>, 1.</w:t>
            </w:r>
            <w:r w:rsidR="00B8693F" w:rsidRPr="00837BF1">
              <w:rPr>
                <w:rFonts w:ascii="Arial" w:hAnsi="Arial" w:cs="Arial"/>
              </w:rPr>
              <w:t>40</w:t>
            </w:r>
          </w:p>
          <w:p w14:paraId="51D71724" w14:textId="64AF8D3E" w:rsidR="00120BA7" w:rsidRPr="00837BF1" w:rsidRDefault="00120BA7" w:rsidP="00520D32">
            <w:pPr>
              <w:jc w:val="center"/>
              <w:rPr>
                <w:rFonts w:ascii="Arial" w:hAnsi="Arial" w:cs="Arial"/>
              </w:rPr>
            </w:pPr>
            <w:r w:rsidRPr="00837BF1">
              <w:rPr>
                <w:rFonts w:ascii="Arial" w:hAnsi="Arial" w:cs="Arial"/>
              </w:rPr>
              <w:t>0.</w:t>
            </w:r>
            <w:r w:rsidR="001F3C17" w:rsidRPr="00837BF1">
              <w:rPr>
                <w:rFonts w:ascii="Arial" w:hAnsi="Arial" w:cs="Arial"/>
              </w:rPr>
              <w:t>5</w:t>
            </w:r>
            <w:r w:rsidR="00B8693F" w:rsidRPr="00837BF1">
              <w:rPr>
                <w:rFonts w:ascii="Arial" w:hAnsi="Arial" w:cs="Arial"/>
              </w:rPr>
              <w:t>7</w:t>
            </w:r>
            <w:r w:rsidRPr="00837BF1">
              <w:rPr>
                <w:rFonts w:ascii="Arial" w:hAnsi="Arial" w:cs="Arial"/>
              </w:rPr>
              <w:t xml:space="preserve">, </w:t>
            </w:r>
            <w:r w:rsidR="001F3C17" w:rsidRPr="00837BF1">
              <w:rPr>
                <w:rFonts w:ascii="Arial" w:hAnsi="Arial" w:cs="Arial"/>
              </w:rPr>
              <w:t>6.36</w:t>
            </w:r>
          </w:p>
          <w:p w14:paraId="5E2C9F24" w14:textId="343CD49B" w:rsidR="00120BA7" w:rsidRPr="00837BF1" w:rsidRDefault="00F660D9" w:rsidP="00520D32">
            <w:pPr>
              <w:jc w:val="center"/>
              <w:rPr>
                <w:rFonts w:ascii="Arial" w:hAnsi="Arial" w:cs="Arial"/>
                <w:b/>
                <w:bCs/>
              </w:rPr>
            </w:pPr>
            <w:r w:rsidRPr="00837BF1">
              <w:rPr>
                <w:rFonts w:ascii="Arial" w:hAnsi="Arial" w:cs="Arial"/>
                <w:b/>
                <w:bCs/>
              </w:rPr>
              <w:t>0.86, 0.97</w:t>
            </w:r>
          </w:p>
          <w:p w14:paraId="70E21BB1" w14:textId="77777777" w:rsidR="00120BA7" w:rsidRPr="00837BF1" w:rsidRDefault="00120BA7" w:rsidP="00520D32">
            <w:pPr>
              <w:jc w:val="center"/>
              <w:rPr>
                <w:rFonts w:ascii="Arial" w:hAnsi="Arial" w:cs="Arial"/>
                <w:b/>
                <w:bCs/>
              </w:rPr>
            </w:pPr>
          </w:p>
          <w:p w14:paraId="55CFAD80" w14:textId="77777777" w:rsidR="00ED509E" w:rsidRPr="00837BF1" w:rsidRDefault="00ED509E" w:rsidP="00520D32">
            <w:pPr>
              <w:jc w:val="center"/>
              <w:rPr>
                <w:rFonts w:ascii="Arial" w:hAnsi="Arial" w:cs="Arial"/>
                <w:b/>
                <w:bCs/>
              </w:rPr>
            </w:pPr>
          </w:p>
          <w:p w14:paraId="06A5D7ED" w14:textId="49798427" w:rsidR="00120BA7" w:rsidRPr="00837BF1" w:rsidRDefault="00120BA7" w:rsidP="00520D32">
            <w:pPr>
              <w:jc w:val="center"/>
              <w:rPr>
                <w:rFonts w:ascii="Arial" w:hAnsi="Arial" w:cs="Arial"/>
                <w:b/>
                <w:bCs/>
              </w:rPr>
            </w:pPr>
            <w:r w:rsidRPr="00837BF1">
              <w:rPr>
                <w:rFonts w:ascii="Arial" w:hAnsi="Arial" w:cs="Arial"/>
                <w:b/>
                <w:bCs/>
              </w:rPr>
              <w:t>1.4</w:t>
            </w:r>
            <w:r w:rsidR="001F3C17" w:rsidRPr="00837BF1">
              <w:rPr>
                <w:rFonts w:ascii="Arial" w:hAnsi="Arial" w:cs="Arial"/>
                <w:b/>
                <w:bCs/>
              </w:rPr>
              <w:t>7</w:t>
            </w:r>
            <w:r w:rsidRPr="00837BF1">
              <w:rPr>
                <w:rFonts w:ascii="Arial" w:hAnsi="Arial" w:cs="Arial"/>
                <w:b/>
                <w:bCs/>
              </w:rPr>
              <w:t>, 2.11</w:t>
            </w:r>
          </w:p>
          <w:p w14:paraId="372BA745" w14:textId="0AD8DD5F" w:rsidR="00120BA7" w:rsidRPr="00837BF1" w:rsidRDefault="00120BA7" w:rsidP="00520D32">
            <w:pPr>
              <w:jc w:val="center"/>
              <w:rPr>
                <w:rFonts w:ascii="Arial" w:hAnsi="Arial" w:cs="Arial"/>
                <w:b/>
                <w:bCs/>
              </w:rPr>
            </w:pPr>
            <w:r w:rsidRPr="00837BF1">
              <w:rPr>
                <w:rFonts w:ascii="Arial" w:hAnsi="Arial" w:cs="Arial"/>
                <w:b/>
                <w:bCs/>
              </w:rPr>
              <w:t>3.</w:t>
            </w:r>
            <w:r w:rsidR="00067A1E" w:rsidRPr="00837BF1">
              <w:rPr>
                <w:rFonts w:ascii="Arial" w:hAnsi="Arial" w:cs="Arial"/>
                <w:b/>
                <w:bCs/>
              </w:rPr>
              <w:t>7</w:t>
            </w:r>
            <w:r w:rsidR="001F3C17" w:rsidRPr="00837BF1">
              <w:rPr>
                <w:rFonts w:ascii="Arial" w:hAnsi="Arial" w:cs="Arial"/>
                <w:b/>
                <w:bCs/>
              </w:rPr>
              <w:t>8</w:t>
            </w:r>
            <w:r w:rsidRPr="00837BF1">
              <w:rPr>
                <w:rFonts w:ascii="Arial" w:hAnsi="Arial" w:cs="Arial"/>
                <w:b/>
                <w:bCs/>
              </w:rPr>
              <w:t xml:space="preserve">, </w:t>
            </w:r>
            <w:r w:rsidR="00067A1E" w:rsidRPr="00837BF1">
              <w:rPr>
                <w:rFonts w:ascii="Arial" w:hAnsi="Arial" w:cs="Arial"/>
                <w:b/>
                <w:bCs/>
              </w:rPr>
              <w:t>7.1</w:t>
            </w:r>
            <w:r w:rsidR="001F3C17" w:rsidRPr="00837BF1">
              <w:rPr>
                <w:rFonts w:ascii="Arial" w:hAnsi="Arial" w:cs="Arial"/>
                <w:b/>
                <w:bCs/>
              </w:rPr>
              <w:t>5</w:t>
            </w:r>
          </w:p>
          <w:p w14:paraId="20BCD7C9" w14:textId="47D99642" w:rsidR="00120BA7" w:rsidRPr="00837BF1" w:rsidRDefault="00120BA7" w:rsidP="00520D32">
            <w:pPr>
              <w:jc w:val="center"/>
              <w:rPr>
                <w:rFonts w:ascii="Arial" w:hAnsi="Arial" w:cs="Arial"/>
              </w:rPr>
            </w:pPr>
            <w:r w:rsidRPr="00837BF1">
              <w:rPr>
                <w:rFonts w:ascii="Arial" w:hAnsi="Arial" w:cs="Arial"/>
                <w:b/>
                <w:bCs/>
              </w:rPr>
              <w:t>2.</w:t>
            </w:r>
            <w:r w:rsidR="006068B9" w:rsidRPr="00837BF1">
              <w:rPr>
                <w:rFonts w:ascii="Arial" w:hAnsi="Arial" w:cs="Arial"/>
                <w:b/>
                <w:bCs/>
              </w:rPr>
              <w:t>83</w:t>
            </w:r>
            <w:r w:rsidRPr="00837BF1">
              <w:rPr>
                <w:rFonts w:ascii="Arial" w:hAnsi="Arial" w:cs="Arial"/>
                <w:b/>
                <w:bCs/>
              </w:rPr>
              <w:t>, 3.</w:t>
            </w:r>
            <w:r w:rsidR="006068B9" w:rsidRPr="00837BF1">
              <w:rPr>
                <w:rFonts w:ascii="Arial" w:hAnsi="Arial" w:cs="Arial"/>
                <w:b/>
                <w:bCs/>
              </w:rPr>
              <w:t>91</w:t>
            </w:r>
          </w:p>
        </w:tc>
        <w:tc>
          <w:tcPr>
            <w:tcW w:w="851" w:type="dxa"/>
          </w:tcPr>
          <w:p w14:paraId="2379136D" w14:textId="77777777" w:rsidR="00120BA7" w:rsidRPr="00837BF1" w:rsidRDefault="00120BA7" w:rsidP="00520D32">
            <w:pPr>
              <w:jc w:val="center"/>
              <w:rPr>
                <w:rFonts w:ascii="Arial" w:hAnsi="Arial" w:cs="Arial"/>
              </w:rPr>
            </w:pPr>
          </w:p>
          <w:p w14:paraId="5E26F0F8" w14:textId="77777777" w:rsidR="00312AAD" w:rsidRPr="00837BF1" w:rsidRDefault="00312AAD" w:rsidP="00520D32">
            <w:pPr>
              <w:jc w:val="center"/>
              <w:rPr>
                <w:rFonts w:ascii="Arial" w:hAnsi="Arial" w:cs="Arial"/>
                <w:b/>
                <w:bCs/>
              </w:rPr>
            </w:pPr>
            <w:r w:rsidRPr="00837BF1">
              <w:rPr>
                <w:rFonts w:ascii="Arial" w:hAnsi="Arial" w:cs="Arial"/>
                <w:b/>
                <w:bCs/>
              </w:rPr>
              <w:t>1.21</w:t>
            </w:r>
          </w:p>
          <w:p w14:paraId="269B51F6" w14:textId="77777777" w:rsidR="00312AAD" w:rsidRPr="00837BF1" w:rsidRDefault="00312AAD" w:rsidP="00520D32">
            <w:pPr>
              <w:jc w:val="center"/>
              <w:rPr>
                <w:rFonts w:ascii="Arial" w:hAnsi="Arial" w:cs="Arial"/>
                <w:b/>
                <w:bCs/>
              </w:rPr>
            </w:pPr>
          </w:p>
          <w:p w14:paraId="4DF7E1ED" w14:textId="3F26C771" w:rsidR="00312AAD" w:rsidRPr="00837BF1" w:rsidRDefault="00971D6B" w:rsidP="009A1E68">
            <w:pPr>
              <w:jc w:val="center"/>
              <w:rPr>
                <w:rFonts w:ascii="Arial" w:hAnsi="Arial" w:cs="Arial"/>
              </w:rPr>
            </w:pPr>
            <w:r w:rsidRPr="00837BF1">
              <w:rPr>
                <w:rFonts w:ascii="Arial" w:hAnsi="Arial" w:cs="Arial"/>
              </w:rPr>
              <w:t>0.95</w:t>
            </w:r>
          </w:p>
          <w:p w14:paraId="4DBE03DB" w14:textId="506BE11B" w:rsidR="00971D6B" w:rsidRPr="00837BF1" w:rsidRDefault="00971D6B" w:rsidP="009A1E68">
            <w:pPr>
              <w:jc w:val="center"/>
              <w:rPr>
                <w:rFonts w:ascii="Arial" w:hAnsi="Arial" w:cs="Arial"/>
                <w:b/>
                <w:bCs/>
              </w:rPr>
            </w:pPr>
            <w:r w:rsidRPr="00837BF1">
              <w:rPr>
                <w:rFonts w:ascii="Arial" w:hAnsi="Arial" w:cs="Arial"/>
                <w:b/>
                <w:bCs/>
              </w:rPr>
              <w:t>0.71</w:t>
            </w:r>
          </w:p>
          <w:p w14:paraId="55A79875" w14:textId="017FE56A" w:rsidR="00971D6B" w:rsidRPr="00837BF1" w:rsidRDefault="00971D6B" w:rsidP="009A1E68">
            <w:pPr>
              <w:jc w:val="center"/>
              <w:rPr>
                <w:rFonts w:ascii="Arial" w:hAnsi="Arial" w:cs="Arial"/>
                <w:b/>
                <w:bCs/>
              </w:rPr>
            </w:pPr>
            <w:r w:rsidRPr="00837BF1">
              <w:rPr>
                <w:rFonts w:ascii="Arial" w:hAnsi="Arial" w:cs="Arial"/>
                <w:b/>
                <w:bCs/>
              </w:rPr>
              <w:t>0.50</w:t>
            </w:r>
          </w:p>
          <w:p w14:paraId="2290B574" w14:textId="22823120" w:rsidR="00971D6B" w:rsidRPr="00837BF1" w:rsidRDefault="00971D6B" w:rsidP="009A1E68">
            <w:pPr>
              <w:jc w:val="center"/>
              <w:rPr>
                <w:rFonts w:ascii="Arial" w:hAnsi="Arial" w:cs="Arial"/>
                <w:b/>
                <w:bCs/>
              </w:rPr>
            </w:pPr>
            <w:r w:rsidRPr="00837BF1">
              <w:rPr>
                <w:rFonts w:ascii="Arial" w:hAnsi="Arial" w:cs="Arial"/>
                <w:b/>
                <w:bCs/>
              </w:rPr>
              <w:t>0.</w:t>
            </w:r>
            <w:r w:rsidR="00D603EF" w:rsidRPr="00837BF1">
              <w:rPr>
                <w:rFonts w:ascii="Arial" w:hAnsi="Arial" w:cs="Arial"/>
                <w:b/>
                <w:bCs/>
              </w:rPr>
              <w:t>51</w:t>
            </w:r>
          </w:p>
          <w:p w14:paraId="62C5CCD9" w14:textId="7443D7CD" w:rsidR="00312AAD" w:rsidRPr="00837BF1" w:rsidRDefault="00312AAD" w:rsidP="009A1E68">
            <w:pPr>
              <w:jc w:val="center"/>
              <w:rPr>
                <w:rFonts w:ascii="Arial" w:hAnsi="Arial" w:cs="Arial"/>
                <w:b/>
                <w:bCs/>
              </w:rPr>
            </w:pPr>
            <w:r w:rsidRPr="00837BF1">
              <w:rPr>
                <w:rFonts w:ascii="Arial" w:hAnsi="Arial" w:cs="Arial"/>
                <w:b/>
                <w:bCs/>
              </w:rPr>
              <w:t>2.04</w:t>
            </w:r>
          </w:p>
          <w:p w14:paraId="3F503114" w14:textId="441DE068" w:rsidR="00312AAD" w:rsidRPr="00837BF1" w:rsidRDefault="00312AAD" w:rsidP="00520D32">
            <w:pPr>
              <w:jc w:val="center"/>
              <w:rPr>
                <w:rFonts w:ascii="Arial" w:hAnsi="Arial" w:cs="Arial"/>
              </w:rPr>
            </w:pPr>
            <w:r w:rsidRPr="00837BF1">
              <w:rPr>
                <w:rFonts w:ascii="Arial" w:hAnsi="Arial" w:cs="Arial"/>
                <w:b/>
                <w:bCs/>
              </w:rPr>
              <w:t>1.33</w:t>
            </w:r>
          </w:p>
          <w:p w14:paraId="466839CF" w14:textId="77777777" w:rsidR="00CF3B42" w:rsidRPr="00837BF1" w:rsidRDefault="00CF3B42" w:rsidP="00520D32">
            <w:pPr>
              <w:jc w:val="center"/>
              <w:rPr>
                <w:rFonts w:ascii="Arial" w:hAnsi="Arial" w:cs="Arial"/>
              </w:rPr>
            </w:pPr>
          </w:p>
          <w:p w14:paraId="13F82FD0" w14:textId="322B6902" w:rsidR="00FC016E" w:rsidRPr="00837BF1" w:rsidRDefault="00FC016E" w:rsidP="00520D32">
            <w:pPr>
              <w:jc w:val="center"/>
              <w:rPr>
                <w:rFonts w:ascii="Arial" w:hAnsi="Arial" w:cs="Arial"/>
              </w:rPr>
            </w:pPr>
            <w:r w:rsidRPr="00837BF1">
              <w:rPr>
                <w:rFonts w:ascii="Arial" w:hAnsi="Arial" w:cs="Arial"/>
              </w:rPr>
              <w:t>1.07</w:t>
            </w:r>
          </w:p>
          <w:p w14:paraId="28331C93" w14:textId="77777777" w:rsidR="00FC016E" w:rsidRPr="00837BF1" w:rsidRDefault="00FC016E" w:rsidP="00520D32">
            <w:pPr>
              <w:jc w:val="center"/>
              <w:rPr>
                <w:rFonts w:ascii="Arial" w:hAnsi="Arial" w:cs="Arial"/>
              </w:rPr>
            </w:pPr>
            <w:r w:rsidRPr="00837BF1">
              <w:rPr>
                <w:rFonts w:ascii="Arial" w:hAnsi="Arial" w:cs="Arial"/>
              </w:rPr>
              <w:t>0.97</w:t>
            </w:r>
          </w:p>
          <w:p w14:paraId="67A1AB9D" w14:textId="77777777" w:rsidR="00FC016E" w:rsidRPr="00837BF1" w:rsidRDefault="00FC016E" w:rsidP="00520D32">
            <w:pPr>
              <w:jc w:val="center"/>
              <w:rPr>
                <w:rFonts w:ascii="Arial" w:hAnsi="Arial" w:cs="Arial"/>
              </w:rPr>
            </w:pPr>
            <w:r w:rsidRPr="00837BF1">
              <w:rPr>
                <w:rFonts w:ascii="Arial" w:hAnsi="Arial" w:cs="Arial"/>
              </w:rPr>
              <w:t>1.06</w:t>
            </w:r>
          </w:p>
          <w:p w14:paraId="025D938B" w14:textId="77777777" w:rsidR="00FC016E" w:rsidRPr="00837BF1" w:rsidRDefault="00FC016E" w:rsidP="00520D32">
            <w:pPr>
              <w:jc w:val="center"/>
              <w:rPr>
                <w:rFonts w:ascii="Arial" w:hAnsi="Arial" w:cs="Arial"/>
              </w:rPr>
            </w:pPr>
            <w:r w:rsidRPr="00837BF1">
              <w:rPr>
                <w:rFonts w:ascii="Arial" w:hAnsi="Arial" w:cs="Arial"/>
              </w:rPr>
              <w:t>0.68</w:t>
            </w:r>
          </w:p>
          <w:p w14:paraId="68EEA5D4" w14:textId="69C2E86B" w:rsidR="00FC016E" w:rsidRPr="00837BF1" w:rsidRDefault="00FC016E" w:rsidP="00520D32">
            <w:pPr>
              <w:jc w:val="center"/>
              <w:rPr>
                <w:rFonts w:ascii="Arial" w:hAnsi="Arial" w:cs="Arial"/>
              </w:rPr>
            </w:pPr>
            <w:r w:rsidRPr="00837BF1">
              <w:rPr>
                <w:rFonts w:ascii="Arial" w:hAnsi="Arial" w:cs="Arial"/>
              </w:rPr>
              <w:t>1.56</w:t>
            </w:r>
          </w:p>
        </w:tc>
        <w:tc>
          <w:tcPr>
            <w:tcW w:w="1276" w:type="dxa"/>
          </w:tcPr>
          <w:p w14:paraId="47E69E3E" w14:textId="77777777" w:rsidR="00120BA7" w:rsidRPr="00837BF1" w:rsidRDefault="00120BA7" w:rsidP="00520D32">
            <w:pPr>
              <w:jc w:val="center"/>
              <w:rPr>
                <w:rFonts w:ascii="Arial" w:hAnsi="Arial" w:cs="Arial"/>
              </w:rPr>
            </w:pPr>
          </w:p>
          <w:p w14:paraId="3ED10CAA" w14:textId="77777777" w:rsidR="00FC016E" w:rsidRPr="00837BF1" w:rsidRDefault="00FC016E" w:rsidP="00520D32">
            <w:pPr>
              <w:jc w:val="center"/>
              <w:rPr>
                <w:rFonts w:ascii="Arial" w:hAnsi="Arial" w:cs="Arial"/>
                <w:b/>
                <w:bCs/>
              </w:rPr>
            </w:pPr>
            <w:r w:rsidRPr="00837BF1">
              <w:rPr>
                <w:rFonts w:ascii="Arial" w:hAnsi="Arial" w:cs="Arial"/>
                <w:b/>
                <w:bCs/>
              </w:rPr>
              <w:t>1.06, 1.40</w:t>
            </w:r>
          </w:p>
          <w:p w14:paraId="44DBECB1" w14:textId="77777777" w:rsidR="00FC016E" w:rsidRPr="00837BF1" w:rsidRDefault="00FC016E" w:rsidP="00520D32">
            <w:pPr>
              <w:jc w:val="center"/>
              <w:rPr>
                <w:rFonts w:ascii="Arial" w:hAnsi="Arial" w:cs="Arial"/>
                <w:b/>
                <w:bCs/>
              </w:rPr>
            </w:pPr>
          </w:p>
          <w:p w14:paraId="30482931" w14:textId="3F7D2BFF" w:rsidR="00FC016E" w:rsidRPr="00837BF1" w:rsidRDefault="00D603EF" w:rsidP="009A1E68">
            <w:pPr>
              <w:jc w:val="center"/>
              <w:rPr>
                <w:rFonts w:ascii="Arial" w:hAnsi="Arial" w:cs="Arial"/>
              </w:rPr>
            </w:pPr>
            <w:r w:rsidRPr="00837BF1">
              <w:rPr>
                <w:rFonts w:ascii="Arial" w:hAnsi="Arial" w:cs="Arial"/>
              </w:rPr>
              <w:t>0.71, 1.28</w:t>
            </w:r>
          </w:p>
          <w:p w14:paraId="400DA06A" w14:textId="6A75F1E0" w:rsidR="00D603EF" w:rsidRPr="00837BF1" w:rsidRDefault="00D603EF" w:rsidP="009A1E68">
            <w:pPr>
              <w:jc w:val="center"/>
              <w:rPr>
                <w:rFonts w:ascii="Arial" w:hAnsi="Arial" w:cs="Arial"/>
                <w:b/>
                <w:bCs/>
              </w:rPr>
            </w:pPr>
            <w:r w:rsidRPr="00837BF1">
              <w:rPr>
                <w:rFonts w:ascii="Arial" w:hAnsi="Arial" w:cs="Arial"/>
                <w:b/>
                <w:bCs/>
              </w:rPr>
              <w:t>0.54, 0.95</w:t>
            </w:r>
          </w:p>
          <w:p w14:paraId="49CD0BD8" w14:textId="661FEBDA" w:rsidR="00D603EF" w:rsidRPr="00837BF1" w:rsidRDefault="00D603EF" w:rsidP="009A1E68">
            <w:pPr>
              <w:jc w:val="center"/>
              <w:rPr>
                <w:rFonts w:ascii="Arial" w:hAnsi="Arial" w:cs="Arial"/>
                <w:b/>
                <w:bCs/>
              </w:rPr>
            </w:pPr>
            <w:r w:rsidRPr="00837BF1">
              <w:rPr>
                <w:rFonts w:ascii="Arial" w:hAnsi="Arial" w:cs="Arial"/>
                <w:b/>
                <w:bCs/>
              </w:rPr>
              <w:t>0.38, 0.67</w:t>
            </w:r>
          </w:p>
          <w:p w14:paraId="71A7FCFC" w14:textId="1F00DE28" w:rsidR="00D603EF" w:rsidRPr="00837BF1" w:rsidRDefault="00D603EF" w:rsidP="009A1E68">
            <w:pPr>
              <w:jc w:val="center"/>
              <w:rPr>
                <w:rFonts w:ascii="Arial" w:hAnsi="Arial" w:cs="Arial"/>
                <w:b/>
                <w:bCs/>
              </w:rPr>
            </w:pPr>
            <w:r w:rsidRPr="00837BF1">
              <w:rPr>
                <w:rFonts w:ascii="Arial" w:hAnsi="Arial" w:cs="Arial"/>
                <w:b/>
                <w:bCs/>
              </w:rPr>
              <w:t>0.39, 0.67</w:t>
            </w:r>
          </w:p>
          <w:p w14:paraId="090E7DFC" w14:textId="1554EBF7" w:rsidR="001E5041" w:rsidRPr="00837BF1" w:rsidRDefault="001E5041" w:rsidP="009A1E68">
            <w:pPr>
              <w:jc w:val="center"/>
              <w:rPr>
                <w:rFonts w:ascii="Arial" w:hAnsi="Arial" w:cs="Arial"/>
                <w:b/>
                <w:bCs/>
              </w:rPr>
            </w:pPr>
            <w:r w:rsidRPr="00837BF1">
              <w:rPr>
                <w:rFonts w:ascii="Arial" w:hAnsi="Arial" w:cs="Arial"/>
                <w:b/>
                <w:bCs/>
              </w:rPr>
              <w:t>1.77, 2.35</w:t>
            </w:r>
          </w:p>
          <w:p w14:paraId="3CC6BA38" w14:textId="52202BDD" w:rsidR="001E5041" w:rsidRPr="00837BF1" w:rsidRDefault="001E5041" w:rsidP="00520D32">
            <w:pPr>
              <w:jc w:val="center"/>
              <w:rPr>
                <w:rFonts w:ascii="Arial" w:hAnsi="Arial" w:cs="Arial"/>
              </w:rPr>
            </w:pPr>
            <w:r w:rsidRPr="00837BF1">
              <w:rPr>
                <w:rFonts w:ascii="Arial" w:hAnsi="Arial" w:cs="Arial"/>
                <w:b/>
                <w:bCs/>
              </w:rPr>
              <w:t>1.13, 1.57</w:t>
            </w:r>
          </w:p>
          <w:p w14:paraId="3C80E6A3" w14:textId="77777777" w:rsidR="00CF3B42" w:rsidRPr="00837BF1" w:rsidRDefault="00CF3B42" w:rsidP="00520D32">
            <w:pPr>
              <w:jc w:val="center"/>
              <w:rPr>
                <w:rFonts w:ascii="Arial" w:hAnsi="Arial" w:cs="Arial"/>
              </w:rPr>
            </w:pPr>
          </w:p>
          <w:p w14:paraId="37827295" w14:textId="277E8A00" w:rsidR="001E5041" w:rsidRPr="00837BF1" w:rsidRDefault="001E5041" w:rsidP="00520D32">
            <w:pPr>
              <w:jc w:val="center"/>
              <w:rPr>
                <w:rFonts w:ascii="Arial" w:hAnsi="Arial" w:cs="Arial"/>
              </w:rPr>
            </w:pPr>
            <w:r w:rsidRPr="00837BF1">
              <w:rPr>
                <w:rFonts w:ascii="Arial" w:hAnsi="Arial" w:cs="Arial"/>
              </w:rPr>
              <w:t>0.77, 1.48</w:t>
            </w:r>
          </w:p>
          <w:p w14:paraId="32E7565F" w14:textId="77777777" w:rsidR="001E5041" w:rsidRPr="00837BF1" w:rsidRDefault="001E5041" w:rsidP="00520D32">
            <w:pPr>
              <w:jc w:val="center"/>
              <w:rPr>
                <w:rFonts w:ascii="Arial" w:hAnsi="Arial" w:cs="Arial"/>
              </w:rPr>
            </w:pPr>
            <w:r w:rsidRPr="00837BF1">
              <w:rPr>
                <w:rFonts w:ascii="Arial" w:hAnsi="Arial" w:cs="Arial"/>
              </w:rPr>
              <w:t>0.54, 1.76</w:t>
            </w:r>
          </w:p>
          <w:p w14:paraId="08D02C60" w14:textId="77777777" w:rsidR="001E5041" w:rsidRPr="00837BF1" w:rsidRDefault="001E5041" w:rsidP="00520D32">
            <w:pPr>
              <w:jc w:val="center"/>
              <w:rPr>
                <w:rFonts w:ascii="Arial" w:hAnsi="Arial" w:cs="Arial"/>
              </w:rPr>
            </w:pPr>
            <w:r w:rsidRPr="00837BF1">
              <w:rPr>
                <w:rFonts w:ascii="Arial" w:hAnsi="Arial" w:cs="Arial"/>
              </w:rPr>
              <w:t>0.75, 1.49</w:t>
            </w:r>
          </w:p>
          <w:p w14:paraId="21D3A66F" w14:textId="77777777" w:rsidR="001E5041" w:rsidRPr="00837BF1" w:rsidRDefault="001E5041" w:rsidP="00520D32">
            <w:pPr>
              <w:jc w:val="center"/>
              <w:rPr>
                <w:rFonts w:ascii="Arial" w:hAnsi="Arial" w:cs="Arial"/>
              </w:rPr>
            </w:pPr>
            <w:r w:rsidRPr="00837BF1">
              <w:rPr>
                <w:rFonts w:ascii="Arial" w:hAnsi="Arial" w:cs="Arial"/>
              </w:rPr>
              <w:t>0.38, 1.24</w:t>
            </w:r>
          </w:p>
          <w:p w14:paraId="72D67298" w14:textId="1C237997" w:rsidR="001E5041" w:rsidRPr="00837BF1" w:rsidRDefault="001E5041" w:rsidP="00520D32">
            <w:pPr>
              <w:jc w:val="center"/>
              <w:rPr>
                <w:rFonts w:ascii="Arial" w:hAnsi="Arial" w:cs="Arial"/>
              </w:rPr>
            </w:pPr>
            <w:r w:rsidRPr="00837BF1">
              <w:rPr>
                <w:rFonts w:ascii="Arial" w:hAnsi="Arial" w:cs="Arial"/>
              </w:rPr>
              <w:t>0.50, 4.88</w:t>
            </w:r>
          </w:p>
        </w:tc>
        <w:tc>
          <w:tcPr>
            <w:tcW w:w="992" w:type="dxa"/>
          </w:tcPr>
          <w:p w14:paraId="6371E6BB" w14:textId="77777777" w:rsidR="00120BA7" w:rsidRPr="00837BF1" w:rsidRDefault="00120BA7" w:rsidP="00520D32">
            <w:pPr>
              <w:jc w:val="center"/>
              <w:rPr>
                <w:rFonts w:ascii="Arial" w:hAnsi="Arial" w:cs="Arial"/>
              </w:rPr>
            </w:pPr>
          </w:p>
          <w:p w14:paraId="0A17230A" w14:textId="77777777" w:rsidR="00D17555" w:rsidRPr="00837BF1" w:rsidRDefault="00D17555" w:rsidP="00520D32">
            <w:pPr>
              <w:jc w:val="center"/>
              <w:rPr>
                <w:rFonts w:ascii="Arial" w:hAnsi="Arial" w:cs="Arial"/>
              </w:rPr>
            </w:pPr>
            <w:r w:rsidRPr="00837BF1">
              <w:rPr>
                <w:rFonts w:ascii="Arial" w:hAnsi="Arial" w:cs="Arial"/>
              </w:rPr>
              <w:t>1.05</w:t>
            </w:r>
          </w:p>
          <w:p w14:paraId="282EECF5" w14:textId="77777777" w:rsidR="00D17555" w:rsidRPr="00837BF1" w:rsidRDefault="00D17555" w:rsidP="00520D32">
            <w:pPr>
              <w:jc w:val="center"/>
              <w:rPr>
                <w:rFonts w:ascii="Arial" w:hAnsi="Arial" w:cs="Arial"/>
              </w:rPr>
            </w:pPr>
          </w:p>
          <w:p w14:paraId="2A5F04B1" w14:textId="4E9E8860" w:rsidR="00C32E09" w:rsidRPr="00837BF1" w:rsidRDefault="00355DD2" w:rsidP="009A1E68">
            <w:pPr>
              <w:jc w:val="center"/>
              <w:rPr>
                <w:rFonts w:ascii="Arial" w:hAnsi="Arial" w:cs="Arial"/>
              </w:rPr>
            </w:pPr>
            <w:r w:rsidRPr="00837BF1">
              <w:rPr>
                <w:rFonts w:ascii="Arial" w:hAnsi="Arial" w:cs="Arial"/>
              </w:rPr>
              <w:t>0.84</w:t>
            </w:r>
          </w:p>
          <w:p w14:paraId="32E2B400" w14:textId="07042757" w:rsidR="00355DD2" w:rsidRPr="00837BF1" w:rsidRDefault="00355DD2" w:rsidP="009A1E68">
            <w:pPr>
              <w:jc w:val="center"/>
              <w:rPr>
                <w:rFonts w:ascii="Arial" w:hAnsi="Arial" w:cs="Arial"/>
                <w:b/>
                <w:bCs/>
              </w:rPr>
            </w:pPr>
            <w:r w:rsidRPr="00837BF1">
              <w:rPr>
                <w:rFonts w:ascii="Arial" w:hAnsi="Arial" w:cs="Arial"/>
                <w:b/>
                <w:bCs/>
              </w:rPr>
              <w:t>0.63</w:t>
            </w:r>
          </w:p>
          <w:p w14:paraId="4565EDA0" w14:textId="623F0BCA" w:rsidR="00355DD2" w:rsidRPr="00837BF1" w:rsidRDefault="00355DD2" w:rsidP="009A1E68">
            <w:pPr>
              <w:jc w:val="center"/>
              <w:rPr>
                <w:rFonts w:ascii="Arial" w:hAnsi="Arial" w:cs="Arial"/>
                <w:b/>
                <w:bCs/>
              </w:rPr>
            </w:pPr>
            <w:r w:rsidRPr="00837BF1">
              <w:rPr>
                <w:rFonts w:ascii="Arial" w:hAnsi="Arial" w:cs="Arial"/>
                <w:b/>
                <w:bCs/>
              </w:rPr>
              <w:t>0.42</w:t>
            </w:r>
          </w:p>
          <w:p w14:paraId="27B42917" w14:textId="7F43E6BC" w:rsidR="00355DD2" w:rsidRPr="00837BF1" w:rsidRDefault="00355DD2" w:rsidP="009A1E68">
            <w:pPr>
              <w:jc w:val="center"/>
              <w:rPr>
                <w:rFonts w:ascii="Arial" w:hAnsi="Arial" w:cs="Arial"/>
                <w:b/>
                <w:bCs/>
              </w:rPr>
            </w:pPr>
            <w:r w:rsidRPr="00837BF1">
              <w:rPr>
                <w:rFonts w:ascii="Arial" w:hAnsi="Arial" w:cs="Arial"/>
                <w:b/>
                <w:bCs/>
              </w:rPr>
              <w:t>0.45</w:t>
            </w:r>
          </w:p>
          <w:p w14:paraId="6B528972" w14:textId="6B1498C6" w:rsidR="00C32E09" w:rsidRPr="00837BF1" w:rsidRDefault="00C32E09" w:rsidP="009A1E68">
            <w:pPr>
              <w:jc w:val="center"/>
              <w:rPr>
                <w:rFonts w:ascii="Arial" w:hAnsi="Arial" w:cs="Arial"/>
                <w:b/>
                <w:bCs/>
              </w:rPr>
            </w:pPr>
            <w:r w:rsidRPr="00837BF1">
              <w:rPr>
                <w:rFonts w:ascii="Arial" w:hAnsi="Arial" w:cs="Arial"/>
                <w:b/>
                <w:bCs/>
              </w:rPr>
              <w:t>2.15</w:t>
            </w:r>
          </w:p>
          <w:p w14:paraId="5E35F847" w14:textId="5718831F" w:rsidR="00C32E09" w:rsidRPr="00837BF1" w:rsidRDefault="00C32E09" w:rsidP="00520D32">
            <w:pPr>
              <w:jc w:val="center"/>
              <w:rPr>
                <w:rFonts w:ascii="Arial" w:hAnsi="Arial" w:cs="Arial"/>
              </w:rPr>
            </w:pPr>
            <w:r w:rsidRPr="00837BF1">
              <w:rPr>
                <w:rFonts w:ascii="Arial" w:hAnsi="Arial" w:cs="Arial"/>
                <w:b/>
                <w:bCs/>
              </w:rPr>
              <w:t>1.24</w:t>
            </w:r>
          </w:p>
          <w:p w14:paraId="4199F4A0" w14:textId="77777777" w:rsidR="00CF3B42" w:rsidRPr="00837BF1" w:rsidRDefault="00CF3B42" w:rsidP="00520D32">
            <w:pPr>
              <w:jc w:val="center"/>
              <w:rPr>
                <w:rFonts w:ascii="Arial" w:hAnsi="Arial" w:cs="Arial"/>
              </w:rPr>
            </w:pPr>
          </w:p>
          <w:p w14:paraId="5D9D6546" w14:textId="381CBD61" w:rsidR="00C32E09" w:rsidRPr="00837BF1" w:rsidRDefault="00C32E09" w:rsidP="00520D32">
            <w:pPr>
              <w:jc w:val="center"/>
              <w:rPr>
                <w:rFonts w:ascii="Arial" w:hAnsi="Arial" w:cs="Arial"/>
              </w:rPr>
            </w:pPr>
            <w:r w:rsidRPr="00837BF1">
              <w:rPr>
                <w:rFonts w:ascii="Arial" w:hAnsi="Arial" w:cs="Arial"/>
              </w:rPr>
              <w:t>1.03</w:t>
            </w:r>
          </w:p>
          <w:p w14:paraId="561DB436" w14:textId="77777777" w:rsidR="00C32E09" w:rsidRPr="00837BF1" w:rsidRDefault="00C32E09" w:rsidP="00520D32">
            <w:pPr>
              <w:jc w:val="center"/>
              <w:rPr>
                <w:rFonts w:ascii="Arial" w:hAnsi="Arial" w:cs="Arial"/>
              </w:rPr>
            </w:pPr>
            <w:r w:rsidRPr="00837BF1">
              <w:rPr>
                <w:rFonts w:ascii="Arial" w:hAnsi="Arial" w:cs="Arial"/>
              </w:rPr>
              <w:t>0.89</w:t>
            </w:r>
          </w:p>
          <w:p w14:paraId="3A97ECAB" w14:textId="77777777" w:rsidR="00C32E09" w:rsidRPr="00837BF1" w:rsidRDefault="00677B7B" w:rsidP="00520D32">
            <w:pPr>
              <w:jc w:val="center"/>
              <w:rPr>
                <w:rFonts w:ascii="Arial" w:hAnsi="Arial" w:cs="Arial"/>
              </w:rPr>
            </w:pPr>
            <w:r w:rsidRPr="00837BF1">
              <w:rPr>
                <w:rFonts w:ascii="Arial" w:hAnsi="Arial" w:cs="Arial"/>
              </w:rPr>
              <w:t>0.97</w:t>
            </w:r>
          </w:p>
          <w:p w14:paraId="52742B94" w14:textId="77777777" w:rsidR="00677B7B" w:rsidRPr="00837BF1" w:rsidRDefault="00677B7B" w:rsidP="00520D32">
            <w:pPr>
              <w:jc w:val="center"/>
              <w:rPr>
                <w:rFonts w:ascii="Arial" w:hAnsi="Arial" w:cs="Arial"/>
                <w:b/>
                <w:bCs/>
              </w:rPr>
            </w:pPr>
            <w:r w:rsidRPr="00837BF1">
              <w:rPr>
                <w:rFonts w:ascii="Arial" w:hAnsi="Arial" w:cs="Arial"/>
                <w:b/>
                <w:bCs/>
              </w:rPr>
              <w:t>0.52</w:t>
            </w:r>
          </w:p>
          <w:p w14:paraId="2ED36697" w14:textId="77777777" w:rsidR="00677B7B" w:rsidRPr="00837BF1" w:rsidRDefault="00677B7B" w:rsidP="00520D32">
            <w:pPr>
              <w:jc w:val="center"/>
              <w:rPr>
                <w:rFonts w:ascii="Arial" w:hAnsi="Arial" w:cs="Arial"/>
              </w:rPr>
            </w:pPr>
            <w:r w:rsidRPr="00837BF1">
              <w:rPr>
                <w:rFonts w:ascii="Arial" w:hAnsi="Arial" w:cs="Arial"/>
              </w:rPr>
              <w:t>1.77</w:t>
            </w:r>
          </w:p>
          <w:p w14:paraId="626FA734" w14:textId="1BA86F4D" w:rsidR="00677B7B" w:rsidRPr="00837BF1" w:rsidRDefault="00677B7B" w:rsidP="00520D32">
            <w:pPr>
              <w:jc w:val="center"/>
              <w:rPr>
                <w:rFonts w:ascii="Arial" w:hAnsi="Arial" w:cs="Arial"/>
              </w:rPr>
            </w:pPr>
            <w:r w:rsidRPr="00837BF1">
              <w:rPr>
                <w:rFonts w:ascii="Arial" w:hAnsi="Arial" w:cs="Arial"/>
              </w:rPr>
              <w:t>1.06</w:t>
            </w:r>
          </w:p>
          <w:p w14:paraId="2F476225" w14:textId="77777777" w:rsidR="00F97DD5" w:rsidRPr="00837BF1" w:rsidRDefault="00F97DD5" w:rsidP="00520D32">
            <w:pPr>
              <w:jc w:val="center"/>
              <w:rPr>
                <w:rFonts w:ascii="Arial" w:hAnsi="Arial" w:cs="Arial"/>
                <w:b/>
                <w:bCs/>
              </w:rPr>
            </w:pPr>
          </w:p>
          <w:p w14:paraId="7C6CBB82" w14:textId="77777777" w:rsidR="00ED509E" w:rsidRPr="00837BF1" w:rsidRDefault="00ED509E" w:rsidP="00520D32">
            <w:pPr>
              <w:jc w:val="center"/>
              <w:rPr>
                <w:rFonts w:ascii="Arial" w:hAnsi="Arial" w:cs="Arial"/>
                <w:b/>
                <w:bCs/>
              </w:rPr>
            </w:pPr>
          </w:p>
          <w:p w14:paraId="0E38792A" w14:textId="1B3FDF78" w:rsidR="00677B7B" w:rsidRPr="00837BF1" w:rsidRDefault="00677B7B" w:rsidP="00520D32">
            <w:pPr>
              <w:jc w:val="center"/>
              <w:rPr>
                <w:rFonts w:ascii="Arial" w:hAnsi="Arial" w:cs="Arial"/>
                <w:b/>
                <w:bCs/>
              </w:rPr>
            </w:pPr>
            <w:r w:rsidRPr="00837BF1">
              <w:rPr>
                <w:rFonts w:ascii="Arial" w:hAnsi="Arial" w:cs="Arial"/>
                <w:b/>
                <w:bCs/>
              </w:rPr>
              <w:t>1.97</w:t>
            </w:r>
          </w:p>
          <w:p w14:paraId="32A646C7" w14:textId="2271A99C" w:rsidR="00677B7B" w:rsidRPr="00837BF1" w:rsidRDefault="00677B7B" w:rsidP="00520D32">
            <w:pPr>
              <w:jc w:val="center"/>
              <w:rPr>
                <w:rFonts w:ascii="Arial" w:hAnsi="Arial" w:cs="Arial"/>
              </w:rPr>
            </w:pPr>
            <w:r w:rsidRPr="00837BF1">
              <w:rPr>
                <w:rFonts w:ascii="Arial" w:hAnsi="Arial" w:cs="Arial"/>
                <w:b/>
                <w:bCs/>
              </w:rPr>
              <w:t>5.69</w:t>
            </w:r>
          </w:p>
        </w:tc>
        <w:tc>
          <w:tcPr>
            <w:tcW w:w="1276" w:type="dxa"/>
          </w:tcPr>
          <w:p w14:paraId="53518677" w14:textId="77777777" w:rsidR="00120BA7" w:rsidRPr="00837BF1" w:rsidRDefault="00120BA7" w:rsidP="00520D32">
            <w:pPr>
              <w:jc w:val="center"/>
              <w:rPr>
                <w:rFonts w:ascii="Arial" w:hAnsi="Arial" w:cs="Arial"/>
              </w:rPr>
            </w:pPr>
          </w:p>
          <w:p w14:paraId="24C84C16" w14:textId="77777777" w:rsidR="00677B7B" w:rsidRPr="00837BF1" w:rsidRDefault="00677B7B" w:rsidP="00520D32">
            <w:pPr>
              <w:jc w:val="center"/>
              <w:rPr>
                <w:rFonts w:ascii="Arial" w:hAnsi="Arial" w:cs="Arial"/>
              </w:rPr>
            </w:pPr>
            <w:r w:rsidRPr="00837BF1">
              <w:rPr>
                <w:rFonts w:ascii="Arial" w:hAnsi="Arial" w:cs="Arial"/>
              </w:rPr>
              <w:t>0.91, 1.22</w:t>
            </w:r>
          </w:p>
          <w:p w14:paraId="456A394B" w14:textId="77777777" w:rsidR="00677B7B" w:rsidRPr="00837BF1" w:rsidRDefault="00677B7B" w:rsidP="00520D32">
            <w:pPr>
              <w:jc w:val="center"/>
              <w:rPr>
                <w:rFonts w:ascii="Arial" w:hAnsi="Arial" w:cs="Arial"/>
              </w:rPr>
            </w:pPr>
          </w:p>
          <w:p w14:paraId="48F43F50" w14:textId="4A190DF6" w:rsidR="007322A6" w:rsidRPr="00837BF1" w:rsidRDefault="00355DD2" w:rsidP="009A1E68">
            <w:pPr>
              <w:jc w:val="center"/>
              <w:rPr>
                <w:rFonts w:ascii="Arial" w:hAnsi="Arial" w:cs="Arial"/>
              </w:rPr>
            </w:pPr>
            <w:r w:rsidRPr="00837BF1">
              <w:rPr>
                <w:rFonts w:ascii="Arial" w:hAnsi="Arial" w:cs="Arial"/>
              </w:rPr>
              <w:t>0.62, 1.14</w:t>
            </w:r>
          </w:p>
          <w:p w14:paraId="3E397E12" w14:textId="521B3C1C" w:rsidR="00355DD2" w:rsidRPr="00837BF1" w:rsidRDefault="00355DD2" w:rsidP="009A1E68">
            <w:pPr>
              <w:jc w:val="center"/>
              <w:rPr>
                <w:rFonts w:ascii="Arial" w:hAnsi="Arial" w:cs="Arial"/>
                <w:b/>
                <w:bCs/>
              </w:rPr>
            </w:pPr>
            <w:r w:rsidRPr="00837BF1">
              <w:rPr>
                <w:rFonts w:ascii="Arial" w:hAnsi="Arial" w:cs="Arial"/>
                <w:b/>
                <w:bCs/>
              </w:rPr>
              <w:t>0.46, 0.85</w:t>
            </w:r>
          </w:p>
          <w:p w14:paraId="79DDDDA1" w14:textId="72EE740D" w:rsidR="007C1F63" w:rsidRPr="00837BF1" w:rsidRDefault="007C1F63" w:rsidP="009A1E68">
            <w:pPr>
              <w:jc w:val="center"/>
              <w:rPr>
                <w:rFonts w:ascii="Arial" w:hAnsi="Arial" w:cs="Arial"/>
                <w:b/>
                <w:bCs/>
              </w:rPr>
            </w:pPr>
            <w:r w:rsidRPr="00837BF1">
              <w:rPr>
                <w:rFonts w:ascii="Arial" w:hAnsi="Arial" w:cs="Arial"/>
                <w:b/>
                <w:bCs/>
              </w:rPr>
              <w:t>0.31, 0.56</w:t>
            </w:r>
          </w:p>
          <w:p w14:paraId="40E71820" w14:textId="0B175F78" w:rsidR="007C1F63" w:rsidRPr="00837BF1" w:rsidRDefault="007C1F63" w:rsidP="009A1E68">
            <w:pPr>
              <w:jc w:val="center"/>
              <w:rPr>
                <w:rFonts w:ascii="Arial" w:hAnsi="Arial" w:cs="Arial"/>
                <w:b/>
                <w:bCs/>
              </w:rPr>
            </w:pPr>
            <w:r w:rsidRPr="00837BF1">
              <w:rPr>
                <w:rFonts w:ascii="Arial" w:hAnsi="Arial" w:cs="Arial"/>
                <w:b/>
                <w:bCs/>
              </w:rPr>
              <w:t>0.33, 0.60</w:t>
            </w:r>
          </w:p>
          <w:p w14:paraId="2578E52B" w14:textId="1D7B40AC" w:rsidR="007322A6" w:rsidRPr="00837BF1" w:rsidRDefault="007322A6" w:rsidP="009A1E68">
            <w:pPr>
              <w:jc w:val="center"/>
              <w:rPr>
                <w:rFonts w:ascii="Arial" w:hAnsi="Arial" w:cs="Arial"/>
                <w:b/>
                <w:bCs/>
              </w:rPr>
            </w:pPr>
            <w:r w:rsidRPr="00837BF1">
              <w:rPr>
                <w:rFonts w:ascii="Arial" w:hAnsi="Arial" w:cs="Arial"/>
                <w:b/>
                <w:bCs/>
              </w:rPr>
              <w:t>1.86, 2.49</w:t>
            </w:r>
          </w:p>
          <w:p w14:paraId="74DC42E4" w14:textId="758C1FE7" w:rsidR="007322A6" w:rsidRPr="00837BF1" w:rsidRDefault="007322A6" w:rsidP="00520D32">
            <w:pPr>
              <w:jc w:val="center"/>
              <w:rPr>
                <w:rFonts w:ascii="Arial" w:hAnsi="Arial" w:cs="Arial"/>
              </w:rPr>
            </w:pPr>
            <w:r w:rsidRPr="00837BF1">
              <w:rPr>
                <w:rFonts w:ascii="Arial" w:hAnsi="Arial" w:cs="Arial"/>
                <w:b/>
                <w:bCs/>
              </w:rPr>
              <w:t>1.04, 1.49</w:t>
            </w:r>
          </w:p>
          <w:p w14:paraId="258754CD" w14:textId="77777777" w:rsidR="00CF3B42" w:rsidRPr="00837BF1" w:rsidRDefault="00CF3B42" w:rsidP="00520D32">
            <w:pPr>
              <w:jc w:val="center"/>
              <w:rPr>
                <w:rFonts w:ascii="Arial" w:hAnsi="Arial" w:cs="Arial"/>
              </w:rPr>
            </w:pPr>
          </w:p>
          <w:p w14:paraId="15BEE3EA" w14:textId="4A4A756B" w:rsidR="007322A6" w:rsidRPr="00837BF1" w:rsidRDefault="007322A6" w:rsidP="00520D32">
            <w:pPr>
              <w:jc w:val="center"/>
              <w:rPr>
                <w:rFonts w:ascii="Arial" w:hAnsi="Arial" w:cs="Arial"/>
              </w:rPr>
            </w:pPr>
            <w:r w:rsidRPr="00837BF1">
              <w:rPr>
                <w:rFonts w:ascii="Arial" w:hAnsi="Arial" w:cs="Arial"/>
              </w:rPr>
              <w:t>0.74, 1.43</w:t>
            </w:r>
          </w:p>
          <w:p w14:paraId="6E7DBBA4" w14:textId="77777777" w:rsidR="007322A6" w:rsidRPr="00837BF1" w:rsidRDefault="007322A6" w:rsidP="00520D32">
            <w:pPr>
              <w:jc w:val="center"/>
              <w:rPr>
                <w:rFonts w:ascii="Arial" w:hAnsi="Arial" w:cs="Arial"/>
              </w:rPr>
            </w:pPr>
            <w:r w:rsidRPr="00837BF1">
              <w:rPr>
                <w:rFonts w:ascii="Arial" w:hAnsi="Arial" w:cs="Arial"/>
              </w:rPr>
              <w:t>0.49, 1.64</w:t>
            </w:r>
          </w:p>
          <w:p w14:paraId="79ABD5A6" w14:textId="77777777" w:rsidR="007322A6" w:rsidRPr="00837BF1" w:rsidRDefault="007322A6" w:rsidP="00520D32">
            <w:pPr>
              <w:jc w:val="center"/>
              <w:rPr>
                <w:rFonts w:ascii="Arial" w:hAnsi="Arial" w:cs="Arial"/>
              </w:rPr>
            </w:pPr>
            <w:r w:rsidRPr="00837BF1">
              <w:rPr>
                <w:rFonts w:ascii="Arial" w:hAnsi="Arial" w:cs="Arial"/>
              </w:rPr>
              <w:t>0.69, 1.37</w:t>
            </w:r>
          </w:p>
          <w:p w14:paraId="5018CF02" w14:textId="77777777" w:rsidR="007322A6" w:rsidRPr="00837BF1" w:rsidRDefault="007322A6" w:rsidP="00520D32">
            <w:pPr>
              <w:jc w:val="center"/>
              <w:rPr>
                <w:rFonts w:ascii="Arial" w:hAnsi="Arial" w:cs="Arial"/>
                <w:b/>
                <w:bCs/>
              </w:rPr>
            </w:pPr>
            <w:r w:rsidRPr="00837BF1">
              <w:rPr>
                <w:rFonts w:ascii="Arial" w:hAnsi="Arial" w:cs="Arial"/>
                <w:b/>
                <w:bCs/>
              </w:rPr>
              <w:t>0.29, 0.91</w:t>
            </w:r>
          </w:p>
          <w:p w14:paraId="7DB06B26" w14:textId="77777777" w:rsidR="007322A6" w:rsidRPr="00837BF1" w:rsidRDefault="007322A6" w:rsidP="00520D32">
            <w:pPr>
              <w:jc w:val="center"/>
              <w:rPr>
                <w:rFonts w:ascii="Arial" w:hAnsi="Arial" w:cs="Arial"/>
              </w:rPr>
            </w:pPr>
            <w:r w:rsidRPr="00837BF1">
              <w:rPr>
                <w:rFonts w:ascii="Arial" w:hAnsi="Arial" w:cs="Arial"/>
              </w:rPr>
              <w:t>0.56, 5.57</w:t>
            </w:r>
          </w:p>
          <w:p w14:paraId="37C68EA8" w14:textId="236DB052" w:rsidR="007322A6" w:rsidRPr="00837BF1" w:rsidRDefault="007322A6" w:rsidP="00520D32">
            <w:pPr>
              <w:jc w:val="center"/>
              <w:rPr>
                <w:rFonts w:ascii="Arial" w:hAnsi="Arial" w:cs="Arial"/>
              </w:rPr>
            </w:pPr>
            <w:r w:rsidRPr="00837BF1">
              <w:rPr>
                <w:rFonts w:ascii="Arial" w:hAnsi="Arial" w:cs="Arial"/>
              </w:rPr>
              <w:t>0.99, 1.14</w:t>
            </w:r>
          </w:p>
          <w:p w14:paraId="1AEB2D30" w14:textId="77777777" w:rsidR="00F97DD5" w:rsidRPr="00837BF1" w:rsidRDefault="00F97DD5" w:rsidP="00520D32">
            <w:pPr>
              <w:jc w:val="center"/>
              <w:rPr>
                <w:rFonts w:ascii="Arial" w:hAnsi="Arial" w:cs="Arial"/>
                <w:b/>
                <w:bCs/>
              </w:rPr>
            </w:pPr>
          </w:p>
          <w:p w14:paraId="42B9C53B" w14:textId="77777777" w:rsidR="00ED509E" w:rsidRPr="00837BF1" w:rsidRDefault="00ED509E" w:rsidP="00520D32">
            <w:pPr>
              <w:jc w:val="center"/>
              <w:rPr>
                <w:rFonts w:ascii="Arial" w:hAnsi="Arial" w:cs="Arial"/>
                <w:b/>
                <w:bCs/>
              </w:rPr>
            </w:pPr>
          </w:p>
          <w:p w14:paraId="5FB891DF" w14:textId="72625DEA" w:rsidR="007322A6" w:rsidRPr="00837BF1" w:rsidRDefault="00400311" w:rsidP="00520D32">
            <w:pPr>
              <w:jc w:val="center"/>
              <w:rPr>
                <w:rFonts w:ascii="Arial" w:hAnsi="Arial" w:cs="Arial"/>
                <w:b/>
                <w:bCs/>
              </w:rPr>
            </w:pPr>
            <w:r w:rsidRPr="00837BF1">
              <w:rPr>
                <w:rFonts w:ascii="Arial" w:hAnsi="Arial" w:cs="Arial"/>
                <w:b/>
                <w:bCs/>
              </w:rPr>
              <w:t>1.62, 2.39</w:t>
            </w:r>
          </w:p>
          <w:p w14:paraId="74D43D4C" w14:textId="4F361890" w:rsidR="00400311" w:rsidRPr="00837BF1" w:rsidRDefault="00400311" w:rsidP="00520D32">
            <w:pPr>
              <w:jc w:val="center"/>
              <w:rPr>
                <w:rFonts w:ascii="Arial" w:hAnsi="Arial" w:cs="Arial"/>
              </w:rPr>
            </w:pPr>
            <w:r w:rsidRPr="00837BF1">
              <w:rPr>
                <w:rFonts w:ascii="Arial" w:hAnsi="Arial" w:cs="Arial"/>
                <w:b/>
                <w:bCs/>
              </w:rPr>
              <w:t>4.03, 8.04</w:t>
            </w:r>
          </w:p>
        </w:tc>
        <w:tc>
          <w:tcPr>
            <w:tcW w:w="850" w:type="dxa"/>
          </w:tcPr>
          <w:p w14:paraId="1E2D3FEB" w14:textId="77777777" w:rsidR="00120BA7" w:rsidRPr="00837BF1" w:rsidRDefault="00120BA7" w:rsidP="00520D32">
            <w:pPr>
              <w:jc w:val="center"/>
              <w:rPr>
                <w:rFonts w:ascii="Arial" w:hAnsi="Arial" w:cs="Arial"/>
              </w:rPr>
            </w:pPr>
          </w:p>
          <w:p w14:paraId="11DA4E62" w14:textId="77777777" w:rsidR="00400311" w:rsidRPr="00837BF1" w:rsidRDefault="00400311" w:rsidP="00520D32">
            <w:pPr>
              <w:jc w:val="center"/>
              <w:rPr>
                <w:rFonts w:ascii="Arial" w:hAnsi="Arial" w:cs="Arial"/>
              </w:rPr>
            </w:pPr>
            <w:r w:rsidRPr="00837BF1">
              <w:rPr>
                <w:rFonts w:ascii="Arial" w:hAnsi="Arial" w:cs="Arial"/>
              </w:rPr>
              <w:t>1.06</w:t>
            </w:r>
          </w:p>
          <w:p w14:paraId="6710E1AB" w14:textId="77777777" w:rsidR="00400311" w:rsidRPr="00837BF1" w:rsidRDefault="00400311" w:rsidP="00520D32">
            <w:pPr>
              <w:jc w:val="center"/>
              <w:rPr>
                <w:rFonts w:ascii="Arial" w:hAnsi="Arial" w:cs="Arial"/>
              </w:rPr>
            </w:pPr>
          </w:p>
          <w:p w14:paraId="11CC3731" w14:textId="72A0A9A2" w:rsidR="00C7509D" w:rsidRPr="00837BF1" w:rsidRDefault="00AA6EA9" w:rsidP="009A1E68">
            <w:pPr>
              <w:jc w:val="center"/>
              <w:rPr>
                <w:rFonts w:ascii="Arial" w:hAnsi="Arial" w:cs="Arial"/>
              </w:rPr>
            </w:pPr>
            <w:r w:rsidRPr="00837BF1">
              <w:rPr>
                <w:rFonts w:ascii="Arial" w:hAnsi="Arial" w:cs="Arial"/>
              </w:rPr>
              <w:t>0.88</w:t>
            </w:r>
          </w:p>
          <w:p w14:paraId="1898AB28" w14:textId="62673A75" w:rsidR="00AA6EA9" w:rsidRPr="00837BF1" w:rsidRDefault="00AA6EA9" w:rsidP="009A1E68">
            <w:pPr>
              <w:jc w:val="center"/>
              <w:rPr>
                <w:rFonts w:ascii="Arial" w:hAnsi="Arial" w:cs="Arial"/>
                <w:b/>
                <w:bCs/>
              </w:rPr>
            </w:pPr>
            <w:r w:rsidRPr="00837BF1">
              <w:rPr>
                <w:rFonts w:ascii="Arial" w:hAnsi="Arial" w:cs="Arial"/>
                <w:b/>
                <w:bCs/>
              </w:rPr>
              <w:t>0.66</w:t>
            </w:r>
          </w:p>
          <w:p w14:paraId="2D3A76AB" w14:textId="5A1C6492" w:rsidR="00AA6EA9" w:rsidRPr="00837BF1" w:rsidRDefault="00AA6EA9" w:rsidP="009A1E68">
            <w:pPr>
              <w:jc w:val="center"/>
              <w:rPr>
                <w:rFonts w:ascii="Arial" w:hAnsi="Arial" w:cs="Arial"/>
                <w:b/>
                <w:bCs/>
              </w:rPr>
            </w:pPr>
            <w:r w:rsidRPr="00837BF1">
              <w:rPr>
                <w:rFonts w:ascii="Arial" w:hAnsi="Arial" w:cs="Arial"/>
                <w:b/>
                <w:bCs/>
              </w:rPr>
              <w:t>0.44</w:t>
            </w:r>
          </w:p>
          <w:p w14:paraId="0E4B29A1" w14:textId="218A11DD" w:rsidR="00AA6EA9" w:rsidRPr="00837BF1" w:rsidRDefault="00AA6EA9" w:rsidP="009A1E68">
            <w:pPr>
              <w:jc w:val="center"/>
              <w:rPr>
                <w:rFonts w:ascii="Arial" w:hAnsi="Arial" w:cs="Arial"/>
                <w:b/>
                <w:bCs/>
              </w:rPr>
            </w:pPr>
            <w:r w:rsidRPr="00837BF1">
              <w:rPr>
                <w:rFonts w:ascii="Arial" w:hAnsi="Arial" w:cs="Arial"/>
                <w:b/>
                <w:bCs/>
              </w:rPr>
              <w:t>0.47</w:t>
            </w:r>
          </w:p>
          <w:p w14:paraId="584CA414" w14:textId="3220D496" w:rsidR="00C7509D" w:rsidRPr="00837BF1" w:rsidRDefault="00C7509D" w:rsidP="009A1E68">
            <w:pPr>
              <w:jc w:val="center"/>
              <w:rPr>
                <w:rFonts w:ascii="Arial" w:hAnsi="Arial" w:cs="Arial"/>
                <w:b/>
                <w:bCs/>
              </w:rPr>
            </w:pPr>
            <w:r w:rsidRPr="00837BF1">
              <w:rPr>
                <w:rFonts w:ascii="Arial" w:hAnsi="Arial" w:cs="Arial"/>
                <w:b/>
                <w:bCs/>
              </w:rPr>
              <w:t>2.05</w:t>
            </w:r>
          </w:p>
          <w:p w14:paraId="537B473F" w14:textId="244A9F5A" w:rsidR="0021174A" w:rsidRPr="00837BF1" w:rsidRDefault="00C7509D" w:rsidP="00520D32">
            <w:pPr>
              <w:jc w:val="center"/>
              <w:rPr>
                <w:rFonts w:ascii="Arial" w:hAnsi="Arial" w:cs="Arial"/>
              </w:rPr>
            </w:pPr>
            <w:r w:rsidRPr="00837BF1">
              <w:rPr>
                <w:rFonts w:ascii="Arial" w:hAnsi="Arial" w:cs="Arial"/>
                <w:b/>
                <w:bCs/>
              </w:rPr>
              <w:t>1.21</w:t>
            </w:r>
          </w:p>
          <w:p w14:paraId="7BCCE487" w14:textId="77777777" w:rsidR="00CF3B42" w:rsidRPr="00837BF1" w:rsidRDefault="00CF3B42" w:rsidP="00520D32">
            <w:pPr>
              <w:jc w:val="center"/>
              <w:rPr>
                <w:rFonts w:ascii="Arial" w:hAnsi="Arial" w:cs="Arial"/>
              </w:rPr>
            </w:pPr>
          </w:p>
          <w:p w14:paraId="7AB29615" w14:textId="53CD0886" w:rsidR="00C7509D" w:rsidRPr="00837BF1" w:rsidRDefault="00C7509D" w:rsidP="00520D32">
            <w:pPr>
              <w:jc w:val="center"/>
              <w:rPr>
                <w:rFonts w:ascii="Arial" w:hAnsi="Arial" w:cs="Arial"/>
              </w:rPr>
            </w:pPr>
            <w:r w:rsidRPr="00837BF1">
              <w:rPr>
                <w:rFonts w:ascii="Arial" w:hAnsi="Arial" w:cs="Arial"/>
              </w:rPr>
              <w:t>1.09</w:t>
            </w:r>
          </w:p>
          <w:p w14:paraId="0DA681DE" w14:textId="77777777" w:rsidR="00C7509D" w:rsidRPr="00837BF1" w:rsidRDefault="00C7509D" w:rsidP="00520D32">
            <w:pPr>
              <w:jc w:val="center"/>
              <w:rPr>
                <w:rFonts w:ascii="Arial" w:hAnsi="Arial" w:cs="Arial"/>
              </w:rPr>
            </w:pPr>
            <w:r w:rsidRPr="00837BF1">
              <w:rPr>
                <w:rFonts w:ascii="Arial" w:hAnsi="Arial" w:cs="Arial"/>
              </w:rPr>
              <w:t>0.86</w:t>
            </w:r>
          </w:p>
          <w:p w14:paraId="09F488AB" w14:textId="77777777" w:rsidR="00C7509D" w:rsidRPr="00837BF1" w:rsidRDefault="0021174A" w:rsidP="00520D32">
            <w:pPr>
              <w:jc w:val="center"/>
              <w:rPr>
                <w:rFonts w:ascii="Arial" w:hAnsi="Arial" w:cs="Arial"/>
              </w:rPr>
            </w:pPr>
            <w:r w:rsidRPr="00837BF1">
              <w:rPr>
                <w:rFonts w:ascii="Arial" w:hAnsi="Arial" w:cs="Arial"/>
              </w:rPr>
              <w:t>1.01</w:t>
            </w:r>
          </w:p>
          <w:p w14:paraId="150178A2" w14:textId="77777777" w:rsidR="0021174A" w:rsidRPr="00837BF1" w:rsidRDefault="0021174A" w:rsidP="00520D32">
            <w:pPr>
              <w:jc w:val="center"/>
              <w:rPr>
                <w:rFonts w:ascii="Arial" w:hAnsi="Arial" w:cs="Arial"/>
                <w:b/>
                <w:bCs/>
              </w:rPr>
            </w:pPr>
            <w:r w:rsidRPr="00837BF1">
              <w:rPr>
                <w:rFonts w:ascii="Arial" w:hAnsi="Arial" w:cs="Arial"/>
                <w:b/>
                <w:bCs/>
              </w:rPr>
              <w:t>0.52</w:t>
            </w:r>
          </w:p>
          <w:p w14:paraId="4BA6B8E5" w14:textId="77777777" w:rsidR="0021174A" w:rsidRPr="00837BF1" w:rsidRDefault="0021174A" w:rsidP="00520D32">
            <w:pPr>
              <w:jc w:val="center"/>
              <w:rPr>
                <w:rFonts w:ascii="Arial" w:hAnsi="Arial" w:cs="Arial"/>
              </w:rPr>
            </w:pPr>
            <w:r w:rsidRPr="00837BF1">
              <w:rPr>
                <w:rFonts w:ascii="Arial" w:hAnsi="Arial" w:cs="Arial"/>
              </w:rPr>
              <w:t>1.68</w:t>
            </w:r>
          </w:p>
          <w:p w14:paraId="6EC43261" w14:textId="4CD64650" w:rsidR="0021174A" w:rsidRPr="00837BF1" w:rsidRDefault="0021174A" w:rsidP="00520D32">
            <w:pPr>
              <w:jc w:val="center"/>
              <w:rPr>
                <w:rFonts w:ascii="Arial" w:hAnsi="Arial" w:cs="Arial"/>
                <w:b/>
                <w:bCs/>
              </w:rPr>
            </w:pPr>
            <w:r w:rsidRPr="00837BF1">
              <w:rPr>
                <w:rFonts w:ascii="Arial" w:hAnsi="Arial" w:cs="Arial"/>
                <w:b/>
                <w:bCs/>
              </w:rPr>
              <w:t>1.08</w:t>
            </w:r>
          </w:p>
          <w:p w14:paraId="3A9FB180" w14:textId="77777777" w:rsidR="00F97DD5" w:rsidRPr="00837BF1" w:rsidRDefault="00F97DD5" w:rsidP="00520D32">
            <w:pPr>
              <w:jc w:val="center"/>
              <w:rPr>
                <w:rFonts w:ascii="Arial" w:hAnsi="Arial" w:cs="Arial"/>
                <w:b/>
                <w:bCs/>
              </w:rPr>
            </w:pPr>
          </w:p>
          <w:p w14:paraId="2F23CDC2" w14:textId="77777777" w:rsidR="00ED509E" w:rsidRPr="00837BF1" w:rsidRDefault="00ED509E" w:rsidP="00520D32">
            <w:pPr>
              <w:jc w:val="center"/>
              <w:rPr>
                <w:rFonts w:ascii="Arial" w:hAnsi="Arial" w:cs="Arial"/>
                <w:b/>
                <w:bCs/>
              </w:rPr>
            </w:pPr>
          </w:p>
          <w:p w14:paraId="605D426E" w14:textId="6BD03F93" w:rsidR="0021174A" w:rsidRPr="00837BF1" w:rsidRDefault="0021174A" w:rsidP="00520D32">
            <w:pPr>
              <w:jc w:val="center"/>
              <w:rPr>
                <w:rFonts w:ascii="Arial" w:hAnsi="Arial" w:cs="Arial"/>
                <w:b/>
                <w:bCs/>
              </w:rPr>
            </w:pPr>
            <w:r w:rsidRPr="00837BF1">
              <w:rPr>
                <w:rFonts w:ascii="Arial" w:hAnsi="Arial" w:cs="Arial"/>
                <w:b/>
                <w:bCs/>
              </w:rPr>
              <w:t>1.90</w:t>
            </w:r>
          </w:p>
          <w:p w14:paraId="32C49347" w14:textId="2A68EAA5" w:rsidR="00184003" w:rsidRPr="00837BF1" w:rsidRDefault="00184003" w:rsidP="00520D32">
            <w:pPr>
              <w:jc w:val="center"/>
              <w:rPr>
                <w:rFonts w:ascii="Arial" w:hAnsi="Arial" w:cs="Arial"/>
                <w:b/>
                <w:bCs/>
              </w:rPr>
            </w:pPr>
            <w:r w:rsidRPr="00837BF1">
              <w:rPr>
                <w:rFonts w:ascii="Arial" w:hAnsi="Arial" w:cs="Arial"/>
                <w:b/>
                <w:bCs/>
              </w:rPr>
              <w:t>5.03</w:t>
            </w:r>
          </w:p>
          <w:p w14:paraId="7CDE3238" w14:textId="6F1AE656" w:rsidR="00184003" w:rsidRPr="00837BF1" w:rsidRDefault="00184003" w:rsidP="00520D32">
            <w:pPr>
              <w:jc w:val="center"/>
              <w:rPr>
                <w:rFonts w:ascii="Arial" w:hAnsi="Arial" w:cs="Arial"/>
              </w:rPr>
            </w:pPr>
            <w:r w:rsidRPr="00837BF1">
              <w:rPr>
                <w:rFonts w:ascii="Arial" w:hAnsi="Arial" w:cs="Arial"/>
                <w:b/>
                <w:bCs/>
              </w:rPr>
              <w:t>2.85</w:t>
            </w:r>
          </w:p>
        </w:tc>
        <w:tc>
          <w:tcPr>
            <w:tcW w:w="1337" w:type="dxa"/>
          </w:tcPr>
          <w:p w14:paraId="7D12B4EF" w14:textId="77777777" w:rsidR="00120BA7" w:rsidRPr="00837BF1" w:rsidRDefault="00120BA7" w:rsidP="00520D32">
            <w:pPr>
              <w:jc w:val="center"/>
              <w:rPr>
                <w:rFonts w:ascii="Arial" w:hAnsi="Arial" w:cs="Arial"/>
              </w:rPr>
            </w:pPr>
          </w:p>
          <w:p w14:paraId="5700A177" w14:textId="77777777" w:rsidR="00184003" w:rsidRPr="00837BF1" w:rsidRDefault="004F049E" w:rsidP="00520D32">
            <w:pPr>
              <w:jc w:val="center"/>
              <w:rPr>
                <w:rFonts w:ascii="Arial" w:hAnsi="Arial" w:cs="Arial"/>
              </w:rPr>
            </w:pPr>
            <w:r w:rsidRPr="00837BF1">
              <w:rPr>
                <w:rFonts w:ascii="Arial" w:hAnsi="Arial" w:cs="Arial"/>
              </w:rPr>
              <w:t>0.91, 1.23</w:t>
            </w:r>
          </w:p>
          <w:p w14:paraId="67CFA89D" w14:textId="77777777" w:rsidR="004F049E" w:rsidRPr="00837BF1" w:rsidRDefault="004F049E" w:rsidP="00520D32">
            <w:pPr>
              <w:jc w:val="center"/>
              <w:rPr>
                <w:rFonts w:ascii="Arial" w:hAnsi="Arial" w:cs="Arial"/>
              </w:rPr>
            </w:pPr>
          </w:p>
          <w:p w14:paraId="1184803F" w14:textId="6EDF4594" w:rsidR="00BE77BF" w:rsidRPr="00837BF1" w:rsidRDefault="00AA6EA9" w:rsidP="009A1E68">
            <w:pPr>
              <w:jc w:val="center"/>
              <w:rPr>
                <w:rFonts w:ascii="Arial" w:hAnsi="Arial" w:cs="Arial"/>
              </w:rPr>
            </w:pPr>
            <w:r w:rsidRPr="00837BF1">
              <w:rPr>
                <w:rFonts w:ascii="Arial" w:hAnsi="Arial" w:cs="Arial"/>
              </w:rPr>
              <w:t>0.65, 1.20</w:t>
            </w:r>
          </w:p>
          <w:p w14:paraId="067D4172" w14:textId="268EE8BD" w:rsidR="00AA6EA9" w:rsidRPr="00837BF1" w:rsidRDefault="00AA6EA9" w:rsidP="009A1E68">
            <w:pPr>
              <w:jc w:val="center"/>
              <w:rPr>
                <w:rFonts w:ascii="Arial" w:hAnsi="Arial" w:cs="Arial"/>
                <w:b/>
                <w:bCs/>
              </w:rPr>
            </w:pPr>
            <w:r w:rsidRPr="00837BF1">
              <w:rPr>
                <w:rFonts w:ascii="Arial" w:hAnsi="Arial" w:cs="Arial"/>
                <w:b/>
                <w:bCs/>
              </w:rPr>
              <w:t>0.48, 0.89</w:t>
            </w:r>
          </w:p>
          <w:p w14:paraId="53836EE1" w14:textId="18A862A7" w:rsidR="00AA6EA9" w:rsidRPr="00837BF1" w:rsidRDefault="00AA6EA9" w:rsidP="009A1E68">
            <w:pPr>
              <w:jc w:val="center"/>
              <w:rPr>
                <w:rFonts w:ascii="Arial" w:hAnsi="Arial" w:cs="Arial"/>
                <w:b/>
                <w:bCs/>
              </w:rPr>
            </w:pPr>
            <w:r w:rsidRPr="00837BF1">
              <w:rPr>
                <w:rFonts w:ascii="Arial" w:hAnsi="Arial" w:cs="Arial"/>
                <w:b/>
                <w:bCs/>
              </w:rPr>
              <w:t>0.33, 0.59</w:t>
            </w:r>
          </w:p>
          <w:p w14:paraId="0EDD6F59" w14:textId="32C72AE4" w:rsidR="00AA6EA9" w:rsidRPr="00837BF1" w:rsidRDefault="004D2860" w:rsidP="009A1E68">
            <w:pPr>
              <w:jc w:val="center"/>
              <w:rPr>
                <w:rFonts w:ascii="Arial" w:hAnsi="Arial" w:cs="Arial"/>
                <w:b/>
                <w:bCs/>
              </w:rPr>
            </w:pPr>
            <w:r w:rsidRPr="00837BF1">
              <w:rPr>
                <w:rFonts w:ascii="Arial" w:hAnsi="Arial" w:cs="Arial"/>
                <w:b/>
                <w:bCs/>
              </w:rPr>
              <w:t>0.35, 0.64</w:t>
            </w:r>
          </w:p>
          <w:p w14:paraId="2D6F3307" w14:textId="53A8D229" w:rsidR="00BE77BF" w:rsidRPr="00837BF1" w:rsidRDefault="00BE77BF" w:rsidP="0062485A">
            <w:pPr>
              <w:jc w:val="center"/>
              <w:rPr>
                <w:rFonts w:ascii="Arial" w:hAnsi="Arial" w:cs="Arial"/>
                <w:b/>
                <w:bCs/>
              </w:rPr>
            </w:pPr>
            <w:r w:rsidRPr="00837BF1">
              <w:rPr>
                <w:rFonts w:ascii="Arial" w:hAnsi="Arial" w:cs="Arial"/>
                <w:b/>
                <w:bCs/>
              </w:rPr>
              <w:t>1.77, 2.37</w:t>
            </w:r>
          </w:p>
          <w:p w14:paraId="230C4E3A" w14:textId="1D887D4E" w:rsidR="00BE77BF" w:rsidRPr="00837BF1" w:rsidRDefault="00BE77BF" w:rsidP="00520D32">
            <w:pPr>
              <w:jc w:val="center"/>
              <w:rPr>
                <w:rFonts w:ascii="Arial" w:hAnsi="Arial" w:cs="Arial"/>
                <w:b/>
                <w:bCs/>
              </w:rPr>
            </w:pPr>
            <w:r w:rsidRPr="00837BF1">
              <w:rPr>
                <w:rFonts w:ascii="Arial" w:hAnsi="Arial" w:cs="Arial"/>
                <w:b/>
                <w:bCs/>
              </w:rPr>
              <w:t>1.00</w:t>
            </w:r>
            <w:r w:rsidR="00333316" w:rsidRPr="00837BF1">
              <w:rPr>
                <w:rFonts w:ascii="Arial" w:hAnsi="Arial" w:cs="Arial"/>
                <w:b/>
                <w:bCs/>
              </w:rPr>
              <w:t>1</w:t>
            </w:r>
            <w:r w:rsidRPr="00837BF1">
              <w:rPr>
                <w:rFonts w:ascii="Arial" w:hAnsi="Arial" w:cs="Arial"/>
                <w:b/>
                <w:bCs/>
              </w:rPr>
              <w:t>, 1.46</w:t>
            </w:r>
          </w:p>
          <w:p w14:paraId="77B385ED" w14:textId="77777777" w:rsidR="00CF3B42" w:rsidRPr="00837BF1" w:rsidRDefault="00CF3B42" w:rsidP="00520D32">
            <w:pPr>
              <w:jc w:val="center"/>
              <w:rPr>
                <w:rFonts w:ascii="Arial" w:hAnsi="Arial" w:cs="Arial"/>
              </w:rPr>
            </w:pPr>
          </w:p>
          <w:p w14:paraId="795B4515" w14:textId="7E6805CD" w:rsidR="00BE77BF" w:rsidRPr="00837BF1" w:rsidRDefault="006E4A7D" w:rsidP="00520D32">
            <w:pPr>
              <w:jc w:val="center"/>
              <w:rPr>
                <w:rFonts w:ascii="Arial" w:hAnsi="Arial" w:cs="Arial"/>
              </w:rPr>
            </w:pPr>
            <w:r w:rsidRPr="00837BF1">
              <w:rPr>
                <w:rFonts w:ascii="Arial" w:hAnsi="Arial" w:cs="Arial"/>
              </w:rPr>
              <w:t>0.79, 1.52</w:t>
            </w:r>
          </w:p>
          <w:p w14:paraId="2804F417" w14:textId="77777777" w:rsidR="006E4A7D" w:rsidRPr="00837BF1" w:rsidRDefault="006E4A7D" w:rsidP="00520D32">
            <w:pPr>
              <w:jc w:val="center"/>
              <w:rPr>
                <w:rFonts w:ascii="Arial" w:hAnsi="Arial" w:cs="Arial"/>
              </w:rPr>
            </w:pPr>
            <w:r w:rsidRPr="00837BF1">
              <w:rPr>
                <w:rFonts w:ascii="Arial" w:hAnsi="Arial" w:cs="Arial"/>
              </w:rPr>
              <w:t>0.47, 1.56</w:t>
            </w:r>
          </w:p>
          <w:p w14:paraId="247124FF" w14:textId="77777777" w:rsidR="006E4A7D" w:rsidRPr="00837BF1" w:rsidRDefault="006E4A7D" w:rsidP="00520D32">
            <w:pPr>
              <w:jc w:val="center"/>
              <w:rPr>
                <w:rFonts w:ascii="Arial" w:hAnsi="Arial" w:cs="Arial"/>
              </w:rPr>
            </w:pPr>
            <w:r w:rsidRPr="00837BF1">
              <w:rPr>
                <w:rFonts w:ascii="Arial" w:hAnsi="Arial" w:cs="Arial"/>
              </w:rPr>
              <w:t>0.71, 1.42</w:t>
            </w:r>
          </w:p>
          <w:p w14:paraId="059D97EF" w14:textId="77777777" w:rsidR="006E4A7D" w:rsidRPr="00837BF1" w:rsidRDefault="006E4A7D" w:rsidP="00520D32">
            <w:pPr>
              <w:jc w:val="center"/>
              <w:rPr>
                <w:rFonts w:ascii="Arial" w:hAnsi="Arial" w:cs="Arial"/>
                <w:b/>
                <w:bCs/>
              </w:rPr>
            </w:pPr>
            <w:r w:rsidRPr="00837BF1">
              <w:rPr>
                <w:rFonts w:ascii="Arial" w:hAnsi="Arial" w:cs="Arial"/>
                <w:b/>
                <w:bCs/>
              </w:rPr>
              <w:t>0.28, 0.96</w:t>
            </w:r>
          </w:p>
          <w:p w14:paraId="42D7AC07" w14:textId="0B813773" w:rsidR="006E4A7D" w:rsidRPr="00837BF1" w:rsidRDefault="006E4A7D" w:rsidP="00520D32">
            <w:pPr>
              <w:jc w:val="center"/>
              <w:rPr>
                <w:rFonts w:ascii="Arial" w:hAnsi="Arial" w:cs="Arial"/>
              </w:rPr>
            </w:pPr>
            <w:r w:rsidRPr="00837BF1">
              <w:rPr>
                <w:rFonts w:ascii="Arial" w:hAnsi="Arial" w:cs="Arial"/>
              </w:rPr>
              <w:t>0.53, 5.35</w:t>
            </w:r>
          </w:p>
          <w:p w14:paraId="05BD43D0" w14:textId="31CE4662" w:rsidR="00A00DD6" w:rsidRPr="00837BF1" w:rsidRDefault="00A00DD6" w:rsidP="00520D32">
            <w:pPr>
              <w:jc w:val="center"/>
              <w:rPr>
                <w:rFonts w:ascii="Arial" w:hAnsi="Arial" w:cs="Arial"/>
                <w:b/>
                <w:bCs/>
              </w:rPr>
            </w:pPr>
            <w:r w:rsidRPr="00837BF1">
              <w:rPr>
                <w:rFonts w:ascii="Arial" w:hAnsi="Arial" w:cs="Arial"/>
                <w:b/>
                <w:bCs/>
              </w:rPr>
              <w:t>1.01, 1.17</w:t>
            </w:r>
          </w:p>
          <w:p w14:paraId="31F6280C" w14:textId="77777777" w:rsidR="00F97DD5" w:rsidRPr="00837BF1" w:rsidRDefault="00F97DD5" w:rsidP="00520D32">
            <w:pPr>
              <w:jc w:val="center"/>
              <w:rPr>
                <w:rFonts w:ascii="Arial" w:hAnsi="Arial" w:cs="Arial"/>
                <w:b/>
                <w:bCs/>
              </w:rPr>
            </w:pPr>
          </w:p>
          <w:p w14:paraId="1601AF69" w14:textId="77777777" w:rsidR="00ED509E" w:rsidRPr="00837BF1" w:rsidRDefault="00ED509E" w:rsidP="00520D32">
            <w:pPr>
              <w:jc w:val="center"/>
              <w:rPr>
                <w:rFonts w:ascii="Arial" w:hAnsi="Arial" w:cs="Arial"/>
                <w:b/>
                <w:bCs/>
              </w:rPr>
            </w:pPr>
          </w:p>
          <w:p w14:paraId="35C173F6" w14:textId="0B995FED" w:rsidR="00A00DD6" w:rsidRPr="00837BF1" w:rsidRDefault="00A00DD6" w:rsidP="00520D32">
            <w:pPr>
              <w:jc w:val="center"/>
              <w:rPr>
                <w:rFonts w:ascii="Arial" w:hAnsi="Arial" w:cs="Arial"/>
                <w:b/>
                <w:bCs/>
              </w:rPr>
            </w:pPr>
            <w:r w:rsidRPr="00837BF1">
              <w:rPr>
                <w:rFonts w:ascii="Arial" w:hAnsi="Arial" w:cs="Arial"/>
                <w:b/>
                <w:bCs/>
              </w:rPr>
              <w:t>1.56, 2.31</w:t>
            </w:r>
          </w:p>
          <w:p w14:paraId="26951F8C" w14:textId="44254A5B" w:rsidR="00A00DD6" w:rsidRPr="00837BF1" w:rsidRDefault="00A00DD6" w:rsidP="00520D32">
            <w:pPr>
              <w:jc w:val="center"/>
              <w:rPr>
                <w:rFonts w:ascii="Arial" w:hAnsi="Arial" w:cs="Arial"/>
                <w:b/>
                <w:bCs/>
              </w:rPr>
            </w:pPr>
            <w:r w:rsidRPr="00837BF1">
              <w:rPr>
                <w:rFonts w:ascii="Arial" w:hAnsi="Arial" w:cs="Arial"/>
                <w:b/>
                <w:bCs/>
              </w:rPr>
              <w:t>3.51, 7.19</w:t>
            </w:r>
          </w:p>
          <w:p w14:paraId="5DB92526" w14:textId="4C2797C5" w:rsidR="006E4A7D" w:rsidRPr="00837BF1" w:rsidRDefault="00A00DD6" w:rsidP="002A418E">
            <w:pPr>
              <w:jc w:val="center"/>
              <w:rPr>
                <w:rFonts w:ascii="Arial" w:hAnsi="Arial" w:cs="Arial"/>
              </w:rPr>
            </w:pPr>
            <w:r w:rsidRPr="00837BF1">
              <w:rPr>
                <w:rFonts w:ascii="Arial" w:hAnsi="Arial" w:cs="Arial"/>
                <w:b/>
                <w:bCs/>
              </w:rPr>
              <w:t>2.41, 3.38</w:t>
            </w:r>
          </w:p>
        </w:tc>
      </w:tr>
    </w:tbl>
    <w:p w14:paraId="0730F25E" w14:textId="44558886" w:rsidR="00F97DD5" w:rsidRPr="00837BF1" w:rsidRDefault="00F97DD5" w:rsidP="00F54E42">
      <w:pPr>
        <w:spacing w:after="0" w:line="276" w:lineRule="auto"/>
        <w:rPr>
          <w:rFonts w:ascii="Arial" w:hAnsi="Arial" w:cs="Arial"/>
          <w:sz w:val="16"/>
          <w:szCs w:val="16"/>
        </w:rPr>
      </w:pPr>
      <w:r w:rsidRPr="00837BF1">
        <w:rPr>
          <w:rFonts w:ascii="Arial" w:hAnsi="Arial" w:cs="Arial"/>
          <w:sz w:val="16"/>
          <w:szCs w:val="16"/>
        </w:rPr>
        <w:t>Sensitivity analys</w:t>
      </w:r>
      <w:r w:rsidR="00417B26" w:rsidRPr="00837BF1">
        <w:rPr>
          <w:rFonts w:ascii="Arial" w:hAnsi="Arial" w:cs="Arial"/>
          <w:sz w:val="16"/>
          <w:szCs w:val="16"/>
        </w:rPr>
        <w:t>i</w:t>
      </w:r>
      <w:r w:rsidRPr="00837BF1">
        <w:rPr>
          <w:rFonts w:ascii="Arial" w:hAnsi="Arial" w:cs="Arial"/>
          <w:sz w:val="16"/>
          <w:szCs w:val="16"/>
        </w:rPr>
        <w:t xml:space="preserve">s examining potential seasonal effects </w:t>
      </w:r>
      <w:r w:rsidR="00417B26" w:rsidRPr="00837BF1">
        <w:rPr>
          <w:rFonts w:ascii="Arial" w:hAnsi="Arial" w:cs="Arial"/>
          <w:sz w:val="16"/>
          <w:szCs w:val="16"/>
        </w:rPr>
        <w:t>is</w:t>
      </w:r>
      <w:r w:rsidRPr="00837BF1">
        <w:rPr>
          <w:rFonts w:ascii="Arial" w:hAnsi="Arial" w:cs="Arial"/>
          <w:sz w:val="16"/>
          <w:szCs w:val="16"/>
        </w:rPr>
        <w:t xml:space="preserve"> </w:t>
      </w:r>
      <w:r w:rsidR="00C42A32" w:rsidRPr="00837BF1">
        <w:rPr>
          <w:rFonts w:ascii="Arial" w:hAnsi="Arial" w:cs="Arial"/>
          <w:sz w:val="16"/>
          <w:szCs w:val="16"/>
        </w:rPr>
        <w:t>included in supplementary material</w:t>
      </w:r>
      <w:r w:rsidR="00765619" w:rsidRPr="00837BF1">
        <w:rPr>
          <w:rFonts w:ascii="Arial" w:hAnsi="Arial" w:cs="Arial"/>
          <w:sz w:val="16"/>
          <w:szCs w:val="16"/>
        </w:rPr>
        <w:t>.</w:t>
      </w:r>
    </w:p>
    <w:p w14:paraId="7BCEC59B" w14:textId="77777777" w:rsidR="00F97DD5" w:rsidRPr="00837BF1" w:rsidRDefault="00F97DD5" w:rsidP="00F54E42">
      <w:pPr>
        <w:spacing w:after="0" w:line="276" w:lineRule="auto"/>
        <w:rPr>
          <w:rFonts w:ascii="Arial" w:hAnsi="Arial" w:cs="Arial"/>
          <w:sz w:val="16"/>
          <w:szCs w:val="16"/>
        </w:rPr>
      </w:pPr>
      <w:r w:rsidRPr="00837BF1">
        <w:rPr>
          <w:rFonts w:ascii="Arial" w:hAnsi="Arial" w:cs="Arial"/>
          <w:sz w:val="16"/>
          <w:szCs w:val="16"/>
        </w:rPr>
        <w:t>OR, odds ratio; 95% CI, 95% confidence interval.</w:t>
      </w:r>
    </w:p>
    <w:p w14:paraId="467FB3C2" w14:textId="77777777" w:rsidR="00F97DD5" w:rsidRPr="00837BF1" w:rsidRDefault="00F97DD5" w:rsidP="00F54E42">
      <w:pPr>
        <w:spacing w:after="0" w:line="276" w:lineRule="auto"/>
        <w:rPr>
          <w:rFonts w:ascii="Arial" w:hAnsi="Arial" w:cs="Arial"/>
          <w:sz w:val="16"/>
          <w:szCs w:val="16"/>
        </w:rPr>
      </w:pPr>
      <w:r w:rsidRPr="00837BF1">
        <w:rPr>
          <w:rFonts w:ascii="Arial" w:hAnsi="Arial" w:cs="Arial"/>
          <w:sz w:val="16"/>
          <w:szCs w:val="16"/>
        </w:rPr>
        <w:t>Significant associations at the 5% level are shown in bold.</w:t>
      </w:r>
    </w:p>
    <w:p w14:paraId="7A5EAFBA" w14:textId="77777777" w:rsidR="00F97DD5" w:rsidRPr="00837BF1" w:rsidRDefault="00F97DD5" w:rsidP="00120BA7"/>
    <w:p w14:paraId="37AC3216" w14:textId="15A8751B" w:rsidR="00120BA7" w:rsidRPr="00837BF1" w:rsidRDefault="00120BA7" w:rsidP="00120BA7">
      <w:pPr>
        <w:rPr>
          <w:rFonts w:ascii="Arial" w:hAnsi="Arial" w:cs="Arial"/>
          <w:b/>
          <w:bCs/>
          <w:i/>
          <w:iCs/>
        </w:rPr>
      </w:pPr>
      <w:r w:rsidRPr="00837BF1">
        <w:rPr>
          <w:rFonts w:ascii="Arial" w:hAnsi="Arial" w:cs="Arial"/>
          <w:b/>
          <w:bCs/>
          <w:i/>
          <w:iCs/>
        </w:rPr>
        <w:lastRenderedPageBreak/>
        <w:t>Table 3: Logistic regression models showing the association between reasons for reduced working and psychological distress among employees aged 18-65</w:t>
      </w:r>
    </w:p>
    <w:tbl>
      <w:tblPr>
        <w:tblStyle w:val="TableGrid"/>
        <w:tblW w:w="14312" w:type="dxa"/>
        <w:tblLayout w:type="fixed"/>
        <w:tblLook w:val="04A0" w:firstRow="1" w:lastRow="0" w:firstColumn="1" w:lastColumn="0" w:noHBand="0" w:noVBand="1"/>
      </w:tblPr>
      <w:tblGrid>
        <w:gridCol w:w="5240"/>
        <w:gridCol w:w="851"/>
        <w:gridCol w:w="1417"/>
        <w:gridCol w:w="851"/>
        <w:gridCol w:w="1417"/>
        <w:gridCol w:w="992"/>
        <w:gridCol w:w="1276"/>
        <w:gridCol w:w="851"/>
        <w:gridCol w:w="1417"/>
      </w:tblGrid>
      <w:tr w:rsidR="00120BA7" w:rsidRPr="00837BF1" w14:paraId="46896387" w14:textId="77777777" w:rsidTr="00F53CC9">
        <w:trPr>
          <w:trHeight w:val="537"/>
        </w:trPr>
        <w:tc>
          <w:tcPr>
            <w:tcW w:w="5240" w:type="dxa"/>
          </w:tcPr>
          <w:p w14:paraId="640A4B8F" w14:textId="77777777" w:rsidR="00120BA7" w:rsidRPr="00837BF1" w:rsidRDefault="00120BA7" w:rsidP="00520D32">
            <w:pPr>
              <w:rPr>
                <w:rFonts w:ascii="Arial" w:hAnsi="Arial" w:cs="Arial"/>
              </w:rPr>
            </w:pPr>
          </w:p>
        </w:tc>
        <w:tc>
          <w:tcPr>
            <w:tcW w:w="2268" w:type="dxa"/>
            <w:gridSpan w:val="2"/>
          </w:tcPr>
          <w:p w14:paraId="7A01976B" w14:textId="21BAECAD" w:rsidR="00120BA7" w:rsidRPr="00837BF1" w:rsidRDefault="00D3623A" w:rsidP="00520D32">
            <w:pPr>
              <w:jc w:val="center"/>
              <w:rPr>
                <w:rFonts w:ascii="Arial" w:hAnsi="Arial" w:cs="Arial"/>
                <w:b/>
                <w:bCs/>
              </w:rPr>
            </w:pPr>
            <w:r w:rsidRPr="00837BF1">
              <w:rPr>
                <w:rFonts w:ascii="Arial" w:hAnsi="Arial" w:cs="Arial"/>
                <w:b/>
                <w:bCs/>
              </w:rPr>
              <w:t>Univariable association with psychological distress</w:t>
            </w:r>
          </w:p>
        </w:tc>
        <w:tc>
          <w:tcPr>
            <w:tcW w:w="2268" w:type="dxa"/>
            <w:gridSpan w:val="2"/>
          </w:tcPr>
          <w:p w14:paraId="2A1AE859" w14:textId="77777777" w:rsidR="00120BA7" w:rsidRPr="00837BF1" w:rsidRDefault="00120BA7" w:rsidP="00520D32">
            <w:pPr>
              <w:jc w:val="center"/>
              <w:rPr>
                <w:rFonts w:ascii="Arial" w:hAnsi="Arial" w:cs="Arial"/>
                <w:b/>
                <w:bCs/>
              </w:rPr>
            </w:pPr>
            <w:r w:rsidRPr="00837BF1">
              <w:rPr>
                <w:rFonts w:ascii="Arial" w:hAnsi="Arial" w:cs="Arial"/>
                <w:b/>
                <w:bCs/>
              </w:rPr>
              <w:t>M1: adjustment for socio-demographic characteristics</w:t>
            </w:r>
          </w:p>
        </w:tc>
        <w:tc>
          <w:tcPr>
            <w:tcW w:w="2268" w:type="dxa"/>
            <w:gridSpan w:val="2"/>
          </w:tcPr>
          <w:p w14:paraId="65505733" w14:textId="77777777" w:rsidR="00120BA7" w:rsidRPr="00837BF1" w:rsidRDefault="00120BA7" w:rsidP="00520D32">
            <w:pPr>
              <w:jc w:val="center"/>
              <w:rPr>
                <w:rFonts w:ascii="Arial" w:hAnsi="Arial" w:cs="Arial"/>
                <w:b/>
                <w:bCs/>
              </w:rPr>
            </w:pPr>
            <w:r w:rsidRPr="00837BF1">
              <w:rPr>
                <w:rFonts w:ascii="Arial" w:hAnsi="Arial" w:cs="Arial"/>
                <w:b/>
                <w:bCs/>
              </w:rPr>
              <w:t>M2: M1 + adjustment for socio-economic characteristics</w:t>
            </w:r>
          </w:p>
        </w:tc>
        <w:tc>
          <w:tcPr>
            <w:tcW w:w="2268" w:type="dxa"/>
            <w:gridSpan w:val="2"/>
          </w:tcPr>
          <w:p w14:paraId="562E3A8F" w14:textId="575361C7" w:rsidR="00120BA7" w:rsidRPr="00837BF1" w:rsidRDefault="00120BA7" w:rsidP="00520D32">
            <w:pPr>
              <w:jc w:val="center"/>
              <w:rPr>
                <w:rFonts w:ascii="Arial" w:hAnsi="Arial" w:cs="Arial"/>
                <w:b/>
                <w:bCs/>
              </w:rPr>
            </w:pPr>
            <w:r w:rsidRPr="00837BF1">
              <w:rPr>
                <w:rFonts w:ascii="Arial" w:hAnsi="Arial" w:cs="Arial"/>
                <w:b/>
                <w:bCs/>
              </w:rPr>
              <w:t>M3: M2 + adjustment for baseline psychol</w:t>
            </w:r>
            <w:r w:rsidR="00F8357E" w:rsidRPr="00837BF1">
              <w:rPr>
                <w:rFonts w:ascii="Arial" w:hAnsi="Arial" w:cs="Arial"/>
                <w:b/>
                <w:bCs/>
              </w:rPr>
              <w:t>ogical</w:t>
            </w:r>
            <w:r w:rsidRPr="00837BF1">
              <w:rPr>
                <w:rFonts w:ascii="Arial" w:hAnsi="Arial" w:cs="Arial"/>
                <w:b/>
                <w:bCs/>
              </w:rPr>
              <w:t xml:space="preserve"> distress</w:t>
            </w:r>
          </w:p>
        </w:tc>
      </w:tr>
      <w:tr w:rsidR="00F53CC9" w:rsidRPr="00837BF1" w14:paraId="49370F7C" w14:textId="77777777" w:rsidTr="00F53CC9">
        <w:trPr>
          <w:trHeight w:val="287"/>
        </w:trPr>
        <w:tc>
          <w:tcPr>
            <w:tcW w:w="5240" w:type="dxa"/>
          </w:tcPr>
          <w:p w14:paraId="1FBC1B3F" w14:textId="77777777" w:rsidR="00120BA7" w:rsidRPr="00837BF1" w:rsidRDefault="00120BA7" w:rsidP="00520D32">
            <w:pPr>
              <w:rPr>
                <w:rFonts w:ascii="Arial" w:hAnsi="Arial" w:cs="Arial"/>
              </w:rPr>
            </w:pPr>
          </w:p>
        </w:tc>
        <w:tc>
          <w:tcPr>
            <w:tcW w:w="851" w:type="dxa"/>
          </w:tcPr>
          <w:p w14:paraId="0E6DF444" w14:textId="77777777" w:rsidR="00120BA7" w:rsidRPr="00837BF1" w:rsidRDefault="00120BA7" w:rsidP="00520D32">
            <w:pPr>
              <w:jc w:val="center"/>
              <w:rPr>
                <w:rFonts w:ascii="Arial" w:hAnsi="Arial" w:cs="Arial"/>
                <w:b/>
                <w:bCs/>
              </w:rPr>
            </w:pPr>
            <w:r w:rsidRPr="00837BF1">
              <w:rPr>
                <w:rFonts w:ascii="Arial" w:hAnsi="Arial" w:cs="Arial"/>
                <w:b/>
                <w:bCs/>
              </w:rPr>
              <w:t>OR</w:t>
            </w:r>
          </w:p>
        </w:tc>
        <w:tc>
          <w:tcPr>
            <w:tcW w:w="1417" w:type="dxa"/>
          </w:tcPr>
          <w:p w14:paraId="2B4086E8" w14:textId="77777777" w:rsidR="00120BA7" w:rsidRPr="00837BF1" w:rsidRDefault="00120BA7" w:rsidP="00520D32">
            <w:pPr>
              <w:jc w:val="center"/>
              <w:rPr>
                <w:rFonts w:ascii="Arial" w:hAnsi="Arial" w:cs="Arial"/>
                <w:b/>
                <w:bCs/>
              </w:rPr>
            </w:pPr>
            <w:r w:rsidRPr="00837BF1">
              <w:rPr>
                <w:rFonts w:ascii="Arial" w:hAnsi="Arial" w:cs="Arial"/>
                <w:b/>
                <w:bCs/>
              </w:rPr>
              <w:t>95% CI</w:t>
            </w:r>
          </w:p>
        </w:tc>
        <w:tc>
          <w:tcPr>
            <w:tcW w:w="851" w:type="dxa"/>
          </w:tcPr>
          <w:p w14:paraId="65844094" w14:textId="77777777" w:rsidR="00120BA7" w:rsidRPr="00837BF1" w:rsidRDefault="00120BA7" w:rsidP="00520D32">
            <w:pPr>
              <w:jc w:val="center"/>
              <w:rPr>
                <w:rFonts w:ascii="Arial" w:hAnsi="Arial" w:cs="Arial"/>
                <w:b/>
                <w:bCs/>
              </w:rPr>
            </w:pPr>
            <w:r w:rsidRPr="00837BF1">
              <w:rPr>
                <w:rFonts w:ascii="Arial" w:hAnsi="Arial" w:cs="Arial"/>
                <w:b/>
                <w:bCs/>
              </w:rPr>
              <w:t>OR</w:t>
            </w:r>
          </w:p>
        </w:tc>
        <w:tc>
          <w:tcPr>
            <w:tcW w:w="1417" w:type="dxa"/>
          </w:tcPr>
          <w:p w14:paraId="1DAE66DA" w14:textId="77777777" w:rsidR="00120BA7" w:rsidRPr="00837BF1" w:rsidRDefault="00120BA7" w:rsidP="00520D32">
            <w:pPr>
              <w:jc w:val="center"/>
              <w:rPr>
                <w:rFonts w:ascii="Arial" w:hAnsi="Arial" w:cs="Arial"/>
                <w:b/>
                <w:bCs/>
              </w:rPr>
            </w:pPr>
            <w:r w:rsidRPr="00837BF1">
              <w:rPr>
                <w:rFonts w:ascii="Arial" w:hAnsi="Arial" w:cs="Arial"/>
                <w:b/>
                <w:bCs/>
              </w:rPr>
              <w:t>95% CI</w:t>
            </w:r>
          </w:p>
        </w:tc>
        <w:tc>
          <w:tcPr>
            <w:tcW w:w="992" w:type="dxa"/>
          </w:tcPr>
          <w:p w14:paraId="46AC810D" w14:textId="77777777" w:rsidR="00120BA7" w:rsidRPr="00837BF1" w:rsidRDefault="00120BA7" w:rsidP="00520D32">
            <w:pPr>
              <w:jc w:val="center"/>
              <w:rPr>
                <w:rFonts w:ascii="Arial" w:hAnsi="Arial" w:cs="Arial"/>
                <w:b/>
                <w:bCs/>
              </w:rPr>
            </w:pPr>
            <w:r w:rsidRPr="00837BF1">
              <w:rPr>
                <w:rFonts w:ascii="Arial" w:hAnsi="Arial" w:cs="Arial"/>
                <w:b/>
                <w:bCs/>
              </w:rPr>
              <w:t>OR</w:t>
            </w:r>
          </w:p>
        </w:tc>
        <w:tc>
          <w:tcPr>
            <w:tcW w:w="1276" w:type="dxa"/>
          </w:tcPr>
          <w:p w14:paraId="62DFB0FA" w14:textId="77777777" w:rsidR="00120BA7" w:rsidRPr="00837BF1" w:rsidRDefault="00120BA7" w:rsidP="00520D32">
            <w:pPr>
              <w:jc w:val="center"/>
              <w:rPr>
                <w:rFonts w:ascii="Arial" w:hAnsi="Arial" w:cs="Arial"/>
                <w:b/>
                <w:bCs/>
              </w:rPr>
            </w:pPr>
            <w:r w:rsidRPr="00837BF1">
              <w:rPr>
                <w:rFonts w:ascii="Arial" w:hAnsi="Arial" w:cs="Arial"/>
                <w:b/>
                <w:bCs/>
              </w:rPr>
              <w:t>95% CI</w:t>
            </w:r>
          </w:p>
        </w:tc>
        <w:tc>
          <w:tcPr>
            <w:tcW w:w="851" w:type="dxa"/>
          </w:tcPr>
          <w:p w14:paraId="3A955E2F" w14:textId="77777777" w:rsidR="00120BA7" w:rsidRPr="00837BF1" w:rsidRDefault="00120BA7" w:rsidP="00520D32">
            <w:pPr>
              <w:jc w:val="center"/>
              <w:rPr>
                <w:rFonts w:ascii="Arial" w:hAnsi="Arial" w:cs="Arial"/>
                <w:b/>
                <w:bCs/>
              </w:rPr>
            </w:pPr>
            <w:r w:rsidRPr="00837BF1">
              <w:rPr>
                <w:rFonts w:ascii="Arial" w:hAnsi="Arial" w:cs="Arial"/>
                <w:b/>
                <w:bCs/>
              </w:rPr>
              <w:t>OR</w:t>
            </w:r>
          </w:p>
        </w:tc>
        <w:tc>
          <w:tcPr>
            <w:tcW w:w="1417" w:type="dxa"/>
          </w:tcPr>
          <w:p w14:paraId="0F4AF21E" w14:textId="77777777" w:rsidR="00120BA7" w:rsidRPr="00837BF1" w:rsidRDefault="00120BA7" w:rsidP="00520D32">
            <w:pPr>
              <w:jc w:val="center"/>
              <w:rPr>
                <w:rFonts w:ascii="Arial" w:hAnsi="Arial" w:cs="Arial"/>
                <w:b/>
                <w:bCs/>
              </w:rPr>
            </w:pPr>
            <w:r w:rsidRPr="00837BF1">
              <w:rPr>
                <w:rFonts w:ascii="Arial" w:hAnsi="Arial" w:cs="Arial"/>
                <w:b/>
                <w:bCs/>
              </w:rPr>
              <w:t>95% CI</w:t>
            </w:r>
          </w:p>
        </w:tc>
      </w:tr>
      <w:tr w:rsidR="00F53CC9" w:rsidRPr="00837BF1" w14:paraId="5FBC3AD5" w14:textId="77777777" w:rsidTr="00F53CC9">
        <w:trPr>
          <w:trHeight w:val="5997"/>
        </w:trPr>
        <w:tc>
          <w:tcPr>
            <w:tcW w:w="5240" w:type="dxa"/>
          </w:tcPr>
          <w:p w14:paraId="6059F6CA" w14:textId="77777777" w:rsidR="00120BA7" w:rsidRPr="00837BF1" w:rsidRDefault="00120BA7" w:rsidP="00520D32">
            <w:pPr>
              <w:jc w:val="both"/>
              <w:rPr>
                <w:rFonts w:ascii="Arial" w:hAnsi="Arial" w:cs="Arial"/>
                <w:b/>
                <w:bCs/>
              </w:rPr>
            </w:pPr>
            <w:r w:rsidRPr="00837BF1">
              <w:rPr>
                <w:rFonts w:ascii="Arial" w:hAnsi="Arial" w:cs="Arial"/>
                <w:b/>
                <w:bCs/>
              </w:rPr>
              <w:t>Employer cuts (reference: no)</w:t>
            </w:r>
          </w:p>
          <w:p w14:paraId="765D8F0D" w14:textId="77777777" w:rsidR="00120BA7" w:rsidRPr="00837BF1" w:rsidRDefault="00120BA7" w:rsidP="00520D32">
            <w:pPr>
              <w:jc w:val="both"/>
              <w:rPr>
                <w:rFonts w:ascii="Arial" w:hAnsi="Arial" w:cs="Arial"/>
                <w:b/>
                <w:bCs/>
              </w:rPr>
            </w:pPr>
            <w:r w:rsidRPr="00837BF1">
              <w:rPr>
                <w:rFonts w:ascii="Arial" w:hAnsi="Arial" w:cs="Arial"/>
                <w:b/>
                <w:bCs/>
              </w:rPr>
              <w:t>Furloughed/paid leave (reference: no)</w:t>
            </w:r>
          </w:p>
          <w:p w14:paraId="7E45E699" w14:textId="77777777" w:rsidR="00120BA7" w:rsidRPr="00837BF1" w:rsidRDefault="00120BA7" w:rsidP="00520D32">
            <w:pPr>
              <w:jc w:val="both"/>
              <w:rPr>
                <w:rFonts w:ascii="Arial" w:hAnsi="Arial" w:cs="Arial"/>
                <w:b/>
                <w:bCs/>
              </w:rPr>
            </w:pPr>
            <w:r w:rsidRPr="00837BF1">
              <w:rPr>
                <w:rFonts w:ascii="Arial" w:hAnsi="Arial" w:cs="Arial"/>
                <w:b/>
                <w:bCs/>
              </w:rPr>
              <w:t>Self-isolating or sick (reference: no)</w:t>
            </w:r>
          </w:p>
          <w:p w14:paraId="5AAC659B" w14:textId="77777777" w:rsidR="00120BA7" w:rsidRPr="00837BF1" w:rsidRDefault="00120BA7" w:rsidP="00520D32">
            <w:pPr>
              <w:jc w:val="both"/>
              <w:rPr>
                <w:rFonts w:ascii="Arial" w:hAnsi="Arial" w:cs="Arial"/>
                <w:b/>
                <w:bCs/>
              </w:rPr>
            </w:pPr>
            <w:r w:rsidRPr="00837BF1">
              <w:rPr>
                <w:rFonts w:ascii="Arial" w:hAnsi="Arial" w:cs="Arial"/>
                <w:b/>
                <w:bCs/>
              </w:rPr>
              <w:t>Permanently laid off (reference: no)</w:t>
            </w:r>
          </w:p>
          <w:p w14:paraId="22C2C60D" w14:textId="77777777" w:rsidR="00120BA7" w:rsidRPr="00837BF1" w:rsidRDefault="00120BA7" w:rsidP="00520D32">
            <w:pPr>
              <w:jc w:val="both"/>
              <w:rPr>
                <w:rFonts w:ascii="Arial" w:hAnsi="Arial" w:cs="Arial"/>
                <w:b/>
                <w:bCs/>
              </w:rPr>
            </w:pPr>
            <w:r w:rsidRPr="00837BF1">
              <w:rPr>
                <w:rFonts w:ascii="Arial" w:hAnsi="Arial" w:cs="Arial"/>
                <w:b/>
                <w:bCs/>
              </w:rPr>
              <w:t>Caring for children/others (reference: no)</w:t>
            </w:r>
          </w:p>
          <w:p w14:paraId="253492ED" w14:textId="77777777" w:rsidR="00120BA7" w:rsidRPr="00837BF1" w:rsidRDefault="00120BA7" w:rsidP="00520D32">
            <w:pPr>
              <w:jc w:val="both"/>
              <w:rPr>
                <w:rFonts w:ascii="Arial" w:hAnsi="Arial" w:cs="Arial"/>
                <w:b/>
                <w:bCs/>
              </w:rPr>
            </w:pPr>
            <w:r w:rsidRPr="00837BF1">
              <w:rPr>
                <w:rFonts w:ascii="Arial" w:hAnsi="Arial" w:cs="Arial"/>
                <w:b/>
                <w:bCs/>
              </w:rPr>
              <w:t>Other reasons (reference: no)</w:t>
            </w:r>
          </w:p>
          <w:p w14:paraId="6CF55C65" w14:textId="77777777" w:rsidR="00120BA7" w:rsidRPr="00837BF1" w:rsidRDefault="00120BA7" w:rsidP="00520D32">
            <w:pPr>
              <w:rPr>
                <w:rFonts w:ascii="Arial" w:hAnsi="Arial" w:cs="Arial"/>
                <w:b/>
                <w:bCs/>
              </w:rPr>
            </w:pPr>
            <w:r w:rsidRPr="00837BF1">
              <w:rPr>
                <w:rFonts w:ascii="Arial" w:hAnsi="Arial" w:cs="Arial"/>
                <w:b/>
                <w:bCs/>
              </w:rPr>
              <w:t>Age category (reference: 18-24)</w:t>
            </w:r>
          </w:p>
          <w:p w14:paraId="1BE687C7" w14:textId="77777777" w:rsidR="00120BA7" w:rsidRPr="00837BF1" w:rsidRDefault="00120BA7" w:rsidP="00520D32">
            <w:pPr>
              <w:ind w:left="720"/>
              <w:rPr>
                <w:rFonts w:ascii="Arial" w:hAnsi="Arial" w:cs="Arial"/>
              </w:rPr>
            </w:pPr>
            <w:r w:rsidRPr="00837BF1">
              <w:rPr>
                <w:rFonts w:ascii="Arial" w:hAnsi="Arial" w:cs="Arial"/>
              </w:rPr>
              <w:t>25-34</w:t>
            </w:r>
          </w:p>
          <w:p w14:paraId="75F3A525" w14:textId="77777777" w:rsidR="00120BA7" w:rsidRPr="00837BF1" w:rsidRDefault="00120BA7" w:rsidP="00520D32">
            <w:pPr>
              <w:ind w:left="720"/>
              <w:rPr>
                <w:rFonts w:ascii="Arial" w:hAnsi="Arial" w:cs="Arial"/>
              </w:rPr>
            </w:pPr>
            <w:r w:rsidRPr="00837BF1">
              <w:rPr>
                <w:rFonts w:ascii="Arial" w:hAnsi="Arial" w:cs="Arial"/>
              </w:rPr>
              <w:t>35-44</w:t>
            </w:r>
          </w:p>
          <w:p w14:paraId="1F138410" w14:textId="77777777" w:rsidR="00120BA7" w:rsidRPr="00837BF1" w:rsidRDefault="00120BA7" w:rsidP="00520D32">
            <w:pPr>
              <w:ind w:left="720"/>
              <w:rPr>
                <w:rFonts w:ascii="Arial" w:hAnsi="Arial" w:cs="Arial"/>
              </w:rPr>
            </w:pPr>
            <w:r w:rsidRPr="00837BF1">
              <w:rPr>
                <w:rFonts w:ascii="Arial" w:hAnsi="Arial" w:cs="Arial"/>
              </w:rPr>
              <w:t>45-54</w:t>
            </w:r>
          </w:p>
          <w:p w14:paraId="4ABE2AF6" w14:textId="77777777" w:rsidR="00120BA7" w:rsidRPr="00837BF1" w:rsidRDefault="00120BA7" w:rsidP="00520D32">
            <w:pPr>
              <w:ind w:left="720"/>
              <w:rPr>
                <w:rFonts w:ascii="Arial" w:hAnsi="Arial" w:cs="Arial"/>
              </w:rPr>
            </w:pPr>
            <w:r w:rsidRPr="00837BF1">
              <w:rPr>
                <w:rFonts w:ascii="Arial" w:hAnsi="Arial" w:cs="Arial"/>
              </w:rPr>
              <w:t>55-65</w:t>
            </w:r>
          </w:p>
          <w:p w14:paraId="4C4F5E6A" w14:textId="5E82E666" w:rsidR="00120BA7" w:rsidRPr="00837BF1" w:rsidRDefault="00120BA7" w:rsidP="00520D32">
            <w:pPr>
              <w:rPr>
                <w:rFonts w:ascii="Arial" w:hAnsi="Arial" w:cs="Arial"/>
                <w:b/>
                <w:bCs/>
              </w:rPr>
            </w:pPr>
            <w:r w:rsidRPr="00837BF1">
              <w:rPr>
                <w:rFonts w:ascii="Arial" w:hAnsi="Arial" w:cs="Arial"/>
                <w:b/>
                <w:bCs/>
              </w:rPr>
              <w:t>Sex (reference: male)</w:t>
            </w:r>
          </w:p>
          <w:p w14:paraId="1BE5F41B" w14:textId="77777777" w:rsidR="00120BA7" w:rsidRPr="00837BF1" w:rsidRDefault="00120BA7" w:rsidP="00520D32">
            <w:pPr>
              <w:rPr>
                <w:rFonts w:ascii="Arial" w:hAnsi="Arial" w:cs="Arial"/>
                <w:b/>
                <w:bCs/>
              </w:rPr>
            </w:pPr>
            <w:r w:rsidRPr="00837BF1">
              <w:rPr>
                <w:rFonts w:ascii="Arial" w:hAnsi="Arial" w:cs="Arial"/>
                <w:b/>
                <w:bCs/>
              </w:rPr>
              <w:t>Living in a couple (reference: yes)</w:t>
            </w:r>
          </w:p>
          <w:p w14:paraId="5FD2835A" w14:textId="36671F51" w:rsidR="00120BA7" w:rsidRPr="00837BF1" w:rsidRDefault="00120BA7" w:rsidP="00520D32">
            <w:pPr>
              <w:rPr>
                <w:rFonts w:ascii="Arial" w:hAnsi="Arial" w:cs="Arial"/>
                <w:b/>
                <w:bCs/>
              </w:rPr>
            </w:pPr>
            <w:r w:rsidRPr="00837BF1">
              <w:rPr>
                <w:rFonts w:ascii="Arial" w:hAnsi="Arial" w:cs="Arial"/>
                <w:b/>
                <w:bCs/>
              </w:rPr>
              <w:t xml:space="preserve">Ethnicity (reference: white </w:t>
            </w:r>
            <w:r w:rsidR="0061320F" w:rsidRPr="00837BF1">
              <w:rPr>
                <w:rFonts w:ascii="Arial" w:hAnsi="Arial" w:cs="Arial"/>
                <w:b/>
                <w:bCs/>
              </w:rPr>
              <w:t>(</w:t>
            </w:r>
            <w:r w:rsidRPr="00837BF1">
              <w:rPr>
                <w:rFonts w:ascii="Arial" w:hAnsi="Arial" w:cs="Arial"/>
                <w:b/>
                <w:bCs/>
              </w:rPr>
              <w:t>British</w:t>
            </w:r>
            <w:r w:rsidR="0061320F" w:rsidRPr="00837BF1">
              <w:rPr>
                <w:rFonts w:ascii="Arial" w:hAnsi="Arial" w:cs="Arial"/>
                <w:b/>
                <w:bCs/>
              </w:rPr>
              <w:t>)</w:t>
            </w:r>
            <w:r w:rsidRPr="00837BF1">
              <w:rPr>
                <w:rFonts w:ascii="Arial" w:hAnsi="Arial" w:cs="Arial"/>
                <w:b/>
                <w:bCs/>
              </w:rPr>
              <w:t>):</w:t>
            </w:r>
          </w:p>
          <w:p w14:paraId="2A0601D7" w14:textId="4C5FE6A4" w:rsidR="00120BA7" w:rsidRPr="00837BF1" w:rsidRDefault="00120BA7" w:rsidP="00520D32">
            <w:pPr>
              <w:ind w:left="720"/>
              <w:rPr>
                <w:rFonts w:ascii="Arial" w:hAnsi="Arial" w:cs="Arial"/>
              </w:rPr>
            </w:pPr>
            <w:r w:rsidRPr="00837BF1">
              <w:rPr>
                <w:rFonts w:ascii="Arial" w:hAnsi="Arial" w:cs="Arial"/>
              </w:rPr>
              <w:t>White</w:t>
            </w:r>
            <w:r w:rsidR="0026425E" w:rsidRPr="00837BF1">
              <w:rPr>
                <w:rFonts w:ascii="Arial" w:hAnsi="Arial" w:cs="Arial"/>
              </w:rPr>
              <w:t xml:space="preserve"> (</w:t>
            </w:r>
            <w:r w:rsidRPr="00837BF1">
              <w:rPr>
                <w:rFonts w:ascii="Arial" w:hAnsi="Arial" w:cs="Arial"/>
              </w:rPr>
              <w:t>non-British</w:t>
            </w:r>
            <w:r w:rsidR="0026425E" w:rsidRPr="00837BF1">
              <w:rPr>
                <w:rFonts w:ascii="Arial" w:hAnsi="Arial" w:cs="Arial"/>
              </w:rPr>
              <w:t>)</w:t>
            </w:r>
          </w:p>
          <w:p w14:paraId="43816F65" w14:textId="77777777" w:rsidR="00120BA7" w:rsidRPr="00837BF1" w:rsidRDefault="00120BA7" w:rsidP="00520D32">
            <w:pPr>
              <w:ind w:left="720"/>
              <w:rPr>
                <w:rFonts w:ascii="Arial" w:hAnsi="Arial" w:cs="Arial"/>
              </w:rPr>
            </w:pPr>
            <w:r w:rsidRPr="00837BF1">
              <w:rPr>
                <w:rFonts w:ascii="Arial" w:hAnsi="Arial" w:cs="Arial"/>
              </w:rPr>
              <w:t>Mixed</w:t>
            </w:r>
          </w:p>
          <w:p w14:paraId="579B4ACF" w14:textId="77777777" w:rsidR="00120BA7" w:rsidRPr="00837BF1" w:rsidRDefault="00120BA7" w:rsidP="00520D32">
            <w:pPr>
              <w:ind w:left="720"/>
              <w:rPr>
                <w:rFonts w:ascii="Arial" w:hAnsi="Arial" w:cs="Arial"/>
              </w:rPr>
            </w:pPr>
            <w:r w:rsidRPr="00837BF1">
              <w:rPr>
                <w:rFonts w:ascii="Arial" w:hAnsi="Arial" w:cs="Arial"/>
              </w:rPr>
              <w:t>Asian</w:t>
            </w:r>
          </w:p>
          <w:p w14:paraId="7B91CE39" w14:textId="77777777" w:rsidR="00120BA7" w:rsidRPr="00837BF1" w:rsidRDefault="00120BA7" w:rsidP="00520D32">
            <w:pPr>
              <w:ind w:left="720"/>
              <w:rPr>
                <w:rFonts w:ascii="Arial" w:hAnsi="Arial" w:cs="Arial"/>
              </w:rPr>
            </w:pPr>
            <w:r w:rsidRPr="00837BF1">
              <w:rPr>
                <w:rFonts w:ascii="Arial" w:hAnsi="Arial" w:cs="Arial"/>
              </w:rPr>
              <w:t>Black</w:t>
            </w:r>
          </w:p>
          <w:p w14:paraId="7FA84CA1" w14:textId="3CFB35BB" w:rsidR="00120BA7" w:rsidRPr="00837BF1" w:rsidRDefault="00120BA7" w:rsidP="00F74ACB">
            <w:pPr>
              <w:ind w:left="720"/>
              <w:rPr>
                <w:rFonts w:ascii="Arial" w:hAnsi="Arial" w:cs="Arial"/>
              </w:rPr>
            </w:pPr>
            <w:r w:rsidRPr="00837BF1">
              <w:rPr>
                <w:rFonts w:ascii="Arial" w:hAnsi="Arial" w:cs="Arial"/>
              </w:rPr>
              <w:t>Other</w:t>
            </w:r>
          </w:p>
          <w:p w14:paraId="7690B438" w14:textId="36E82A3A" w:rsidR="00120BA7" w:rsidRPr="00837BF1" w:rsidRDefault="00120BA7" w:rsidP="00520D32">
            <w:pPr>
              <w:rPr>
                <w:rFonts w:ascii="Arial" w:hAnsi="Arial" w:cs="Arial"/>
                <w:b/>
                <w:bCs/>
              </w:rPr>
            </w:pPr>
            <w:r w:rsidRPr="00837BF1">
              <w:rPr>
                <w:rFonts w:ascii="Arial" w:hAnsi="Arial" w:cs="Arial"/>
                <w:b/>
                <w:bCs/>
              </w:rPr>
              <w:t>Baseline household earnings (ref</w:t>
            </w:r>
            <w:r w:rsidR="007E6C85" w:rsidRPr="00837BF1">
              <w:rPr>
                <w:rFonts w:ascii="Arial" w:hAnsi="Arial" w:cs="Arial"/>
                <w:b/>
                <w:bCs/>
              </w:rPr>
              <w:t>erence</w:t>
            </w:r>
            <w:r w:rsidRPr="00837BF1">
              <w:rPr>
                <w:rFonts w:ascii="Arial" w:hAnsi="Arial" w:cs="Arial"/>
                <w:b/>
                <w:bCs/>
              </w:rPr>
              <w:t>: &lt;£165)</w:t>
            </w:r>
          </w:p>
          <w:p w14:paraId="285ED2BD" w14:textId="17B9E8D9" w:rsidR="00120BA7" w:rsidRPr="00837BF1" w:rsidRDefault="00120BA7" w:rsidP="00520D32">
            <w:pPr>
              <w:rPr>
                <w:rFonts w:ascii="Arial" w:hAnsi="Arial" w:cs="Arial"/>
                <w:b/>
                <w:bCs/>
              </w:rPr>
            </w:pPr>
            <w:r w:rsidRPr="00837BF1">
              <w:rPr>
                <w:rFonts w:ascii="Arial" w:hAnsi="Arial" w:cs="Arial"/>
                <w:b/>
                <w:bCs/>
              </w:rPr>
              <w:t>Subj financial sit</w:t>
            </w:r>
            <w:r w:rsidR="00922BDA" w:rsidRPr="00837BF1">
              <w:rPr>
                <w:rFonts w:ascii="Arial" w:hAnsi="Arial" w:cs="Arial"/>
                <w:b/>
                <w:bCs/>
              </w:rPr>
              <w:t>uation</w:t>
            </w:r>
            <w:r w:rsidR="000D1964" w:rsidRPr="00837BF1">
              <w:rPr>
                <w:rFonts w:ascii="Arial" w:hAnsi="Arial" w:cs="Arial"/>
                <w:b/>
                <w:bCs/>
              </w:rPr>
              <w:t xml:space="preserve"> </w:t>
            </w:r>
            <w:r w:rsidRPr="00837BF1">
              <w:rPr>
                <w:rFonts w:ascii="Arial" w:hAnsi="Arial" w:cs="Arial"/>
                <w:b/>
                <w:bCs/>
              </w:rPr>
              <w:t>(ref</w:t>
            </w:r>
            <w:r w:rsidR="006D24E2" w:rsidRPr="00837BF1">
              <w:rPr>
                <w:rFonts w:ascii="Arial" w:hAnsi="Arial" w:cs="Arial"/>
                <w:b/>
                <w:bCs/>
              </w:rPr>
              <w:t>erence</w:t>
            </w:r>
            <w:r w:rsidRPr="00837BF1">
              <w:rPr>
                <w:rFonts w:ascii="Arial" w:hAnsi="Arial" w:cs="Arial"/>
                <w:b/>
                <w:bCs/>
              </w:rPr>
              <w:t xml:space="preserve">: </w:t>
            </w:r>
            <w:r w:rsidR="006D24E2" w:rsidRPr="00837BF1">
              <w:rPr>
                <w:rFonts w:ascii="Arial" w:hAnsi="Arial" w:cs="Arial"/>
                <w:b/>
                <w:bCs/>
              </w:rPr>
              <w:t>comfortable</w:t>
            </w:r>
            <w:r w:rsidRPr="00837BF1">
              <w:rPr>
                <w:rFonts w:ascii="Arial" w:hAnsi="Arial" w:cs="Arial"/>
                <w:b/>
                <w:bCs/>
              </w:rPr>
              <w:t>)</w:t>
            </w:r>
          </w:p>
          <w:p w14:paraId="58C76304" w14:textId="77777777" w:rsidR="00120BA7" w:rsidRPr="00837BF1" w:rsidRDefault="00120BA7" w:rsidP="00520D32">
            <w:pPr>
              <w:ind w:left="720"/>
              <w:rPr>
                <w:rFonts w:ascii="Arial" w:hAnsi="Arial" w:cs="Arial"/>
              </w:rPr>
            </w:pPr>
            <w:r w:rsidRPr="00837BF1">
              <w:rPr>
                <w:rFonts w:ascii="Arial" w:hAnsi="Arial" w:cs="Arial"/>
              </w:rPr>
              <w:t>Just about getting by</w:t>
            </w:r>
          </w:p>
          <w:p w14:paraId="36E98BCD" w14:textId="102C9489" w:rsidR="00120BA7" w:rsidRPr="00837BF1" w:rsidRDefault="00120BA7" w:rsidP="002C398E">
            <w:pPr>
              <w:ind w:left="720"/>
              <w:rPr>
                <w:rFonts w:ascii="Arial" w:hAnsi="Arial" w:cs="Arial"/>
              </w:rPr>
            </w:pPr>
            <w:r w:rsidRPr="00837BF1">
              <w:rPr>
                <w:rFonts w:ascii="Arial" w:hAnsi="Arial" w:cs="Arial"/>
              </w:rPr>
              <w:t>Finding it difficult/very difficult</w:t>
            </w:r>
          </w:p>
          <w:p w14:paraId="38A51775" w14:textId="49B20E9F" w:rsidR="00120BA7" w:rsidRPr="00837BF1" w:rsidRDefault="00120BA7" w:rsidP="00520D32">
            <w:pPr>
              <w:rPr>
                <w:rFonts w:ascii="Arial" w:hAnsi="Arial" w:cs="Arial"/>
                <w:b/>
                <w:bCs/>
              </w:rPr>
            </w:pPr>
            <w:r w:rsidRPr="00837BF1">
              <w:rPr>
                <w:rFonts w:ascii="Arial" w:hAnsi="Arial" w:cs="Arial"/>
                <w:b/>
                <w:bCs/>
              </w:rPr>
              <w:t>Baseline psychological distress (ref</w:t>
            </w:r>
            <w:r w:rsidR="007E6C85" w:rsidRPr="00837BF1">
              <w:rPr>
                <w:rFonts w:ascii="Arial" w:hAnsi="Arial" w:cs="Arial"/>
                <w:b/>
                <w:bCs/>
              </w:rPr>
              <w:t>erence</w:t>
            </w:r>
            <w:r w:rsidRPr="00837BF1">
              <w:rPr>
                <w:rFonts w:ascii="Arial" w:hAnsi="Arial" w:cs="Arial"/>
                <w:b/>
                <w:bCs/>
              </w:rPr>
              <w:t>: no)</w:t>
            </w:r>
          </w:p>
        </w:tc>
        <w:tc>
          <w:tcPr>
            <w:tcW w:w="851" w:type="dxa"/>
          </w:tcPr>
          <w:p w14:paraId="3081B122" w14:textId="77777777" w:rsidR="00120BA7" w:rsidRPr="00837BF1" w:rsidRDefault="00120BA7" w:rsidP="00520D32">
            <w:pPr>
              <w:jc w:val="center"/>
              <w:rPr>
                <w:rFonts w:ascii="Arial" w:hAnsi="Arial" w:cs="Arial"/>
              </w:rPr>
            </w:pPr>
            <w:r w:rsidRPr="00837BF1">
              <w:rPr>
                <w:rFonts w:ascii="Arial" w:hAnsi="Arial" w:cs="Arial"/>
              </w:rPr>
              <w:t>1.23</w:t>
            </w:r>
          </w:p>
          <w:p w14:paraId="7A751FB8" w14:textId="77777777" w:rsidR="00120BA7" w:rsidRPr="00837BF1" w:rsidRDefault="00120BA7" w:rsidP="00520D32">
            <w:pPr>
              <w:jc w:val="center"/>
              <w:rPr>
                <w:rFonts w:ascii="Arial" w:hAnsi="Arial" w:cs="Arial"/>
              </w:rPr>
            </w:pPr>
            <w:r w:rsidRPr="00837BF1">
              <w:rPr>
                <w:rFonts w:ascii="Arial" w:hAnsi="Arial" w:cs="Arial"/>
              </w:rPr>
              <w:t>1.03</w:t>
            </w:r>
          </w:p>
          <w:p w14:paraId="7A4EC2C9" w14:textId="459587CD" w:rsidR="00120BA7" w:rsidRPr="00837BF1" w:rsidRDefault="00120BA7" w:rsidP="00520D32">
            <w:pPr>
              <w:jc w:val="center"/>
              <w:rPr>
                <w:rFonts w:ascii="Arial" w:hAnsi="Arial" w:cs="Arial"/>
                <w:b/>
                <w:bCs/>
              </w:rPr>
            </w:pPr>
            <w:r w:rsidRPr="00837BF1">
              <w:rPr>
                <w:rFonts w:ascii="Arial" w:hAnsi="Arial" w:cs="Arial"/>
                <w:b/>
                <w:bCs/>
              </w:rPr>
              <w:t>1.6</w:t>
            </w:r>
            <w:r w:rsidR="0029597B" w:rsidRPr="00837BF1">
              <w:rPr>
                <w:rFonts w:ascii="Arial" w:hAnsi="Arial" w:cs="Arial"/>
                <w:b/>
                <w:bCs/>
              </w:rPr>
              <w:t>7</w:t>
            </w:r>
          </w:p>
          <w:p w14:paraId="3A939D6B" w14:textId="4CF65E5C" w:rsidR="00120BA7" w:rsidRPr="00837BF1" w:rsidRDefault="00120BA7" w:rsidP="00520D32">
            <w:pPr>
              <w:jc w:val="center"/>
              <w:rPr>
                <w:rFonts w:ascii="Arial" w:hAnsi="Arial" w:cs="Arial"/>
                <w:b/>
                <w:bCs/>
              </w:rPr>
            </w:pPr>
            <w:r w:rsidRPr="00837BF1">
              <w:rPr>
                <w:rFonts w:ascii="Arial" w:hAnsi="Arial" w:cs="Arial"/>
                <w:b/>
                <w:bCs/>
              </w:rPr>
              <w:t>4.9</w:t>
            </w:r>
            <w:r w:rsidR="00393279" w:rsidRPr="00837BF1">
              <w:rPr>
                <w:rFonts w:ascii="Arial" w:hAnsi="Arial" w:cs="Arial"/>
                <w:b/>
                <w:bCs/>
              </w:rPr>
              <w:t>3</w:t>
            </w:r>
          </w:p>
          <w:p w14:paraId="4C0AEA36" w14:textId="5939731E" w:rsidR="00120BA7" w:rsidRPr="00837BF1" w:rsidRDefault="00120BA7" w:rsidP="00520D32">
            <w:pPr>
              <w:jc w:val="center"/>
              <w:rPr>
                <w:rFonts w:ascii="Arial" w:hAnsi="Arial" w:cs="Arial"/>
                <w:b/>
                <w:bCs/>
              </w:rPr>
            </w:pPr>
            <w:r w:rsidRPr="00837BF1">
              <w:rPr>
                <w:rFonts w:ascii="Arial" w:hAnsi="Arial" w:cs="Arial"/>
                <w:b/>
                <w:bCs/>
              </w:rPr>
              <w:t>1.8</w:t>
            </w:r>
            <w:r w:rsidR="00B255E6" w:rsidRPr="00837BF1">
              <w:rPr>
                <w:rFonts w:ascii="Arial" w:hAnsi="Arial" w:cs="Arial"/>
                <w:b/>
                <w:bCs/>
              </w:rPr>
              <w:t>7</w:t>
            </w:r>
          </w:p>
          <w:p w14:paraId="59C7F960" w14:textId="4E796992" w:rsidR="00120BA7" w:rsidRPr="00837BF1" w:rsidRDefault="00120BA7" w:rsidP="00520D32">
            <w:pPr>
              <w:jc w:val="center"/>
              <w:rPr>
                <w:rFonts w:ascii="Arial" w:hAnsi="Arial" w:cs="Arial"/>
              </w:rPr>
            </w:pPr>
            <w:r w:rsidRPr="00837BF1">
              <w:rPr>
                <w:rFonts w:ascii="Arial" w:hAnsi="Arial" w:cs="Arial"/>
              </w:rPr>
              <w:t>1.1</w:t>
            </w:r>
            <w:r w:rsidR="00B255E6" w:rsidRPr="00837BF1">
              <w:rPr>
                <w:rFonts w:ascii="Arial" w:hAnsi="Arial" w:cs="Arial"/>
              </w:rPr>
              <w:t>6</w:t>
            </w:r>
          </w:p>
        </w:tc>
        <w:tc>
          <w:tcPr>
            <w:tcW w:w="1417" w:type="dxa"/>
          </w:tcPr>
          <w:p w14:paraId="67B6B6F5" w14:textId="22D3E62D" w:rsidR="00120BA7" w:rsidRPr="00837BF1" w:rsidRDefault="00120BA7" w:rsidP="00520D32">
            <w:pPr>
              <w:jc w:val="center"/>
              <w:rPr>
                <w:rFonts w:ascii="Arial" w:hAnsi="Arial" w:cs="Arial"/>
              </w:rPr>
            </w:pPr>
            <w:r w:rsidRPr="00837BF1">
              <w:rPr>
                <w:rFonts w:ascii="Arial" w:hAnsi="Arial" w:cs="Arial"/>
              </w:rPr>
              <w:t>0.9</w:t>
            </w:r>
            <w:r w:rsidR="00B255E6" w:rsidRPr="00837BF1">
              <w:rPr>
                <w:rFonts w:ascii="Arial" w:hAnsi="Arial" w:cs="Arial"/>
              </w:rPr>
              <w:t>0</w:t>
            </w:r>
            <w:r w:rsidRPr="00837BF1">
              <w:rPr>
                <w:rFonts w:ascii="Arial" w:hAnsi="Arial" w:cs="Arial"/>
              </w:rPr>
              <w:t>, 1.67</w:t>
            </w:r>
          </w:p>
          <w:p w14:paraId="6795C219" w14:textId="77777777" w:rsidR="00120BA7" w:rsidRPr="00837BF1" w:rsidRDefault="00120BA7" w:rsidP="00520D32">
            <w:pPr>
              <w:jc w:val="center"/>
              <w:rPr>
                <w:rFonts w:ascii="Arial" w:hAnsi="Arial" w:cs="Arial"/>
              </w:rPr>
            </w:pPr>
            <w:r w:rsidRPr="00837BF1">
              <w:rPr>
                <w:rFonts w:ascii="Arial" w:hAnsi="Arial" w:cs="Arial"/>
              </w:rPr>
              <w:t>0.87, 1.21</w:t>
            </w:r>
          </w:p>
          <w:p w14:paraId="774424E7" w14:textId="77777777" w:rsidR="00120BA7" w:rsidRPr="00837BF1" w:rsidRDefault="00120BA7" w:rsidP="00520D32">
            <w:pPr>
              <w:jc w:val="center"/>
              <w:rPr>
                <w:rFonts w:ascii="Arial" w:hAnsi="Arial" w:cs="Arial"/>
                <w:b/>
                <w:bCs/>
              </w:rPr>
            </w:pPr>
            <w:r w:rsidRPr="00837BF1">
              <w:rPr>
                <w:rFonts w:ascii="Arial" w:hAnsi="Arial" w:cs="Arial"/>
                <w:b/>
                <w:bCs/>
              </w:rPr>
              <w:t>1.13, 2.47</w:t>
            </w:r>
          </w:p>
          <w:p w14:paraId="0C489A5F" w14:textId="33C10A2A" w:rsidR="00120BA7" w:rsidRPr="00837BF1" w:rsidRDefault="00120BA7" w:rsidP="00520D32">
            <w:pPr>
              <w:jc w:val="center"/>
              <w:rPr>
                <w:rFonts w:ascii="Arial" w:hAnsi="Arial" w:cs="Arial"/>
                <w:b/>
                <w:bCs/>
              </w:rPr>
            </w:pPr>
            <w:r w:rsidRPr="00837BF1">
              <w:rPr>
                <w:rFonts w:ascii="Arial" w:hAnsi="Arial" w:cs="Arial"/>
                <w:b/>
                <w:bCs/>
              </w:rPr>
              <w:t>2.2</w:t>
            </w:r>
            <w:r w:rsidR="00393279" w:rsidRPr="00837BF1">
              <w:rPr>
                <w:rFonts w:ascii="Arial" w:hAnsi="Arial" w:cs="Arial"/>
                <w:b/>
                <w:bCs/>
              </w:rPr>
              <w:t>4</w:t>
            </w:r>
            <w:r w:rsidRPr="00837BF1">
              <w:rPr>
                <w:rFonts w:ascii="Arial" w:hAnsi="Arial" w:cs="Arial"/>
                <w:b/>
                <w:bCs/>
              </w:rPr>
              <w:t>, 10.</w:t>
            </w:r>
            <w:r w:rsidR="00393279" w:rsidRPr="00837BF1">
              <w:rPr>
                <w:rFonts w:ascii="Arial" w:hAnsi="Arial" w:cs="Arial"/>
                <w:b/>
                <w:bCs/>
              </w:rPr>
              <w:t>87</w:t>
            </w:r>
          </w:p>
          <w:p w14:paraId="5856EA14" w14:textId="55F182F9" w:rsidR="00120BA7" w:rsidRPr="00837BF1" w:rsidRDefault="00120BA7" w:rsidP="00520D32">
            <w:pPr>
              <w:jc w:val="center"/>
              <w:rPr>
                <w:rFonts w:ascii="Arial" w:hAnsi="Arial" w:cs="Arial"/>
                <w:b/>
                <w:bCs/>
              </w:rPr>
            </w:pPr>
            <w:r w:rsidRPr="00837BF1">
              <w:rPr>
                <w:rFonts w:ascii="Arial" w:hAnsi="Arial" w:cs="Arial"/>
                <w:b/>
                <w:bCs/>
              </w:rPr>
              <w:t>1.28, 2.7</w:t>
            </w:r>
            <w:r w:rsidR="00082BB4" w:rsidRPr="00837BF1">
              <w:rPr>
                <w:rFonts w:ascii="Arial" w:hAnsi="Arial" w:cs="Arial"/>
                <w:b/>
                <w:bCs/>
              </w:rPr>
              <w:t>3</w:t>
            </w:r>
          </w:p>
          <w:p w14:paraId="195EEA9E" w14:textId="2B3E766F" w:rsidR="00120BA7" w:rsidRPr="00837BF1" w:rsidRDefault="00120BA7" w:rsidP="00520D32">
            <w:pPr>
              <w:jc w:val="center"/>
              <w:rPr>
                <w:rFonts w:ascii="Arial" w:hAnsi="Arial" w:cs="Arial"/>
              </w:rPr>
            </w:pPr>
            <w:r w:rsidRPr="00837BF1">
              <w:rPr>
                <w:rFonts w:ascii="Arial" w:hAnsi="Arial" w:cs="Arial"/>
              </w:rPr>
              <w:t>0</w:t>
            </w:r>
            <w:r w:rsidR="00082BB4" w:rsidRPr="00837BF1">
              <w:rPr>
                <w:rFonts w:ascii="Arial" w:hAnsi="Arial" w:cs="Arial"/>
              </w:rPr>
              <w:t>.</w:t>
            </w:r>
            <w:r w:rsidRPr="00837BF1">
              <w:rPr>
                <w:rFonts w:ascii="Arial" w:hAnsi="Arial" w:cs="Arial"/>
              </w:rPr>
              <w:t>95, 1.4</w:t>
            </w:r>
            <w:r w:rsidR="00082BB4" w:rsidRPr="00837BF1">
              <w:rPr>
                <w:rFonts w:ascii="Arial" w:hAnsi="Arial" w:cs="Arial"/>
              </w:rPr>
              <w:t>3</w:t>
            </w:r>
          </w:p>
        </w:tc>
        <w:tc>
          <w:tcPr>
            <w:tcW w:w="851" w:type="dxa"/>
          </w:tcPr>
          <w:p w14:paraId="695B71B5" w14:textId="5B88F00D" w:rsidR="00120BA7" w:rsidRPr="00837BF1" w:rsidRDefault="00120BA7" w:rsidP="00520D32">
            <w:pPr>
              <w:jc w:val="center"/>
              <w:rPr>
                <w:rFonts w:ascii="Arial" w:hAnsi="Arial" w:cs="Arial"/>
              </w:rPr>
            </w:pPr>
            <w:r w:rsidRPr="00837BF1">
              <w:rPr>
                <w:rFonts w:ascii="Arial" w:hAnsi="Arial" w:cs="Arial"/>
              </w:rPr>
              <w:t>1.2</w:t>
            </w:r>
            <w:r w:rsidR="00AF5B03" w:rsidRPr="00837BF1">
              <w:rPr>
                <w:rFonts w:ascii="Arial" w:hAnsi="Arial" w:cs="Arial"/>
              </w:rPr>
              <w:t>4</w:t>
            </w:r>
          </w:p>
          <w:p w14:paraId="74262370" w14:textId="2950F40E" w:rsidR="00120BA7" w:rsidRPr="00837BF1" w:rsidRDefault="00C013E7" w:rsidP="00520D32">
            <w:pPr>
              <w:jc w:val="center"/>
              <w:rPr>
                <w:rFonts w:ascii="Arial" w:hAnsi="Arial" w:cs="Arial"/>
              </w:rPr>
            </w:pPr>
            <w:r w:rsidRPr="00837BF1">
              <w:rPr>
                <w:rFonts w:ascii="Arial" w:hAnsi="Arial" w:cs="Arial"/>
              </w:rPr>
              <w:t>1.0</w:t>
            </w:r>
            <w:r w:rsidR="00AF5B03" w:rsidRPr="00837BF1">
              <w:rPr>
                <w:rFonts w:ascii="Arial" w:hAnsi="Arial" w:cs="Arial"/>
              </w:rPr>
              <w:t>3</w:t>
            </w:r>
          </w:p>
          <w:p w14:paraId="762A7519" w14:textId="50377790" w:rsidR="00120BA7" w:rsidRPr="00837BF1" w:rsidRDefault="00120BA7" w:rsidP="00520D32">
            <w:pPr>
              <w:jc w:val="center"/>
              <w:rPr>
                <w:rFonts w:ascii="Arial" w:hAnsi="Arial" w:cs="Arial"/>
                <w:b/>
                <w:bCs/>
              </w:rPr>
            </w:pPr>
            <w:r w:rsidRPr="00837BF1">
              <w:rPr>
                <w:rFonts w:ascii="Arial" w:hAnsi="Arial" w:cs="Arial"/>
                <w:b/>
                <w:bCs/>
              </w:rPr>
              <w:t>1.6</w:t>
            </w:r>
            <w:r w:rsidR="009162E8" w:rsidRPr="00837BF1">
              <w:rPr>
                <w:rFonts w:ascii="Arial" w:hAnsi="Arial" w:cs="Arial"/>
                <w:b/>
                <w:bCs/>
              </w:rPr>
              <w:t>8</w:t>
            </w:r>
          </w:p>
          <w:p w14:paraId="55DB3232" w14:textId="20A0E731" w:rsidR="00120BA7" w:rsidRPr="00837BF1" w:rsidRDefault="009162E8" w:rsidP="00520D32">
            <w:pPr>
              <w:jc w:val="center"/>
              <w:rPr>
                <w:rFonts w:ascii="Arial" w:hAnsi="Arial" w:cs="Arial"/>
                <w:b/>
                <w:bCs/>
              </w:rPr>
            </w:pPr>
            <w:r w:rsidRPr="00837BF1">
              <w:rPr>
                <w:rFonts w:ascii="Arial" w:hAnsi="Arial" w:cs="Arial"/>
                <w:b/>
                <w:bCs/>
              </w:rPr>
              <w:t>5.27</w:t>
            </w:r>
          </w:p>
          <w:p w14:paraId="55219A94" w14:textId="2E0FA5E3" w:rsidR="00120BA7" w:rsidRPr="00837BF1" w:rsidRDefault="00120BA7" w:rsidP="00520D32">
            <w:pPr>
              <w:jc w:val="center"/>
              <w:rPr>
                <w:rFonts w:ascii="Arial" w:hAnsi="Arial" w:cs="Arial"/>
                <w:b/>
                <w:bCs/>
              </w:rPr>
            </w:pPr>
            <w:r w:rsidRPr="00837BF1">
              <w:rPr>
                <w:rFonts w:ascii="Arial" w:hAnsi="Arial" w:cs="Arial"/>
                <w:b/>
                <w:bCs/>
              </w:rPr>
              <w:t>1.7</w:t>
            </w:r>
            <w:r w:rsidR="009162E8" w:rsidRPr="00837BF1">
              <w:rPr>
                <w:rFonts w:ascii="Arial" w:hAnsi="Arial" w:cs="Arial"/>
                <w:b/>
                <w:bCs/>
              </w:rPr>
              <w:t>2</w:t>
            </w:r>
          </w:p>
          <w:p w14:paraId="0534079F" w14:textId="192D4569" w:rsidR="00120BA7" w:rsidRPr="00837BF1" w:rsidRDefault="00120BA7" w:rsidP="00520D32">
            <w:pPr>
              <w:jc w:val="center"/>
              <w:rPr>
                <w:rFonts w:ascii="Arial" w:hAnsi="Arial" w:cs="Arial"/>
              </w:rPr>
            </w:pPr>
            <w:r w:rsidRPr="00837BF1">
              <w:rPr>
                <w:rFonts w:ascii="Arial" w:hAnsi="Arial" w:cs="Arial"/>
              </w:rPr>
              <w:t>1.</w:t>
            </w:r>
            <w:r w:rsidR="009162E8" w:rsidRPr="00837BF1">
              <w:rPr>
                <w:rFonts w:ascii="Arial" w:hAnsi="Arial" w:cs="Arial"/>
              </w:rPr>
              <w:t>09</w:t>
            </w:r>
          </w:p>
          <w:p w14:paraId="381508CC" w14:textId="77777777" w:rsidR="00120BA7" w:rsidRPr="00837BF1" w:rsidRDefault="00120BA7" w:rsidP="00520D32">
            <w:pPr>
              <w:jc w:val="center"/>
              <w:rPr>
                <w:rFonts w:ascii="Arial" w:hAnsi="Arial" w:cs="Arial"/>
              </w:rPr>
            </w:pPr>
          </w:p>
          <w:p w14:paraId="5739E379" w14:textId="133FBC95" w:rsidR="00966EE4" w:rsidRPr="00837BF1" w:rsidRDefault="00A80776" w:rsidP="00250763">
            <w:pPr>
              <w:jc w:val="center"/>
              <w:rPr>
                <w:rFonts w:ascii="Arial" w:hAnsi="Arial" w:cs="Arial"/>
              </w:rPr>
            </w:pPr>
            <w:r w:rsidRPr="00837BF1">
              <w:rPr>
                <w:rFonts w:ascii="Arial" w:hAnsi="Arial" w:cs="Arial"/>
              </w:rPr>
              <w:t>0.94</w:t>
            </w:r>
          </w:p>
          <w:p w14:paraId="0F326DE8" w14:textId="56E8EBA9" w:rsidR="00A80776" w:rsidRPr="00837BF1" w:rsidRDefault="00A80776" w:rsidP="00250763">
            <w:pPr>
              <w:jc w:val="center"/>
              <w:rPr>
                <w:rFonts w:ascii="Arial" w:hAnsi="Arial" w:cs="Arial"/>
                <w:b/>
                <w:bCs/>
              </w:rPr>
            </w:pPr>
            <w:r w:rsidRPr="00837BF1">
              <w:rPr>
                <w:rFonts w:ascii="Arial" w:hAnsi="Arial" w:cs="Arial"/>
                <w:b/>
                <w:bCs/>
              </w:rPr>
              <w:t>0.69</w:t>
            </w:r>
          </w:p>
          <w:p w14:paraId="40A59899" w14:textId="004BF81E" w:rsidR="00A80776" w:rsidRPr="00837BF1" w:rsidRDefault="00A80776" w:rsidP="00250763">
            <w:pPr>
              <w:jc w:val="center"/>
              <w:rPr>
                <w:rFonts w:ascii="Arial" w:hAnsi="Arial" w:cs="Arial"/>
                <w:b/>
                <w:bCs/>
              </w:rPr>
            </w:pPr>
            <w:r w:rsidRPr="00837BF1">
              <w:rPr>
                <w:rFonts w:ascii="Arial" w:hAnsi="Arial" w:cs="Arial"/>
                <w:b/>
                <w:bCs/>
              </w:rPr>
              <w:t>0.49</w:t>
            </w:r>
          </w:p>
          <w:p w14:paraId="7D7A5396" w14:textId="1374F65C" w:rsidR="00A80776" w:rsidRPr="00837BF1" w:rsidRDefault="00A80776" w:rsidP="00250763">
            <w:pPr>
              <w:jc w:val="center"/>
              <w:rPr>
                <w:rFonts w:ascii="Arial" w:hAnsi="Arial" w:cs="Arial"/>
                <w:b/>
                <w:bCs/>
              </w:rPr>
            </w:pPr>
            <w:r w:rsidRPr="00837BF1">
              <w:rPr>
                <w:rFonts w:ascii="Arial" w:hAnsi="Arial" w:cs="Arial"/>
                <w:b/>
                <w:bCs/>
              </w:rPr>
              <w:t>0.50</w:t>
            </w:r>
          </w:p>
          <w:p w14:paraId="6CAD0381" w14:textId="3BCB3BCF" w:rsidR="00120BA7" w:rsidRPr="00837BF1" w:rsidRDefault="00120BA7" w:rsidP="00250763">
            <w:pPr>
              <w:jc w:val="center"/>
              <w:rPr>
                <w:rFonts w:ascii="Arial" w:hAnsi="Arial" w:cs="Arial"/>
                <w:b/>
                <w:bCs/>
              </w:rPr>
            </w:pPr>
            <w:r w:rsidRPr="00837BF1">
              <w:rPr>
                <w:rFonts w:ascii="Arial" w:hAnsi="Arial" w:cs="Arial"/>
                <w:b/>
                <w:bCs/>
              </w:rPr>
              <w:t>2.0</w:t>
            </w:r>
            <w:r w:rsidR="00966EE4" w:rsidRPr="00837BF1">
              <w:rPr>
                <w:rFonts w:ascii="Arial" w:hAnsi="Arial" w:cs="Arial"/>
                <w:b/>
                <w:bCs/>
              </w:rPr>
              <w:t>3</w:t>
            </w:r>
          </w:p>
          <w:p w14:paraId="446C6001" w14:textId="0C7C6C3F" w:rsidR="00120BA7" w:rsidRPr="00837BF1" w:rsidRDefault="00966EE4" w:rsidP="00520D32">
            <w:pPr>
              <w:jc w:val="center"/>
              <w:rPr>
                <w:rFonts w:ascii="Arial" w:hAnsi="Arial" w:cs="Arial"/>
                <w:b/>
                <w:bCs/>
              </w:rPr>
            </w:pPr>
            <w:r w:rsidRPr="00837BF1">
              <w:rPr>
                <w:rFonts w:ascii="Arial" w:hAnsi="Arial" w:cs="Arial"/>
                <w:b/>
                <w:bCs/>
              </w:rPr>
              <w:t>1.33</w:t>
            </w:r>
          </w:p>
          <w:p w14:paraId="0CABCED3" w14:textId="77777777" w:rsidR="00120BA7" w:rsidRPr="00837BF1" w:rsidRDefault="00120BA7" w:rsidP="00520D32">
            <w:pPr>
              <w:jc w:val="center"/>
              <w:rPr>
                <w:rFonts w:ascii="Arial" w:hAnsi="Arial" w:cs="Arial"/>
              </w:rPr>
            </w:pPr>
          </w:p>
          <w:p w14:paraId="362A1A91" w14:textId="03E801F8" w:rsidR="00120BA7" w:rsidRPr="00837BF1" w:rsidRDefault="00120BA7" w:rsidP="00520D32">
            <w:pPr>
              <w:jc w:val="center"/>
              <w:rPr>
                <w:rFonts w:ascii="Arial" w:hAnsi="Arial" w:cs="Arial"/>
              </w:rPr>
            </w:pPr>
            <w:r w:rsidRPr="00837BF1">
              <w:rPr>
                <w:rFonts w:ascii="Arial" w:hAnsi="Arial" w:cs="Arial"/>
              </w:rPr>
              <w:t>1.0</w:t>
            </w:r>
            <w:r w:rsidR="00963F15" w:rsidRPr="00837BF1">
              <w:rPr>
                <w:rFonts w:ascii="Arial" w:hAnsi="Arial" w:cs="Arial"/>
              </w:rPr>
              <w:t>2</w:t>
            </w:r>
          </w:p>
          <w:p w14:paraId="2C15144D" w14:textId="77777777" w:rsidR="00120BA7" w:rsidRPr="00837BF1" w:rsidRDefault="00963F15" w:rsidP="00520D32">
            <w:pPr>
              <w:jc w:val="center"/>
              <w:rPr>
                <w:rFonts w:ascii="Arial" w:hAnsi="Arial" w:cs="Arial"/>
              </w:rPr>
            </w:pPr>
            <w:r w:rsidRPr="00837BF1">
              <w:rPr>
                <w:rFonts w:ascii="Arial" w:hAnsi="Arial" w:cs="Arial"/>
              </w:rPr>
              <w:t>0.99</w:t>
            </w:r>
          </w:p>
          <w:p w14:paraId="584C1643" w14:textId="77777777" w:rsidR="00963F15" w:rsidRPr="00837BF1" w:rsidRDefault="00963F15" w:rsidP="00520D32">
            <w:pPr>
              <w:jc w:val="center"/>
              <w:rPr>
                <w:rFonts w:ascii="Arial" w:hAnsi="Arial" w:cs="Arial"/>
              </w:rPr>
            </w:pPr>
            <w:r w:rsidRPr="00837BF1">
              <w:rPr>
                <w:rFonts w:ascii="Arial" w:hAnsi="Arial" w:cs="Arial"/>
              </w:rPr>
              <w:t>1.00</w:t>
            </w:r>
          </w:p>
          <w:p w14:paraId="2A03DD12" w14:textId="77777777" w:rsidR="00963F15" w:rsidRPr="00837BF1" w:rsidRDefault="00963F15" w:rsidP="00520D32">
            <w:pPr>
              <w:jc w:val="center"/>
              <w:rPr>
                <w:rFonts w:ascii="Arial" w:hAnsi="Arial" w:cs="Arial"/>
              </w:rPr>
            </w:pPr>
            <w:r w:rsidRPr="00837BF1">
              <w:rPr>
                <w:rFonts w:ascii="Arial" w:hAnsi="Arial" w:cs="Arial"/>
              </w:rPr>
              <w:t>0.68</w:t>
            </w:r>
          </w:p>
          <w:p w14:paraId="4BCC12DA" w14:textId="6B7452A9" w:rsidR="00963F15" w:rsidRPr="00837BF1" w:rsidRDefault="00963F15" w:rsidP="00520D32">
            <w:pPr>
              <w:jc w:val="center"/>
              <w:rPr>
                <w:rFonts w:ascii="Arial" w:hAnsi="Arial" w:cs="Arial"/>
              </w:rPr>
            </w:pPr>
            <w:r w:rsidRPr="00837BF1">
              <w:rPr>
                <w:rFonts w:ascii="Arial" w:hAnsi="Arial" w:cs="Arial"/>
              </w:rPr>
              <w:t>1.55</w:t>
            </w:r>
          </w:p>
        </w:tc>
        <w:tc>
          <w:tcPr>
            <w:tcW w:w="1417" w:type="dxa"/>
          </w:tcPr>
          <w:p w14:paraId="21454AD3" w14:textId="77777777" w:rsidR="00120BA7" w:rsidRPr="00837BF1" w:rsidRDefault="00F9773D" w:rsidP="00520D32">
            <w:pPr>
              <w:jc w:val="center"/>
              <w:rPr>
                <w:rFonts w:ascii="Arial" w:hAnsi="Arial" w:cs="Arial"/>
              </w:rPr>
            </w:pPr>
            <w:r w:rsidRPr="00837BF1">
              <w:rPr>
                <w:rFonts w:ascii="Arial" w:hAnsi="Arial" w:cs="Arial"/>
              </w:rPr>
              <w:t>0.91, 1.70</w:t>
            </w:r>
          </w:p>
          <w:p w14:paraId="4077974D" w14:textId="77777777" w:rsidR="00F9773D" w:rsidRPr="00837BF1" w:rsidRDefault="00F9773D" w:rsidP="00520D32">
            <w:pPr>
              <w:jc w:val="center"/>
              <w:rPr>
                <w:rFonts w:ascii="Arial" w:hAnsi="Arial" w:cs="Arial"/>
              </w:rPr>
            </w:pPr>
            <w:r w:rsidRPr="00837BF1">
              <w:rPr>
                <w:rFonts w:ascii="Arial" w:hAnsi="Arial" w:cs="Arial"/>
              </w:rPr>
              <w:t>0.86, 1.22</w:t>
            </w:r>
          </w:p>
          <w:p w14:paraId="4F79A152" w14:textId="77777777" w:rsidR="00F9773D" w:rsidRPr="00837BF1" w:rsidRDefault="00F9773D" w:rsidP="00520D32">
            <w:pPr>
              <w:jc w:val="center"/>
              <w:rPr>
                <w:rFonts w:ascii="Arial" w:hAnsi="Arial" w:cs="Arial"/>
                <w:b/>
                <w:bCs/>
              </w:rPr>
            </w:pPr>
            <w:r w:rsidRPr="00837BF1">
              <w:rPr>
                <w:rFonts w:ascii="Arial" w:hAnsi="Arial" w:cs="Arial"/>
                <w:b/>
                <w:bCs/>
              </w:rPr>
              <w:t>1.11, 2.52</w:t>
            </w:r>
          </w:p>
          <w:p w14:paraId="40671D65" w14:textId="77777777" w:rsidR="00F9773D" w:rsidRPr="00837BF1" w:rsidRDefault="00F9773D" w:rsidP="00520D32">
            <w:pPr>
              <w:jc w:val="center"/>
              <w:rPr>
                <w:rFonts w:ascii="Arial" w:hAnsi="Arial" w:cs="Arial"/>
                <w:b/>
                <w:bCs/>
              </w:rPr>
            </w:pPr>
            <w:r w:rsidRPr="00837BF1">
              <w:rPr>
                <w:rFonts w:ascii="Arial" w:hAnsi="Arial" w:cs="Arial"/>
                <w:b/>
                <w:bCs/>
              </w:rPr>
              <w:t>2.34, 11.90</w:t>
            </w:r>
          </w:p>
          <w:p w14:paraId="1B13B168" w14:textId="77777777" w:rsidR="00F9773D" w:rsidRPr="00837BF1" w:rsidRDefault="00F9773D" w:rsidP="00520D32">
            <w:pPr>
              <w:jc w:val="center"/>
              <w:rPr>
                <w:rFonts w:ascii="Arial" w:hAnsi="Arial" w:cs="Arial"/>
                <w:b/>
                <w:bCs/>
              </w:rPr>
            </w:pPr>
            <w:r w:rsidRPr="00837BF1">
              <w:rPr>
                <w:rFonts w:ascii="Arial" w:hAnsi="Arial" w:cs="Arial"/>
                <w:b/>
                <w:bCs/>
              </w:rPr>
              <w:t>1.17, 2.52</w:t>
            </w:r>
          </w:p>
          <w:p w14:paraId="2B16531C" w14:textId="77777777" w:rsidR="00F9773D" w:rsidRPr="00837BF1" w:rsidRDefault="00F9773D" w:rsidP="00520D32">
            <w:pPr>
              <w:jc w:val="center"/>
              <w:rPr>
                <w:rFonts w:ascii="Arial" w:hAnsi="Arial" w:cs="Arial"/>
              </w:rPr>
            </w:pPr>
            <w:r w:rsidRPr="00837BF1">
              <w:rPr>
                <w:rFonts w:ascii="Arial" w:hAnsi="Arial" w:cs="Arial"/>
              </w:rPr>
              <w:t>0.88, 1.34</w:t>
            </w:r>
          </w:p>
          <w:p w14:paraId="30A49C00" w14:textId="77777777" w:rsidR="00F9773D" w:rsidRPr="00837BF1" w:rsidRDefault="00F9773D" w:rsidP="00520D32">
            <w:pPr>
              <w:jc w:val="center"/>
              <w:rPr>
                <w:rFonts w:ascii="Arial" w:hAnsi="Arial" w:cs="Arial"/>
              </w:rPr>
            </w:pPr>
          </w:p>
          <w:p w14:paraId="55B9DF85" w14:textId="77777777" w:rsidR="00EA38C8" w:rsidRPr="00837BF1" w:rsidRDefault="00EA38C8" w:rsidP="00250763">
            <w:pPr>
              <w:jc w:val="center"/>
              <w:rPr>
                <w:rFonts w:ascii="Arial" w:hAnsi="Arial" w:cs="Arial"/>
              </w:rPr>
            </w:pPr>
            <w:r w:rsidRPr="00837BF1">
              <w:rPr>
                <w:rFonts w:ascii="Arial" w:hAnsi="Arial" w:cs="Arial"/>
              </w:rPr>
              <w:t>0.70, 1.26</w:t>
            </w:r>
          </w:p>
          <w:p w14:paraId="0AC722C5" w14:textId="77777777" w:rsidR="00EA38C8" w:rsidRPr="00837BF1" w:rsidRDefault="00EA38C8" w:rsidP="00250763">
            <w:pPr>
              <w:jc w:val="center"/>
              <w:rPr>
                <w:rFonts w:ascii="Arial" w:hAnsi="Arial" w:cs="Arial"/>
                <w:b/>
                <w:bCs/>
              </w:rPr>
            </w:pPr>
            <w:r w:rsidRPr="00837BF1">
              <w:rPr>
                <w:rFonts w:ascii="Arial" w:hAnsi="Arial" w:cs="Arial"/>
                <w:b/>
                <w:bCs/>
              </w:rPr>
              <w:t>0.51, 0.92</w:t>
            </w:r>
          </w:p>
          <w:p w14:paraId="4F9C978B" w14:textId="77777777" w:rsidR="00EA38C8" w:rsidRPr="00837BF1" w:rsidRDefault="00EA38C8" w:rsidP="00250763">
            <w:pPr>
              <w:jc w:val="center"/>
              <w:rPr>
                <w:rFonts w:ascii="Arial" w:hAnsi="Arial" w:cs="Arial"/>
                <w:b/>
                <w:bCs/>
              </w:rPr>
            </w:pPr>
            <w:r w:rsidRPr="00837BF1">
              <w:rPr>
                <w:rFonts w:ascii="Arial" w:hAnsi="Arial" w:cs="Arial"/>
                <w:b/>
                <w:bCs/>
              </w:rPr>
              <w:t>0.37, 0.65</w:t>
            </w:r>
          </w:p>
          <w:p w14:paraId="42EA4053" w14:textId="77777777" w:rsidR="00EA38C8" w:rsidRPr="00837BF1" w:rsidRDefault="00EA38C8" w:rsidP="00250763">
            <w:pPr>
              <w:jc w:val="center"/>
              <w:rPr>
                <w:rFonts w:ascii="Arial" w:hAnsi="Arial" w:cs="Arial"/>
                <w:b/>
                <w:bCs/>
              </w:rPr>
            </w:pPr>
            <w:r w:rsidRPr="00837BF1">
              <w:rPr>
                <w:rFonts w:ascii="Arial" w:hAnsi="Arial" w:cs="Arial"/>
                <w:b/>
                <w:bCs/>
              </w:rPr>
              <w:t>0.37, 0.66</w:t>
            </w:r>
          </w:p>
          <w:p w14:paraId="031DE9B9" w14:textId="29EB4CB3" w:rsidR="00297442" w:rsidRPr="00837BF1" w:rsidRDefault="00297442" w:rsidP="00250763">
            <w:pPr>
              <w:jc w:val="center"/>
              <w:rPr>
                <w:rFonts w:ascii="Arial" w:hAnsi="Arial" w:cs="Arial"/>
                <w:b/>
                <w:bCs/>
              </w:rPr>
            </w:pPr>
            <w:r w:rsidRPr="00837BF1">
              <w:rPr>
                <w:rFonts w:ascii="Arial" w:hAnsi="Arial" w:cs="Arial"/>
                <w:b/>
                <w:bCs/>
              </w:rPr>
              <w:t>1.76, 2.34</w:t>
            </w:r>
          </w:p>
          <w:p w14:paraId="001AD491" w14:textId="77777777" w:rsidR="00297442" w:rsidRPr="00837BF1" w:rsidRDefault="00F94915" w:rsidP="00520D32">
            <w:pPr>
              <w:jc w:val="center"/>
              <w:rPr>
                <w:rFonts w:ascii="Arial" w:hAnsi="Arial" w:cs="Arial"/>
                <w:b/>
                <w:bCs/>
              </w:rPr>
            </w:pPr>
            <w:r w:rsidRPr="00837BF1">
              <w:rPr>
                <w:rFonts w:ascii="Arial" w:hAnsi="Arial" w:cs="Arial"/>
                <w:b/>
                <w:bCs/>
              </w:rPr>
              <w:t>1.13, 1.58</w:t>
            </w:r>
          </w:p>
          <w:p w14:paraId="2143C1F1" w14:textId="77777777" w:rsidR="00F94915" w:rsidRPr="00837BF1" w:rsidRDefault="00F94915" w:rsidP="00520D32">
            <w:pPr>
              <w:jc w:val="center"/>
              <w:rPr>
                <w:rFonts w:ascii="Arial" w:hAnsi="Arial" w:cs="Arial"/>
              </w:rPr>
            </w:pPr>
          </w:p>
          <w:p w14:paraId="72D1DCDD" w14:textId="77777777" w:rsidR="00F94915" w:rsidRPr="00837BF1" w:rsidRDefault="00262223" w:rsidP="00520D32">
            <w:pPr>
              <w:jc w:val="center"/>
              <w:rPr>
                <w:rFonts w:ascii="Arial" w:hAnsi="Arial" w:cs="Arial"/>
              </w:rPr>
            </w:pPr>
            <w:r w:rsidRPr="00837BF1">
              <w:rPr>
                <w:rFonts w:ascii="Arial" w:hAnsi="Arial" w:cs="Arial"/>
              </w:rPr>
              <w:t>0.73, 1.41</w:t>
            </w:r>
          </w:p>
          <w:p w14:paraId="4C86E854" w14:textId="77777777" w:rsidR="00262223" w:rsidRPr="00837BF1" w:rsidRDefault="00262223" w:rsidP="00520D32">
            <w:pPr>
              <w:jc w:val="center"/>
              <w:rPr>
                <w:rFonts w:ascii="Arial" w:hAnsi="Arial" w:cs="Arial"/>
              </w:rPr>
            </w:pPr>
            <w:r w:rsidRPr="00837BF1">
              <w:rPr>
                <w:rFonts w:ascii="Arial" w:hAnsi="Arial" w:cs="Arial"/>
              </w:rPr>
              <w:t>0.55, 1.79</w:t>
            </w:r>
          </w:p>
          <w:p w14:paraId="33C471AF" w14:textId="77777777" w:rsidR="00262223" w:rsidRPr="00837BF1" w:rsidRDefault="00262223" w:rsidP="00520D32">
            <w:pPr>
              <w:jc w:val="center"/>
              <w:rPr>
                <w:rFonts w:ascii="Arial" w:hAnsi="Arial" w:cs="Arial"/>
              </w:rPr>
            </w:pPr>
            <w:r w:rsidRPr="00837BF1">
              <w:rPr>
                <w:rFonts w:ascii="Arial" w:hAnsi="Arial" w:cs="Arial"/>
              </w:rPr>
              <w:t>0.71, 1.41</w:t>
            </w:r>
          </w:p>
          <w:p w14:paraId="2E37A4F2" w14:textId="77777777" w:rsidR="00262223" w:rsidRPr="00837BF1" w:rsidRDefault="00262223" w:rsidP="00520D32">
            <w:pPr>
              <w:jc w:val="center"/>
              <w:rPr>
                <w:rFonts w:ascii="Arial" w:hAnsi="Arial" w:cs="Arial"/>
              </w:rPr>
            </w:pPr>
            <w:r w:rsidRPr="00837BF1">
              <w:rPr>
                <w:rFonts w:ascii="Arial" w:hAnsi="Arial" w:cs="Arial"/>
              </w:rPr>
              <w:t>0.38, 1.22</w:t>
            </w:r>
          </w:p>
          <w:p w14:paraId="7C30369C" w14:textId="438E8E75" w:rsidR="00262223" w:rsidRPr="00837BF1" w:rsidRDefault="00262223" w:rsidP="00520D32">
            <w:pPr>
              <w:jc w:val="center"/>
              <w:rPr>
                <w:rFonts w:ascii="Arial" w:hAnsi="Arial" w:cs="Arial"/>
              </w:rPr>
            </w:pPr>
            <w:r w:rsidRPr="00837BF1">
              <w:rPr>
                <w:rFonts w:ascii="Arial" w:hAnsi="Arial" w:cs="Arial"/>
              </w:rPr>
              <w:t>0.51, 4.76</w:t>
            </w:r>
          </w:p>
        </w:tc>
        <w:tc>
          <w:tcPr>
            <w:tcW w:w="992" w:type="dxa"/>
          </w:tcPr>
          <w:p w14:paraId="127C4636" w14:textId="77777777" w:rsidR="00120BA7" w:rsidRPr="00837BF1" w:rsidRDefault="008E7D7B" w:rsidP="00520D32">
            <w:pPr>
              <w:jc w:val="center"/>
              <w:rPr>
                <w:rFonts w:ascii="Arial" w:hAnsi="Arial" w:cs="Arial"/>
              </w:rPr>
            </w:pPr>
            <w:r w:rsidRPr="00837BF1">
              <w:rPr>
                <w:rFonts w:ascii="Arial" w:hAnsi="Arial" w:cs="Arial"/>
              </w:rPr>
              <w:t>1.10</w:t>
            </w:r>
          </w:p>
          <w:p w14:paraId="327E2A78" w14:textId="77777777" w:rsidR="008E7D7B" w:rsidRPr="00837BF1" w:rsidRDefault="008E7D7B" w:rsidP="00520D32">
            <w:pPr>
              <w:jc w:val="center"/>
              <w:rPr>
                <w:rFonts w:ascii="Arial" w:hAnsi="Arial" w:cs="Arial"/>
              </w:rPr>
            </w:pPr>
            <w:r w:rsidRPr="00837BF1">
              <w:rPr>
                <w:rFonts w:ascii="Arial" w:hAnsi="Arial" w:cs="Arial"/>
              </w:rPr>
              <w:t>0.88</w:t>
            </w:r>
          </w:p>
          <w:p w14:paraId="52EEBC34" w14:textId="77777777" w:rsidR="008E7D7B" w:rsidRPr="00837BF1" w:rsidRDefault="008E7D7B" w:rsidP="00520D32">
            <w:pPr>
              <w:jc w:val="center"/>
              <w:rPr>
                <w:rFonts w:ascii="Arial" w:hAnsi="Arial" w:cs="Arial"/>
                <w:b/>
                <w:bCs/>
              </w:rPr>
            </w:pPr>
            <w:r w:rsidRPr="00837BF1">
              <w:rPr>
                <w:rFonts w:ascii="Arial" w:hAnsi="Arial" w:cs="Arial"/>
                <w:b/>
                <w:bCs/>
              </w:rPr>
              <w:t>1.56</w:t>
            </w:r>
          </w:p>
          <w:p w14:paraId="4A13EB5F" w14:textId="77777777" w:rsidR="008E7D7B" w:rsidRPr="00837BF1" w:rsidRDefault="008E7D7B" w:rsidP="00520D32">
            <w:pPr>
              <w:jc w:val="center"/>
              <w:rPr>
                <w:rFonts w:ascii="Arial" w:hAnsi="Arial" w:cs="Arial"/>
                <w:b/>
                <w:bCs/>
              </w:rPr>
            </w:pPr>
            <w:r w:rsidRPr="00837BF1">
              <w:rPr>
                <w:rFonts w:ascii="Arial" w:hAnsi="Arial" w:cs="Arial"/>
                <w:b/>
                <w:bCs/>
              </w:rPr>
              <w:t>3.52</w:t>
            </w:r>
          </w:p>
          <w:p w14:paraId="5B536126" w14:textId="77777777" w:rsidR="008E7D7B" w:rsidRPr="00837BF1" w:rsidRDefault="008E7D7B" w:rsidP="00520D32">
            <w:pPr>
              <w:jc w:val="center"/>
              <w:rPr>
                <w:rFonts w:ascii="Arial" w:hAnsi="Arial" w:cs="Arial"/>
                <w:b/>
                <w:bCs/>
              </w:rPr>
            </w:pPr>
            <w:r w:rsidRPr="00837BF1">
              <w:rPr>
                <w:rFonts w:ascii="Arial" w:hAnsi="Arial" w:cs="Arial"/>
                <w:b/>
                <w:bCs/>
              </w:rPr>
              <w:t>1.57</w:t>
            </w:r>
          </w:p>
          <w:p w14:paraId="29628FF2" w14:textId="77777777" w:rsidR="008E7D7B" w:rsidRPr="00837BF1" w:rsidRDefault="008E7D7B" w:rsidP="00520D32">
            <w:pPr>
              <w:jc w:val="center"/>
              <w:rPr>
                <w:rFonts w:ascii="Arial" w:hAnsi="Arial" w:cs="Arial"/>
              </w:rPr>
            </w:pPr>
            <w:r w:rsidRPr="00837BF1">
              <w:rPr>
                <w:rFonts w:ascii="Arial" w:hAnsi="Arial" w:cs="Arial"/>
              </w:rPr>
              <w:t>1.07</w:t>
            </w:r>
          </w:p>
          <w:p w14:paraId="3841D96D" w14:textId="77777777" w:rsidR="008E7D7B" w:rsidRPr="00837BF1" w:rsidRDefault="008E7D7B" w:rsidP="00520D32">
            <w:pPr>
              <w:jc w:val="center"/>
              <w:rPr>
                <w:rFonts w:ascii="Arial" w:hAnsi="Arial" w:cs="Arial"/>
              </w:rPr>
            </w:pPr>
          </w:p>
          <w:p w14:paraId="5975F440" w14:textId="249008C9" w:rsidR="00F3788E" w:rsidRPr="00837BF1" w:rsidRDefault="005901B5" w:rsidP="00250763">
            <w:pPr>
              <w:jc w:val="center"/>
              <w:rPr>
                <w:rFonts w:ascii="Arial" w:hAnsi="Arial" w:cs="Arial"/>
              </w:rPr>
            </w:pPr>
            <w:r w:rsidRPr="00837BF1">
              <w:rPr>
                <w:rFonts w:ascii="Arial" w:hAnsi="Arial" w:cs="Arial"/>
              </w:rPr>
              <w:t>0.82</w:t>
            </w:r>
          </w:p>
          <w:p w14:paraId="44ADD792" w14:textId="36588E8F" w:rsidR="005901B5" w:rsidRPr="00837BF1" w:rsidRDefault="005901B5" w:rsidP="00250763">
            <w:pPr>
              <w:jc w:val="center"/>
              <w:rPr>
                <w:rFonts w:ascii="Arial" w:hAnsi="Arial" w:cs="Arial"/>
                <w:b/>
                <w:bCs/>
              </w:rPr>
            </w:pPr>
            <w:r w:rsidRPr="00837BF1">
              <w:rPr>
                <w:rFonts w:ascii="Arial" w:hAnsi="Arial" w:cs="Arial"/>
                <w:b/>
                <w:bCs/>
              </w:rPr>
              <w:t>0.60</w:t>
            </w:r>
          </w:p>
          <w:p w14:paraId="7E61E6DA" w14:textId="01C490E6" w:rsidR="005901B5" w:rsidRPr="00837BF1" w:rsidRDefault="005901B5" w:rsidP="00250763">
            <w:pPr>
              <w:jc w:val="center"/>
              <w:rPr>
                <w:rFonts w:ascii="Arial" w:hAnsi="Arial" w:cs="Arial"/>
                <w:b/>
                <w:bCs/>
              </w:rPr>
            </w:pPr>
            <w:r w:rsidRPr="00837BF1">
              <w:rPr>
                <w:rFonts w:ascii="Arial" w:hAnsi="Arial" w:cs="Arial"/>
                <w:b/>
                <w:bCs/>
              </w:rPr>
              <w:t>0.40</w:t>
            </w:r>
          </w:p>
          <w:p w14:paraId="6CF77B07" w14:textId="7A9A3E6C" w:rsidR="005901B5" w:rsidRPr="00837BF1" w:rsidRDefault="005901B5" w:rsidP="00250763">
            <w:pPr>
              <w:jc w:val="center"/>
              <w:rPr>
                <w:rFonts w:ascii="Arial" w:hAnsi="Arial" w:cs="Arial"/>
                <w:b/>
                <w:bCs/>
              </w:rPr>
            </w:pPr>
            <w:r w:rsidRPr="00837BF1">
              <w:rPr>
                <w:rFonts w:ascii="Arial" w:hAnsi="Arial" w:cs="Arial"/>
                <w:b/>
                <w:bCs/>
              </w:rPr>
              <w:t>0.44</w:t>
            </w:r>
          </w:p>
          <w:p w14:paraId="29E8550D" w14:textId="4F6B7E1A" w:rsidR="00F3788E" w:rsidRPr="00837BF1" w:rsidRDefault="008E7D7B" w:rsidP="00250763">
            <w:pPr>
              <w:jc w:val="center"/>
              <w:rPr>
                <w:rFonts w:ascii="Arial" w:hAnsi="Arial" w:cs="Arial"/>
                <w:b/>
                <w:bCs/>
              </w:rPr>
            </w:pPr>
            <w:r w:rsidRPr="00837BF1">
              <w:rPr>
                <w:rFonts w:ascii="Arial" w:hAnsi="Arial" w:cs="Arial"/>
                <w:b/>
                <w:bCs/>
              </w:rPr>
              <w:t>2.13</w:t>
            </w:r>
          </w:p>
          <w:p w14:paraId="75FCD846" w14:textId="77777777" w:rsidR="008E7D7B" w:rsidRPr="00837BF1" w:rsidRDefault="008E7D7B" w:rsidP="00520D32">
            <w:pPr>
              <w:jc w:val="center"/>
              <w:rPr>
                <w:rFonts w:ascii="Arial" w:hAnsi="Arial" w:cs="Arial"/>
                <w:b/>
                <w:bCs/>
              </w:rPr>
            </w:pPr>
            <w:r w:rsidRPr="00837BF1">
              <w:rPr>
                <w:rFonts w:ascii="Arial" w:hAnsi="Arial" w:cs="Arial"/>
                <w:b/>
                <w:bCs/>
              </w:rPr>
              <w:t>1.24</w:t>
            </w:r>
          </w:p>
          <w:p w14:paraId="63C955BC" w14:textId="77777777" w:rsidR="00F3788E" w:rsidRPr="00837BF1" w:rsidRDefault="00F3788E" w:rsidP="00520D32">
            <w:pPr>
              <w:jc w:val="center"/>
              <w:rPr>
                <w:rFonts w:ascii="Arial" w:hAnsi="Arial" w:cs="Arial"/>
              </w:rPr>
            </w:pPr>
          </w:p>
          <w:p w14:paraId="46484AD8" w14:textId="77777777" w:rsidR="00F3788E" w:rsidRPr="00837BF1" w:rsidRDefault="00F3788E" w:rsidP="00520D32">
            <w:pPr>
              <w:jc w:val="center"/>
              <w:rPr>
                <w:rFonts w:ascii="Arial" w:hAnsi="Arial" w:cs="Arial"/>
              </w:rPr>
            </w:pPr>
            <w:r w:rsidRPr="00837BF1">
              <w:rPr>
                <w:rFonts w:ascii="Arial" w:hAnsi="Arial" w:cs="Arial"/>
              </w:rPr>
              <w:t>0.97</w:t>
            </w:r>
          </w:p>
          <w:p w14:paraId="415C2AC5" w14:textId="77777777" w:rsidR="00F3788E" w:rsidRPr="00837BF1" w:rsidRDefault="00F3788E" w:rsidP="00520D32">
            <w:pPr>
              <w:jc w:val="center"/>
              <w:rPr>
                <w:rFonts w:ascii="Arial" w:hAnsi="Arial" w:cs="Arial"/>
              </w:rPr>
            </w:pPr>
            <w:r w:rsidRPr="00837BF1">
              <w:rPr>
                <w:rFonts w:ascii="Arial" w:hAnsi="Arial" w:cs="Arial"/>
              </w:rPr>
              <w:t>0.90</w:t>
            </w:r>
          </w:p>
          <w:p w14:paraId="24735574" w14:textId="77777777" w:rsidR="00F3788E" w:rsidRPr="00837BF1" w:rsidRDefault="00F3788E" w:rsidP="00520D32">
            <w:pPr>
              <w:jc w:val="center"/>
              <w:rPr>
                <w:rFonts w:ascii="Arial" w:hAnsi="Arial" w:cs="Arial"/>
              </w:rPr>
            </w:pPr>
            <w:r w:rsidRPr="00837BF1">
              <w:rPr>
                <w:rFonts w:ascii="Arial" w:hAnsi="Arial" w:cs="Arial"/>
              </w:rPr>
              <w:t>0.92</w:t>
            </w:r>
          </w:p>
          <w:p w14:paraId="53A9A606" w14:textId="77777777" w:rsidR="00F3788E" w:rsidRPr="00837BF1" w:rsidRDefault="00F3788E" w:rsidP="00520D32">
            <w:pPr>
              <w:jc w:val="center"/>
              <w:rPr>
                <w:rFonts w:ascii="Arial" w:hAnsi="Arial" w:cs="Arial"/>
                <w:b/>
                <w:bCs/>
              </w:rPr>
            </w:pPr>
            <w:r w:rsidRPr="00837BF1">
              <w:rPr>
                <w:rFonts w:ascii="Arial" w:hAnsi="Arial" w:cs="Arial"/>
                <w:b/>
                <w:bCs/>
              </w:rPr>
              <w:t>0.51</w:t>
            </w:r>
          </w:p>
          <w:p w14:paraId="41EEDFCF" w14:textId="5A7A9CCE" w:rsidR="00F3788E" w:rsidRPr="00837BF1" w:rsidRDefault="00F3788E" w:rsidP="00F74ACB">
            <w:pPr>
              <w:jc w:val="center"/>
              <w:rPr>
                <w:rFonts w:ascii="Arial" w:hAnsi="Arial" w:cs="Arial"/>
              </w:rPr>
            </w:pPr>
            <w:r w:rsidRPr="00837BF1">
              <w:rPr>
                <w:rFonts w:ascii="Arial" w:hAnsi="Arial" w:cs="Arial"/>
              </w:rPr>
              <w:t>1.76</w:t>
            </w:r>
          </w:p>
          <w:p w14:paraId="3FA07000" w14:textId="77777777" w:rsidR="002026D2" w:rsidRPr="00837BF1" w:rsidRDefault="002026D2" w:rsidP="00520D32">
            <w:pPr>
              <w:jc w:val="center"/>
              <w:rPr>
                <w:rFonts w:ascii="Arial" w:hAnsi="Arial" w:cs="Arial"/>
              </w:rPr>
            </w:pPr>
            <w:r w:rsidRPr="00837BF1">
              <w:rPr>
                <w:rFonts w:ascii="Arial" w:hAnsi="Arial" w:cs="Arial"/>
              </w:rPr>
              <w:t>1.06</w:t>
            </w:r>
          </w:p>
          <w:p w14:paraId="4ECFAD9D" w14:textId="77777777" w:rsidR="002026D2" w:rsidRPr="00837BF1" w:rsidRDefault="002026D2" w:rsidP="00520D32">
            <w:pPr>
              <w:jc w:val="center"/>
              <w:rPr>
                <w:rFonts w:ascii="Arial" w:hAnsi="Arial" w:cs="Arial"/>
              </w:rPr>
            </w:pPr>
          </w:p>
          <w:p w14:paraId="59AAE959" w14:textId="77777777" w:rsidR="002026D2" w:rsidRPr="00837BF1" w:rsidRDefault="002026D2" w:rsidP="00520D32">
            <w:pPr>
              <w:jc w:val="center"/>
              <w:rPr>
                <w:rFonts w:ascii="Arial" w:hAnsi="Arial" w:cs="Arial"/>
                <w:b/>
                <w:bCs/>
              </w:rPr>
            </w:pPr>
            <w:r w:rsidRPr="00837BF1">
              <w:rPr>
                <w:rFonts w:ascii="Arial" w:hAnsi="Arial" w:cs="Arial"/>
                <w:b/>
                <w:bCs/>
              </w:rPr>
              <w:t>1.96</w:t>
            </w:r>
          </w:p>
          <w:p w14:paraId="31478F83" w14:textId="70DD6047" w:rsidR="002026D2" w:rsidRPr="00837BF1" w:rsidRDefault="002026D2" w:rsidP="00520D32">
            <w:pPr>
              <w:jc w:val="center"/>
              <w:rPr>
                <w:rFonts w:ascii="Arial" w:hAnsi="Arial" w:cs="Arial"/>
              </w:rPr>
            </w:pPr>
            <w:r w:rsidRPr="00837BF1">
              <w:rPr>
                <w:rFonts w:ascii="Arial" w:hAnsi="Arial" w:cs="Arial"/>
                <w:b/>
                <w:bCs/>
              </w:rPr>
              <w:t>5.67</w:t>
            </w:r>
          </w:p>
        </w:tc>
        <w:tc>
          <w:tcPr>
            <w:tcW w:w="1276" w:type="dxa"/>
          </w:tcPr>
          <w:p w14:paraId="74820CE7" w14:textId="77777777" w:rsidR="00120BA7" w:rsidRPr="00837BF1" w:rsidRDefault="002026D2" w:rsidP="00520D32">
            <w:pPr>
              <w:jc w:val="center"/>
              <w:rPr>
                <w:rFonts w:ascii="Arial" w:hAnsi="Arial" w:cs="Arial"/>
              </w:rPr>
            </w:pPr>
            <w:r w:rsidRPr="00837BF1">
              <w:rPr>
                <w:rFonts w:ascii="Arial" w:hAnsi="Arial" w:cs="Arial"/>
              </w:rPr>
              <w:t>0.80, 1.52</w:t>
            </w:r>
          </w:p>
          <w:p w14:paraId="3825B7BA" w14:textId="77777777" w:rsidR="002026D2" w:rsidRPr="00837BF1" w:rsidRDefault="002026D2" w:rsidP="00520D32">
            <w:pPr>
              <w:jc w:val="center"/>
              <w:rPr>
                <w:rFonts w:ascii="Arial" w:hAnsi="Arial" w:cs="Arial"/>
              </w:rPr>
            </w:pPr>
            <w:r w:rsidRPr="00837BF1">
              <w:rPr>
                <w:rFonts w:ascii="Arial" w:hAnsi="Arial" w:cs="Arial"/>
              </w:rPr>
              <w:t>0.73, 1.05</w:t>
            </w:r>
          </w:p>
          <w:p w14:paraId="23F34373" w14:textId="77777777" w:rsidR="002026D2" w:rsidRPr="00837BF1" w:rsidRDefault="002026D2" w:rsidP="00520D32">
            <w:pPr>
              <w:jc w:val="center"/>
              <w:rPr>
                <w:rFonts w:ascii="Arial" w:hAnsi="Arial" w:cs="Arial"/>
                <w:b/>
                <w:bCs/>
              </w:rPr>
            </w:pPr>
            <w:r w:rsidRPr="00837BF1">
              <w:rPr>
                <w:rFonts w:ascii="Arial" w:hAnsi="Arial" w:cs="Arial"/>
                <w:b/>
                <w:bCs/>
              </w:rPr>
              <w:t>1.03</w:t>
            </w:r>
            <w:r w:rsidR="00FD6322" w:rsidRPr="00837BF1">
              <w:rPr>
                <w:rFonts w:ascii="Arial" w:hAnsi="Arial" w:cs="Arial"/>
                <w:b/>
                <w:bCs/>
              </w:rPr>
              <w:t>, 2.35</w:t>
            </w:r>
          </w:p>
          <w:p w14:paraId="4F00564A" w14:textId="77777777" w:rsidR="00FD6322" w:rsidRPr="00837BF1" w:rsidRDefault="00FD6322" w:rsidP="00520D32">
            <w:pPr>
              <w:jc w:val="center"/>
              <w:rPr>
                <w:rFonts w:ascii="Arial" w:hAnsi="Arial" w:cs="Arial"/>
                <w:b/>
                <w:bCs/>
              </w:rPr>
            </w:pPr>
            <w:r w:rsidRPr="00837BF1">
              <w:rPr>
                <w:rFonts w:ascii="Arial" w:hAnsi="Arial" w:cs="Arial"/>
                <w:b/>
                <w:bCs/>
              </w:rPr>
              <w:t>1.56, 7.95</w:t>
            </w:r>
          </w:p>
          <w:p w14:paraId="3B2EA052" w14:textId="77777777" w:rsidR="00FD6322" w:rsidRPr="00837BF1" w:rsidRDefault="00FD6322" w:rsidP="00520D32">
            <w:pPr>
              <w:jc w:val="center"/>
              <w:rPr>
                <w:rFonts w:ascii="Arial" w:hAnsi="Arial" w:cs="Arial"/>
                <w:b/>
                <w:bCs/>
              </w:rPr>
            </w:pPr>
            <w:r w:rsidRPr="00837BF1">
              <w:rPr>
                <w:rFonts w:ascii="Arial" w:hAnsi="Arial" w:cs="Arial"/>
                <w:b/>
                <w:bCs/>
              </w:rPr>
              <w:t>1.06, 2.33</w:t>
            </w:r>
          </w:p>
          <w:p w14:paraId="0E698E0D" w14:textId="77777777" w:rsidR="00FD6322" w:rsidRPr="00837BF1" w:rsidRDefault="00FD6322" w:rsidP="00520D32">
            <w:pPr>
              <w:jc w:val="center"/>
              <w:rPr>
                <w:rFonts w:ascii="Arial" w:hAnsi="Arial" w:cs="Arial"/>
              </w:rPr>
            </w:pPr>
            <w:r w:rsidRPr="00837BF1">
              <w:rPr>
                <w:rFonts w:ascii="Arial" w:hAnsi="Arial" w:cs="Arial"/>
              </w:rPr>
              <w:t>0.86, 1.33</w:t>
            </w:r>
          </w:p>
          <w:p w14:paraId="4F22A6C8" w14:textId="77777777" w:rsidR="00FD6322" w:rsidRPr="00837BF1" w:rsidRDefault="00FD6322" w:rsidP="00520D32">
            <w:pPr>
              <w:jc w:val="center"/>
              <w:rPr>
                <w:rFonts w:ascii="Arial" w:hAnsi="Arial" w:cs="Arial"/>
              </w:rPr>
            </w:pPr>
          </w:p>
          <w:p w14:paraId="3E49212D" w14:textId="7D21D182" w:rsidR="00FD6322" w:rsidRPr="00837BF1" w:rsidRDefault="005901B5" w:rsidP="00250763">
            <w:pPr>
              <w:jc w:val="center"/>
              <w:rPr>
                <w:rFonts w:ascii="Arial" w:hAnsi="Arial" w:cs="Arial"/>
              </w:rPr>
            </w:pPr>
            <w:r w:rsidRPr="00837BF1">
              <w:rPr>
                <w:rFonts w:ascii="Arial" w:hAnsi="Arial" w:cs="Arial"/>
              </w:rPr>
              <w:t>0.61, 1.12</w:t>
            </w:r>
          </w:p>
          <w:p w14:paraId="156F64FC" w14:textId="4EB05188" w:rsidR="005901B5" w:rsidRPr="00837BF1" w:rsidRDefault="005901B5" w:rsidP="00250763">
            <w:pPr>
              <w:jc w:val="center"/>
              <w:rPr>
                <w:rFonts w:ascii="Arial" w:hAnsi="Arial" w:cs="Arial"/>
                <w:b/>
                <w:bCs/>
              </w:rPr>
            </w:pPr>
            <w:r w:rsidRPr="00837BF1">
              <w:rPr>
                <w:rFonts w:ascii="Arial" w:hAnsi="Arial" w:cs="Arial"/>
                <w:b/>
                <w:bCs/>
              </w:rPr>
              <w:t>0.44, 0.83</w:t>
            </w:r>
          </w:p>
          <w:p w14:paraId="5D34AB8A" w14:textId="1D079B93" w:rsidR="005901B5" w:rsidRPr="00837BF1" w:rsidRDefault="005901B5" w:rsidP="00250763">
            <w:pPr>
              <w:jc w:val="center"/>
              <w:rPr>
                <w:rFonts w:ascii="Arial" w:hAnsi="Arial" w:cs="Arial"/>
                <w:b/>
                <w:bCs/>
              </w:rPr>
            </w:pPr>
            <w:r w:rsidRPr="00837BF1">
              <w:rPr>
                <w:rFonts w:ascii="Arial" w:hAnsi="Arial" w:cs="Arial"/>
                <w:b/>
                <w:bCs/>
              </w:rPr>
              <w:t>0.30, 0.55</w:t>
            </w:r>
          </w:p>
          <w:p w14:paraId="47E80ADA" w14:textId="4978305B" w:rsidR="005901B5" w:rsidRPr="00837BF1" w:rsidRDefault="005901B5" w:rsidP="00250763">
            <w:pPr>
              <w:jc w:val="center"/>
              <w:rPr>
                <w:rFonts w:ascii="Arial" w:hAnsi="Arial" w:cs="Arial"/>
                <w:b/>
                <w:bCs/>
              </w:rPr>
            </w:pPr>
            <w:r w:rsidRPr="00837BF1">
              <w:rPr>
                <w:rFonts w:ascii="Arial" w:hAnsi="Arial" w:cs="Arial"/>
                <w:b/>
                <w:bCs/>
              </w:rPr>
              <w:t>0.32, 0.59</w:t>
            </w:r>
          </w:p>
          <w:p w14:paraId="62F9AABF" w14:textId="2A169DF7" w:rsidR="00FD6322" w:rsidRPr="00837BF1" w:rsidRDefault="00FD6322" w:rsidP="00250763">
            <w:pPr>
              <w:jc w:val="center"/>
              <w:rPr>
                <w:rFonts w:ascii="Arial" w:hAnsi="Arial" w:cs="Arial"/>
                <w:b/>
                <w:bCs/>
              </w:rPr>
            </w:pPr>
            <w:r w:rsidRPr="00837BF1">
              <w:rPr>
                <w:rFonts w:ascii="Arial" w:hAnsi="Arial" w:cs="Arial"/>
                <w:b/>
                <w:bCs/>
              </w:rPr>
              <w:t>1.85, 2.47</w:t>
            </w:r>
          </w:p>
          <w:p w14:paraId="6A042606" w14:textId="77777777" w:rsidR="00FD6322" w:rsidRPr="00837BF1" w:rsidRDefault="00FD6322" w:rsidP="00520D32">
            <w:pPr>
              <w:jc w:val="center"/>
              <w:rPr>
                <w:rFonts w:ascii="Arial" w:hAnsi="Arial" w:cs="Arial"/>
                <w:b/>
                <w:bCs/>
              </w:rPr>
            </w:pPr>
            <w:r w:rsidRPr="00837BF1">
              <w:rPr>
                <w:rFonts w:ascii="Arial" w:hAnsi="Arial" w:cs="Arial"/>
                <w:b/>
                <w:bCs/>
              </w:rPr>
              <w:t xml:space="preserve">1.03, </w:t>
            </w:r>
            <w:r w:rsidR="00E85D31" w:rsidRPr="00837BF1">
              <w:rPr>
                <w:rFonts w:ascii="Arial" w:hAnsi="Arial" w:cs="Arial"/>
                <w:b/>
                <w:bCs/>
              </w:rPr>
              <w:t>1.50</w:t>
            </w:r>
          </w:p>
          <w:p w14:paraId="25B02FE1" w14:textId="77777777" w:rsidR="00E85D31" w:rsidRPr="00837BF1" w:rsidRDefault="00E85D31" w:rsidP="00520D32">
            <w:pPr>
              <w:jc w:val="center"/>
              <w:rPr>
                <w:rFonts w:ascii="Arial" w:hAnsi="Arial" w:cs="Arial"/>
              </w:rPr>
            </w:pPr>
          </w:p>
          <w:p w14:paraId="1609E8B3" w14:textId="77777777" w:rsidR="00E85D31" w:rsidRPr="00837BF1" w:rsidRDefault="00E85D31" w:rsidP="00520D32">
            <w:pPr>
              <w:jc w:val="center"/>
              <w:rPr>
                <w:rFonts w:ascii="Arial" w:hAnsi="Arial" w:cs="Arial"/>
              </w:rPr>
            </w:pPr>
            <w:r w:rsidRPr="00837BF1">
              <w:rPr>
                <w:rFonts w:ascii="Arial" w:hAnsi="Arial" w:cs="Arial"/>
              </w:rPr>
              <w:t>0.70, 1.35</w:t>
            </w:r>
          </w:p>
          <w:p w14:paraId="01E68449" w14:textId="77777777" w:rsidR="00E85D31" w:rsidRPr="00837BF1" w:rsidRDefault="00E85D31" w:rsidP="00520D32">
            <w:pPr>
              <w:jc w:val="center"/>
              <w:rPr>
                <w:rFonts w:ascii="Arial" w:hAnsi="Arial" w:cs="Arial"/>
              </w:rPr>
            </w:pPr>
            <w:r w:rsidRPr="00837BF1">
              <w:rPr>
                <w:rFonts w:ascii="Arial" w:hAnsi="Arial" w:cs="Arial"/>
              </w:rPr>
              <w:t>0.49, 1.65</w:t>
            </w:r>
          </w:p>
          <w:p w14:paraId="25E9990D" w14:textId="77777777" w:rsidR="00E85D31" w:rsidRPr="00837BF1" w:rsidRDefault="00E85D31" w:rsidP="00520D32">
            <w:pPr>
              <w:jc w:val="center"/>
              <w:rPr>
                <w:rFonts w:ascii="Arial" w:hAnsi="Arial" w:cs="Arial"/>
              </w:rPr>
            </w:pPr>
            <w:r w:rsidRPr="00837BF1">
              <w:rPr>
                <w:rFonts w:ascii="Arial" w:hAnsi="Arial" w:cs="Arial"/>
              </w:rPr>
              <w:t>0.65, 1.31</w:t>
            </w:r>
          </w:p>
          <w:p w14:paraId="2618A6E7" w14:textId="77777777" w:rsidR="00E85D31" w:rsidRPr="00837BF1" w:rsidRDefault="00E85D31" w:rsidP="00520D32">
            <w:pPr>
              <w:jc w:val="center"/>
              <w:rPr>
                <w:rFonts w:ascii="Arial" w:hAnsi="Arial" w:cs="Arial"/>
                <w:b/>
                <w:bCs/>
              </w:rPr>
            </w:pPr>
            <w:r w:rsidRPr="00837BF1">
              <w:rPr>
                <w:rFonts w:ascii="Arial" w:hAnsi="Arial" w:cs="Arial"/>
                <w:b/>
                <w:bCs/>
              </w:rPr>
              <w:t>0.29, 0.90</w:t>
            </w:r>
          </w:p>
          <w:p w14:paraId="57C9AA99" w14:textId="7F111518" w:rsidR="00E85D31" w:rsidRPr="00837BF1" w:rsidRDefault="00E85D31" w:rsidP="00F74ACB">
            <w:pPr>
              <w:jc w:val="center"/>
              <w:rPr>
                <w:rFonts w:ascii="Arial" w:hAnsi="Arial" w:cs="Arial"/>
              </w:rPr>
            </w:pPr>
            <w:r w:rsidRPr="00837BF1">
              <w:rPr>
                <w:rFonts w:ascii="Arial" w:hAnsi="Arial" w:cs="Arial"/>
              </w:rPr>
              <w:t>0.58, 5.40</w:t>
            </w:r>
          </w:p>
          <w:p w14:paraId="64D871DA" w14:textId="77777777" w:rsidR="00E85D31" w:rsidRPr="00837BF1" w:rsidRDefault="00E85D31" w:rsidP="00520D32">
            <w:pPr>
              <w:jc w:val="center"/>
              <w:rPr>
                <w:rFonts w:ascii="Arial" w:hAnsi="Arial" w:cs="Arial"/>
              </w:rPr>
            </w:pPr>
            <w:r w:rsidRPr="00837BF1">
              <w:rPr>
                <w:rFonts w:ascii="Arial" w:hAnsi="Arial" w:cs="Arial"/>
              </w:rPr>
              <w:t>0.99, 1.14</w:t>
            </w:r>
          </w:p>
          <w:p w14:paraId="08AFA709" w14:textId="77777777" w:rsidR="00E85D31" w:rsidRPr="00837BF1" w:rsidRDefault="00E85D31" w:rsidP="00520D32">
            <w:pPr>
              <w:jc w:val="center"/>
              <w:rPr>
                <w:rFonts w:ascii="Arial" w:hAnsi="Arial" w:cs="Arial"/>
              </w:rPr>
            </w:pPr>
          </w:p>
          <w:p w14:paraId="1896E42F" w14:textId="77777777" w:rsidR="00E85D31" w:rsidRPr="00837BF1" w:rsidRDefault="00E85D31" w:rsidP="00520D32">
            <w:pPr>
              <w:jc w:val="center"/>
              <w:rPr>
                <w:rFonts w:ascii="Arial" w:hAnsi="Arial" w:cs="Arial"/>
                <w:b/>
                <w:bCs/>
              </w:rPr>
            </w:pPr>
            <w:r w:rsidRPr="00837BF1">
              <w:rPr>
                <w:rFonts w:ascii="Arial" w:hAnsi="Arial" w:cs="Arial"/>
                <w:b/>
                <w:bCs/>
              </w:rPr>
              <w:t>1.61, 2.38</w:t>
            </w:r>
          </w:p>
          <w:p w14:paraId="4F3F7E1B" w14:textId="2F032DFF" w:rsidR="00965D41" w:rsidRPr="00837BF1" w:rsidRDefault="00965D41" w:rsidP="00520D32">
            <w:pPr>
              <w:jc w:val="center"/>
              <w:rPr>
                <w:rFonts w:ascii="Arial" w:hAnsi="Arial" w:cs="Arial"/>
              </w:rPr>
            </w:pPr>
            <w:r w:rsidRPr="00837BF1">
              <w:rPr>
                <w:rFonts w:ascii="Arial" w:hAnsi="Arial" w:cs="Arial"/>
                <w:b/>
                <w:bCs/>
              </w:rPr>
              <w:t>4.01, 8.01</w:t>
            </w:r>
          </w:p>
        </w:tc>
        <w:tc>
          <w:tcPr>
            <w:tcW w:w="851" w:type="dxa"/>
          </w:tcPr>
          <w:p w14:paraId="059D61EC" w14:textId="77777777" w:rsidR="00120BA7" w:rsidRPr="00837BF1" w:rsidRDefault="00965D41" w:rsidP="00520D32">
            <w:pPr>
              <w:jc w:val="center"/>
              <w:rPr>
                <w:rFonts w:ascii="Arial" w:hAnsi="Arial" w:cs="Arial"/>
              </w:rPr>
            </w:pPr>
            <w:r w:rsidRPr="00837BF1">
              <w:rPr>
                <w:rFonts w:ascii="Arial" w:hAnsi="Arial" w:cs="Arial"/>
              </w:rPr>
              <w:t>1.05</w:t>
            </w:r>
          </w:p>
          <w:p w14:paraId="08BB8987" w14:textId="77777777" w:rsidR="00965D41" w:rsidRPr="00837BF1" w:rsidRDefault="00965D41" w:rsidP="00520D32">
            <w:pPr>
              <w:jc w:val="center"/>
              <w:rPr>
                <w:rFonts w:ascii="Arial" w:hAnsi="Arial" w:cs="Arial"/>
              </w:rPr>
            </w:pPr>
            <w:r w:rsidRPr="00837BF1">
              <w:rPr>
                <w:rFonts w:ascii="Arial" w:hAnsi="Arial" w:cs="Arial"/>
              </w:rPr>
              <w:t>0.91</w:t>
            </w:r>
          </w:p>
          <w:p w14:paraId="5BEFDE5E" w14:textId="77777777" w:rsidR="00965D41" w:rsidRPr="00837BF1" w:rsidRDefault="00965D41" w:rsidP="00520D32">
            <w:pPr>
              <w:jc w:val="center"/>
              <w:rPr>
                <w:rFonts w:ascii="Arial" w:hAnsi="Arial" w:cs="Arial"/>
              </w:rPr>
            </w:pPr>
            <w:r w:rsidRPr="00837BF1">
              <w:rPr>
                <w:rFonts w:ascii="Arial" w:hAnsi="Arial" w:cs="Arial"/>
              </w:rPr>
              <w:t>1.44</w:t>
            </w:r>
          </w:p>
          <w:p w14:paraId="24DB41D7" w14:textId="77777777" w:rsidR="00965D41" w:rsidRPr="00837BF1" w:rsidRDefault="00965D41" w:rsidP="00520D32">
            <w:pPr>
              <w:jc w:val="center"/>
              <w:rPr>
                <w:rFonts w:ascii="Arial" w:hAnsi="Arial" w:cs="Arial"/>
                <w:b/>
                <w:bCs/>
              </w:rPr>
            </w:pPr>
            <w:r w:rsidRPr="00837BF1">
              <w:rPr>
                <w:rFonts w:ascii="Arial" w:hAnsi="Arial" w:cs="Arial"/>
                <w:b/>
                <w:bCs/>
              </w:rPr>
              <w:t>3.60</w:t>
            </w:r>
          </w:p>
          <w:p w14:paraId="4BFF0027" w14:textId="77777777" w:rsidR="00965D41" w:rsidRPr="00837BF1" w:rsidRDefault="00965D41" w:rsidP="00520D32">
            <w:pPr>
              <w:jc w:val="center"/>
              <w:rPr>
                <w:rFonts w:ascii="Arial" w:hAnsi="Arial" w:cs="Arial"/>
              </w:rPr>
            </w:pPr>
            <w:r w:rsidRPr="00837BF1">
              <w:rPr>
                <w:rFonts w:ascii="Arial" w:hAnsi="Arial" w:cs="Arial"/>
              </w:rPr>
              <w:t>1.44</w:t>
            </w:r>
          </w:p>
          <w:p w14:paraId="7E5CDE3A" w14:textId="77777777" w:rsidR="00965D41" w:rsidRPr="00837BF1" w:rsidRDefault="00965D41" w:rsidP="00520D32">
            <w:pPr>
              <w:jc w:val="center"/>
              <w:rPr>
                <w:rFonts w:ascii="Arial" w:hAnsi="Arial" w:cs="Arial"/>
              </w:rPr>
            </w:pPr>
            <w:r w:rsidRPr="00837BF1">
              <w:rPr>
                <w:rFonts w:ascii="Arial" w:hAnsi="Arial" w:cs="Arial"/>
              </w:rPr>
              <w:t>1.06</w:t>
            </w:r>
          </w:p>
          <w:p w14:paraId="150033BB" w14:textId="77777777" w:rsidR="00965D41" w:rsidRPr="00837BF1" w:rsidRDefault="00965D41" w:rsidP="00520D32">
            <w:pPr>
              <w:jc w:val="center"/>
              <w:rPr>
                <w:rFonts w:ascii="Arial" w:hAnsi="Arial" w:cs="Arial"/>
              </w:rPr>
            </w:pPr>
          </w:p>
          <w:p w14:paraId="127751C6" w14:textId="27173FEC" w:rsidR="00965D41" w:rsidRPr="00837BF1" w:rsidRDefault="00F65100" w:rsidP="00250763">
            <w:pPr>
              <w:jc w:val="center"/>
              <w:rPr>
                <w:rFonts w:ascii="Arial" w:hAnsi="Arial" w:cs="Arial"/>
              </w:rPr>
            </w:pPr>
            <w:r w:rsidRPr="00837BF1">
              <w:rPr>
                <w:rFonts w:ascii="Arial" w:hAnsi="Arial" w:cs="Arial"/>
              </w:rPr>
              <w:t>0.87</w:t>
            </w:r>
          </w:p>
          <w:p w14:paraId="41FC0452" w14:textId="7B8AE3E1" w:rsidR="00F65100" w:rsidRPr="00837BF1" w:rsidRDefault="00F65100" w:rsidP="00250763">
            <w:pPr>
              <w:jc w:val="center"/>
              <w:rPr>
                <w:rFonts w:ascii="Arial" w:hAnsi="Arial" w:cs="Arial"/>
                <w:b/>
                <w:bCs/>
              </w:rPr>
            </w:pPr>
            <w:r w:rsidRPr="00837BF1">
              <w:rPr>
                <w:rFonts w:ascii="Arial" w:hAnsi="Arial" w:cs="Arial"/>
                <w:b/>
                <w:bCs/>
              </w:rPr>
              <w:t>0.64</w:t>
            </w:r>
          </w:p>
          <w:p w14:paraId="1A5522BB" w14:textId="4C62CC5E" w:rsidR="00F65100" w:rsidRPr="00837BF1" w:rsidRDefault="00F65100" w:rsidP="00250763">
            <w:pPr>
              <w:jc w:val="center"/>
              <w:rPr>
                <w:rFonts w:ascii="Arial" w:hAnsi="Arial" w:cs="Arial"/>
                <w:b/>
                <w:bCs/>
              </w:rPr>
            </w:pPr>
            <w:r w:rsidRPr="00837BF1">
              <w:rPr>
                <w:rFonts w:ascii="Arial" w:hAnsi="Arial" w:cs="Arial"/>
                <w:b/>
                <w:bCs/>
              </w:rPr>
              <w:t>0.43</w:t>
            </w:r>
          </w:p>
          <w:p w14:paraId="0547149C" w14:textId="3588A2AF" w:rsidR="00F65100" w:rsidRPr="00837BF1" w:rsidRDefault="00F65100" w:rsidP="00250763">
            <w:pPr>
              <w:jc w:val="center"/>
              <w:rPr>
                <w:rFonts w:ascii="Arial" w:hAnsi="Arial" w:cs="Arial"/>
                <w:b/>
                <w:bCs/>
              </w:rPr>
            </w:pPr>
            <w:r w:rsidRPr="00837BF1">
              <w:rPr>
                <w:rFonts w:ascii="Arial" w:hAnsi="Arial" w:cs="Arial"/>
                <w:b/>
                <w:bCs/>
              </w:rPr>
              <w:t>0.46</w:t>
            </w:r>
          </w:p>
          <w:p w14:paraId="39C844F3" w14:textId="24BA4F48" w:rsidR="00965D41" w:rsidRPr="00837BF1" w:rsidRDefault="00965D41" w:rsidP="00250763">
            <w:pPr>
              <w:jc w:val="center"/>
              <w:rPr>
                <w:rFonts w:ascii="Arial" w:hAnsi="Arial" w:cs="Arial"/>
                <w:b/>
                <w:bCs/>
              </w:rPr>
            </w:pPr>
            <w:r w:rsidRPr="00837BF1">
              <w:rPr>
                <w:rFonts w:ascii="Arial" w:hAnsi="Arial" w:cs="Arial"/>
                <w:b/>
                <w:bCs/>
              </w:rPr>
              <w:t>2.04</w:t>
            </w:r>
          </w:p>
          <w:p w14:paraId="119FBED8" w14:textId="5309F438" w:rsidR="00965D41" w:rsidRPr="00837BF1" w:rsidRDefault="00965D41" w:rsidP="00520D32">
            <w:pPr>
              <w:jc w:val="center"/>
              <w:rPr>
                <w:rFonts w:ascii="Arial" w:hAnsi="Arial" w:cs="Arial"/>
              </w:rPr>
            </w:pPr>
            <w:r w:rsidRPr="00837BF1">
              <w:rPr>
                <w:rFonts w:ascii="Arial" w:hAnsi="Arial" w:cs="Arial"/>
              </w:rPr>
              <w:t>1.21</w:t>
            </w:r>
          </w:p>
          <w:p w14:paraId="3FEAEF4C" w14:textId="32EB001D" w:rsidR="00965D41" w:rsidRPr="00837BF1" w:rsidRDefault="00965D41" w:rsidP="00520D32">
            <w:pPr>
              <w:jc w:val="center"/>
              <w:rPr>
                <w:rFonts w:ascii="Arial" w:hAnsi="Arial" w:cs="Arial"/>
              </w:rPr>
            </w:pPr>
          </w:p>
          <w:p w14:paraId="7C7039A4" w14:textId="3C567862" w:rsidR="00965D41" w:rsidRPr="00837BF1" w:rsidRDefault="001553B5" w:rsidP="00520D32">
            <w:pPr>
              <w:jc w:val="center"/>
              <w:rPr>
                <w:rFonts w:ascii="Arial" w:hAnsi="Arial" w:cs="Arial"/>
              </w:rPr>
            </w:pPr>
            <w:r w:rsidRPr="00837BF1">
              <w:rPr>
                <w:rFonts w:ascii="Arial" w:hAnsi="Arial" w:cs="Arial"/>
              </w:rPr>
              <w:t>1.05</w:t>
            </w:r>
          </w:p>
          <w:p w14:paraId="5C55257C" w14:textId="0E1B0392" w:rsidR="001553B5" w:rsidRPr="00837BF1" w:rsidRDefault="001553B5" w:rsidP="00520D32">
            <w:pPr>
              <w:jc w:val="center"/>
              <w:rPr>
                <w:rFonts w:ascii="Arial" w:hAnsi="Arial" w:cs="Arial"/>
              </w:rPr>
            </w:pPr>
            <w:r w:rsidRPr="00837BF1">
              <w:rPr>
                <w:rFonts w:ascii="Arial" w:hAnsi="Arial" w:cs="Arial"/>
              </w:rPr>
              <w:t>0.86</w:t>
            </w:r>
          </w:p>
          <w:p w14:paraId="3D64A49F" w14:textId="347BA2D1" w:rsidR="001553B5" w:rsidRPr="00837BF1" w:rsidRDefault="001553B5" w:rsidP="00520D32">
            <w:pPr>
              <w:jc w:val="center"/>
              <w:rPr>
                <w:rFonts w:ascii="Arial" w:hAnsi="Arial" w:cs="Arial"/>
              </w:rPr>
            </w:pPr>
            <w:r w:rsidRPr="00837BF1">
              <w:rPr>
                <w:rFonts w:ascii="Arial" w:hAnsi="Arial" w:cs="Arial"/>
              </w:rPr>
              <w:t>0.96</w:t>
            </w:r>
          </w:p>
          <w:p w14:paraId="0621FA14" w14:textId="17FE7621" w:rsidR="001553B5" w:rsidRPr="00837BF1" w:rsidRDefault="001553B5" w:rsidP="00520D32">
            <w:pPr>
              <w:jc w:val="center"/>
              <w:rPr>
                <w:rFonts w:ascii="Arial" w:hAnsi="Arial" w:cs="Arial"/>
                <w:b/>
                <w:bCs/>
              </w:rPr>
            </w:pPr>
            <w:r w:rsidRPr="00837BF1">
              <w:rPr>
                <w:rFonts w:ascii="Arial" w:hAnsi="Arial" w:cs="Arial"/>
                <w:b/>
                <w:bCs/>
              </w:rPr>
              <w:t>0.51</w:t>
            </w:r>
          </w:p>
          <w:p w14:paraId="14250A07" w14:textId="650820C1" w:rsidR="001553B5" w:rsidRPr="00837BF1" w:rsidRDefault="001553B5" w:rsidP="00F74ACB">
            <w:pPr>
              <w:jc w:val="center"/>
              <w:rPr>
                <w:rFonts w:ascii="Arial" w:hAnsi="Arial" w:cs="Arial"/>
              </w:rPr>
            </w:pPr>
            <w:r w:rsidRPr="00837BF1">
              <w:rPr>
                <w:rFonts w:ascii="Arial" w:hAnsi="Arial" w:cs="Arial"/>
              </w:rPr>
              <w:t>1.70</w:t>
            </w:r>
          </w:p>
          <w:p w14:paraId="196AA6D6" w14:textId="2C145F09" w:rsidR="001553B5" w:rsidRPr="00837BF1" w:rsidRDefault="001553B5" w:rsidP="00520D32">
            <w:pPr>
              <w:jc w:val="center"/>
              <w:rPr>
                <w:rFonts w:ascii="Arial" w:hAnsi="Arial" w:cs="Arial"/>
                <w:b/>
                <w:bCs/>
              </w:rPr>
            </w:pPr>
            <w:r w:rsidRPr="00837BF1">
              <w:rPr>
                <w:rFonts w:ascii="Arial" w:hAnsi="Arial" w:cs="Arial"/>
                <w:b/>
                <w:bCs/>
              </w:rPr>
              <w:t>1.08</w:t>
            </w:r>
          </w:p>
          <w:p w14:paraId="248E99DD" w14:textId="0DB1729A" w:rsidR="001553B5" w:rsidRPr="00837BF1" w:rsidRDefault="001553B5" w:rsidP="00520D32">
            <w:pPr>
              <w:jc w:val="center"/>
              <w:rPr>
                <w:rFonts w:ascii="Arial" w:hAnsi="Arial" w:cs="Arial"/>
                <w:b/>
                <w:bCs/>
              </w:rPr>
            </w:pPr>
          </w:p>
          <w:p w14:paraId="6B864413" w14:textId="670E69E5" w:rsidR="001553B5" w:rsidRPr="00837BF1" w:rsidRDefault="001553B5" w:rsidP="00520D32">
            <w:pPr>
              <w:jc w:val="center"/>
              <w:rPr>
                <w:rFonts w:ascii="Arial" w:hAnsi="Arial" w:cs="Arial"/>
                <w:b/>
                <w:bCs/>
              </w:rPr>
            </w:pPr>
            <w:r w:rsidRPr="00837BF1">
              <w:rPr>
                <w:rFonts w:ascii="Arial" w:hAnsi="Arial" w:cs="Arial"/>
                <w:b/>
                <w:bCs/>
              </w:rPr>
              <w:t>1.88</w:t>
            </w:r>
          </w:p>
          <w:p w14:paraId="52826CCC" w14:textId="03B87AA1" w:rsidR="001553B5" w:rsidRPr="00837BF1" w:rsidRDefault="001553B5" w:rsidP="002C398E">
            <w:pPr>
              <w:jc w:val="center"/>
              <w:rPr>
                <w:rFonts w:ascii="Arial" w:hAnsi="Arial" w:cs="Arial"/>
                <w:b/>
                <w:bCs/>
              </w:rPr>
            </w:pPr>
            <w:r w:rsidRPr="00837BF1">
              <w:rPr>
                <w:rFonts w:ascii="Arial" w:hAnsi="Arial" w:cs="Arial"/>
                <w:b/>
                <w:bCs/>
              </w:rPr>
              <w:t>4.96</w:t>
            </w:r>
          </w:p>
          <w:p w14:paraId="2C9A6AC8" w14:textId="7EB7A283" w:rsidR="00965D41" w:rsidRPr="00837BF1" w:rsidRDefault="00B45777" w:rsidP="00B45777">
            <w:pPr>
              <w:jc w:val="center"/>
              <w:rPr>
                <w:rFonts w:ascii="Arial" w:hAnsi="Arial" w:cs="Arial"/>
              </w:rPr>
            </w:pPr>
            <w:r w:rsidRPr="00837BF1">
              <w:rPr>
                <w:rFonts w:ascii="Arial" w:hAnsi="Arial" w:cs="Arial"/>
                <w:b/>
                <w:bCs/>
              </w:rPr>
              <w:t>2.81</w:t>
            </w:r>
          </w:p>
        </w:tc>
        <w:tc>
          <w:tcPr>
            <w:tcW w:w="1417" w:type="dxa"/>
          </w:tcPr>
          <w:p w14:paraId="57BB0D7A" w14:textId="77777777" w:rsidR="00120BA7" w:rsidRPr="00837BF1" w:rsidRDefault="00B45777" w:rsidP="00520D32">
            <w:pPr>
              <w:jc w:val="center"/>
              <w:rPr>
                <w:rFonts w:ascii="Arial" w:hAnsi="Arial" w:cs="Arial"/>
              </w:rPr>
            </w:pPr>
            <w:r w:rsidRPr="00837BF1">
              <w:rPr>
                <w:rFonts w:ascii="Arial" w:hAnsi="Arial" w:cs="Arial"/>
              </w:rPr>
              <w:t>0.76, 1.46</w:t>
            </w:r>
          </w:p>
          <w:p w14:paraId="18BE5ED5" w14:textId="77777777" w:rsidR="00B45777" w:rsidRPr="00837BF1" w:rsidRDefault="00B45777" w:rsidP="00520D32">
            <w:pPr>
              <w:jc w:val="center"/>
              <w:rPr>
                <w:rFonts w:ascii="Arial" w:hAnsi="Arial" w:cs="Arial"/>
              </w:rPr>
            </w:pPr>
            <w:r w:rsidRPr="00837BF1">
              <w:rPr>
                <w:rFonts w:ascii="Arial" w:hAnsi="Arial" w:cs="Arial"/>
              </w:rPr>
              <w:t>0.76, 1.09</w:t>
            </w:r>
          </w:p>
          <w:p w14:paraId="2FD51E97" w14:textId="77777777" w:rsidR="00B45777" w:rsidRPr="00837BF1" w:rsidRDefault="00B45777" w:rsidP="00520D32">
            <w:pPr>
              <w:jc w:val="center"/>
              <w:rPr>
                <w:rFonts w:ascii="Arial" w:hAnsi="Arial" w:cs="Arial"/>
              </w:rPr>
            </w:pPr>
            <w:r w:rsidRPr="00837BF1">
              <w:rPr>
                <w:rFonts w:ascii="Arial" w:hAnsi="Arial" w:cs="Arial"/>
              </w:rPr>
              <w:t>0.93, 2.24</w:t>
            </w:r>
          </w:p>
          <w:p w14:paraId="571161BD" w14:textId="77777777" w:rsidR="00B45777" w:rsidRPr="00837BF1" w:rsidRDefault="00B45777" w:rsidP="00520D32">
            <w:pPr>
              <w:jc w:val="center"/>
              <w:rPr>
                <w:rFonts w:ascii="Arial" w:hAnsi="Arial" w:cs="Arial"/>
                <w:b/>
                <w:bCs/>
              </w:rPr>
            </w:pPr>
            <w:r w:rsidRPr="00837BF1">
              <w:rPr>
                <w:rFonts w:ascii="Arial" w:hAnsi="Arial" w:cs="Arial"/>
                <w:b/>
                <w:bCs/>
              </w:rPr>
              <w:t>1.55, 8.37</w:t>
            </w:r>
          </w:p>
          <w:p w14:paraId="35C1BE56" w14:textId="77777777" w:rsidR="00657F5E" w:rsidRPr="00837BF1" w:rsidRDefault="00657F5E" w:rsidP="00520D32">
            <w:pPr>
              <w:jc w:val="center"/>
              <w:rPr>
                <w:rFonts w:ascii="Arial" w:hAnsi="Arial" w:cs="Arial"/>
              </w:rPr>
            </w:pPr>
            <w:r w:rsidRPr="00837BF1">
              <w:rPr>
                <w:rFonts w:ascii="Arial" w:hAnsi="Arial" w:cs="Arial"/>
              </w:rPr>
              <w:t>0.94, 2.19</w:t>
            </w:r>
          </w:p>
          <w:p w14:paraId="6C567319" w14:textId="77777777" w:rsidR="00657F5E" w:rsidRPr="00837BF1" w:rsidRDefault="00657F5E" w:rsidP="00520D32">
            <w:pPr>
              <w:jc w:val="center"/>
              <w:rPr>
                <w:rFonts w:ascii="Arial" w:hAnsi="Arial" w:cs="Arial"/>
              </w:rPr>
            </w:pPr>
            <w:r w:rsidRPr="00837BF1">
              <w:rPr>
                <w:rFonts w:ascii="Arial" w:hAnsi="Arial" w:cs="Arial"/>
              </w:rPr>
              <w:t>0.85, 1.33</w:t>
            </w:r>
          </w:p>
          <w:p w14:paraId="1B1DBDFA" w14:textId="77777777" w:rsidR="00657F5E" w:rsidRPr="00837BF1" w:rsidRDefault="00657F5E" w:rsidP="00520D32">
            <w:pPr>
              <w:jc w:val="center"/>
              <w:rPr>
                <w:rFonts w:ascii="Arial" w:hAnsi="Arial" w:cs="Arial"/>
              </w:rPr>
            </w:pPr>
          </w:p>
          <w:p w14:paraId="2487DE69" w14:textId="5D684F18" w:rsidR="00657F5E" w:rsidRPr="00837BF1" w:rsidRDefault="0056443D" w:rsidP="00250763">
            <w:pPr>
              <w:jc w:val="center"/>
              <w:rPr>
                <w:rFonts w:ascii="Arial" w:hAnsi="Arial" w:cs="Arial"/>
              </w:rPr>
            </w:pPr>
            <w:r w:rsidRPr="00837BF1">
              <w:rPr>
                <w:rFonts w:ascii="Arial" w:hAnsi="Arial" w:cs="Arial"/>
              </w:rPr>
              <w:t>0.64, 1.18</w:t>
            </w:r>
          </w:p>
          <w:p w14:paraId="05AF25A3" w14:textId="56D3CF8A" w:rsidR="0056443D" w:rsidRPr="00837BF1" w:rsidRDefault="0056443D" w:rsidP="00250763">
            <w:pPr>
              <w:jc w:val="center"/>
              <w:rPr>
                <w:rFonts w:ascii="Arial" w:hAnsi="Arial" w:cs="Arial"/>
                <w:b/>
                <w:bCs/>
              </w:rPr>
            </w:pPr>
            <w:r w:rsidRPr="00837BF1">
              <w:rPr>
                <w:rFonts w:ascii="Arial" w:hAnsi="Arial" w:cs="Arial"/>
                <w:b/>
                <w:bCs/>
              </w:rPr>
              <w:t>0.47, 0.87</w:t>
            </w:r>
          </w:p>
          <w:p w14:paraId="16CDB73A" w14:textId="2AC5C4D9" w:rsidR="0056443D" w:rsidRPr="00837BF1" w:rsidRDefault="0056443D" w:rsidP="00250763">
            <w:pPr>
              <w:jc w:val="center"/>
              <w:rPr>
                <w:rFonts w:ascii="Arial" w:hAnsi="Arial" w:cs="Arial"/>
                <w:b/>
                <w:bCs/>
              </w:rPr>
            </w:pPr>
            <w:r w:rsidRPr="00837BF1">
              <w:rPr>
                <w:rFonts w:ascii="Arial" w:hAnsi="Arial" w:cs="Arial"/>
                <w:b/>
                <w:bCs/>
              </w:rPr>
              <w:t>0.32, 0.58</w:t>
            </w:r>
          </w:p>
          <w:p w14:paraId="001D7EAB" w14:textId="71AAEA27" w:rsidR="0056443D" w:rsidRPr="00837BF1" w:rsidRDefault="0056443D" w:rsidP="00250763">
            <w:pPr>
              <w:jc w:val="center"/>
              <w:rPr>
                <w:rFonts w:ascii="Arial" w:hAnsi="Arial" w:cs="Arial"/>
                <w:b/>
                <w:bCs/>
              </w:rPr>
            </w:pPr>
            <w:r w:rsidRPr="00837BF1">
              <w:rPr>
                <w:rFonts w:ascii="Arial" w:hAnsi="Arial" w:cs="Arial"/>
                <w:b/>
                <w:bCs/>
              </w:rPr>
              <w:t>0.34, 0.63</w:t>
            </w:r>
          </w:p>
          <w:p w14:paraId="11111304" w14:textId="0BC83FF0" w:rsidR="00510FE8" w:rsidRPr="00837BF1" w:rsidRDefault="00510FE8" w:rsidP="00250763">
            <w:pPr>
              <w:jc w:val="center"/>
              <w:rPr>
                <w:rFonts w:ascii="Arial" w:hAnsi="Arial" w:cs="Arial"/>
                <w:b/>
                <w:bCs/>
              </w:rPr>
            </w:pPr>
            <w:r w:rsidRPr="00837BF1">
              <w:rPr>
                <w:rFonts w:ascii="Arial" w:hAnsi="Arial" w:cs="Arial"/>
                <w:b/>
                <w:bCs/>
              </w:rPr>
              <w:t>1.76, 2.36</w:t>
            </w:r>
          </w:p>
          <w:p w14:paraId="15401067" w14:textId="18192BD6" w:rsidR="00510FE8" w:rsidRPr="00837BF1" w:rsidRDefault="003461CD" w:rsidP="00520D32">
            <w:pPr>
              <w:jc w:val="center"/>
              <w:rPr>
                <w:rFonts w:ascii="Arial" w:hAnsi="Arial" w:cs="Arial"/>
              </w:rPr>
            </w:pPr>
            <w:r w:rsidRPr="00837BF1">
              <w:rPr>
                <w:rFonts w:ascii="Arial" w:hAnsi="Arial" w:cs="Arial"/>
              </w:rPr>
              <w:t>1.00</w:t>
            </w:r>
            <w:r w:rsidR="00510FE8" w:rsidRPr="00837BF1">
              <w:rPr>
                <w:rFonts w:ascii="Arial" w:hAnsi="Arial" w:cs="Arial"/>
              </w:rPr>
              <w:t>, 1.46</w:t>
            </w:r>
          </w:p>
          <w:p w14:paraId="26B5A11E" w14:textId="77777777" w:rsidR="00510FE8" w:rsidRPr="00837BF1" w:rsidRDefault="00510FE8" w:rsidP="00520D32">
            <w:pPr>
              <w:jc w:val="center"/>
              <w:rPr>
                <w:rFonts w:ascii="Arial" w:hAnsi="Arial" w:cs="Arial"/>
              </w:rPr>
            </w:pPr>
          </w:p>
          <w:p w14:paraId="62280534" w14:textId="77777777" w:rsidR="00510FE8" w:rsidRPr="00837BF1" w:rsidRDefault="00510FE8" w:rsidP="00520D32">
            <w:pPr>
              <w:jc w:val="center"/>
              <w:rPr>
                <w:rFonts w:ascii="Arial" w:hAnsi="Arial" w:cs="Arial"/>
              </w:rPr>
            </w:pPr>
            <w:r w:rsidRPr="00837BF1">
              <w:rPr>
                <w:rFonts w:ascii="Arial" w:hAnsi="Arial" w:cs="Arial"/>
              </w:rPr>
              <w:t>0.75, 1.45</w:t>
            </w:r>
          </w:p>
          <w:p w14:paraId="5706E031" w14:textId="77777777" w:rsidR="00510FE8" w:rsidRPr="00837BF1" w:rsidRDefault="00510FE8" w:rsidP="00520D32">
            <w:pPr>
              <w:jc w:val="center"/>
              <w:rPr>
                <w:rFonts w:ascii="Arial" w:hAnsi="Arial" w:cs="Arial"/>
              </w:rPr>
            </w:pPr>
            <w:r w:rsidRPr="00837BF1">
              <w:rPr>
                <w:rFonts w:ascii="Arial" w:hAnsi="Arial" w:cs="Arial"/>
              </w:rPr>
              <w:t>0.47, 1.57</w:t>
            </w:r>
          </w:p>
          <w:p w14:paraId="625EA73F" w14:textId="77777777" w:rsidR="00510FE8" w:rsidRPr="00837BF1" w:rsidRDefault="00510FE8" w:rsidP="00520D32">
            <w:pPr>
              <w:jc w:val="center"/>
              <w:rPr>
                <w:rFonts w:ascii="Arial" w:hAnsi="Arial" w:cs="Arial"/>
              </w:rPr>
            </w:pPr>
            <w:r w:rsidRPr="00837BF1">
              <w:rPr>
                <w:rFonts w:ascii="Arial" w:hAnsi="Arial" w:cs="Arial"/>
              </w:rPr>
              <w:t>0.67, 1.35</w:t>
            </w:r>
          </w:p>
          <w:p w14:paraId="7D663DDC" w14:textId="77777777" w:rsidR="00510FE8" w:rsidRPr="00837BF1" w:rsidRDefault="00510FE8" w:rsidP="00520D32">
            <w:pPr>
              <w:jc w:val="center"/>
              <w:rPr>
                <w:rFonts w:ascii="Arial" w:hAnsi="Arial" w:cs="Arial"/>
                <w:b/>
                <w:bCs/>
              </w:rPr>
            </w:pPr>
            <w:r w:rsidRPr="00837BF1">
              <w:rPr>
                <w:rFonts w:ascii="Arial" w:hAnsi="Arial" w:cs="Arial"/>
                <w:b/>
                <w:bCs/>
              </w:rPr>
              <w:t>0.28, 0.95</w:t>
            </w:r>
          </w:p>
          <w:p w14:paraId="115E08D0" w14:textId="61146503" w:rsidR="003E22F6" w:rsidRPr="00837BF1" w:rsidRDefault="003E22F6" w:rsidP="00F74ACB">
            <w:pPr>
              <w:jc w:val="center"/>
              <w:rPr>
                <w:rFonts w:ascii="Arial" w:hAnsi="Arial" w:cs="Arial"/>
              </w:rPr>
            </w:pPr>
            <w:r w:rsidRPr="00837BF1">
              <w:rPr>
                <w:rFonts w:ascii="Arial" w:hAnsi="Arial" w:cs="Arial"/>
              </w:rPr>
              <w:t>0.53, 5.46</w:t>
            </w:r>
          </w:p>
          <w:p w14:paraId="77959CC5" w14:textId="18B37C1F" w:rsidR="003E22F6" w:rsidRPr="00837BF1" w:rsidRDefault="003E22F6" w:rsidP="00520D32">
            <w:pPr>
              <w:jc w:val="center"/>
              <w:rPr>
                <w:rFonts w:ascii="Arial" w:hAnsi="Arial" w:cs="Arial"/>
                <w:b/>
                <w:bCs/>
              </w:rPr>
            </w:pPr>
            <w:r w:rsidRPr="00837BF1">
              <w:rPr>
                <w:rFonts w:ascii="Arial" w:hAnsi="Arial" w:cs="Arial"/>
                <w:b/>
                <w:bCs/>
              </w:rPr>
              <w:t>1.00</w:t>
            </w:r>
            <w:r w:rsidR="003461CD" w:rsidRPr="00837BF1">
              <w:rPr>
                <w:rFonts w:ascii="Arial" w:hAnsi="Arial" w:cs="Arial"/>
                <w:b/>
                <w:bCs/>
              </w:rPr>
              <w:t>3</w:t>
            </w:r>
            <w:r w:rsidRPr="00837BF1">
              <w:rPr>
                <w:rFonts w:ascii="Arial" w:hAnsi="Arial" w:cs="Arial"/>
                <w:b/>
                <w:bCs/>
              </w:rPr>
              <w:t>, 1.16</w:t>
            </w:r>
          </w:p>
          <w:p w14:paraId="029CEB52" w14:textId="77777777" w:rsidR="003E22F6" w:rsidRPr="00837BF1" w:rsidRDefault="003E22F6" w:rsidP="00520D32">
            <w:pPr>
              <w:jc w:val="center"/>
              <w:rPr>
                <w:rFonts w:ascii="Arial" w:hAnsi="Arial" w:cs="Arial"/>
                <w:b/>
                <w:bCs/>
              </w:rPr>
            </w:pPr>
          </w:p>
          <w:p w14:paraId="302F9E6B" w14:textId="77777777" w:rsidR="003E22F6" w:rsidRPr="00837BF1" w:rsidRDefault="003E22F6" w:rsidP="00520D32">
            <w:pPr>
              <w:jc w:val="center"/>
              <w:rPr>
                <w:rFonts w:ascii="Arial" w:hAnsi="Arial" w:cs="Arial"/>
                <w:b/>
                <w:bCs/>
              </w:rPr>
            </w:pPr>
            <w:r w:rsidRPr="00837BF1">
              <w:rPr>
                <w:rFonts w:ascii="Arial" w:hAnsi="Arial" w:cs="Arial"/>
                <w:b/>
                <w:bCs/>
              </w:rPr>
              <w:t>1.54, 2.30</w:t>
            </w:r>
          </w:p>
          <w:p w14:paraId="6B8DBC57" w14:textId="160B4711" w:rsidR="003E22F6" w:rsidRPr="00837BF1" w:rsidRDefault="003E22F6" w:rsidP="002C398E">
            <w:pPr>
              <w:jc w:val="center"/>
              <w:rPr>
                <w:rFonts w:ascii="Arial" w:hAnsi="Arial" w:cs="Arial"/>
                <w:b/>
                <w:bCs/>
              </w:rPr>
            </w:pPr>
            <w:r w:rsidRPr="00837BF1">
              <w:rPr>
                <w:rFonts w:ascii="Arial" w:hAnsi="Arial" w:cs="Arial"/>
                <w:b/>
                <w:bCs/>
              </w:rPr>
              <w:t>3.47, 7.08</w:t>
            </w:r>
          </w:p>
          <w:p w14:paraId="006C8F25" w14:textId="6C4A6290" w:rsidR="003E22F6" w:rsidRPr="00837BF1" w:rsidRDefault="003E22F6" w:rsidP="00520D32">
            <w:pPr>
              <w:jc w:val="center"/>
              <w:rPr>
                <w:rFonts w:ascii="Arial" w:hAnsi="Arial" w:cs="Arial"/>
              </w:rPr>
            </w:pPr>
            <w:r w:rsidRPr="00837BF1">
              <w:rPr>
                <w:rFonts w:ascii="Arial" w:hAnsi="Arial" w:cs="Arial"/>
                <w:b/>
                <w:bCs/>
              </w:rPr>
              <w:t>2.37, 3.33</w:t>
            </w:r>
          </w:p>
        </w:tc>
      </w:tr>
    </w:tbl>
    <w:p w14:paraId="2C0BB31C" w14:textId="550EA661" w:rsidR="004464B5" w:rsidRPr="00837BF1" w:rsidRDefault="00250763" w:rsidP="00F54E42">
      <w:pPr>
        <w:spacing w:after="0" w:line="276" w:lineRule="auto"/>
        <w:rPr>
          <w:rFonts w:ascii="Arial" w:hAnsi="Arial" w:cs="Arial"/>
          <w:sz w:val="16"/>
          <w:szCs w:val="16"/>
        </w:rPr>
      </w:pPr>
      <w:r w:rsidRPr="00837BF1">
        <w:rPr>
          <w:rFonts w:ascii="Arial" w:hAnsi="Arial" w:cs="Arial"/>
          <w:sz w:val="16"/>
          <w:szCs w:val="16"/>
        </w:rPr>
        <w:t xml:space="preserve">Sensitivity analyses examining seasonal effects </w:t>
      </w:r>
      <w:r w:rsidR="00417B26" w:rsidRPr="00837BF1">
        <w:rPr>
          <w:rFonts w:ascii="Arial" w:hAnsi="Arial" w:cs="Arial"/>
          <w:sz w:val="16"/>
          <w:szCs w:val="16"/>
        </w:rPr>
        <w:t>is</w:t>
      </w:r>
      <w:r w:rsidRPr="00837BF1">
        <w:rPr>
          <w:rFonts w:ascii="Arial" w:hAnsi="Arial" w:cs="Arial"/>
          <w:sz w:val="16"/>
          <w:szCs w:val="16"/>
        </w:rPr>
        <w:t xml:space="preserve"> available </w:t>
      </w:r>
      <w:r w:rsidR="00417B26" w:rsidRPr="00837BF1">
        <w:rPr>
          <w:rFonts w:ascii="Arial" w:hAnsi="Arial" w:cs="Arial"/>
          <w:sz w:val="16"/>
          <w:szCs w:val="16"/>
        </w:rPr>
        <w:t xml:space="preserve">in </w:t>
      </w:r>
      <w:r w:rsidR="009F6159" w:rsidRPr="00837BF1">
        <w:rPr>
          <w:rFonts w:ascii="Arial" w:hAnsi="Arial" w:cs="Arial"/>
          <w:sz w:val="16"/>
          <w:szCs w:val="16"/>
        </w:rPr>
        <w:t>s</w:t>
      </w:r>
      <w:r w:rsidR="00417B26" w:rsidRPr="00837BF1">
        <w:rPr>
          <w:rFonts w:ascii="Arial" w:hAnsi="Arial" w:cs="Arial"/>
          <w:sz w:val="16"/>
          <w:szCs w:val="16"/>
        </w:rPr>
        <w:t>upplementary Material</w:t>
      </w:r>
    </w:p>
    <w:p w14:paraId="0998B2C8" w14:textId="4D610AD0" w:rsidR="007273FC" w:rsidRPr="00837BF1" w:rsidRDefault="007273FC" w:rsidP="00F54E42">
      <w:pPr>
        <w:spacing w:after="0" w:line="276" w:lineRule="auto"/>
        <w:rPr>
          <w:rFonts w:ascii="Arial" w:hAnsi="Arial" w:cs="Arial"/>
          <w:sz w:val="16"/>
          <w:szCs w:val="16"/>
        </w:rPr>
      </w:pPr>
      <w:r w:rsidRPr="00837BF1">
        <w:rPr>
          <w:rFonts w:ascii="Arial" w:hAnsi="Arial" w:cs="Arial"/>
          <w:sz w:val="16"/>
          <w:szCs w:val="16"/>
        </w:rPr>
        <w:t>OR, odds ratio; 95% CI, 95% confidence interval</w:t>
      </w:r>
      <w:r w:rsidR="006D24E2" w:rsidRPr="00837BF1">
        <w:rPr>
          <w:rFonts w:ascii="Arial" w:hAnsi="Arial" w:cs="Arial"/>
          <w:sz w:val="16"/>
          <w:szCs w:val="16"/>
        </w:rPr>
        <w:t>.</w:t>
      </w:r>
    </w:p>
    <w:p w14:paraId="4E2DF37B" w14:textId="7F6B2B17" w:rsidR="007273FC" w:rsidRPr="007273FC" w:rsidRDefault="006D24E2" w:rsidP="00F54E42">
      <w:pPr>
        <w:spacing w:after="0" w:line="276" w:lineRule="auto"/>
        <w:rPr>
          <w:rFonts w:ascii="Arial" w:hAnsi="Arial" w:cs="Arial"/>
          <w:sz w:val="16"/>
          <w:szCs w:val="16"/>
        </w:rPr>
      </w:pPr>
      <w:r w:rsidRPr="00837BF1">
        <w:rPr>
          <w:rFonts w:ascii="Arial" w:hAnsi="Arial" w:cs="Arial"/>
          <w:sz w:val="16"/>
          <w:szCs w:val="16"/>
        </w:rPr>
        <w:t>Significant associations at the 5% level are shown in bold.</w:t>
      </w:r>
    </w:p>
    <w:p w14:paraId="3F989002" w14:textId="57533931" w:rsidR="007273FC" w:rsidRPr="00250763" w:rsidRDefault="007273FC" w:rsidP="004B4602">
      <w:pPr>
        <w:sectPr w:rsidR="007273FC" w:rsidRPr="00250763" w:rsidSect="00837BF1">
          <w:type w:val="continuous"/>
          <w:pgSz w:w="16838" w:h="11906" w:orient="landscape"/>
          <w:pgMar w:top="1440" w:right="1440" w:bottom="1440" w:left="1440" w:header="709" w:footer="709" w:gutter="0"/>
          <w:cols w:space="708"/>
          <w:docGrid w:linePitch="360"/>
        </w:sectPr>
      </w:pPr>
    </w:p>
    <w:p w14:paraId="0B101FAD" w14:textId="7CCC2AF2" w:rsidR="00E213C8" w:rsidRPr="00E213C8" w:rsidRDefault="00E213C8" w:rsidP="000E425D">
      <w:pPr>
        <w:autoSpaceDE w:val="0"/>
        <w:autoSpaceDN w:val="0"/>
        <w:adjustRightInd w:val="0"/>
        <w:spacing w:after="0" w:line="480" w:lineRule="auto"/>
        <w:rPr>
          <w:rFonts w:ascii="Arial" w:hAnsi="Arial" w:cs="Arial"/>
          <w:b/>
          <w:bCs/>
        </w:rPr>
      </w:pPr>
    </w:p>
    <w:p w14:paraId="3F7EA540" w14:textId="52931E7C" w:rsidR="00D90A1C" w:rsidRPr="003958AA" w:rsidRDefault="00D90A1C" w:rsidP="00842979">
      <w:pPr>
        <w:rPr>
          <w:rFonts w:ascii="Arial" w:hAnsi="Arial" w:cs="Arial"/>
        </w:rPr>
      </w:pPr>
    </w:p>
    <w:p w14:paraId="00E68B89" w14:textId="77777777" w:rsidR="0021401A" w:rsidRPr="00480E05" w:rsidRDefault="0021401A" w:rsidP="00480E05">
      <w:pPr>
        <w:spacing w:after="0" w:line="480" w:lineRule="auto"/>
        <w:jc w:val="both"/>
        <w:rPr>
          <w:rFonts w:ascii="Arial" w:hAnsi="Arial" w:cs="Arial"/>
        </w:rPr>
      </w:pPr>
    </w:p>
    <w:p w14:paraId="65605DB3" w14:textId="77777777" w:rsidR="00F03B98" w:rsidRPr="00480E05" w:rsidRDefault="00F03B98" w:rsidP="00480E05">
      <w:pPr>
        <w:spacing w:after="0" w:line="480" w:lineRule="auto"/>
        <w:jc w:val="both"/>
        <w:rPr>
          <w:rFonts w:ascii="Arial" w:hAnsi="Arial" w:cs="Arial"/>
        </w:rPr>
      </w:pPr>
    </w:p>
    <w:sectPr w:rsidR="00F03B98" w:rsidRPr="00480E05" w:rsidSect="00837BF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EFB33" w14:textId="77777777" w:rsidR="00AA7EBD" w:rsidRDefault="00AA7EBD" w:rsidP="00A17126">
      <w:pPr>
        <w:spacing w:after="0" w:line="240" w:lineRule="auto"/>
      </w:pPr>
      <w:r>
        <w:separator/>
      </w:r>
    </w:p>
  </w:endnote>
  <w:endnote w:type="continuationSeparator" w:id="0">
    <w:p w14:paraId="40C67A3E" w14:textId="77777777" w:rsidR="00AA7EBD" w:rsidRDefault="00AA7EBD" w:rsidP="00A1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C56ED" w14:textId="77777777" w:rsidR="00AA7EBD" w:rsidRDefault="00AA7EBD" w:rsidP="00A17126">
      <w:pPr>
        <w:spacing w:after="0" w:line="240" w:lineRule="auto"/>
      </w:pPr>
      <w:r>
        <w:separator/>
      </w:r>
    </w:p>
  </w:footnote>
  <w:footnote w:type="continuationSeparator" w:id="0">
    <w:p w14:paraId="22CDF6C1" w14:textId="77777777" w:rsidR="00AA7EBD" w:rsidRDefault="00AA7EBD" w:rsidP="00A17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E7E47"/>
    <w:multiLevelType w:val="multilevel"/>
    <w:tmpl w:val="27068808"/>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84"/>
    <w:rsid w:val="0000126E"/>
    <w:rsid w:val="00001746"/>
    <w:rsid w:val="00004D3B"/>
    <w:rsid w:val="000057DC"/>
    <w:rsid w:val="00005F43"/>
    <w:rsid w:val="0000765A"/>
    <w:rsid w:val="00007BDE"/>
    <w:rsid w:val="00010007"/>
    <w:rsid w:val="00013710"/>
    <w:rsid w:val="000137B7"/>
    <w:rsid w:val="00013C4D"/>
    <w:rsid w:val="0001623C"/>
    <w:rsid w:val="00016E49"/>
    <w:rsid w:val="00017F4C"/>
    <w:rsid w:val="00020E2C"/>
    <w:rsid w:val="00020F73"/>
    <w:rsid w:val="000219C6"/>
    <w:rsid w:val="00021EDB"/>
    <w:rsid w:val="00022023"/>
    <w:rsid w:val="00023128"/>
    <w:rsid w:val="00023406"/>
    <w:rsid w:val="000249C6"/>
    <w:rsid w:val="00024F79"/>
    <w:rsid w:val="00025884"/>
    <w:rsid w:val="000267D4"/>
    <w:rsid w:val="00026E09"/>
    <w:rsid w:val="000272D5"/>
    <w:rsid w:val="00030C3D"/>
    <w:rsid w:val="000324C4"/>
    <w:rsid w:val="000327D1"/>
    <w:rsid w:val="00033297"/>
    <w:rsid w:val="00033E14"/>
    <w:rsid w:val="00034400"/>
    <w:rsid w:val="000347AB"/>
    <w:rsid w:val="00034C70"/>
    <w:rsid w:val="000357EF"/>
    <w:rsid w:val="0003784C"/>
    <w:rsid w:val="000420F7"/>
    <w:rsid w:val="0004349B"/>
    <w:rsid w:val="00043F90"/>
    <w:rsid w:val="000441AA"/>
    <w:rsid w:val="000443D1"/>
    <w:rsid w:val="00044E6F"/>
    <w:rsid w:val="00045E38"/>
    <w:rsid w:val="00045FD2"/>
    <w:rsid w:val="0004623C"/>
    <w:rsid w:val="00046D9E"/>
    <w:rsid w:val="00053563"/>
    <w:rsid w:val="000538B5"/>
    <w:rsid w:val="00053A8B"/>
    <w:rsid w:val="0005502A"/>
    <w:rsid w:val="00057980"/>
    <w:rsid w:val="00060555"/>
    <w:rsid w:val="00060779"/>
    <w:rsid w:val="000608EF"/>
    <w:rsid w:val="00061AD0"/>
    <w:rsid w:val="00062D59"/>
    <w:rsid w:val="00062FFC"/>
    <w:rsid w:val="00063785"/>
    <w:rsid w:val="00063846"/>
    <w:rsid w:val="00065338"/>
    <w:rsid w:val="00065D9D"/>
    <w:rsid w:val="00066140"/>
    <w:rsid w:val="0006724F"/>
    <w:rsid w:val="00067A1E"/>
    <w:rsid w:val="00070858"/>
    <w:rsid w:val="000708F5"/>
    <w:rsid w:val="0007263C"/>
    <w:rsid w:val="000743E2"/>
    <w:rsid w:val="00074804"/>
    <w:rsid w:val="000752FA"/>
    <w:rsid w:val="000759A5"/>
    <w:rsid w:val="00076A56"/>
    <w:rsid w:val="00077678"/>
    <w:rsid w:val="00080BBC"/>
    <w:rsid w:val="00080BEA"/>
    <w:rsid w:val="00082001"/>
    <w:rsid w:val="00082BB4"/>
    <w:rsid w:val="00084033"/>
    <w:rsid w:val="000874B6"/>
    <w:rsid w:val="00087682"/>
    <w:rsid w:val="000904AC"/>
    <w:rsid w:val="00092D7F"/>
    <w:rsid w:val="0009389D"/>
    <w:rsid w:val="0009437B"/>
    <w:rsid w:val="00094ADC"/>
    <w:rsid w:val="00094D1B"/>
    <w:rsid w:val="000958E0"/>
    <w:rsid w:val="0009745C"/>
    <w:rsid w:val="000976DC"/>
    <w:rsid w:val="00097EFF"/>
    <w:rsid w:val="000A0C91"/>
    <w:rsid w:val="000A2703"/>
    <w:rsid w:val="000A2A6D"/>
    <w:rsid w:val="000A6A4D"/>
    <w:rsid w:val="000A6A84"/>
    <w:rsid w:val="000A7FF3"/>
    <w:rsid w:val="000B036F"/>
    <w:rsid w:val="000B13E5"/>
    <w:rsid w:val="000B156A"/>
    <w:rsid w:val="000B1E0B"/>
    <w:rsid w:val="000B4C04"/>
    <w:rsid w:val="000B4D96"/>
    <w:rsid w:val="000C0720"/>
    <w:rsid w:val="000C18F2"/>
    <w:rsid w:val="000C383C"/>
    <w:rsid w:val="000C3938"/>
    <w:rsid w:val="000C6AA0"/>
    <w:rsid w:val="000C7E2F"/>
    <w:rsid w:val="000D1964"/>
    <w:rsid w:val="000D2D31"/>
    <w:rsid w:val="000D3465"/>
    <w:rsid w:val="000D39CE"/>
    <w:rsid w:val="000D45E2"/>
    <w:rsid w:val="000D5969"/>
    <w:rsid w:val="000D5F30"/>
    <w:rsid w:val="000D7B94"/>
    <w:rsid w:val="000E0DDB"/>
    <w:rsid w:val="000E1AF0"/>
    <w:rsid w:val="000E38C8"/>
    <w:rsid w:val="000E425D"/>
    <w:rsid w:val="000E4A01"/>
    <w:rsid w:val="000E682C"/>
    <w:rsid w:val="000E6DFE"/>
    <w:rsid w:val="000E7B29"/>
    <w:rsid w:val="000E7C2A"/>
    <w:rsid w:val="000F06DA"/>
    <w:rsid w:val="000F2F70"/>
    <w:rsid w:val="000F35BE"/>
    <w:rsid w:val="000F39AD"/>
    <w:rsid w:val="000F4E3D"/>
    <w:rsid w:val="000F4F28"/>
    <w:rsid w:val="000F6D09"/>
    <w:rsid w:val="000F736C"/>
    <w:rsid w:val="000F7D08"/>
    <w:rsid w:val="00101F24"/>
    <w:rsid w:val="0010200B"/>
    <w:rsid w:val="00103DDE"/>
    <w:rsid w:val="00103E4D"/>
    <w:rsid w:val="00104090"/>
    <w:rsid w:val="00104A7C"/>
    <w:rsid w:val="00104DFA"/>
    <w:rsid w:val="00106EA0"/>
    <w:rsid w:val="0010799F"/>
    <w:rsid w:val="00107FC4"/>
    <w:rsid w:val="00110DD2"/>
    <w:rsid w:val="0011545E"/>
    <w:rsid w:val="00116533"/>
    <w:rsid w:val="0011673E"/>
    <w:rsid w:val="00116F4B"/>
    <w:rsid w:val="00120BA7"/>
    <w:rsid w:val="001218ED"/>
    <w:rsid w:val="00122B70"/>
    <w:rsid w:val="00122FEF"/>
    <w:rsid w:val="001253EF"/>
    <w:rsid w:val="001258C0"/>
    <w:rsid w:val="00126384"/>
    <w:rsid w:val="001304BE"/>
    <w:rsid w:val="00130E6A"/>
    <w:rsid w:val="00131321"/>
    <w:rsid w:val="00132238"/>
    <w:rsid w:val="00132973"/>
    <w:rsid w:val="00132B24"/>
    <w:rsid w:val="001356D1"/>
    <w:rsid w:val="001363E9"/>
    <w:rsid w:val="00136CAA"/>
    <w:rsid w:val="00140483"/>
    <w:rsid w:val="00141EF2"/>
    <w:rsid w:val="00142ACD"/>
    <w:rsid w:val="00143002"/>
    <w:rsid w:val="00143113"/>
    <w:rsid w:val="00143FC1"/>
    <w:rsid w:val="00144D90"/>
    <w:rsid w:val="0014685A"/>
    <w:rsid w:val="00146B72"/>
    <w:rsid w:val="001478A9"/>
    <w:rsid w:val="00150993"/>
    <w:rsid w:val="00150E81"/>
    <w:rsid w:val="00150FCE"/>
    <w:rsid w:val="00152F0D"/>
    <w:rsid w:val="00153A17"/>
    <w:rsid w:val="00153A6D"/>
    <w:rsid w:val="0015453B"/>
    <w:rsid w:val="00154DDC"/>
    <w:rsid w:val="00154F7C"/>
    <w:rsid w:val="001553B5"/>
    <w:rsid w:val="00160082"/>
    <w:rsid w:val="0016039A"/>
    <w:rsid w:val="0016131B"/>
    <w:rsid w:val="00165516"/>
    <w:rsid w:val="00165A39"/>
    <w:rsid w:val="00165C35"/>
    <w:rsid w:val="00165C7A"/>
    <w:rsid w:val="00167540"/>
    <w:rsid w:val="00167593"/>
    <w:rsid w:val="001678F5"/>
    <w:rsid w:val="00167948"/>
    <w:rsid w:val="001709F4"/>
    <w:rsid w:val="00170C99"/>
    <w:rsid w:val="00170EAF"/>
    <w:rsid w:val="0017139F"/>
    <w:rsid w:val="00172E57"/>
    <w:rsid w:val="00173EC5"/>
    <w:rsid w:val="00175CAB"/>
    <w:rsid w:val="001762C3"/>
    <w:rsid w:val="00176453"/>
    <w:rsid w:val="00176634"/>
    <w:rsid w:val="00177337"/>
    <w:rsid w:val="00177FA6"/>
    <w:rsid w:val="001802C3"/>
    <w:rsid w:val="00182123"/>
    <w:rsid w:val="0018365F"/>
    <w:rsid w:val="00184003"/>
    <w:rsid w:val="001842DA"/>
    <w:rsid w:val="001844F3"/>
    <w:rsid w:val="001859A0"/>
    <w:rsid w:val="0019020E"/>
    <w:rsid w:val="001915ED"/>
    <w:rsid w:val="00191C69"/>
    <w:rsid w:val="001945AF"/>
    <w:rsid w:val="00194AF3"/>
    <w:rsid w:val="0019527E"/>
    <w:rsid w:val="00197381"/>
    <w:rsid w:val="00197649"/>
    <w:rsid w:val="001A0374"/>
    <w:rsid w:val="001A1089"/>
    <w:rsid w:val="001A1963"/>
    <w:rsid w:val="001A1CA5"/>
    <w:rsid w:val="001A219D"/>
    <w:rsid w:val="001A2314"/>
    <w:rsid w:val="001A247A"/>
    <w:rsid w:val="001A26FD"/>
    <w:rsid w:val="001A2FB9"/>
    <w:rsid w:val="001A3B30"/>
    <w:rsid w:val="001A5206"/>
    <w:rsid w:val="001A5337"/>
    <w:rsid w:val="001A5F6D"/>
    <w:rsid w:val="001A71EF"/>
    <w:rsid w:val="001B032C"/>
    <w:rsid w:val="001B0F6E"/>
    <w:rsid w:val="001B194B"/>
    <w:rsid w:val="001B3566"/>
    <w:rsid w:val="001B4641"/>
    <w:rsid w:val="001B4D1B"/>
    <w:rsid w:val="001B69FD"/>
    <w:rsid w:val="001B6F38"/>
    <w:rsid w:val="001C098C"/>
    <w:rsid w:val="001C0F75"/>
    <w:rsid w:val="001C29FB"/>
    <w:rsid w:val="001C3E9D"/>
    <w:rsid w:val="001C3F66"/>
    <w:rsid w:val="001C492B"/>
    <w:rsid w:val="001C5C93"/>
    <w:rsid w:val="001C60F9"/>
    <w:rsid w:val="001C7765"/>
    <w:rsid w:val="001D0F8D"/>
    <w:rsid w:val="001D1A96"/>
    <w:rsid w:val="001D4872"/>
    <w:rsid w:val="001D4D99"/>
    <w:rsid w:val="001D7145"/>
    <w:rsid w:val="001E0499"/>
    <w:rsid w:val="001E13B3"/>
    <w:rsid w:val="001E146F"/>
    <w:rsid w:val="001E1553"/>
    <w:rsid w:val="001E159C"/>
    <w:rsid w:val="001E5041"/>
    <w:rsid w:val="001E5F22"/>
    <w:rsid w:val="001E6D85"/>
    <w:rsid w:val="001E7235"/>
    <w:rsid w:val="001E730C"/>
    <w:rsid w:val="001E7C17"/>
    <w:rsid w:val="001F17DF"/>
    <w:rsid w:val="001F1E9C"/>
    <w:rsid w:val="001F3C17"/>
    <w:rsid w:val="001F6F0C"/>
    <w:rsid w:val="001F7352"/>
    <w:rsid w:val="00201344"/>
    <w:rsid w:val="0020235E"/>
    <w:rsid w:val="002026D2"/>
    <w:rsid w:val="002028DE"/>
    <w:rsid w:val="00202B48"/>
    <w:rsid w:val="00203A10"/>
    <w:rsid w:val="00203A11"/>
    <w:rsid w:val="0020445F"/>
    <w:rsid w:val="0020459A"/>
    <w:rsid w:val="00205312"/>
    <w:rsid w:val="00205C4A"/>
    <w:rsid w:val="002076BC"/>
    <w:rsid w:val="002100C7"/>
    <w:rsid w:val="0021174A"/>
    <w:rsid w:val="002127ED"/>
    <w:rsid w:val="00213A7A"/>
    <w:rsid w:val="0021401A"/>
    <w:rsid w:val="0021414E"/>
    <w:rsid w:val="00215281"/>
    <w:rsid w:val="00215A10"/>
    <w:rsid w:val="00216B89"/>
    <w:rsid w:val="00220268"/>
    <w:rsid w:val="002232C7"/>
    <w:rsid w:val="002233E5"/>
    <w:rsid w:val="002250C6"/>
    <w:rsid w:val="00225D6F"/>
    <w:rsid w:val="00225F78"/>
    <w:rsid w:val="0022646D"/>
    <w:rsid w:val="002265EB"/>
    <w:rsid w:val="00227B3D"/>
    <w:rsid w:val="0023083A"/>
    <w:rsid w:val="002315FE"/>
    <w:rsid w:val="00231910"/>
    <w:rsid w:val="00234AA7"/>
    <w:rsid w:val="002350DA"/>
    <w:rsid w:val="002354CB"/>
    <w:rsid w:val="00235E3C"/>
    <w:rsid w:val="002379AF"/>
    <w:rsid w:val="00237D92"/>
    <w:rsid w:val="00240096"/>
    <w:rsid w:val="00241018"/>
    <w:rsid w:val="0024285D"/>
    <w:rsid w:val="00242B86"/>
    <w:rsid w:val="00242D96"/>
    <w:rsid w:val="00243A87"/>
    <w:rsid w:val="002444E1"/>
    <w:rsid w:val="00245C35"/>
    <w:rsid w:val="00246D9E"/>
    <w:rsid w:val="00247CA7"/>
    <w:rsid w:val="00250763"/>
    <w:rsid w:val="00252E49"/>
    <w:rsid w:val="002542FF"/>
    <w:rsid w:val="0025471C"/>
    <w:rsid w:val="00254BA2"/>
    <w:rsid w:val="00255122"/>
    <w:rsid w:val="00256AE3"/>
    <w:rsid w:val="00257F60"/>
    <w:rsid w:val="002610CE"/>
    <w:rsid w:val="002620A1"/>
    <w:rsid w:val="00262223"/>
    <w:rsid w:val="00263B43"/>
    <w:rsid w:val="0026425E"/>
    <w:rsid w:val="002647D0"/>
    <w:rsid w:val="002665D1"/>
    <w:rsid w:val="00267521"/>
    <w:rsid w:val="002717A3"/>
    <w:rsid w:val="00271FE2"/>
    <w:rsid w:val="002728AE"/>
    <w:rsid w:val="002734E8"/>
    <w:rsid w:val="00274A9A"/>
    <w:rsid w:val="00274FCD"/>
    <w:rsid w:val="002758AF"/>
    <w:rsid w:val="00276D89"/>
    <w:rsid w:val="002775B5"/>
    <w:rsid w:val="00277968"/>
    <w:rsid w:val="002805A0"/>
    <w:rsid w:val="002805A7"/>
    <w:rsid w:val="0028070C"/>
    <w:rsid w:val="00280FA5"/>
    <w:rsid w:val="00281DF6"/>
    <w:rsid w:val="00284702"/>
    <w:rsid w:val="002857B4"/>
    <w:rsid w:val="0028603E"/>
    <w:rsid w:val="002867DF"/>
    <w:rsid w:val="00286DE2"/>
    <w:rsid w:val="00287A0B"/>
    <w:rsid w:val="002900A1"/>
    <w:rsid w:val="00290D69"/>
    <w:rsid w:val="0029182A"/>
    <w:rsid w:val="00292C7A"/>
    <w:rsid w:val="00292CCB"/>
    <w:rsid w:val="002946D9"/>
    <w:rsid w:val="00294DD4"/>
    <w:rsid w:val="0029547F"/>
    <w:rsid w:val="0029597B"/>
    <w:rsid w:val="00295C82"/>
    <w:rsid w:val="002967DD"/>
    <w:rsid w:val="00297442"/>
    <w:rsid w:val="002A0011"/>
    <w:rsid w:val="002A07D7"/>
    <w:rsid w:val="002A2D22"/>
    <w:rsid w:val="002A418E"/>
    <w:rsid w:val="002A4A2B"/>
    <w:rsid w:val="002A553E"/>
    <w:rsid w:val="002A5FC5"/>
    <w:rsid w:val="002A67F9"/>
    <w:rsid w:val="002A6DAD"/>
    <w:rsid w:val="002A74B6"/>
    <w:rsid w:val="002B0063"/>
    <w:rsid w:val="002B080C"/>
    <w:rsid w:val="002B09A5"/>
    <w:rsid w:val="002B20D8"/>
    <w:rsid w:val="002B2CA2"/>
    <w:rsid w:val="002B2F7D"/>
    <w:rsid w:val="002B4006"/>
    <w:rsid w:val="002B4DEC"/>
    <w:rsid w:val="002B5992"/>
    <w:rsid w:val="002B66BC"/>
    <w:rsid w:val="002C0091"/>
    <w:rsid w:val="002C398E"/>
    <w:rsid w:val="002C4357"/>
    <w:rsid w:val="002C4B5B"/>
    <w:rsid w:val="002C67FC"/>
    <w:rsid w:val="002C7303"/>
    <w:rsid w:val="002C73D4"/>
    <w:rsid w:val="002C7B82"/>
    <w:rsid w:val="002D02AC"/>
    <w:rsid w:val="002D1911"/>
    <w:rsid w:val="002D3C45"/>
    <w:rsid w:val="002D5267"/>
    <w:rsid w:val="002D5E46"/>
    <w:rsid w:val="002D7438"/>
    <w:rsid w:val="002D79F1"/>
    <w:rsid w:val="002D7E1A"/>
    <w:rsid w:val="002E0184"/>
    <w:rsid w:val="002E304A"/>
    <w:rsid w:val="002E324B"/>
    <w:rsid w:val="002E3442"/>
    <w:rsid w:val="002E506A"/>
    <w:rsid w:val="002E541D"/>
    <w:rsid w:val="002E57D6"/>
    <w:rsid w:val="002E5934"/>
    <w:rsid w:val="002E6596"/>
    <w:rsid w:val="002F1498"/>
    <w:rsid w:val="002F3B1B"/>
    <w:rsid w:val="002F4993"/>
    <w:rsid w:val="002F4E71"/>
    <w:rsid w:val="002F5890"/>
    <w:rsid w:val="002F6A5B"/>
    <w:rsid w:val="0030019D"/>
    <w:rsid w:val="0030022F"/>
    <w:rsid w:val="00302557"/>
    <w:rsid w:val="003028AC"/>
    <w:rsid w:val="003032BB"/>
    <w:rsid w:val="00303328"/>
    <w:rsid w:val="00303DE9"/>
    <w:rsid w:val="00304668"/>
    <w:rsid w:val="0030468D"/>
    <w:rsid w:val="00304890"/>
    <w:rsid w:val="00304FC9"/>
    <w:rsid w:val="00305230"/>
    <w:rsid w:val="00307059"/>
    <w:rsid w:val="00307C58"/>
    <w:rsid w:val="00310F50"/>
    <w:rsid w:val="0031139F"/>
    <w:rsid w:val="00312AAD"/>
    <w:rsid w:val="00314679"/>
    <w:rsid w:val="00314F70"/>
    <w:rsid w:val="003152DC"/>
    <w:rsid w:val="003155A7"/>
    <w:rsid w:val="00315B9C"/>
    <w:rsid w:val="00315D7C"/>
    <w:rsid w:val="003164B8"/>
    <w:rsid w:val="00316F68"/>
    <w:rsid w:val="00320D4B"/>
    <w:rsid w:val="00322672"/>
    <w:rsid w:val="00322ECA"/>
    <w:rsid w:val="003232C4"/>
    <w:rsid w:val="00323924"/>
    <w:rsid w:val="00324636"/>
    <w:rsid w:val="0032651E"/>
    <w:rsid w:val="00326F66"/>
    <w:rsid w:val="003270F0"/>
    <w:rsid w:val="003275EE"/>
    <w:rsid w:val="00327903"/>
    <w:rsid w:val="00327B11"/>
    <w:rsid w:val="003311A5"/>
    <w:rsid w:val="0033143C"/>
    <w:rsid w:val="0033168B"/>
    <w:rsid w:val="00331CFE"/>
    <w:rsid w:val="00331FC0"/>
    <w:rsid w:val="0033238E"/>
    <w:rsid w:val="0033302A"/>
    <w:rsid w:val="00333316"/>
    <w:rsid w:val="00340A3F"/>
    <w:rsid w:val="0034156B"/>
    <w:rsid w:val="00341842"/>
    <w:rsid w:val="003419AE"/>
    <w:rsid w:val="00341B74"/>
    <w:rsid w:val="00341F75"/>
    <w:rsid w:val="00342203"/>
    <w:rsid w:val="00345BA7"/>
    <w:rsid w:val="003461CD"/>
    <w:rsid w:val="003503A6"/>
    <w:rsid w:val="00350DE7"/>
    <w:rsid w:val="00352CC7"/>
    <w:rsid w:val="00353CDD"/>
    <w:rsid w:val="00354F00"/>
    <w:rsid w:val="00355406"/>
    <w:rsid w:val="0035574D"/>
    <w:rsid w:val="003558BE"/>
    <w:rsid w:val="00355DD2"/>
    <w:rsid w:val="00356E47"/>
    <w:rsid w:val="00356F34"/>
    <w:rsid w:val="00357183"/>
    <w:rsid w:val="003578EF"/>
    <w:rsid w:val="00360E53"/>
    <w:rsid w:val="00362CAF"/>
    <w:rsid w:val="00363106"/>
    <w:rsid w:val="00363DBB"/>
    <w:rsid w:val="003642EE"/>
    <w:rsid w:val="003644F6"/>
    <w:rsid w:val="00364B8C"/>
    <w:rsid w:val="00365B8E"/>
    <w:rsid w:val="00366B4F"/>
    <w:rsid w:val="00366C8F"/>
    <w:rsid w:val="00367508"/>
    <w:rsid w:val="00367967"/>
    <w:rsid w:val="00370574"/>
    <w:rsid w:val="00370D5E"/>
    <w:rsid w:val="0037251B"/>
    <w:rsid w:val="00373052"/>
    <w:rsid w:val="0037308B"/>
    <w:rsid w:val="003732D6"/>
    <w:rsid w:val="003738CE"/>
    <w:rsid w:val="003763D0"/>
    <w:rsid w:val="00377341"/>
    <w:rsid w:val="003779A0"/>
    <w:rsid w:val="00380288"/>
    <w:rsid w:val="0038029F"/>
    <w:rsid w:val="0038131E"/>
    <w:rsid w:val="0038355F"/>
    <w:rsid w:val="00383CED"/>
    <w:rsid w:val="003859E7"/>
    <w:rsid w:val="00385F74"/>
    <w:rsid w:val="003869C7"/>
    <w:rsid w:val="00392D60"/>
    <w:rsid w:val="00393279"/>
    <w:rsid w:val="003941B4"/>
    <w:rsid w:val="003950E6"/>
    <w:rsid w:val="003958AA"/>
    <w:rsid w:val="003958D7"/>
    <w:rsid w:val="003967D0"/>
    <w:rsid w:val="00396B25"/>
    <w:rsid w:val="00396CC4"/>
    <w:rsid w:val="003A0621"/>
    <w:rsid w:val="003A41E0"/>
    <w:rsid w:val="003A4538"/>
    <w:rsid w:val="003A532E"/>
    <w:rsid w:val="003A55DD"/>
    <w:rsid w:val="003A730F"/>
    <w:rsid w:val="003A76E5"/>
    <w:rsid w:val="003A7977"/>
    <w:rsid w:val="003B043F"/>
    <w:rsid w:val="003B0497"/>
    <w:rsid w:val="003B102C"/>
    <w:rsid w:val="003B1785"/>
    <w:rsid w:val="003B199B"/>
    <w:rsid w:val="003B28B7"/>
    <w:rsid w:val="003B2C5E"/>
    <w:rsid w:val="003B2F02"/>
    <w:rsid w:val="003B3626"/>
    <w:rsid w:val="003B379D"/>
    <w:rsid w:val="003B39BD"/>
    <w:rsid w:val="003B3E53"/>
    <w:rsid w:val="003B52FC"/>
    <w:rsid w:val="003B56F9"/>
    <w:rsid w:val="003B6349"/>
    <w:rsid w:val="003B75A7"/>
    <w:rsid w:val="003C0C31"/>
    <w:rsid w:val="003C0CF6"/>
    <w:rsid w:val="003C0FD8"/>
    <w:rsid w:val="003C1BA6"/>
    <w:rsid w:val="003C1E47"/>
    <w:rsid w:val="003C465B"/>
    <w:rsid w:val="003C4860"/>
    <w:rsid w:val="003C55DF"/>
    <w:rsid w:val="003C7B50"/>
    <w:rsid w:val="003C7BF5"/>
    <w:rsid w:val="003D0295"/>
    <w:rsid w:val="003D0DE0"/>
    <w:rsid w:val="003D1772"/>
    <w:rsid w:val="003D2A71"/>
    <w:rsid w:val="003D4F5C"/>
    <w:rsid w:val="003D4FCE"/>
    <w:rsid w:val="003D56C2"/>
    <w:rsid w:val="003D5D28"/>
    <w:rsid w:val="003D70EB"/>
    <w:rsid w:val="003D7B29"/>
    <w:rsid w:val="003E1C24"/>
    <w:rsid w:val="003E1F4C"/>
    <w:rsid w:val="003E22F6"/>
    <w:rsid w:val="003E24C6"/>
    <w:rsid w:val="003E3601"/>
    <w:rsid w:val="003E45E3"/>
    <w:rsid w:val="003E61C0"/>
    <w:rsid w:val="003E62F8"/>
    <w:rsid w:val="003E6EA6"/>
    <w:rsid w:val="003F2C2A"/>
    <w:rsid w:val="003F3747"/>
    <w:rsid w:val="003F3BD5"/>
    <w:rsid w:val="003F3FB7"/>
    <w:rsid w:val="003F4201"/>
    <w:rsid w:val="004000EF"/>
    <w:rsid w:val="00400283"/>
    <w:rsid w:val="00400311"/>
    <w:rsid w:val="00400CA4"/>
    <w:rsid w:val="00401BD1"/>
    <w:rsid w:val="00403FF2"/>
    <w:rsid w:val="004041FC"/>
    <w:rsid w:val="00404C36"/>
    <w:rsid w:val="004058A2"/>
    <w:rsid w:val="004063BE"/>
    <w:rsid w:val="004063F8"/>
    <w:rsid w:val="00406A27"/>
    <w:rsid w:val="00406AE6"/>
    <w:rsid w:val="00406C2B"/>
    <w:rsid w:val="00410DE9"/>
    <w:rsid w:val="004112D6"/>
    <w:rsid w:val="00412332"/>
    <w:rsid w:val="00412700"/>
    <w:rsid w:val="00414343"/>
    <w:rsid w:val="00414B1B"/>
    <w:rsid w:val="004170EB"/>
    <w:rsid w:val="004172F2"/>
    <w:rsid w:val="00417B26"/>
    <w:rsid w:val="00420583"/>
    <w:rsid w:val="00421125"/>
    <w:rsid w:val="00421D69"/>
    <w:rsid w:val="00423079"/>
    <w:rsid w:val="004245A8"/>
    <w:rsid w:val="00424BAA"/>
    <w:rsid w:val="00424D3B"/>
    <w:rsid w:val="00427013"/>
    <w:rsid w:val="004275CA"/>
    <w:rsid w:val="0043047D"/>
    <w:rsid w:val="0043059D"/>
    <w:rsid w:val="0043085F"/>
    <w:rsid w:val="00433769"/>
    <w:rsid w:val="004361A9"/>
    <w:rsid w:val="00437B13"/>
    <w:rsid w:val="00437BDD"/>
    <w:rsid w:val="00441163"/>
    <w:rsid w:val="004413A1"/>
    <w:rsid w:val="00442844"/>
    <w:rsid w:val="0044289D"/>
    <w:rsid w:val="00442E43"/>
    <w:rsid w:val="0044310D"/>
    <w:rsid w:val="00443B14"/>
    <w:rsid w:val="00443B40"/>
    <w:rsid w:val="004445D7"/>
    <w:rsid w:val="004452C1"/>
    <w:rsid w:val="0044567A"/>
    <w:rsid w:val="0044591A"/>
    <w:rsid w:val="004464B5"/>
    <w:rsid w:val="004479EF"/>
    <w:rsid w:val="004508C6"/>
    <w:rsid w:val="0045092C"/>
    <w:rsid w:val="00453823"/>
    <w:rsid w:val="004538A2"/>
    <w:rsid w:val="00453EE4"/>
    <w:rsid w:val="00454065"/>
    <w:rsid w:val="004561B9"/>
    <w:rsid w:val="00457656"/>
    <w:rsid w:val="00457EE8"/>
    <w:rsid w:val="004603B4"/>
    <w:rsid w:val="00460C2F"/>
    <w:rsid w:val="00462D0F"/>
    <w:rsid w:val="004635D7"/>
    <w:rsid w:val="00463AAE"/>
    <w:rsid w:val="00465BFE"/>
    <w:rsid w:val="00465F84"/>
    <w:rsid w:val="00466CAC"/>
    <w:rsid w:val="00466E74"/>
    <w:rsid w:val="00467C51"/>
    <w:rsid w:val="004728DF"/>
    <w:rsid w:val="00472DD4"/>
    <w:rsid w:val="0047325D"/>
    <w:rsid w:val="00475122"/>
    <w:rsid w:val="004755C4"/>
    <w:rsid w:val="00476173"/>
    <w:rsid w:val="00476373"/>
    <w:rsid w:val="00477FC8"/>
    <w:rsid w:val="00480DB7"/>
    <w:rsid w:val="00480E05"/>
    <w:rsid w:val="00481120"/>
    <w:rsid w:val="00482B8B"/>
    <w:rsid w:val="00484223"/>
    <w:rsid w:val="004842DB"/>
    <w:rsid w:val="00484960"/>
    <w:rsid w:val="00490216"/>
    <w:rsid w:val="00492265"/>
    <w:rsid w:val="00492C92"/>
    <w:rsid w:val="00493ADA"/>
    <w:rsid w:val="00493D11"/>
    <w:rsid w:val="0049408B"/>
    <w:rsid w:val="00494F72"/>
    <w:rsid w:val="004961FE"/>
    <w:rsid w:val="00497916"/>
    <w:rsid w:val="004A00FE"/>
    <w:rsid w:val="004A20AC"/>
    <w:rsid w:val="004A2214"/>
    <w:rsid w:val="004A29D3"/>
    <w:rsid w:val="004A2C60"/>
    <w:rsid w:val="004A2D29"/>
    <w:rsid w:val="004A3152"/>
    <w:rsid w:val="004A4078"/>
    <w:rsid w:val="004A4576"/>
    <w:rsid w:val="004A4DBA"/>
    <w:rsid w:val="004A56B2"/>
    <w:rsid w:val="004A63BE"/>
    <w:rsid w:val="004A71BA"/>
    <w:rsid w:val="004A7298"/>
    <w:rsid w:val="004B0C9D"/>
    <w:rsid w:val="004B10E2"/>
    <w:rsid w:val="004B1BAA"/>
    <w:rsid w:val="004B1E90"/>
    <w:rsid w:val="004B2069"/>
    <w:rsid w:val="004B2FA2"/>
    <w:rsid w:val="004B31C4"/>
    <w:rsid w:val="004B3952"/>
    <w:rsid w:val="004B3A36"/>
    <w:rsid w:val="004B4602"/>
    <w:rsid w:val="004B4723"/>
    <w:rsid w:val="004B52CB"/>
    <w:rsid w:val="004B5BCF"/>
    <w:rsid w:val="004B65AC"/>
    <w:rsid w:val="004B77C3"/>
    <w:rsid w:val="004C0637"/>
    <w:rsid w:val="004C209A"/>
    <w:rsid w:val="004C29F6"/>
    <w:rsid w:val="004C2ACB"/>
    <w:rsid w:val="004C2FFE"/>
    <w:rsid w:val="004C31B7"/>
    <w:rsid w:val="004C4C1C"/>
    <w:rsid w:val="004C4CE4"/>
    <w:rsid w:val="004D1EDC"/>
    <w:rsid w:val="004D1F2E"/>
    <w:rsid w:val="004D205B"/>
    <w:rsid w:val="004D2860"/>
    <w:rsid w:val="004D3C33"/>
    <w:rsid w:val="004D4539"/>
    <w:rsid w:val="004D5FC0"/>
    <w:rsid w:val="004D68F9"/>
    <w:rsid w:val="004D69BC"/>
    <w:rsid w:val="004D7583"/>
    <w:rsid w:val="004D7C16"/>
    <w:rsid w:val="004E0431"/>
    <w:rsid w:val="004E057E"/>
    <w:rsid w:val="004E05C8"/>
    <w:rsid w:val="004E06A2"/>
    <w:rsid w:val="004E210E"/>
    <w:rsid w:val="004E2259"/>
    <w:rsid w:val="004E406E"/>
    <w:rsid w:val="004E487D"/>
    <w:rsid w:val="004E5CF6"/>
    <w:rsid w:val="004E5F2C"/>
    <w:rsid w:val="004E7FE4"/>
    <w:rsid w:val="004F0190"/>
    <w:rsid w:val="004F049E"/>
    <w:rsid w:val="004F09A4"/>
    <w:rsid w:val="004F0F3E"/>
    <w:rsid w:val="004F1A93"/>
    <w:rsid w:val="004F1B8C"/>
    <w:rsid w:val="004F4133"/>
    <w:rsid w:val="004F75E0"/>
    <w:rsid w:val="004F77A8"/>
    <w:rsid w:val="005001F3"/>
    <w:rsid w:val="00500263"/>
    <w:rsid w:val="00500281"/>
    <w:rsid w:val="005022AA"/>
    <w:rsid w:val="00503050"/>
    <w:rsid w:val="00503E9F"/>
    <w:rsid w:val="00504062"/>
    <w:rsid w:val="005068E7"/>
    <w:rsid w:val="00507415"/>
    <w:rsid w:val="00510920"/>
    <w:rsid w:val="005109CB"/>
    <w:rsid w:val="00510FE8"/>
    <w:rsid w:val="00512A59"/>
    <w:rsid w:val="00513D9F"/>
    <w:rsid w:val="00514EE3"/>
    <w:rsid w:val="00515234"/>
    <w:rsid w:val="00517D97"/>
    <w:rsid w:val="00520732"/>
    <w:rsid w:val="00520D32"/>
    <w:rsid w:val="005227F3"/>
    <w:rsid w:val="00523B62"/>
    <w:rsid w:val="00525844"/>
    <w:rsid w:val="005264EF"/>
    <w:rsid w:val="00526572"/>
    <w:rsid w:val="0052681F"/>
    <w:rsid w:val="00530D65"/>
    <w:rsid w:val="00531B9C"/>
    <w:rsid w:val="00532031"/>
    <w:rsid w:val="00532330"/>
    <w:rsid w:val="00532331"/>
    <w:rsid w:val="005346CE"/>
    <w:rsid w:val="00534D58"/>
    <w:rsid w:val="00535160"/>
    <w:rsid w:val="00535BA9"/>
    <w:rsid w:val="00536DF5"/>
    <w:rsid w:val="00537484"/>
    <w:rsid w:val="005379E1"/>
    <w:rsid w:val="00540587"/>
    <w:rsid w:val="00540F5A"/>
    <w:rsid w:val="005410B9"/>
    <w:rsid w:val="00542290"/>
    <w:rsid w:val="00542CD8"/>
    <w:rsid w:val="00544187"/>
    <w:rsid w:val="00546644"/>
    <w:rsid w:val="005466B7"/>
    <w:rsid w:val="00546B23"/>
    <w:rsid w:val="00547726"/>
    <w:rsid w:val="005502A1"/>
    <w:rsid w:val="00550A22"/>
    <w:rsid w:val="00550D32"/>
    <w:rsid w:val="00551615"/>
    <w:rsid w:val="005516C1"/>
    <w:rsid w:val="00551BD8"/>
    <w:rsid w:val="005537AE"/>
    <w:rsid w:val="00553E32"/>
    <w:rsid w:val="00553F55"/>
    <w:rsid w:val="0055402D"/>
    <w:rsid w:val="00554635"/>
    <w:rsid w:val="00555081"/>
    <w:rsid w:val="00555751"/>
    <w:rsid w:val="00556A9F"/>
    <w:rsid w:val="00556C91"/>
    <w:rsid w:val="005573FB"/>
    <w:rsid w:val="00557987"/>
    <w:rsid w:val="00557DE7"/>
    <w:rsid w:val="005607B8"/>
    <w:rsid w:val="00560887"/>
    <w:rsid w:val="005609B0"/>
    <w:rsid w:val="005613A1"/>
    <w:rsid w:val="005618C6"/>
    <w:rsid w:val="00562A36"/>
    <w:rsid w:val="0056443D"/>
    <w:rsid w:val="00565872"/>
    <w:rsid w:val="005669D4"/>
    <w:rsid w:val="005676E5"/>
    <w:rsid w:val="00567B8A"/>
    <w:rsid w:val="0057060E"/>
    <w:rsid w:val="00571B7A"/>
    <w:rsid w:val="00573691"/>
    <w:rsid w:val="005743E1"/>
    <w:rsid w:val="005750C5"/>
    <w:rsid w:val="0057528A"/>
    <w:rsid w:val="005760BB"/>
    <w:rsid w:val="00576EF6"/>
    <w:rsid w:val="00576F0F"/>
    <w:rsid w:val="005770E0"/>
    <w:rsid w:val="00577F6F"/>
    <w:rsid w:val="00581249"/>
    <w:rsid w:val="005815C8"/>
    <w:rsid w:val="00581C2C"/>
    <w:rsid w:val="005820CF"/>
    <w:rsid w:val="00582D55"/>
    <w:rsid w:val="00584E71"/>
    <w:rsid w:val="00585190"/>
    <w:rsid w:val="00586A23"/>
    <w:rsid w:val="00586E91"/>
    <w:rsid w:val="005901B5"/>
    <w:rsid w:val="0059136F"/>
    <w:rsid w:val="0059502E"/>
    <w:rsid w:val="00596F02"/>
    <w:rsid w:val="005970B7"/>
    <w:rsid w:val="00597AA8"/>
    <w:rsid w:val="005A18D4"/>
    <w:rsid w:val="005A2084"/>
    <w:rsid w:val="005A37F1"/>
    <w:rsid w:val="005A4CA4"/>
    <w:rsid w:val="005A4DD7"/>
    <w:rsid w:val="005A5387"/>
    <w:rsid w:val="005A5729"/>
    <w:rsid w:val="005A6160"/>
    <w:rsid w:val="005A652C"/>
    <w:rsid w:val="005A723C"/>
    <w:rsid w:val="005A79D0"/>
    <w:rsid w:val="005B0724"/>
    <w:rsid w:val="005B4A07"/>
    <w:rsid w:val="005B4E56"/>
    <w:rsid w:val="005B580E"/>
    <w:rsid w:val="005B58D7"/>
    <w:rsid w:val="005B739F"/>
    <w:rsid w:val="005B7BFF"/>
    <w:rsid w:val="005C08DE"/>
    <w:rsid w:val="005C289C"/>
    <w:rsid w:val="005C388A"/>
    <w:rsid w:val="005C38DA"/>
    <w:rsid w:val="005C3BE0"/>
    <w:rsid w:val="005C48A8"/>
    <w:rsid w:val="005C49AE"/>
    <w:rsid w:val="005D00E1"/>
    <w:rsid w:val="005D12FF"/>
    <w:rsid w:val="005D170E"/>
    <w:rsid w:val="005D18B4"/>
    <w:rsid w:val="005D1D9B"/>
    <w:rsid w:val="005D2FF3"/>
    <w:rsid w:val="005D4B38"/>
    <w:rsid w:val="005D533F"/>
    <w:rsid w:val="005D615A"/>
    <w:rsid w:val="005E0084"/>
    <w:rsid w:val="005E06AA"/>
    <w:rsid w:val="005E18EA"/>
    <w:rsid w:val="005E29FA"/>
    <w:rsid w:val="005E3D13"/>
    <w:rsid w:val="005E4767"/>
    <w:rsid w:val="005E480D"/>
    <w:rsid w:val="005E4A7A"/>
    <w:rsid w:val="005E54A0"/>
    <w:rsid w:val="005F1177"/>
    <w:rsid w:val="005F1630"/>
    <w:rsid w:val="005F184E"/>
    <w:rsid w:val="005F3E5E"/>
    <w:rsid w:val="005F46A7"/>
    <w:rsid w:val="005F4D24"/>
    <w:rsid w:val="005F4DA4"/>
    <w:rsid w:val="005F58D4"/>
    <w:rsid w:val="005F5F0E"/>
    <w:rsid w:val="005F62AB"/>
    <w:rsid w:val="005F7887"/>
    <w:rsid w:val="005F7F8F"/>
    <w:rsid w:val="005F7FBC"/>
    <w:rsid w:val="006010BB"/>
    <w:rsid w:val="00601B12"/>
    <w:rsid w:val="006033BD"/>
    <w:rsid w:val="006043D4"/>
    <w:rsid w:val="006068B9"/>
    <w:rsid w:val="00607475"/>
    <w:rsid w:val="00610185"/>
    <w:rsid w:val="006106CC"/>
    <w:rsid w:val="00612D9C"/>
    <w:rsid w:val="00613132"/>
    <w:rsid w:val="0061320F"/>
    <w:rsid w:val="006135E9"/>
    <w:rsid w:val="00614C3B"/>
    <w:rsid w:val="0061515C"/>
    <w:rsid w:val="00615B0D"/>
    <w:rsid w:val="006175C3"/>
    <w:rsid w:val="00620C9F"/>
    <w:rsid w:val="00621523"/>
    <w:rsid w:val="00621A38"/>
    <w:rsid w:val="006226D6"/>
    <w:rsid w:val="006228E8"/>
    <w:rsid w:val="0062379B"/>
    <w:rsid w:val="0062485A"/>
    <w:rsid w:val="00627686"/>
    <w:rsid w:val="00627AD3"/>
    <w:rsid w:val="00631B43"/>
    <w:rsid w:val="00634B08"/>
    <w:rsid w:val="006360E6"/>
    <w:rsid w:val="00637A3D"/>
    <w:rsid w:val="00637B8F"/>
    <w:rsid w:val="00640ACB"/>
    <w:rsid w:val="00640ED7"/>
    <w:rsid w:val="00642305"/>
    <w:rsid w:val="00642785"/>
    <w:rsid w:val="0064687D"/>
    <w:rsid w:val="00646CF7"/>
    <w:rsid w:val="00650B32"/>
    <w:rsid w:val="00651ABA"/>
    <w:rsid w:val="00657F5E"/>
    <w:rsid w:val="0066033D"/>
    <w:rsid w:val="00660D5B"/>
    <w:rsid w:val="006615F7"/>
    <w:rsid w:val="00661A14"/>
    <w:rsid w:val="00662B7C"/>
    <w:rsid w:val="00663777"/>
    <w:rsid w:val="00665888"/>
    <w:rsid w:val="006661ED"/>
    <w:rsid w:val="00667202"/>
    <w:rsid w:val="006674A4"/>
    <w:rsid w:val="006678E1"/>
    <w:rsid w:val="00667D91"/>
    <w:rsid w:val="00667DC8"/>
    <w:rsid w:val="00670BAB"/>
    <w:rsid w:val="006712DA"/>
    <w:rsid w:val="00673113"/>
    <w:rsid w:val="006732AE"/>
    <w:rsid w:val="006733DB"/>
    <w:rsid w:val="0067377B"/>
    <w:rsid w:val="006737F4"/>
    <w:rsid w:val="006762F0"/>
    <w:rsid w:val="00676B0D"/>
    <w:rsid w:val="00676CE0"/>
    <w:rsid w:val="00677057"/>
    <w:rsid w:val="00677B7B"/>
    <w:rsid w:val="006824C2"/>
    <w:rsid w:val="00682B2D"/>
    <w:rsid w:val="0068378C"/>
    <w:rsid w:val="00685561"/>
    <w:rsid w:val="0068585E"/>
    <w:rsid w:val="00685FAC"/>
    <w:rsid w:val="006871C2"/>
    <w:rsid w:val="00690564"/>
    <w:rsid w:val="006909EF"/>
    <w:rsid w:val="0069177D"/>
    <w:rsid w:val="0069206D"/>
    <w:rsid w:val="006920AC"/>
    <w:rsid w:val="006942B5"/>
    <w:rsid w:val="006955D3"/>
    <w:rsid w:val="00696605"/>
    <w:rsid w:val="00696E7B"/>
    <w:rsid w:val="00697D2B"/>
    <w:rsid w:val="006A2AA2"/>
    <w:rsid w:val="006A63C0"/>
    <w:rsid w:val="006A72C8"/>
    <w:rsid w:val="006A7F4A"/>
    <w:rsid w:val="006B0159"/>
    <w:rsid w:val="006B04C7"/>
    <w:rsid w:val="006B1B0D"/>
    <w:rsid w:val="006B2322"/>
    <w:rsid w:val="006B2C0B"/>
    <w:rsid w:val="006B3D1E"/>
    <w:rsid w:val="006B3E70"/>
    <w:rsid w:val="006B4BE4"/>
    <w:rsid w:val="006B5072"/>
    <w:rsid w:val="006B7108"/>
    <w:rsid w:val="006B77C6"/>
    <w:rsid w:val="006C04D8"/>
    <w:rsid w:val="006C0EB2"/>
    <w:rsid w:val="006C137E"/>
    <w:rsid w:val="006C1D82"/>
    <w:rsid w:val="006C1F54"/>
    <w:rsid w:val="006C21CB"/>
    <w:rsid w:val="006C319A"/>
    <w:rsid w:val="006C3A7A"/>
    <w:rsid w:val="006C470A"/>
    <w:rsid w:val="006C6C1F"/>
    <w:rsid w:val="006C6D85"/>
    <w:rsid w:val="006D05B8"/>
    <w:rsid w:val="006D0FF8"/>
    <w:rsid w:val="006D10F4"/>
    <w:rsid w:val="006D1401"/>
    <w:rsid w:val="006D2454"/>
    <w:rsid w:val="006D24E2"/>
    <w:rsid w:val="006D2DF6"/>
    <w:rsid w:val="006D3B00"/>
    <w:rsid w:val="006D5AF5"/>
    <w:rsid w:val="006D67FC"/>
    <w:rsid w:val="006D7BE4"/>
    <w:rsid w:val="006E14AC"/>
    <w:rsid w:val="006E1548"/>
    <w:rsid w:val="006E2C99"/>
    <w:rsid w:val="006E2E72"/>
    <w:rsid w:val="006E4A7D"/>
    <w:rsid w:val="006E4EB8"/>
    <w:rsid w:val="006E54C3"/>
    <w:rsid w:val="006E6611"/>
    <w:rsid w:val="006F1058"/>
    <w:rsid w:val="006F2054"/>
    <w:rsid w:val="006F2978"/>
    <w:rsid w:val="006F29C9"/>
    <w:rsid w:val="006F3586"/>
    <w:rsid w:val="006F54D1"/>
    <w:rsid w:val="006F6872"/>
    <w:rsid w:val="006F6A5E"/>
    <w:rsid w:val="006F6BF8"/>
    <w:rsid w:val="006F71C3"/>
    <w:rsid w:val="006F77E0"/>
    <w:rsid w:val="007008FF"/>
    <w:rsid w:val="00703608"/>
    <w:rsid w:val="00711CC2"/>
    <w:rsid w:val="00711DB6"/>
    <w:rsid w:val="00712429"/>
    <w:rsid w:val="00712CFC"/>
    <w:rsid w:val="00712EE6"/>
    <w:rsid w:val="00713DBB"/>
    <w:rsid w:val="0071424D"/>
    <w:rsid w:val="0071432B"/>
    <w:rsid w:val="00714C5D"/>
    <w:rsid w:val="007157F8"/>
    <w:rsid w:val="00716B0F"/>
    <w:rsid w:val="007173DB"/>
    <w:rsid w:val="00717609"/>
    <w:rsid w:val="00717CE0"/>
    <w:rsid w:val="007207E6"/>
    <w:rsid w:val="00721C41"/>
    <w:rsid w:val="007222C6"/>
    <w:rsid w:val="0072374E"/>
    <w:rsid w:val="007243C4"/>
    <w:rsid w:val="00724C9B"/>
    <w:rsid w:val="00725E01"/>
    <w:rsid w:val="007273FC"/>
    <w:rsid w:val="0072797E"/>
    <w:rsid w:val="007305E1"/>
    <w:rsid w:val="0073107A"/>
    <w:rsid w:val="007322A6"/>
    <w:rsid w:val="007329AA"/>
    <w:rsid w:val="007336D3"/>
    <w:rsid w:val="00734C12"/>
    <w:rsid w:val="00734D9A"/>
    <w:rsid w:val="007371EE"/>
    <w:rsid w:val="00737215"/>
    <w:rsid w:val="00737A09"/>
    <w:rsid w:val="0074074C"/>
    <w:rsid w:val="00740D3B"/>
    <w:rsid w:val="007411D9"/>
    <w:rsid w:val="00741DE6"/>
    <w:rsid w:val="00743242"/>
    <w:rsid w:val="0074368A"/>
    <w:rsid w:val="007439AC"/>
    <w:rsid w:val="00745756"/>
    <w:rsid w:val="007471E7"/>
    <w:rsid w:val="007504E6"/>
    <w:rsid w:val="00750CE6"/>
    <w:rsid w:val="00750D46"/>
    <w:rsid w:val="0075125F"/>
    <w:rsid w:val="00752B4F"/>
    <w:rsid w:val="007534BF"/>
    <w:rsid w:val="007539D0"/>
    <w:rsid w:val="00754807"/>
    <w:rsid w:val="00754928"/>
    <w:rsid w:val="007560B2"/>
    <w:rsid w:val="00756BA7"/>
    <w:rsid w:val="0076090E"/>
    <w:rsid w:val="00760D66"/>
    <w:rsid w:val="00761380"/>
    <w:rsid w:val="00761422"/>
    <w:rsid w:val="0076329E"/>
    <w:rsid w:val="00763FFB"/>
    <w:rsid w:val="007641CF"/>
    <w:rsid w:val="00765619"/>
    <w:rsid w:val="00767286"/>
    <w:rsid w:val="00772157"/>
    <w:rsid w:val="00772627"/>
    <w:rsid w:val="00773157"/>
    <w:rsid w:val="00773355"/>
    <w:rsid w:val="00773720"/>
    <w:rsid w:val="00774077"/>
    <w:rsid w:val="00776AAE"/>
    <w:rsid w:val="00777D6E"/>
    <w:rsid w:val="00781AD8"/>
    <w:rsid w:val="00782EAC"/>
    <w:rsid w:val="00783B8B"/>
    <w:rsid w:val="00783C67"/>
    <w:rsid w:val="007862A0"/>
    <w:rsid w:val="00786D8C"/>
    <w:rsid w:val="00790121"/>
    <w:rsid w:val="007901EA"/>
    <w:rsid w:val="00790E2D"/>
    <w:rsid w:val="00791592"/>
    <w:rsid w:val="0079159A"/>
    <w:rsid w:val="00793733"/>
    <w:rsid w:val="00794659"/>
    <w:rsid w:val="00794FA2"/>
    <w:rsid w:val="00795F5E"/>
    <w:rsid w:val="00796120"/>
    <w:rsid w:val="007976AB"/>
    <w:rsid w:val="007A0E5F"/>
    <w:rsid w:val="007A0E75"/>
    <w:rsid w:val="007A177B"/>
    <w:rsid w:val="007A1863"/>
    <w:rsid w:val="007A1D14"/>
    <w:rsid w:val="007A2821"/>
    <w:rsid w:val="007A2FAC"/>
    <w:rsid w:val="007A3EEC"/>
    <w:rsid w:val="007A52E1"/>
    <w:rsid w:val="007A56AD"/>
    <w:rsid w:val="007A7A64"/>
    <w:rsid w:val="007B0E94"/>
    <w:rsid w:val="007B1CB8"/>
    <w:rsid w:val="007B2091"/>
    <w:rsid w:val="007B22F5"/>
    <w:rsid w:val="007B2D2A"/>
    <w:rsid w:val="007B354B"/>
    <w:rsid w:val="007B3902"/>
    <w:rsid w:val="007B39B7"/>
    <w:rsid w:val="007B411D"/>
    <w:rsid w:val="007B5C53"/>
    <w:rsid w:val="007B5E76"/>
    <w:rsid w:val="007B663C"/>
    <w:rsid w:val="007B6925"/>
    <w:rsid w:val="007B75FA"/>
    <w:rsid w:val="007C0ABE"/>
    <w:rsid w:val="007C1F63"/>
    <w:rsid w:val="007C26C6"/>
    <w:rsid w:val="007C5C3E"/>
    <w:rsid w:val="007C633F"/>
    <w:rsid w:val="007C6DA0"/>
    <w:rsid w:val="007C7401"/>
    <w:rsid w:val="007C75EF"/>
    <w:rsid w:val="007C7CBE"/>
    <w:rsid w:val="007D053F"/>
    <w:rsid w:val="007D0BCC"/>
    <w:rsid w:val="007D37EE"/>
    <w:rsid w:val="007D43FE"/>
    <w:rsid w:val="007D5976"/>
    <w:rsid w:val="007E2A34"/>
    <w:rsid w:val="007E4B47"/>
    <w:rsid w:val="007E6760"/>
    <w:rsid w:val="007E6C85"/>
    <w:rsid w:val="007E70A8"/>
    <w:rsid w:val="007F0B0A"/>
    <w:rsid w:val="007F0FDF"/>
    <w:rsid w:val="007F3C51"/>
    <w:rsid w:val="007F40F2"/>
    <w:rsid w:val="007F45D5"/>
    <w:rsid w:val="007F4AEB"/>
    <w:rsid w:val="007F73D4"/>
    <w:rsid w:val="007F7DF1"/>
    <w:rsid w:val="00800BA8"/>
    <w:rsid w:val="0080279B"/>
    <w:rsid w:val="008027A0"/>
    <w:rsid w:val="00804E10"/>
    <w:rsid w:val="008064AE"/>
    <w:rsid w:val="00806AAF"/>
    <w:rsid w:val="00806DF1"/>
    <w:rsid w:val="00807720"/>
    <w:rsid w:val="00807DDC"/>
    <w:rsid w:val="00812210"/>
    <w:rsid w:val="00813EA3"/>
    <w:rsid w:val="00814483"/>
    <w:rsid w:val="00815B5A"/>
    <w:rsid w:val="0081798D"/>
    <w:rsid w:val="00817F99"/>
    <w:rsid w:val="0082135C"/>
    <w:rsid w:val="008221CB"/>
    <w:rsid w:val="008222C7"/>
    <w:rsid w:val="00822598"/>
    <w:rsid w:val="0082409F"/>
    <w:rsid w:val="008242B0"/>
    <w:rsid w:val="0082451E"/>
    <w:rsid w:val="008261CE"/>
    <w:rsid w:val="008270CC"/>
    <w:rsid w:val="00830205"/>
    <w:rsid w:val="008302B5"/>
    <w:rsid w:val="008306F9"/>
    <w:rsid w:val="00831DFA"/>
    <w:rsid w:val="00832840"/>
    <w:rsid w:val="0083468B"/>
    <w:rsid w:val="00834A1E"/>
    <w:rsid w:val="00834BC5"/>
    <w:rsid w:val="0083531C"/>
    <w:rsid w:val="00835328"/>
    <w:rsid w:val="00835A1A"/>
    <w:rsid w:val="00836EC2"/>
    <w:rsid w:val="00837772"/>
    <w:rsid w:val="0083785A"/>
    <w:rsid w:val="00837BF1"/>
    <w:rsid w:val="008400A9"/>
    <w:rsid w:val="0084064C"/>
    <w:rsid w:val="00841423"/>
    <w:rsid w:val="00841BD0"/>
    <w:rsid w:val="00841D69"/>
    <w:rsid w:val="00841FAA"/>
    <w:rsid w:val="008420F1"/>
    <w:rsid w:val="0084273A"/>
    <w:rsid w:val="00842979"/>
    <w:rsid w:val="00844F8D"/>
    <w:rsid w:val="0084587F"/>
    <w:rsid w:val="00846262"/>
    <w:rsid w:val="00846466"/>
    <w:rsid w:val="00850656"/>
    <w:rsid w:val="00851459"/>
    <w:rsid w:val="00851E47"/>
    <w:rsid w:val="008523F3"/>
    <w:rsid w:val="00853CBF"/>
    <w:rsid w:val="00853F84"/>
    <w:rsid w:val="00854334"/>
    <w:rsid w:val="008552EB"/>
    <w:rsid w:val="008577EE"/>
    <w:rsid w:val="00857E95"/>
    <w:rsid w:val="00867523"/>
    <w:rsid w:val="00867779"/>
    <w:rsid w:val="00867D73"/>
    <w:rsid w:val="00870788"/>
    <w:rsid w:val="00872281"/>
    <w:rsid w:val="0087364A"/>
    <w:rsid w:val="00874778"/>
    <w:rsid w:val="00875F67"/>
    <w:rsid w:val="00876C33"/>
    <w:rsid w:val="00877D02"/>
    <w:rsid w:val="008808B6"/>
    <w:rsid w:val="00882896"/>
    <w:rsid w:val="0088401F"/>
    <w:rsid w:val="0088543E"/>
    <w:rsid w:val="00886598"/>
    <w:rsid w:val="00886BBF"/>
    <w:rsid w:val="00887C74"/>
    <w:rsid w:val="008902C8"/>
    <w:rsid w:val="008905D7"/>
    <w:rsid w:val="00893FC6"/>
    <w:rsid w:val="0089448C"/>
    <w:rsid w:val="00894DB7"/>
    <w:rsid w:val="00894F92"/>
    <w:rsid w:val="008956C1"/>
    <w:rsid w:val="00895A3F"/>
    <w:rsid w:val="00896D40"/>
    <w:rsid w:val="00896D77"/>
    <w:rsid w:val="008A014A"/>
    <w:rsid w:val="008A14D0"/>
    <w:rsid w:val="008A2EA9"/>
    <w:rsid w:val="008A3027"/>
    <w:rsid w:val="008A361A"/>
    <w:rsid w:val="008A3D14"/>
    <w:rsid w:val="008A40E7"/>
    <w:rsid w:val="008A4384"/>
    <w:rsid w:val="008A463C"/>
    <w:rsid w:val="008A4699"/>
    <w:rsid w:val="008A4B0C"/>
    <w:rsid w:val="008A6219"/>
    <w:rsid w:val="008A724B"/>
    <w:rsid w:val="008B0458"/>
    <w:rsid w:val="008B094B"/>
    <w:rsid w:val="008B154C"/>
    <w:rsid w:val="008B1A8A"/>
    <w:rsid w:val="008B33E2"/>
    <w:rsid w:val="008B345B"/>
    <w:rsid w:val="008B4920"/>
    <w:rsid w:val="008B75D6"/>
    <w:rsid w:val="008C0196"/>
    <w:rsid w:val="008C12E8"/>
    <w:rsid w:val="008C157D"/>
    <w:rsid w:val="008C1916"/>
    <w:rsid w:val="008C2027"/>
    <w:rsid w:val="008C2964"/>
    <w:rsid w:val="008C2E2E"/>
    <w:rsid w:val="008C3A18"/>
    <w:rsid w:val="008C3D34"/>
    <w:rsid w:val="008C46FE"/>
    <w:rsid w:val="008C47EA"/>
    <w:rsid w:val="008C5780"/>
    <w:rsid w:val="008C63A2"/>
    <w:rsid w:val="008C7040"/>
    <w:rsid w:val="008C708E"/>
    <w:rsid w:val="008C70BD"/>
    <w:rsid w:val="008C7E7F"/>
    <w:rsid w:val="008D16D7"/>
    <w:rsid w:val="008D29CB"/>
    <w:rsid w:val="008D2BA7"/>
    <w:rsid w:val="008D2C85"/>
    <w:rsid w:val="008D3D74"/>
    <w:rsid w:val="008D537D"/>
    <w:rsid w:val="008D5EE9"/>
    <w:rsid w:val="008D6706"/>
    <w:rsid w:val="008D6BC6"/>
    <w:rsid w:val="008E2D1D"/>
    <w:rsid w:val="008E3F38"/>
    <w:rsid w:val="008E4F64"/>
    <w:rsid w:val="008E6205"/>
    <w:rsid w:val="008E6A71"/>
    <w:rsid w:val="008E7073"/>
    <w:rsid w:val="008E7D7B"/>
    <w:rsid w:val="008F20F5"/>
    <w:rsid w:val="008F6B91"/>
    <w:rsid w:val="009018DD"/>
    <w:rsid w:val="00901B05"/>
    <w:rsid w:val="009044FD"/>
    <w:rsid w:val="00904908"/>
    <w:rsid w:val="00904F01"/>
    <w:rsid w:val="00904F4C"/>
    <w:rsid w:val="009050CB"/>
    <w:rsid w:val="00905570"/>
    <w:rsid w:val="009068F3"/>
    <w:rsid w:val="00907F3E"/>
    <w:rsid w:val="00910F1D"/>
    <w:rsid w:val="0091198D"/>
    <w:rsid w:val="00912457"/>
    <w:rsid w:val="009144E4"/>
    <w:rsid w:val="00914A77"/>
    <w:rsid w:val="00914E1B"/>
    <w:rsid w:val="00915B0D"/>
    <w:rsid w:val="00915CE5"/>
    <w:rsid w:val="009162E8"/>
    <w:rsid w:val="00916493"/>
    <w:rsid w:val="009166C7"/>
    <w:rsid w:val="00916829"/>
    <w:rsid w:val="009171B1"/>
    <w:rsid w:val="0091786A"/>
    <w:rsid w:val="00920388"/>
    <w:rsid w:val="00920C1B"/>
    <w:rsid w:val="00921BE0"/>
    <w:rsid w:val="00922BDA"/>
    <w:rsid w:val="009231E3"/>
    <w:rsid w:val="009237BF"/>
    <w:rsid w:val="00925E5E"/>
    <w:rsid w:val="00926F0D"/>
    <w:rsid w:val="00926FB2"/>
    <w:rsid w:val="00927D49"/>
    <w:rsid w:val="00930B65"/>
    <w:rsid w:val="0093142E"/>
    <w:rsid w:val="00932203"/>
    <w:rsid w:val="0093251A"/>
    <w:rsid w:val="0093336B"/>
    <w:rsid w:val="009336C8"/>
    <w:rsid w:val="00934839"/>
    <w:rsid w:val="00934AE5"/>
    <w:rsid w:val="00934E93"/>
    <w:rsid w:val="009373AE"/>
    <w:rsid w:val="00937EFF"/>
    <w:rsid w:val="00940A45"/>
    <w:rsid w:val="00940B67"/>
    <w:rsid w:val="0094142B"/>
    <w:rsid w:val="00942384"/>
    <w:rsid w:val="00943D38"/>
    <w:rsid w:val="00944946"/>
    <w:rsid w:val="00944EDF"/>
    <w:rsid w:val="009451DD"/>
    <w:rsid w:val="009513FB"/>
    <w:rsid w:val="00951C22"/>
    <w:rsid w:val="009538C9"/>
    <w:rsid w:val="00954225"/>
    <w:rsid w:val="0095576F"/>
    <w:rsid w:val="009558CD"/>
    <w:rsid w:val="00956E55"/>
    <w:rsid w:val="00957AE4"/>
    <w:rsid w:val="009606F3"/>
    <w:rsid w:val="00961886"/>
    <w:rsid w:val="009626EE"/>
    <w:rsid w:val="009629E4"/>
    <w:rsid w:val="00963302"/>
    <w:rsid w:val="00963F15"/>
    <w:rsid w:val="00965072"/>
    <w:rsid w:val="0096549E"/>
    <w:rsid w:val="00965D41"/>
    <w:rsid w:val="009661A3"/>
    <w:rsid w:val="009665FC"/>
    <w:rsid w:val="00966898"/>
    <w:rsid w:val="00966EE4"/>
    <w:rsid w:val="009708B5"/>
    <w:rsid w:val="00970A0D"/>
    <w:rsid w:val="00971387"/>
    <w:rsid w:val="00971606"/>
    <w:rsid w:val="00971D6B"/>
    <w:rsid w:val="00972CB9"/>
    <w:rsid w:val="00973FCD"/>
    <w:rsid w:val="00974794"/>
    <w:rsid w:val="009775FC"/>
    <w:rsid w:val="00977F39"/>
    <w:rsid w:val="009802D3"/>
    <w:rsid w:val="009810C2"/>
    <w:rsid w:val="00981373"/>
    <w:rsid w:val="00982717"/>
    <w:rsid w:val="00983DFB"/>
    <w:rsid w:val="009844FE"/>
    <w:rsid w:val="00984C84"/>
    <w:rsid w:val="00985A70"/>
    <w:rsid w:val="00985D9F"/>
    <w:rsid w:val="00986AD1"/>
    <w:rsid w:val="00990000"/>
    <w:rsid w:val="0099061F"/>
    <w:rsid w:val="009908FE"/>
    <w:rsid w:val="0099225A"/>
    <w:rsid w:val="00994AC1"/>
    <w:rsid w:val="00995A27"/>
    <w:rsid w:val="009962CA"/>
    <w:rsid w:val="00996807"/>
    <w:rsid w:val="00996B34"/>
    <w:rsid w:val="00997FBF"/>
    <w:rsid w:val="009A1904"/>
    <w:rsid w:val="009A1E68"/>
    <w:rsid w:val="009A2CD0"/>
    <w:rsid w:val="009A4CC3"/>
    <w:rsid w:val="009A6D32"/>
    <w:rsid w:val="009A78A0"/>
    <w:rsid w:val="009A7B83"/>
    <w:rsid w:val="009A7D06"/>
    <w:rsid w:val="009A7FAE"/>
    <w:rsid w:val="009B0B91"/>
    <w:rsid w:val="009B1475"/>
    <w:rsid w:val="009B17AC"/>
    <w:rsid w:val="009B280D"/>
    <w:rsid w:val="009B3D63"/>
    <w:rsid w:val="009B5B5A"/>
    <w:rsid w:val="009B63E2"/>
    <w:rsid w:val="009B76CC"/>
    <w:rsid w:val="009C0442"/>
    <w:rsid w:val="009C2FA6"/>
    <w:rsid w:val="009C4900"/>
    <w:rsid w:val="009C4A77"/>
    <w:rsid w:val="009C4D01"/>
    <w:rsid w:val="009C5A0A"/>
    <w:rsid w:val="009C5B32"/>
    <w:rsid w:val="009C6355"/>
    <w:rsid w:val="009C69B4"/>
    <w:rsid w:val="009C6B63"/>
    <w:rsid w:val="009C6D74"/>
    <w:rsid w:val="009D0766"/>
    <w:rsid w:val="009D342E"/>
    <w:rsid w:val="009D4417"/>
    <w:rsid w:val="009E047C"/>
    <w:rsid w:val="009E1A18"/>
    <w:rsid w:val="009E20D5"/>
    <w:rsid w:val="009E2726"/>
    <w:rsid w:val="009E2F8E"/>
    <w:rsid w:val="009E3164"/>
    <w:rsid w:val="009E3F92"/>
    <w:rsid w:val="009E470A"/>
    <w:rsid w:val="009E4D48"/>
    <w:rsid w:val="009E5163"/>
    <w:rsid w:val="009E5BA4"/>
    <w:rsid w:val="009E5E41"/>
    <w:rsid w:val="009E611F"/>
    <w:rsid w:val="009E62E8"/>
    <w:rsid w:val="009E658B"/>
    <w:rsid w:val="009E6B6F"/>
    <w:rsid w:val="009E76FA"/>
    <w:rsid w:val="009F3346"/>
    <w:rsid w:val="009F365A"/>
    <w:rsid w:val="009F3CD8"/>
    <w:rsid w:val="009F5ACF"/>
    <w:rsid w:val="009F6159"/>
    <w:rsid w:val="009F69BA"/>
    <w:rsid w:val="009F77B5"/>
    <w:rsid w:val="009F77CE"/>
    <w:rsid w:val="00A00BB8"/>
    <w:rsid w:val="00A00DD6"/>
    <w:rsid w:val="00A0164D"/>
    <w:rsid w:val="00A01D46"/>
    <w:rsid w:val="00A01F25"/>
    <w:rsid w:val="00A02007"/>
    <w:rsid w:val="00A0230D"/>
    <w:rsid w:val="00A024B9"/>
    <w:rsid w:val="00A02A7B"/>
    <w:rsid w:val="00A03532"/>
    <w:rsid w:val="00A03614"/>
    <w:rsid w:val="00A044DD"/>
    <w:rsid w:val="00A04704"/>
    <w:rsid w:val="00A067B7"/>
    <w:rsid w:val="00A06BB5"/>
    <w:rsid w:val="00A07828"/>
    <w:rsid w:val="00A07D90"/>
    <w:rsid w:val="00A104D3"/>
    <w:rsid w:val="00A12108"/>
    <w:rsid w:val="00A12FEA"/>
    <w:rsid w:val="00A132E3"/>
    <w:rsid w:val="00A162B2"/>
    <w:rsid w:val="00A170BA"/>
    <w:rsid w:val="00A17126"/>
    <w:rsid w:val="00A1721C"/>
    <w:rsid w:val="00A2310A"/>
    <w:rsid w:val="00A23D2A"/>
    <w:rsid w:val="00A2452E"/>
    <w:rsid w:val="00A2499B"/>
    <w:rsid w:val="00A24C97"/>
    <w:rsid w:val="00A26DF8"/>
    <w:rsid w:val="00A273BE"/>
    <w:rsid w:val="00A276E4"/>
    <w:rsid w:val="00A3006B"/>
    <w:rsid w:val="00A3043C"/>
    <w:rsid w:val="00A30D72"/>
    <w:rsid w:val="00A316E1"/>
    <w:rsid w:val="00A33028"/>
    <w:rsid w:val="00A3359F"/>
    <w:rsid w:val="00A34337"/>
    <w:rsid w:val="00A35C2C"/>
    <w:rsid w:val="00A35C61"/>
    <w:rsid w:val="00A3752A"/>
    <w:rsid w:val="00A37883"/>
    <w:rsid w:val="00A40FBC"/>
    <w:rsid w:val="00A42366"/>
    <w:rsid w:val="00A42806"/>
    <w:rsid w:val="00A43643"/>
    <w:rsid w:val="00A4454C"/>
    <w:rsid w:val="00A455CE"/>
    <w:rsid w:val="00A46612"/>
    <w:rsid w:val="00A467A3"/>
    <w:rsid w:val="00A473C2"/>
    <w:rsid w:val="00A47AFE"/>
    <w:rsid w:val="00A47C0C"/>
    <w:rsid w:val="00A50548"/>
    <w:rsid w:val="00A50AE6"/>
    <w:rsid w:val="00A52EC0"/>
    <w:rsid w:val="00A52FA3"/>
    <w:rsid w:val="00A53C1D"/>
    <w:rsid w:val="00A542E9"/>
    <w:rsid w:val="00A54676"/>
    <w:rsid w:val="00A54CAF"/>
    <w:rsid w:val="00A54F09"/>
    <w:rsid w:val="00A57B7E"/>
    <w:rsid w:val="00A60565"/>
    <w:rsid w:val="00A635CF"/>
    <w:rsid w:val="00A63A93"/>
    <w:rsid w:val="00A65FCC"/>
    <w:rsid w:val="00A6763E"/>
    <w:rsid w:val="00A70881"/>
    <w:rsid w:val="00A73F97"/>
    <w:rsid w:val="00A740CF"/>
    <w:rsid w:val="00A740D5"/>
    <w:rsid w:val="00A746AB"/>
    <w:rsid w:val="00A755F0"/>
    <w:rsid w:val="00A75A22"/>
    <w:rsid w:val="00A76214"/>
    <w:rsid w:val="00A7632C"/>
    <w:rsid w:val="00A765A7"/>
    <w:rsid w:val="00A76D44"/>
    <w:rsid w:val="00A77061"/>
    <w:rsid w:val="00A77B6D"/>
    <w:rsid w:val="00A77C79"/>
    <w:rsid w:val="00A80776"/>
    <w:rsid w:val="00A814A4"/>
    <w:rsid w:val="00A81514"/>
    <w:rsid w:val="00A81789"/>
    <w:rsid w:val="00A84E27"/>
    <w:rsid w:val="00A85CB1"/>
    <w:rsid w:val="00A8685C"/>
    <w:rsid w:val="00A873F2"/>
    <w:rsid w:val="00A87990"/>
    <w:rsid w:val="00A90829"/>
    <w:rsid w:val="00A90847"/>
    <w:rsid w:val="00A91460"/>
    <w:rsid w:val="00A922D2"/>
    <w:rsid w:val="00A93B9E"/>
    <w:rsid w:val="00A9414B"/>
    <w:rsid w:val="00A94338"/>
    <w:rsid w:val="00A94DE4"/>
    <w:rsid w:val="00A95D1A"/>
    <w:rsid w:val="00A95FBA"/>
    <w:rsid w:val="00A9741F"/>
    <w:rsid w:val="00A9761A"/>
    <w:rsid w:val="00AA1B66"/>
    <w:rsid w:val="00AA1D64"/>
    <w:rsid w:val="00AA2DC4"/>
    <w:rsid w:val="00AA5233"/>
    <w:rsid w:val="00AA5343"/>
    <w:rsid w:val="00AA6037"/>
    <w:rsid w:val="00AA6EA9"/>
    <w:rsid w:val="00AA78C1"/>
    <w:rsid w:val="00AA7A17"/>
    <w:rsid w:val="00AA7EBD"/>
    <w:rsid w:val="00AB1889"/>
    <w:rsid w:val="00AB23BD"/>
    <w:rsid w:val="00AB284D"/>
    <w:rsid w:val="00AB3CD4"/>
    <w:rsid w:val="00AB4F10"/>
    <w:rsid w:val="00AB581F"/>
    <w:rsid w:val="00AB6010"/>
    <w:rsid w:val="00AB68F1"/>
    <w:rsid w:val="00AB6C5D"/>
    <w:rsid w:val="00AB783E"/>
    <w:rsid w:val="00AC0025"/>
    <w:rsid w:val="00AC0209"/>
    <w:rsid w:val="00AC0D9E"/>
    <w:rsid w:val="00AC17EF"/>
    <w:rsid w:val="00AC2F68"/>
    <w:rsid w:val="00AC39DB"/>
    <w:rsid w:val="00AC3B28"/>
    <w:rsid w:val="00AC3C51"/>
    <w:rsid w:val="00AC4493"/>
    <w:rsid w:val="00AC5082"/>
    <w:rsid w:val="00AC5E48"/>
    <w:rsid w:val="00AC5EA8"/>
    <w:rsid w:val="00AC7265"/>
    <w:rsid w:val="00AD081E"/>
    <w:rsid w:val="00AD3866"/>
    <w:rsid w:val="00AD38C9"/>
    <w:rsid w:val="00AD6647"/>
    <w:rsid w:val="00AD66A2"/>
    <w:rsid w:val="00AD761D"/>
    <w:rsid w:val="00AD7DEF"/>
    <w:rsid w:val="00AE0ED0"/>
    <w:rsid w:val="00AE3D6C"/>
    <w:rsid w:val="00AE4712"/>
    <w:rsid w:val="00AE4B57"/>
    <w:rsid w:val="00AE6FA4"/>
    <w:rsid w:val="00AF069B"/>
    <w:rsid w:val="00AF0978"/>
    <w:rsid w:val="00AF097E"/>
    <w:rsid w:val="00AF1580"/>
    <w:rsid w:val="00AF241D"/>
    <w:rsid w:val="00AF508C"/>
    <w:rsid w:val="00AF511B"/>
    <w:rsid w:val="00AF5B03"/>
    <w:rsid w:val="00AF5B36"/>
    <w:rsid w:val="00AF5E8F"/>
    <w:rsid w:val="00AF6AC6"/>
    <w:rsid w:val="00B026D6"/>
    <w:rsid w:val="00B031FF"/>
    <w:rsid w:val="00B033B7"/>
    <w:rsid w:val="00B03E25"/>
    <w:rsid w:val="00B0460A"/>
    <w:rsid w:val="00B04B45"/>
    <w:rsid w:val="00B06222"/>
    <w:rsid w:val="00B07800"/>
    <w:rsid w:val="00B101BA"/>
    <w:rsid w:val="00B1075E"/>
    <w:rsid w:val="00B10A1E"/>
    <w:rsid w:val="00B1330F"/>
    <w:rsid w:val="00B13636"/>
    <w:rsid w:val="00B14406"/>
    <w:rsid w:val="00B15CBD"/>
    <w:rsid w:val="00B161A0"/>
    <w:rsid w:val="00B16FA0"/>
    <w:rsid w:val="00B176B0"/>
    <w:rsid w:val="00B21190"/>
    <w:rsid w:val="00B21A21"/>
    <w:rsid w:val="00B227A4"/>
    <w:rsid w:val="00B22C35"/>
    <w:rsid w:val="00B23EBE"/>
    <w:rsid w:val="00B24F26"/>
    <w:rsid w:val="00B255E6"/>
    <w:rsid w:val="00B258A7"/>
    <w:rsid w:val="00B2619C"/>
    <w:rsid w:val="00B26AE5"/>
    <w:rsid w:val="00B275A9"/>
    <w:rsid w:val="00B30040"/>
    <w:rsid w:val="00B302FC"/>
    <w:rsid w:val="00B30463"/>
    <w:rsid w:val="00B31B26"/>
    <w:rsid w:val="00B31C72"/>
    <w:rsid w:val="00B31DAC"/>
    <w:rsid w:val="00B32869"/>
    <w:rsid w:val="00B32C32"/>
    <w:rsid w:val="00B32F89"/>
    <w:rsid w:val="00B41AB6"/>
    <w:rsid w:val="00B43765"/>
    <w:rsid w:val="00B43E54"/>
    <w:rsid w:val="00B43FEB"/>
    <w:rsid w:val="00B44117"/>
    <w:rsid w:val="00B442EF"/>
    <w:rsid w:val="00B44668"/>
    <w:rsid w:val="00B45777"/>
    <w:rsid w:val="00B45CB1"/>
    <w:rsid w:val="00B46B06"/>
    <w:rsid w:val="00B47342"/>
    <w:rsid w:val="00B50247"/>
    <w:rsid w:val="00B507B4"/>
    <w:rsid w:val="00B533C6"/>
    <w:rsid w:val="00B537D9"/>
    <w:rsid w:val="00B54A0C"/>
    <w:rsid w:val="00B56193"/>
    <w:rsid w:val="00B5651E"/>
    <w:rsid w:val="00B56730"/>
    <w:rsid w:val="00B56819"/>
    <w:rsid w:val="00B56A2A"/>
    <w:rsid w:val="00B57283"/>
    <w:rsid w:val="00B6032E"/>
    <w:rsid w:val="00B610D5"/>
    <w:rsid w:val="00B628D9"/>
    <w:rsid w:val="00B6376C"/>
    <w:rsid w:val="00B64203"/>
    <w:rsid w:val="00B6445C"/>
    <w:rsid w:val="00B64614"/>
    <w:rsid w:val="00B654A0"/>
    <w:rsid w:val="00B6680C"/>
    <w:rsid w:val="00B66A14"/>
    <w:rsid w:val="00B7034D"/>
    <w:rsid w:val="00B709E2"/>
    <w:rsid w:val="00B70E20"/>
    <w:rsid w:val="00B725D5"/>
    <w:rsid w:val="00B72A9E"/>
    <w:rsid w:val="00B7409B"/>
    <w:rsid w:val="00B7414D"/>
    <w:rsid w:val="00B74372"/>
    <w:rsid w:val="00B75108"/>
    <w:rsid w:val="00B77C0D"/>
    <w:rsid w:val="00B77D4B"/>
    <w:rsid w:val="00B77DE1"/>
    <w:rsid w:val="00B813AD"/>
    <w:rsid w:val="00B82A7E"/>
    <w:rsid w:val="00B868BF"/>
    <w:rsid w:val="00B8693F"/>
    <w:rsid w:val="00B87056"/>
    <w:rsid w:val="00B877CC"/>
    <w:rsid w:val="00B91A9B"/>
    <w:rsid w:val="00B927EA"/>
    <w:rsid w:val="00B92F85"/>
    <w:rsid w:val="00B94298"/>
    <w:rsid w:val="00B9499E"/>
    <w:rsid w:val="00B97A6C"/>
    <w:rsid w:val="00B97B44"/>
    <w:rsid w:val="00BA106F"/>
    <w:rsid w:val="00BA1141"/>
    <w:rsid w:val="00BA1351"/>
    <w:rsid w:val="00BA167D"/>
    <w:rsid w:val="00BA1A95"/>
    <w:rsid w:val="00BA1D4F"/>
    <w:rsid w:val="00BA2071"/>
    <w:rsid w:val="00BA24F0"/>
    <w:rsid w:val="00BA279C"/>
    <w:rsid w:val="00BA2AB1"/>
    <w:rsid w:val="00BA36E9"/>
    <w:rsid w:val="00BA5184"/>
    <w:rsid w:val="00BB0EBB"/>
    <w:rsid w:val="00BB1209"/>
    <w:rsid w:val="00BB1BDD"/>
    <w:rsid w:val="00BB257A"/>
    <w:rsid w:val="00BB30AB"/>
    <w:rsid w:val="00BB343D"/>
    <w:rsid w:val="00BB407B"/>
    <w:rsid w:val="00BB42C7"/>
    <w:rsid w:val="00BB47D3"/>
    <w:rsid w:val="00BB49B8"/>
    <w:rsid w:val="00BB4E27"/>
    <w:rsid w:val="00BB51FD"/>
    <w:rsid w:val="00BB59EF"/>
    <w:rsid w:val="00BB5CF9"/>
    <w:rsid w:val="00BB6591"/>
    <w:rsid w:val="00BB6A2C"/>
    <w:rsid w:val="00BB6F0B"/>
    <w:rsid w:val="00BB70C1"/>
    <w:rsid w:val="00BC086A"/>
    <w:rsid w:val="00BC170F"/>
    <w:rsid w:val="00BC25DF"/>
    <w:rsid w:val="00BC3F17"/>
    <w:rsid w:val="00BC40E4"/>
    <w:rsid w:val="00BC4BFF"/>
    <w:rsid w:val="00BC5085"/>
    <w:rsid w:val="00BC56B5"/>
    <w:rsid w:val="00BC5BEA"/>
    <w:rsid w:val="00BC5D41"/>
    <w:rsid w:val="00BC6263"/>
    <w:rsid w:val="00BD00D3"/>
    <w:rsid w:val="00BD101D"/>
    <w:rsid w:val="00BD16AC"/>
    <w:rsid w:val="00BD25B8"/>
    <w:rsid w:val="00BD2E94"/>
    <w:rsid w:val="00BD499E"/>
    <w:rsid w:val="00BD4B46"/>
    <w:rsid w:val="00BD5DEB"/>
    <w:rsid w:val="00BD62EF"/>
    <w:rsid w:val="00BD7449"/>
    <w:rsid w:val="00BD7EAF"/>
    <w:rsid w:val="00BE0FCC"/>
    <w:rsid w:val="00BE2E48"/>
    <w:rsid w:val="00BE3017"/>
    <w:rsid w:val="00BE3924"/>
    <w:rsid w:val="00BE3B96"/>
    <w:rsid w:val="00BE52FC"/>
    <w:rsid w:val="00BE5380"/>
    <w:rsid w:val="00BE5C49"/>
    <w:rsid w:val="00BE609D"/>
    <w:rsid w:val="00BE6289"/>
    <w:rsid w:val="00BE6A03"/>
    <w:rsid w:val="00BE707A"/>
    <w:rsid w:val="00BE77BF"/>
    <w:rsid w:val="00BF1739"/>
    <w:rsid w:val="00BF1E88"/>
    <w:rsid w:val="00BF1F53"/>
    <w:rsid w:val="00BF2D15"/>
    <w:rsid w:val="00BF35F9"/>
    <w:rsid w:val="00BF4BED"/>
    <w:rsid w:val="00BF4D7E"/>
    <w:rsid w:val="00BF5802"/>
    <w:rsid w:val="00C013E7"/>
    <w:rsid w:val="00C02A44"/>
    <w:rsid w:val="00C039B4"/>
    <w:rsid w:val="00C03D6C"/>
    <w:rsid w:val="00C04BFB"/>
    <w:rsid w:val="00C05BA2"/>
    <w:rsid w:val="00C061D4"/>
    <w:rsid w:val="00C10293"/>
    <w:rsid w:val="00C10887"/>
    <w:rsid w:val="00C1272F"/>
    <w:rsid w:val="00C1294F"/>
    <w:rsid w:val="00C152D8"/>
    <w:rsid w:val="00C164B7"/>
    <w:rsid w:val="00C16B66"/>
    <w:rsid w:val="00C177F2"/>
    <w:rsid w:val="00C17861"/>
    <w:rsid w:val="00C17ABB"/>
    <w:rsid w:val="00C20D59"/>
    <w:rsid w:val="00C22C93"/>
    <w:rsid w:val="00C2301D"/>
    <w:rsid w:val="00C25008"/>
    <w:rsid w:val="00C26A12"/>
    <w:rsid w:val="00C27222"/>
    <w:rsid w:val="00C27F3D"/>
    <w:rsid w:val="00C30F26"/>
    <w:rsid w:val="00C3147A"/>
    <w:rsid w:val="00C3184D"/>
    <w:rsid w:val="00C322FD"/>
    <w:rsid w:val="00C32E09"/>
    <w:rsid w:val="00C333BF"/>
    <w:rsid w:val="00C366CA"/>
    <w:rsid w:val="00C369CE"/>
    <w:rsid w:val="00C36C79"/>
    <w:rsid w:val="00C4033D"/>
    <w:rsid w:val="00C40502"/>
    <w:rsid w:val="00C421FB"/>
    <w:rsid w:val="00C4225A"/>
    <w:rsid w:val="00C42A32"/>
    <w:rsid w:val="00C434EA"/>
    <w:rsid w:val="00C43859"/>
    <w:rsid w:val="00C44072"/>
    <w:rsid w:val="00C4438B"/>
    <w:rsid w:val="00C44B27"/>
    <w:rsid w:val="00C45507"/>
    <w:rsid w:val="00C45FE8"/>
    <w:rsid w:val="00C46E3C"/>
    <w:rsid w:val="00C47AB4"/>
    <w:rsid w:val="00C47C72"/>
    <w:rsid w:val="00C5206A"/>
    <w:rsid w:val="00C52B08"/>
    <w:rsid w:val="00C53B0C"/>
    <w:rsid w:val="00C556D5"/>
    <w:rsid w:val="00C55C42"/>
    <w:rsid w:val="00C5688E"/>
    <w:rsid w:val="00C60563"/>
    <w:rsid w:val="00C60FD6"/>
    <w:rsid w:val="00C6240B"/>
    <w:rsid w:val="00C6307D"/>
    <w:rsid w:val="00C63261"/>
    <w:rsid w:val="00C6371B"/>
    <w:rsid w:val="00C64054"/>
    <w:rsid w:val="00C64AC4"/>
    <w:rsid w:val="00C656F7"/>
    <w:rsid w:val="00C65FB8"/>
    <w:rsid w:val="00C66B14"/>
    <w:rsid w:val="00C67F8D"/>
    <w:rsid w:val="00C70226"/>
    <w:rsid w:val="00C7026F"/>
    <w:rsid w:val="00C7066D"/>
    <w:rsid w:val="00C708F7"/>
    <w:rsid w:val="00C70AE9"/>
    <w:rsid w:val="00C718E0"/>
    <w:rsid w:val="00C72BE8"/>
    <w:rsid w:val="00C73417"/>
    <w:rsid w:val="00C73A3B"/>
    <w:rsid w:val="00C73FC0"/>
    <w:rsid w:val="00C7509D"/>
    <w:rsid w:val="00C75366"/>
    <w:rsid w:val="00C7622F"/>
    <w:rsid w:val="00C764C4"/>
    <w:rsid w:val="00C76B4F"/>
    <w:rsid w:val="00C8199B"/>
    <w:rsid w:val="00C81F0D"/>
    <w:rsid w:val="00C82792"/>
    <w:rsid w:val="00C82C60"/>
    <w:rsid w:val="00C84B30"/>
    <w:rsid w:val="00C853F0"/>
    <w:rsid w:val="00C857C8"/>
    <w:rsid w:val="00C85A7B"/>
    <w:rsid w:val="00C865E3"/>
    <w:rsid w:val="00C86C6F"/>
    <w:rsid w:val="00C86F94"/>
    <w:rsid w:val="00C92937"/>
    <w:rsid w:val="00CA0C9E"/>
    <w:rsid w:val="00CA1495"/>
    <w:rsid w:val="00CA16DD"/>
    <w:rsid w:val="00CA1B93"/>
    <w:rsid w:val="00CA31A4"/>
    <w:rsid w:val="00CA4742"/>
    <w:rsid w:val="00CA480E"/>
    <w:rsid w:val="00CA60EC"/>
    <w:rsid w:val="00CA6835"/>
    <w:rsid w:val="00CB18DB"/>
    <w:rsid w:val="00CB2EE5"/>
    <w:rsid w:val="00CB341D"/>
    <w:rsid w:val="00CB3432"/>
    <w:rsid w:val="00CB538A"/>
    <w:rsid w:val="00CB5C4F"/>
    <w:rsid w:val="00CB67E6"/>
    <w:rsid w:val="00CB795C"/>
    <w:rsid w:val="00CC0F69"/>
    <w:rsid w:val="00CC22F1"/>
    <w:rsid w:val="00CC3E21"/>
    <w:rsid w:val="00CC75B3"/>
    <w:rsid w:val="00CC7C83"/>
    <w:rsid w:val="00CD0DD0"/>
    <w:rsid w:val="00CD2443"/>
    <w:rsid w:val="00CD2D4E"/>
    <w:rsid w:val="00CD3649"/>
    <w:rsid w:val="00CD4FD7"/>
    <w:rsid w:val="00CD5139"/>
    <w:rsid w:val="00CD5E49"/>
    <w:rsid w:val="00CD63D8"/>
    <w:rsid w:val="00CD7C5F"/>
    <w:rsid w:val="00CE047F"/>
    <w:rsid w:val="00CE0A79"/>
    <w:rsid w:val="00CE0B66"/>
    <w:rsid w:val="00CE130D"/>
    <w:rsid w:val="00CE2B90"/>
    <w:rsid w:val="00CE38C3"/>
    <w:rsid w:val="00CE42C3"/>
    <w:rsid w:val="00CE495C"/>
    <w:rsid w:val="00CE50B1"/>
    <w:rsid w:val="00CE5420"/>
    <w:rsid w:val="00CE59D1"/>
    <w:rsid w:val="00CE5A5D"/>
    <w:rsid w:val="00CE614F"/>
    <w:rsid w:val="00CF0325"/>
    <w:rsid w:val="00CF03FC"/>
    <w:rsid w:val="00CF0F2C"/>
    <w:rsid w:val="00CF1BDA"/>
    <w:rsid w:val="00CF3256"/>
    <w:rsid w:val="00CF32F0"/>
    <w:rsid w:val="00CF3B42"/>
    <w:rsid w:val="00CF4ED6"/>
    <w:rsid w:val="00CF5386"/>
    <w:rsid w:val="00CF55E3"/>
    <w:rsid w:val="00CF6CB0"/>
    <w:rsid w:val="00CF6D56"/>
    <w:rsid w:val="00CF7904"/>
    <w:rsid w:val="00D00DF4"/>
    <w:rsid w:val="00D00E27"/>
    <w:rsid w:val="00D010CA"/>
    <w:rsid w:val="00D01115"/>
    <w:rsid w:val="00D018F6"/>
    <w:rsid w:val="00D0200E"/>
    <w:rsid w:val="00D033E0"/>
    <w:rsid w:val="00D0351A"/>
    <w:rsid w:val="00D0463B"/>
    <w:rsid w:val="00D054B7"/>
    <w:rsid w:val="00D05E0D"/>
    <w:rsid w:val="00D077C9"/>
    <w:rsid w:val="00D07DBD"/>
    <w:rsid w:val="00D11812"/>
    <w:rsid w:val="00D147DA"/>
    <w:rsid w:val="00D162E1"/>
    <w:rsid w:val="00D17555"/>
    <w:rsid w:val="00D17575"/>
    <w:rsid w:val="00D17BC7"/>
    <w:rsid w:val="00D2089B"/>
    <w:rsid w:val="00D21AA3"/>
    <w:rsid w:val="00D21FEE"/>
    <w:rsid w:val="00D233D6"/>
    <w:rsid w:val="00D248F3"/>
    <w:rsid w:val="00D24E76"/>
    <w:rsid w:val="00D25062"/>
    <w:rsid w:val="00D25D30"/>
    <w:rsid w:val="00D26370"/>
    <w:rsid w:val="00D26782"/>
    <w:rsid w:val="00D26E57"/>
    <w:rsid w:val="00D26EEA"/>
    <w:rsid w:val="00D3217F"/>
    <w:rsid w:val="00D331C7"/>
    <w:rsid w:val="00D3623A"/>
    <w:rsid w:val="00D365FC"/>
    <w:rsid w:val="00D3660E"/>
    <w:rsid w:val="00D373CE"/>
    <w:rsid w:val="00D404EC"/>
    <w:rsid w:val="00D438CF"/>
    <w:rsid w:val="00D469D8"/>
    <w:rsid w:val="00D46ACD"/>
    <w:rsid w:val="00D519E6"/>
    <w:rsid w:val="00D54C53"/>
    <w:rsid w:val="00D55B71"/>
    <w:rsid w:val="00D603EF"/>
    <w:rsid w:val="00D606D8"/>
    <w:rsid w:val="00D60702"/>
    <w:rsid w:val="00D6187A"/>
    <w:rsid w:val="00D63243"/>
    <w:rsid w:val="00D636C2"/>
    <w:rsid w:val="00D63940"/>
    <w:rsid w:val="00D63972"/>
    <w:rsid w:val="00D641E4"/>
    <w:rsid w:val="00D64310"/>
    <w:rsid w:val="00D643CC"/>
    <w:rsid w:val="00D64420"/>
    <w:rsid w:val="00D654BF"/>
    <w:rsid w:val="00D6606B"/>
    <w:rsid w:val="00D66187"/>
    <w:rsid w:val="00D66910"/>
    <w:rsid w:val="00D71A23"/>
    <w:rsid w:val="00D72BED"/>
    <w:rsid w:val="00D74BB8"/>
    <w:rsid w:val="00D75629"/>
    <w:rsid w:val="00D802E1"/>
    <w:rsid w:val="00D80438"/>
    <w:rsid w:val="00D805AA"/>
    <w:rsid w:val="00D80647"/>
    <w:rsid w:val="00D80785"/>
    <w:rsid w:val="00D853C6"/>
    <w:rsid w:val="00D8611D"/>
    <w:rsid w:val="00D86FB8"/>
    <w:rsid w:val="00D90A1C"/>
    <w:rsid w:val="00D9364C"/>
    <w:rsid w:val="00D943F9"/>
    <w:rsid w:val="00D95F8C"/>
    <w:rsid w:val="00D97D9B"/>
    <w:rsid w:val="00DA09B9"/>
    <w:rsid w:val="00DA13CE"/>
    <w:rsid w:val="00DA1B7C"/>
    <w:rsid w:val="00DA4218"/>
    <w:rsid w:val="00DA5E27"/>
    <w:rsid w:val="00DA65D0"/>
    <w:rsid w:val="00DA7F4C"/>
    <w:rsid w:val="00DB0639"/>
    <w:rsid w:val="00DB0E14"/>
    <w:rsid w:val="00DB1BD3"/>
    <w:rsid w:val="00DB1C6C"/>
    <w:rsid w:val="00DB2D1E"/>
    <w:rsid w:val="00DB2F92"/>
    <w:rsid w:val="00DB5DB2"/>
    <w:rsid w:val="00DB7CD3"/>
    <w:rsid w:val="00DC01E1"/>
    <w:rsid w:val="00DC030A"/>
    <w:rsid w:val="00DC0419"/>
    <w:rsid w:val="00DC1DD6"/>
    <w:rsid w:val="00DC284C"/>
    <w:rsid w:val="00DC3882"/>
    <w:rsid w:val="00DC395F"/>
    <w:rsid w:val="00DC4F58"/>
    <w:rsid w:val="00DC52D9"/>
    <w:rsid w:val="00DC6DEC"/>
    <w:rsid w:val="00DD1FA9"/>
    <w:rsid w:val="00DD2876"/>
    <w:rsid w:val="00DD28B9"/>
    <w:rsid w:val="00DD4641"/>
    <w:rsid w:val="00DD4B62"/>
    <w:rsid w:val="00DD4D13"/>
    <w:rsid w:val="00DD564D"/>
    <w:rsid w:val="00DD5701"/>
    <w:rsid w:val="00DD6148"/>
    <w:rsid w:val="00DD6BEF"/>
    <w:rsid w:val="00DD7DAE"/>
    <w:rsid w:val="00DD7E8E"/>
    <w:rsid w:val="00DE0442"/>
    <w:rsid w:val="00DE0510"/>
    <w:rsid w:val="00DE0A73"/>
    <w:rsid w:val="00DE146E"/>
    <w:rsid w:val="00DE167C"/>
    <w:rsid w:val="00DE1E3C"/>
    <w:rsid w:val="00DE3E84"/>
    <w:rsid w:val="00DE4709"/>
    <w:rsid w:val="00DF4119"/>
    <w:rsid w:val="00DF435E"/>
    <w:rsid w:val="00DF79E4"/>
    <w:rsid w:val="00DF7B5B"/>
    <w:rsid w:val="00E002DD"/>
    <w:rsid w:val="00E01424"/>
    <w:rsid w:val="00E0278D"/>
    <w:rsid w:val="00E03573"/>
    <w:rsid w:val="00E04BBC"/>
    <w:rsid w:val="00E06960"/>
    <w:rsid w:val="00E0701D"/>
    <w:rsid w:val="00E074FC"/>
    <w:rsid w:val="00E075BF"/>
    <w:rsid w:val="00E0781C"/>
    <w:rsid w:val="00E07C06"/>
    <w:rsid w:val="00E07C1C"/>
    <w:rsid w:val="00E12459"/>
    <w:rsid w:val="00E14271"/>
    <w:rsid w:val="00E149B7"/>
    <w:rsid w:val="00E15959"/>
    <w:rsid w:val="00E16652"/>
    <w:rsid w:val="00E16972"/>
    <w:rsid w:val="00E16EE9"/>
    <w:rsid w:val="00E17996"/>
    <w:rsid w:val="00E20E8C"/>
    <w:rsid w:val="00E213C8"/>
    <w:rsid w:val="00E2153F"/>
    <w:rsid w:val="00E21922"/>
    <w:rsid w:val="00E21D4F"/>
    <w:rsid w:val="00E22D8C"/>
    <w:rsid w:val="00E2385F"/>
    <w:rsid w:val="00E2488F"/>
    <w:rsid w:val="00E263AA"/>
    <w:rsid w:val="00E273B7"/>
    <w:rsid w:val="00E27FE0"/>
    <w:rsid w:val="00E3046B"/>
    <w:rsid w:val="00E32B54"/>
    <w:rsid w:val="00E33143"/>
    <w:rsid w:val="00E34CAC"/>
    <w:rsid w:val="00E356CE"/>
    <w:rsid w:val="00E357B0"/>
    <w:rsid w:val="00E35B49"/>
    <w:rsid w:val="00E403FF"/>
    <w:rsid w:val="00E40423"/>
    <w:rsid w:val="00E4169C"/>
    <w:rsid w:val="00E42990"/>
    <w:rsid w:val="00E42FAD"/>
    <w:rsid w:val="00E459C5"/>
    <w:rsid w:val="00E47911"/>
    <w:rsid w:val="00E50F4F"/>
    <w:rsid w:val="00E528F9"/>
    <w:rsid w:val="00E52CE8"/>
    <w:rsid w:val="00E53558"/>
    <w:rsid w:val="00E53ECB"/>
    <w:rsid w:val="00E54935"/>
    <w:rsid w:val="00E5684F"/>
    <w:rsid w:val="00E579EE"/>
    <w:rsid w:val="00E609A6"/>
    <w:rsid w:val="00E613CD"/>
    <w:rsid w:val="00E61610"/>
    <w:rsid w:val="00E61661"/>
    <w:rsid w:val="00E636DD"/>
    <w:rsid w:val="00E63F35"/>
    <w:rsid w:val="00E64051"/>
    <w:rsid w:val="00E6422F"/>
    <w:rsid w:val="00E6483E"/>
    <w:rsid w:val="00E656F8"/>
    <w:rsid w:val="00E658E0"/>
    <w:rsid w:val="00E67549"/>
    <w:rsid w:val="00E67AC7"/>
    <w:rsid w:val="00E703C8"/>
    <w:rsid w:val="00E703CB"/>
    <w:rsid w:val="00E709D2"/>
    <w:rsid w:val="00E717D2"/>
    <w:rsid w:val="00E73A6E"/>
    <w:rsid w:val="00E75D56"/>
    <w:rsid w:val="00E80F78"/>
    <w:rsid w:val="00E818D0"/>
    <w:rsid w:val="00E81C09"/>
    <w:rsid w:val="00E8209D"/>
    <w:rsid w:val="00E83C0F"/>
    <w:rsid w:val="00E85D31"/>
    <w:rsid w:val="00E90C1F"/>
    <w:rsid w:val="00E91664"/>
    <w:rsid w:val="00E91AFA"/>
    <w:rsid w:val="00E920C2"/>
    <w:rsid w:val="00E9351C"/>
    <w:rsid w:val="00E93FC4"/>
    <w:rsid w:val="00E96F95"/>
    <w:rsid w:val="00E97744"/>
    <w:rsid w:val="00E97D43"/>
    <w:rsid w:val="00EA0D83"/>
    <w:rsid w:val="00EA2115"/>
    <w:rsid w:val="00EA33CB"/>
    <w:rsid w:val="00EA36BF"/>
    <w:rsid w:val="00EA38C8"/>
    <w:rsid w:val="00EA3A91"/>
    <w:rsid w:val="00EA3D1E"/>
    <w:rsid w:val="00EA40E7"/>
    <w:rsid w:val="00EA46F9"/>
    <w:rsid w:val="00EA48A9"/>
    <w:rsid w:val="00EA6872"/>
    <w:rsid w:val="00EA6891"/>
    <w:rsid w:val="00EA789F"/>
    <w:rsid w:val="00EB2360"/>
    <w:rsid w:val="00EB34CC"/>
    <w:rsid w:val="00EB432E"/>
    <w:rsid w:val="00EB4B4C"/>
    <w:rsid w:val="00EB4B9B"/>
    <w:rsid w:val="00EC02D1"/>
    <w:rsid w:val="00EC1E59"/>
    <w:rsid w:val="00EC20DD"/>
    <w:rsid w:val="00EC43BF"/>
    <w:rsid w:val="00EC4476"/>
    <w:rsid w:val="00EC466B"/>
    <w:rsid w:val="00EC787C"/>
    <w:rsid w:val="00EC7BF1"/>
    <w:rsid w:val="00ED1517"/>
    <w:rsid w:val="00ED1F7F"/>
    <w:rsid w:val="00ED230C"/>
    <w:rsid w:val="00ED298F"/>
    <w:rsid w:val="00ED509E"/>
    <w:rsid w:val="00ED5C62"/>
    <w:rsid w:val="00ED616E"/>
    <w:rsid w:val="00ED658D"/>
    <w:rsid w:val="00ED6FB9"/>
    <w:rsid w:val="00ED7578"/>
    <w:rsid w:val="00ED767E"/>
    <w:rsid w:val="00EE128E"/>
    <w:rsid w:val="00EE12AB"/>
    <w:rsid w:val="00EE2D8D"/>
    <w:rsid w:val="00EE4294"/>
    <w:rsid w:val="00EE42DD"/>
    <w:rsid w:val="00EE5DE2"/>
    <w:rsid w:val="00EF1381"/>
    <w:rsid w:val="00EF1C6A"/>
    <w:rsid w:val="00EF2266"/>
    <w:rsid w:val="00EF2645"/>
    <w:rsid w:val="00EF3191"/>
    <w:rsid w:val="00EF360C"/>
    <w:rsid w:val="00EF3FE7"/>
    <w:rsid w:val="00EF4836"/>
    <w:rsid w:val="00EF6190"/>
    <w:rsid w:val="00EF7D8D"/>
    <w:rsid w:val="00F0017A"/>
    <w:rsid w:val="00F0112A"/>
    <w:rsid w:val="00F019D4"/>
    <w:rsid w:val="00F0276D"/>
    <w:rsid w:val="00F03B98"/>
    <w:rsid w:val="00F0431D"/>
    <w:rsid w:val="00F047F5"/>
    <w:rsid w:val="00F04B4F"/>
    <w:rsid w:val="00F04E2B"/>
    <w:rsid w:val="00F056F4"/>
    <w:rsid w:val="00F05EB6"/>
    <w:rsid w:val="00F06409"/>
    <w:rsid w:val="00F06528"/>
    <w:rsid w:val="00F06710"/>
    <w:rsid w:val="00F06F17"/>
    <w:rsid w:val="00F0764A"/>
    <w:rsid w:val="00F07F52"/>
    <w:rsid w:val="00F10E21"/>
    <w:rsid w:val="00F1246E"/>
    <w:rsid w:val="00F12EA3"/>
    <w:rsid w:val="00F14295"/>
    <w:rsid w:val="00F15851"/>
    <w:rsid w:val="00F162C6"/>
    <w:rsid w:val="00F1731A"/>
    <w:rsid w:val="00F2110A"/>
    <w:rsid w:val="00F21229"/>
    <w:rsid w:val="00F2295C"/>
    <w:rsid w:val="00F22F79"/>
    <w:rsid w:val="00F23E99"/>
    <w:rsid w:val="00F242FD"/>
    <w:rsid w:val="00F257F2"/>
    <w:rsid w:val="00F25B69"/>
    <w:rsid w:val="00F31821"/>
    <w:rsid w:val="00F323CE"/>
    <w:rsid w:val="00F327DA"/>
    <w:rsid w:val="00F33D0F"/>
    <w:rsid w:val="00F349A7"/>
    <w:rsid w:val="00F356B8"/>
    <w:rsid w:val="00F3788E"/>
    <w:rsid w:val="00F44C10"/>
    <w:rsid w:val="00F44FD1"/>
    <w:rsid w:val="00F50B02"/>
    <w:rsid w:val="00F512EA"/>
    <w:rsid w:val="00F513DD"/>
    <w:rsid w:val="00F51556"/>
    <w:rsid w:val="00F53CC9"/>
    <w:rsid w:val="00F54E42"/>
    <w:rsid w:val="00F54FCB"/>
    <w:rsid w:val="00F56A30"/>
    <w:rsid w:val="00F56EFD"/>
    <w:rsid w:val="00F57375"/>
    <w:rsid w:val="00F57E27"/>
    <w:rsid w:val="00F61C17"/>
    <w:rsid w:val="00F64A73"/>
    <w:rsid w:val="00F64B4B"/>
    <w:rsid w:val="00F65100"/>
    <w:rsid w:val="00F660D9"/>
    <w:rsid w:val="00F6656C"/>
    <w:rsid w:val="00F66F04"/>
    <w:rsid w:val="00F67160"/>
    <w:rsid w:val="00F679D3"/>
    <w:rsid w:val="00F70728"/>
    <w:rsid w:val="00F71427"/>
    <w:rsid w:val="00F73CE6"/>
    <w:rsid w:val="00F73EF3"/>
    <w:rsid w:val="00F74ACB"/>
    <w:rsid w:val="00F77565"/>
    <w:rsid w:val="00F776A4"/>
    <w:rsid w:val="00F819B6"/>
    <w:rsid w:val="00F819EF"/>
    <w:rsid w:val="00F81CF4"/>
    <w:rsid w:val="00F82AFE"/>
    <w:rsid w:val="00F83199"/>
    <w:rsid w:val="00F8357E"/>
    <w:rsid w:val="00F84BCD"/>
    <w:rsid w:val="00F84D8B"/>
    <w:rsid w:val="00F8590F"/>
    <w:rsid w:val="00F85FA3"/>
    <w:rsid w:val="00F86040"/>
    <w:rsid w:val="00F86AB4"/>
    <w:rsid w:val="00F9360F"/>
    <w:rsid w:val="00F938BA"/>
    <w:rsid w:val="00F939C6"/>
    <w:rsid w:val="00F93BBA"/>
    <w:rsid w:val="00F93CF3"/>
    <w:rsid w:val="00F94915"/>
    <w:rsid w:val="00F94ED5"/>
    <w:rsid w:val="00F95087"/>
    <w:rsid w:val="00F952AE"/>
    <w:rsid w:val="00F96AE6"/>
    <w:rsid w:val="00F9773D"/>
    <w:rsid w:val="00F97875"/>
    <w:rsid w:val="00F97DD5"/>
    <w:rsid w:val="00FA11DA"/>
    <w:rsid w:val="00FA1BB2"/>
    <w:rsid w:val="00FA3592"/>
    <w:rsid w:val="00FA4006"/>
    <w:rsid w:val="00FA4CB8"/>
    <w:rsid w:val="00FA4FB4"/>
    <w:rsid w:val="00FA7209"/>
    <w:rsid w:val="00FA73EF"/>
    <w:rsid w:val="00FA79DC"/>
    <w:rsid w:val="00FB0850"/>
    <w:rsid w:val="00FB121A"/>
    <w:rsid w:val="00FB12B4"/>
    <w:rsid w:val="00FB1749"/>
    <w:rsid w:val="00FB27A9"/>
    <w:rsid w:val="00FB28F6"/>
    <w:rsid w:val="00FB2B69"/>
    <w:rsid w:val="00FB38D5"/>
    <w:rsid w:val="00FB3CCE"/>
    <w:rsid w:val="00FB4DEA"/>
    <w:rsid w:val="00FB61A5"/>
    <w:rsid w:val="00FB72E9"/>
    <w:rsid w:val="00FC016E"/>
    <w:rsid w:val="00FC0E80"/>
    <w:rsid w:val="00FC10DF"/>
    <w:rsid w:val="00FC29B5"/>
    <w:rsid w:val="00FC2A44"/>
    <w:rsid w:val="00FC3C61"/>
    <w:rsid w:val="00FC4660"/>
    <w:rsid w:val="00FC6843"/>
    <w:rsid w:val="00FC6CC1"/>
    <w:rsid w:val="00FD11D6"/>
    <w:rsid w:val="00FD11DA"/>
    <w:rsid w:val="00FD1BEE"/>
    <w:rsid w:val="00FD2F50"/>
    <w:rsid w:val="00FD382E"/>
    <w:rsid w:val="00FD5575"/>
    <w:rsid w:val="00FD60C3"/>
    <w:rsid w:val="00FD6322"/>
    <w:rsid w:val="00FD6EA2"/>
    <w:rsid w:val="00FD7817"/>
    <w:rsid w:val="00FE0973"/>
    <w:rsid w:val="00FE18F5"/>
    <w:rsid w:val="00FE2CA2"/>
    <w:rsid w:val="00FE373C"/>
    <w:rsid w:val="00FE43DD"/>
    <w:rsid w:val="00FE4C74"/>
    <w:rsid w:val="00FE6825"/>
    <w:rsid w:val="00FF04A8"/>
    <w:rsid w:val="00FF1A0B"/>
    <w:rsid w:val="00FF1F25"/>
    <w:rsid w:val="00FF26D8"/>
    <w:rsid w:val="00FF28DC"/>
    <w:rsid w:val="00FF2F73"/>
    <w:rsid w:val="00FF4194"/>
    <w:rsid w:val="00FF4460"/>
    <w:rsid w:val="00FF535A"/>
    <w:rsid w:val="00FF5718"/>
    <w:rsid w:val="00FF6A50"/>
    <w:rsid w:val="00FF6B43"/>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AF6F"/>
  <w15:chartTrackingRefBased/>
  <w15:docId w15:val="{D19A1604-5BDC-40D6-B170-3A8F11BD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126"/>
  </w:style>
  <w:style w:type="paragraph" w:styleId="Footer">
    <w:name w:val="footer"/>
    <w:basedOn w:val="Normal"/>
    <w:link w:val="FooterChar"/>
    <w:uiPriority w:val="99"/>
    <w:unhideWhenUsed/>
    <w:rsid w:val="00A17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126"/>
  </w:style>
  <w:style w:type="table" w:styleId="TableGrid">
    <w:name w:val="Table Grid"/>
    <w:basedOn w:val="TableNormal"/>
    <w:uiPriority w:val="39"/>
    <w:rsid w:val="0093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33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36B"/>
    <w:rPr>
      <w:sz w:val="20"/>
      <w:szCs w:val="20"/>
    </w:rPr>
  </w:style>
  <w:style w:type="character" w:styleId="FootnoteReference">
    <w:name w:val="footnote reference"/>
    <w:basedOn w:val="DefaultParagraphFont"/>
    <w:uiPriority w:val="99"/>
    <w:semiHidden/>
    <w:unhideWhenUsed/>
    <w:rsid w:val="0093336B"/>
    <w:rPr>
      <w:vertAlign w:val="superscript"/>
    </w:rPr>
  </w:style>
  <w:style w:type="paragraph" w:styleId="BalloonText">
    <w:name w:val="Balloon Text"/>
    <w:basedOn w:val="Normal"/>
    <w:link w:val="BalloonTextChar"/>
    <w:uiPriority w:val="99"/>
    <w:semiHidden/>
    <w:unhideWhenUsed/>
    <w:rsid w:val="00400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CA4"/>
    <w:rPr>
      <w:rFonts w:ascii="Segoe UI" w:hAnsi="Segoe UI" w:cs="Segoe UI"/>
      <w:sz w:val="18"/>
      <w:szCs w:val="18"/>
    </w:rPr>
  </w:style>
  <w:style w:type="character" w:styleId="CommentReference">
    <w:name w:val="annotation reference"/>
    <w:basedOn w:val="DefaultParagraphFont"/>
    <w:uiPriority w:val="99"/>
    <w:semiHidden/>
    <w:unhideWhenUsed/>
    <w:rsid w:val="00A4454C"/>
    <w:rPr>
      <w:sz w:val="16"/>
      <w:szCs w:val="16"/>
    </w:rPr>
  </w:style>
  <w:style w:type="paragraph" w:styleId="CommentText">
    <w:name w:val="annotation text"/>
    <w:basedOn w:val="Normal"/>
    <w:link w:val="CommentTextChar"/>
    <w:uiPriority w:val="99"/>
    <w:semiHidden/>
    <w:unhideWhenUsed/>
    <w:rsid w:val="00A4454C"/>
    <w:pPr>
      <w:spacing w:line="240" w:lineRule="auto"/>
    </w:pPr>
    <w:rPr>
      <w:sz w:val="20"/>
      <w:szCs w:val="20"/>
    </w:rPr>
  </w:style>
  <w:style w:type="character" w:customStyle="1" w:styleId="CommentTextChar">
    <w:name w:val="Comment Text Char"/>
    <w:basedOn w:val="DefaultParagraphFont"/>
    <w:link w:val="CommentText"/>
    <w:uiPriority w:val="99"/>
    <w:semiHidden/>
    <w:rsid w:val="00A4454C"/>
    <w:rPr>
      <w:sz w:val="20"/>
      <w:szCs w:val="20"/>
    </w:rPr>
  </w:style>
  <w:style w:type="character" w:styleId="Hyperlink">
    <w:name w:val="Hyperlink"/>
    <w:basedOn w:val="DefaultParagraphFont"/>
    <w:uiPriority w:val="99"/>
    <w:unhideWhenUsed/>
    <w:rsid w:val="00D331C7"/>
    <w:rPr>
      <w:color w:val="0563C1" w:themeColor="hyperlink"/>
      <w:u w:val="single"/>
    </w:rPr>
  </w:style>
  <w:style w:type="character" w:customStyle="1" w:styleId="UnresolvedMention1">
    <w:name w:val="Unresolved Mention1"/>
    <w:basedOn w:val="DefaultParagraphFont"/>
    <w:uiPriority w:val="99"/>
    <w:semiHidden/>
    <w:unhideWhenUsed/>
    <w:rsid w:val="00FA1BB2"/>
    <w:rPr>
      <w:color w:val="605E5C"/>
      <w:shd w:val="clear" w:color="auto" w:fill="E1DFDD"/>
    </w:rPr>
  </w:style>
  <w:style w:type="character" w:styleId="Emphasis">
    <w:name w:val="Emphasis"/>
    <w:basedOn w:val="DefaultParagraphFont"/>
    <w:uiPriority w:val="20"/>
    <w:qFormat/>
    <w:rsid w:val="00F06F17"/>
    <w:rPr>
      <w:i/>
      <w:iCs/>
    </w:rPr>
  </w:style>
  <w:style w:type="character" w:styleId="LineNumber">
    <w:name w:val="line number"/>
    <w:basedOn w:val="DefaultParagraphFont"/>
    <w:uiPriority w:val="99"/>
    <w:semiHidden/>
    <w:unhideWhenUsed/>
    <w:rsid w:val="008242B0"/>
  </w:style>
  <w:style w:type="paragraph" w:styleId="CommentSubject">
    <w:name w:val="annotation subject"/>
    <w:basedOn w:val="CommentText"/>
    <w:next w:val="CommentText"/>
    <w:link w:val="CommentSubjectChar"/>
    <w:uiPriority w:val="99"/>
    <w:semiHidden/>
    <w:unhideWhenUsed/>
    <w:rsid w:val="001363E9"/>
    <w:rPr>
      <w:b/>
      <w:bCs/>
    </w:rPr>
  </w:style>
  <w:style w:type="character" w:customStyle="1" w:styleId="CommentSubjectChar">
    <w:name w:val="Comment Subject Char"/>
    <w:basedOn w:val="CommentTextChar"/>
    <w:link w:val="CommentSubject"/>
    <w:uiPriority w:val="99"/>
    <w:semiHidden/>
    <w:rsid w:val="001363E9"/>
    <w:rPr>
      <w:b/>
      <w:bCs/>
      <w:sz w:val="20"/>
      <w:szCs w:val="20"/>
    </w:rPr>
  </w:style>
  <w:style w:type="paragraph" w:styleId="Revision">
    <w:name w:val="Revision"/>
    <w:hidden/>
    <w:uiPriority w:val="99"/>
    <w:semiHidden/>
    <w:rsid w:val="001363E9"/>
    <w:pPr>
      <w:spacing w:after="0" w:line="240" w:lineRule="auto"/>
    </w:pPr>
  </w:style>
  <w:style w:type="paragraph" w:styleId="ListParagraph">
    <w:name w:val="List Paragraph"/>
    <w:basedOn w:val="Normal"/>
    <w:uiPriority w:val="34"/>
    <w:qFormat/>
    <w:rsid w:val="00120BA7"/>
    <w:pPr>
      <w:ind w:left="720"/>
      <w:contextualSpacing/>
    </w:pPr>
  </w:style>
  <w:style w:type="paragraph" w:styleId="NormalWeb">
    <w:name w:val="Normal (Web)"/>
    <w:basedOn w:val="Normal"/>
    <w:uiPriority w:val="99"/>
    <w:unhideWhenUsed/>
    <w:rsid w:val="00AC17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E169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folabel">
    <w:name w:val="info_label"/>
    <w:basedOn w:val="DefaultParagraphFont"/>
    <w:rsid w:val="00AC7265"/>
  </w:style>
  <w:style w:type="character" w:customStyle="1" w:styleId="infovalue">
    <w:name w:val="info_value"/>
    <w:basedOn w:val="DefaultParagraphFont"/>
    <w:rsid w:val="00AC7265"/>
  </w:style>
  <w:style w:type="character" w:customStyle="1" w:styleId="EndNoteBibliographyChar">
    <w:name w:val="EndNote Bibliography Char"/>
    <w:basedOn w:val="DefaultParagraphFont"/>
    <w:link w:val="EndNoteBibliography"/>
    <w:locked/>
    <w:rsid w:val="00A30D72"/>
    <w:rPr>
      <w:rFonts w:ascii="Calibri" w:hAnsi="Calibri" w:cs="Calibri"/>
      <w:noProof/>
      <w:lang w:val="en-US"/>
    </w:rPr>
  </w:style>
  <w:style w:type="paragraph" w:customStyle="1" w:styleId="EndNoteBibliography">
    <w:name w:val="EndNote Bibliography"/>
    <w:basedOn w:val="Normal"/>
    <w:link w:val="EndNoteBibliographyChar"/>
    <w:rsid w:val="00A30D72"/>
    <w:pPr>
      <w:spacing w:line="240" w:lineRule="auto"/>
    </w:pPr>
    <w:rPr>
      <w:rFonts w:ascii="Calibri" w:hAnsi="Calibri" w:cs="Calibri"/>
      <w:noProof/>
      <w:lang w:val="en-US"/>
    </w:rPr>
  </w:style>
  <w:style w:type="paragraph" w:customStyle="1" w:styleId="Default">
    <w:name w:val="Default"/>
    <w:rsid w:val="00A30D7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74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3317">
      <w:bodyDiv w:val="1"/>
      <w:marLeft w:val="0"/>
      <w:marRight w:val="0"/>
      <w:marTop w:val="0"/>
      <w:marBottom w:val="0"/>
      <w:divBdr>
        <w:top w:val="none" w:sz="0" w:space="0" w:color="auto"/>
        <w:left w:val="none" w:sz="0" w:space="0" w:color="auto"/>
        <w:bottom w:val="none" w:sz="0" w:space="0" w:color="auto"/>
        <w:right w:val="none" w:sz="0" w:space="0" w:color="auto"/>
      </w:divBdr>
    </w:div>
    <w:div w:id="387152321">
      <w:bodyDiv w:val="1"/>
      <w:marLeft w:val="0"/>
      <w:marRight w:val="0"/>
      <w:marTop w:val="0"/>
      <w:marBottom w:val="0"/>
      <w:divBdr>
        <w:top w:val="none" w:sz="0" w:space="0" w:color="auto"/>
        <w:left w:val="none" w:sz="0" w:space="0" w:color="auto"/>
        <w:bottom w:val="none" w:sz="0" w:space="0" w:color="auto"/>
        <w:right w:val="none" w:sz="0" w:space="0" w:color="auto"/>
      </w:divBdr>
    </w:div>
    <w:div w:id="400445807">
      <w:bodyDiv w:val="1"/>
      <w:marLeft w:val="0"/>
      <w:marRight w:val="0"/>
      <w:marTop w:val="0"/>
      <w:marBottom w:val="0"/>
      <w:divBdr>
        <w:top w:val="none" w:sz="0" w:space="0" w:color="auto"/>
        <w:left w:val="none" w:sz="0" w:space="0" w:color="auto"/>
        <w:bottom w:val="none" w:sz="0" w:space="0" w:color="auto"/>
        <w:right w:val="none" w:sz="0" w:space="0" w:color="auto"/>
      </w:divBdr>
    </w:div>
    <w:div w:id="539243628">
      <w:bodyDiv w:val="1"/>
      <w:marLeft w:val="0"/>
      <w:marRight w:val="0"/>
      <w:marTop w:val="0"/>
      <w:marBottom w:val="0"/>
      <w:divBdr>
        <w:top w:val="none" w:sz="0" w:space="0" w:color="auto"/>
        <w:left w:val="none" w:sz="0" w:space="0" w:color="auto"/>
        <w:bottom w:val="none" w:sz="0" w:space="0" w:color="auto"/>
        <w:right w:val="none" w:sz="0" w:space="0" w:color="auto"/>
      </w:divBdr>
    </w:div>
    <w:div w:id="1119300533">
      <w:bodyDiv w:val="1"/>
      <w:marLeft w:val="0"/>
      <w:marRight w:val="0"/>
      <w:marTop w:val="0"/>
      <w:marBottom w:val="0"/>
      <w:divBdr>
        <w:top w:val="none" w:sz="0" w:space="0" w:color="auto"/>
        <w:left w:val="none" w:sz="0" w:space="0" w:color="auto"/>
        <w:bottom w:val="none" w:sz="0" w:space="0" w:color="auto"/>
        <w:right w:val="none" w:sz="0" w:space="0" w:color="auto"/>
      </w:divBdr>
    </w:div>
    <w:div w:id="1576238873">
      <w:bodyDiv w:val="1"/>
      <w:marLeft w:val="0"/>
      <w:marRight w:val="0"/>
      <w:marTop w:val="0"/>
      <w:marBottom w:val="0"/>
      <w:divBdr>
        <w:top w:val="none" w:sz="0" w:space="0" w:color="auto"/>
        <w:left w:val="none" w:sz="0" w:space="0" w:color="auto"/>
        <w:bottom w:val="none" w:sz="0" w:space="0" w:color="auto"/>
        <w:right w:val="none" w:sz="0" w:space="0" w:color="auto"/>
      </w:divBdr>
    </w:div>
    <w:div w:id="17808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employmentandlabourmarket/peoplenotinwork/outofworkbenefits/timeseries/bcjd/une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ealthsurvey.hscic.gov.uk/media/63763/HSE2016-Adult-wel-bei.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ferry@ul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ijlp.2007.06.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00677DEF8A3948B010BC205537FE3A" ma:contentTypeVersion="13" ma:contentTypeDescription="Create a new document." ma:contentTypeScope="" ma:versionID="f1584d6d128bc95a6d4ef007fa6d2af3">
  <xsd:schema xmlns:xsd="http://www.w3.org/2001/XMLSchema" xmlns:xs="http://www.w3.org/2001/XMLSchema" xmlns:p="http://schemas.microsoft.com/office/2006/metadata/properties" xmlns:ns3="5eb05ccb-2ba9-4c47-afac-00c3d9ba1c9d" xmlns:ns4="840f887c-d90e-456e-89ba-77b57c6e028f" targetNamespace="http://schemas.microsoft.com/office/2006/metadata/properties" ma:root="true" ma:fieldsID="fa9be9d6faac1cf91cb9cbfb3902994c" ns3:_="" ns4:_="">
    <xsd:import namespace="5eb05ccb-2ba9-4c47-afac-00c3d9ba1c9d"/>
    <xsd:import namespace="840f887c-d90e-456e-89ba-77b57c6e0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05ccb-2ba9-4c47-afac-00c3d9ba1c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f887c-d90e-456e-89ba-77b57c6e028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79676-71E0-4DFF-A4D0-89409AE1F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05ccb-2ba9-4c47-afac-00c3d9ba1c9d"/>
    <ds:schemaRef ds:uri="840f887c-d90e-456e-89ba-77b57c6e0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F33C2-43D7-4B55-9C56-1C10B7754150}">
  <ds:schemaRefs>
    <ds:schemaRef ds:uri="http://schemas.microsoft.com/sharepoint/v3/contenttype/forms"/>
  </ds:schemaRefs>
</ds:datastoreItem>
</file>

<file path=customXml/itemProps3.xml><?xml version="1.0" encoding="utf-8"?>
<ds:datastoreItem xmlns:ds="http://schemas.openxmlformats.org/officeDocument/2006/customXml" ds:itemID="{C3566DC6-835B-466F-8A42-5F77419A42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860ADF-99F8-4008-84AD-367BCA75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18237</Words>
  <Characters>103957</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 Finola</dc:creator>
  <cp:keywords/>
  <dc:description/>
  <cp:lastModifiedBy>Ferry, Finola</cp:lastModifiedBy>
  <cp:revision>2</cp:revision>
  <cp:lastPrinted>2021-03-05T12:01:00Z</cp:lastPrinted>
  <dcterms:created xsi:type="dcterms:W3CDTF">2021-03-05T21:57:00Z</dcterms:created>
  <dcterms:modified xsi:type="dcterms:W3CDTF">2021-03-05T21:57:00Z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0x010100B000677DEF8A3948B010BC205537FE3A</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http://www.zotero.org/styles/journal-of-affective-disorders</vt:lpwstr>
  </property>
  <property fmtid="{D5CDD505-2E9C-101B-9397-08002B2CF9AE}" pid="18" name="Mendeley Recent Style Name 7_1">
    <vt:lpwstr>Journal of Affective Disorders</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Document_1">
    <vt:lpwstr>True</vt:lpwstr>
  </property>
  <property fmtid="{D5CDD505-2E9C-101B-9397-08002B2CF9AE}" pid="24" name="Mendeley Unique User Id_1">
    <vt:lpwstr>9f168c4a-70e4-3a61-b8f4-af3556b23fad</vt:lpwstr>
  </property>
  <property fmtid="{D5CDD505-2E9C-101B-9397-08002B2CF9AE}" pid="25" name="Mendeley Citation Style_1">
    <vt:lpwstr>http://www.zotero.org/styles/journal-of-affective-disorders</vt:lpwstr>
  </property>
</Properties>
</file>