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76FEBD" w14:textId="77777777" w:rsidR="00D76E12" w:rsidRPr="00D803FA" w:rsidRDefault="00D76E12" w:rsidP="00C2150D">
      <w:pPr>
        <w:autoSpaceDE w:val="0"/>
        <w:autoSpaceDN w:val="0"/>
        <w:adjustRightInd w:val="0"/>
        <w:spacing w:after="0" w:line="360" w:lineRule="auto"/>
        <w:rPr>
          <w:rFonts w:ascii="Times New Roman" w:hAnsi="Times New Roman" w:cs="Times New Roman"/>
          <w:b/>
          <w:bCs/>
          <w:sz w:val="24"/>
          <w:szCs w:val="24"/>
        </w:rPr>
      </w:pPr>
      <w:r w:rsidRPr="00D803FA">
        <w:rPr>
          <w:rFonts w:ascii="Times New Roman" w:hAnsi="Times New Roman" w:cs="Times New Roman"/>
          <w:b/>
          <w:bCs/>
          <w:sz w:val="24"/>
          <w:szCs w:val="24"/>
        </w:rPr>
        <w:t>ENHANCING NDPB ACCOUNTABILITY: IMPROVING RELATIONSHIPS WITH UPWARD AND DOWNWARD STAKEHOLDERS</w:t>
      </w:r>
    </w:p>
    <w:p w14:paraId="7E1788F9" w14:textId="77777777" w:rsidR="00D76E12" w:rsidRPr="0020584E" w:rsidRDefault="00D76E12" w:rsidP="0020584E">
      <w:pPr>
        <w:spacing w:after="0" w:line="360" w:lineRule="auto"/>
        <w:jc w:val="both"/>
        <w:rPr>
          <w:rFonts w:ascii="Times New Roman" w:hAnsi="Times New Roman" w:cs="Times New Roman"/>
          <w:b/>
          <w:sz w:val="24"/>
          <w:szCs w:val="24"/>
        </w:rPr>
      </w:pPr>
    </w:p>
    <w:p w14:paraId="67EEC35F" w14:textId="77777777" w:rsidR="00D76E12" w:rsidRPr="00D803FA" w:rsidRDefault="00D76E12" w:rsidP="00D803FA">
      <w:pPr>
        <w:spacing w:after="0" w:line="360" w:lineRule="auto"/>
        <w:jc w:val="both"/>
        <w:rPr>
          <w:rFonts w:ascii="Times New Roman" w:hAnsi="Times New Roman" w:cs="Times New Roman"/>
          <w:b/>
          <w:sz w:val="24"/>
          <w:szCs w:val="24"/>
        </w:rPr>
      </w:pPr>
      <w:r w:rsidRPr="00D803FA">
        <w:rPr>
          <w:rFonts w:ascii="Times New Roman" w:hAnsi="Times New Roman" w:cs="Times New Roman"/>
          <w:b/>
          <w:sz w:val="24"/>
          <w:szCs w:val="24"/>
        </w:rPr>
        <w:t>Abstract</w:t>
      </w:r>
    </w:p>
    <w:p w14:paraId="4DCA0AB9" w14:textId="77777777" w:rsidR="00D76E12" w:rsidRPr="00D803FA" w:rsidRDefault="00D76E12" w:rsidP="00D803FA">
      <w:pPr>
        <w:spacing w:after="0" w:line="360" w:lineRule="auto"/>
        <w:jc w:val="both"/>
        <w:rPr>
          <w:rFonts w:ascii="Times New Roman" w:hAnsi="Times New Roman" w:cs="Times New Roman"/>
          <w:sz w:val="24"/>
          <w:szCs w:val="24"/>
        </w:rPr>
      </w:pPr>
      <w:r w:rsidRPr="00D803FA">
        <w:rPr>
          <w:rFonts w:ascii="Times New Roman" w:hAnsi="Times New Roman" w:cs="Times New Roman"/>
          <w:sz w:val="24"/>
          <w:szCs w:val="24"/>
        </w:rPr>
        <w:t>This paper examines the relationship between Northern Ireland Non-departmental Public Bodies (NDPBs) and two key stakeholders, sponsoring government departments and service users, and outlines how this relationship can impact upon a NDPB discharging its accountability responsibilities effectively. After discussing the concept of accountability, the paper presents the findings of a survey of, and interviews with, NDPB board members. Whilst the consensus was that NDPBs were effective in discharging accountability, there was frustration with an apparent absence of an arms’ length relationship with certain sponsoring departments and limited engagement with service users.</w:t>
      </w:r>
    </w:p>
    <w:p w14:paraId="5B0A34AC" w14:textId="77777777" w:rsidR="00D76E12" w:rsidRPr="00D803FA" w:rsidRDefault="00D76E12" w:rsidP="00D803FA">
      <w:pPr>
        <w:spacing w:after="0" w:line="360" w:lineRule="auto"/>
        <w:jc w:val="both"/>
        <w:rPr>
          <w:rFonts w:ascii="Times New Roman" w:hAnsi="Times New Roman" w:cs="Times New Roman"/>
          <w:sz w:val="24"/>
          <w:szCs w:val="24"/>
        </w:rPr>
      </w:pPr>
    </w:p>
    <w:p w14:paraId="31937FAE" w14:textId="77777777" w:rsidR="00D76E12" w:rsidRPr="00D803FA" w:rsidRDefault="00D76E12" w:rsidP="00D803FA">
      <w:pPr>
        <w:spacing w:after="0" w:line="360" w:lineRule="auto"/>
        <w:jc w:val="both"/>
        <w:rPr>
          <w:rFonts w:ascii="Times New Roman" w:hAnsi="Times New Roman" w:cs="Times New Roman"/>
          <w:sz w:val="24"/>
          <w:szCs w:val="24"/>
        </w:rPr>
      </w:pPr>
      <w:r w:rsidRPr="00D803FA">
        <w:rPr>
          <w:rFonts w:ascii="Times New Roman" w:hAnsi="Times New Roman" w:cs="Times New Roman"/>
          <w:sz w:val="24"/>
          <w:szCs w:val="24"/>
        </w:rPr>
        <w:t>Key Words: Accountability, Governance, Non-departmental Public Bodies (NDPBs), Stakeholders</w:t>
      </w:r>
    </w:p>
    <w:p w14:paraId="0295FDD9" w14:textId="77777777" w:rsidR="00D76E12" w:rsidRPr="00D803FA" w:rsidRDefault="00D76E12" w:rsidP="00D803FA">
      <w:pPr>
        <w:spacing w:after="0" w:line="360" w:lineRule="auto"/>
        <w:jc w:val="both"/>
        <w:rPr>
          <w:rFonts w:ascii="Times New Roman" w:hAnsi="Times New Roman" w:cs="Times New Roman"/>
          <w:sz w:val="24"/>
          <w:szCs w:val="24"/>
          <w:highlight w:val="yellow"/>
        </w:rPr>
      </w:pPr>
    </w:p>
    <w:p w14:paraId="4F3813D2" w14:textId="77777777" w:rsidR="00D76E12" w:rsidRPr="00D803FA" w:rsidRDefault="00D76E12" w:rsidP="00D803FA">
      <w:pPr>
        <w:spacing w:after="0" w:line="360" w:lineRule="auto"/>
        <w:jc w:val="both"/>
        <w:rPr>
          <w:rFonts w:ascii="Times New Roman" w:hAnsi="Times New Roman" w:cs="Times New Roman"/>
          <w:b/>
          <w:sz w:val="24"/>
          <w:szCs w:val="24"/>
        </w:rPr>
      </w:pPr>
      <w:r w:rsidRPr="00D803FA">
        <w:rPr>
          <w:rFonts w:ascii="Times New Roman" w:hAnsi="Times New Roman" w:cs="Times New Roman"/>
          <w:b/>
          <w:sz w:val="24"/>
          <w:szCs w:val="24"/>
        </w:rPr>
        <w:t>INTRODUCTION</w:t>
      </w:r>
    </w:p>
    <w:p w14:paraId="355D3CA7" w14:textId="77777777" w:rsidR="00D76E12" w:rsidRPr="00D803FA" w:rsidRDefault="00D76E12" w:rsidP="00D803FA">
      <w:pPr>
        <w:autoSpaceDE w:val="0"/>
        <w:autoSpaceDN w:val="0"/>
        <w:adjustRightInd w:val="0"/>
        <w:spacing w:after="0" w:line="360" w:lineRule="auto"/>
        <w:jc w:val="both"/>
        <w:rPr>
          <w:rFonts w:ascii="Times New Roman" w:hAnsi="Times New Roman" w:cs="Times New Roman"/>
          <w:sz w:val="24"/>
          <w:szCs w:val="24"/>
        </w:rPr>
      </w:pPr>
    </w:p>
    <w:p w14:paraId="54ECA995" w14:textId="370B152F" w:rsidR="00D76E12" w:rsidRPr="00D803FA" w:rsidRDefault="00B70B7E" w:rsidP="00D803FA">
      <w:pPr>
        <w:autoSpaceDE w:val="0"/>
        <w:autoSpaceDN w:val="0"/>
        <w:adjustRightInd w:val="0"/>
        <w:spacing w:after="0" w:line="360" w:lineRule="auto"/>
        <w:jc w:val="both"/>
        <w:rPr>
          <w:rFonts w:ascii="Times New Roman" w:hAnsi="Times New Roman" w:cs="Times New Roman"/>
          <w:sz w:val="24"/>
          <w:szCs w:val="24"/>
        </w:rPr>
      </w:pPr>
      <w:r w:rsidRPr="00D803FA">
        <w:rPr>
          <w:rFonts w:ascii="Times New Roman" w:hAnsi="Times New Roman" w:cs="Times New Roman"/>
          <w:sz w:val="24"/>
          <w:szCs w:val="24"/>
        </w:rPr>
        <w:t>An arm’s-length body (ALB) (or semi-autonomous agency) is an organization that delivers a public service, is not a ministerial department, and which operates to some extent at a distance from ministers. Whilst such bodies are used globally, the term in the United Kingdom (UK) can include non-departmental public bodies (NDPBs), executive agencies, non-ministerial departments, public corporations, National Health Service bodies and inspectorates</w:t>
      </w:r>
      <w:r w:rsidR="00D76E12" w:rsidRPr="00D803FA">
        <w:rPr>
          <w:rFonts w:ascii="Times New Roman" w:hAnsi="Times New Roman" w:cs="Times New Roman"/>
          <w:sz w:val="24"/>
          <w:szCs w:val="24"/>
        </w:rPr>
        <w:t>.</w:t>
      </w:r>
      <w:r w:rsidR="00980094" w:rsidRPr="00D803FA">
        <w:rPr>
          <w:rFonts w:ascii="Times New Roman" w:hAnsi="Times New Roman" w:cs="Times New Roman"/>
          <w:sz w:val="24"/>
          <w:szCs w:val="24"/>
        </w:rPr>
        <w:t xml:space="preserve"> </w:t>
      </w:r>
      <w:r w:rsidR="00D76E12" w:rsidRPr="00D803FA">
        <w:rPr>
          <w:rFonts w:ascii="Times New Roman" w:hAnsi="Times New Roman" w:cs="Times New Roman"/>
          <w:sz w:val="24"/>
          <w:szCs w:val="24"/>
        </w:rPr>
        <w:t>NDPBs are bodies which are part of Central Government but not government departments, or part of one, and this, along with their purported arm’s length relationship with ministers, means that they are independent, whilst operating within a framework of ministerial accountability and control (Cabinet Office 2015). There are three main types of NDPB: (</w:t>
      </w:r>
      <w:proofErr w:type="spellStart"/>
      <w:r w:rsidR="00D76E12" w:rsidRPr="00D803FA">
        <w:rPr>
          <w:rFonts w:ascii="Times New Roman" w:hAnsi="Times New Roman" w:cs="Times New Roman"/>
          <w:sz w:val="24"/>
          <w:szCs w:val="24"/>
        </w:rPr>
        <w:t>i</w:t>
      </w:r>
      <w:proofErr w:type="spellEnd"/>
      <w:r w:rsidR="00D76E12" w:rsidRPr="00D803FA">
        <w:rPr>
          <w:rFonts w:ascii="Times New Roman" w:hAnsi="Times New Roman" w:cs="Times New Roman"/>
          <w:sz w:val="24"/>
          <w:szCs w:val="24"/>
        </w:rPr>
        <w:t xml:space="preserve">) ‘Executive’, which undertake executive, administrative, regulatory and/or commercial functions (e.g. Environment Agency and Health and Safety Executive); (ii) ‘Advisory’, which provide independent advice to ministers on particular topics of interest (e.g. Low Pay Commission, and Committee on Standards in Public Life); and (iii) ‘Tribunal’, which have jurisdiction in a specialized field of law (e.g. Traffic Commissioners and Valuation Tribunal) (Office of the First Minister and Deputy First Minster (OFMDFM) 2014; Cabinet Office 2015). A fourth ‘Other’ category of NDPB includes independent monitoring boards attached to prison </w:t>
      </w:r>
      <w:r w:rsidR="00D76E12" w:rsidRPr="00D803FA">
        <w:rPr>
          <w:rFonts w:ascii="Times New Roman" w:hAnsi="Times New Roman" w:cs="Times New Roman"/>
          <w:sz w:val="24"/>
          <w:szCs w:val="24"/>
        </w:rPr>
        <w:lastRenderedPageBreak/>
        <w:t>establishment</w:t>
      </w:r>
      <w:r w:rsidR="00D76288" w:rsidRPr="00D803FA">
        <w:rPr>
          <w:rFonts w:ascii="Times New Roman" w:hAnsi="Times New Roman" w:cs="Times New Roman"/>
          <w:sz w:val="24"/>
          <w:szCs w:val="24"/>
        </w:rPr>
        <w:t>s</w:t>
      </w:r>
      <w:r w:rsidR="00D76E12" w:rsidRPr="00D803FA">
        <w:rPr>
          <w:rFonts w:ascii="Times New Roman" w:hAnsi="Times New Roman" w:cs="Times New Roman"/>
          <w:sz w:val="24"/>
          <w:szCs w:val="24"/>
        </w:rPr>
        <w:t xml:space="preserve"> and immigration removal/holding facilities, health and social care (HSC) bodies (which are prevalent in Northern Ireland (NI)) and public corporations (OFMDFM 2014; Cabinet Office 2015).</w:t>
      </w:r>
    </w:p>
    <w:p w14:paraId="1632ADF2" w14:textId="38C5E0F0" w:rsidR="00D76E12" w:rsidRPr="00D803FA" w:rsidRDefault="00B70B7E" w:rsidP="00D803FA">
      <w:pPr>
        <w:spacing w:after="0" w:line="360" w:lineRule="auto"/>
        <w:ind w:firstLine="432"/>
        <w:jc w:val="both"/>
        <w:rPr>
          <w:rFonts w:ascii="Times New Roman" w:hAnsi="Times New Roman" w:cs="Times New Roman"/>
          <w:sz w:val="24"/>
          <w:szCs w:val="24"/>
        </w:rPr>
      </w:pPr>
      <w:r w:rsidRPr="00D803FA">
        <w:rPr>
          <w:rFonts w:ascii="Times New Roman" w:hAnsi="Times New Roman" w:cs="Times New Roman"/>
          <w:sz w:val="24"/>
          <w:szCs w:val="24"/>
        </w:rPr>
        <w:t xml:space="preserve">Since the 1980s, governments around the world have promoted the creation of ALBs on the basis that this will bring improvements in public sector performance (Pollitt et al. 2001; </w:t>
      </w:r>
      <w:proofErr w:type="spellStart"/>
      <w:r w:rsidRPr="00D803FA">
        <w:rPr>
          <w:rFonts w:ascii="Times New Roman" w:hAnsi="Times New Roman" w:cs="Times New Roman"/>
          <w:sz w:val="24"/>
          <w:szCs w:val="24"/>
        </w:rPr>
        <w:t>Verhoest</w:t>
      </w:r>
      <w:proofErr w:type="spellEnd"/>
      <w:r w:rsidRPr="00D803FA">
        <w:rPr>
          <w:rFonts w:ascii="Times New Roman" w:hAnsi="Times New Roman" w:cs="Times New Roman"/>
          <w:sz w:val="24"/>
          <w:szCs w:val="24"/>
        </w:rPr>
        <w:t xml:space="preserve"> et al. 2012); indeed, it is contended that such bodies have become indispensable to modern government globally (</w:t>
      </w:r>
      <w:proofErr w:type="spellStart"/>
      <w:r w:rsidRPr="00D803FA">
        <w:rPr>
          <w:rFonts w:ascii="Times New Roman" w:hAnsi="Times New Roman" w:cs="Times New Roman"/>
          <w:sz w:val="24"/>
          <w:szCs w:val="24"/>
        </w:rPr>
        <w:t>Skelcher</w:t>
      </w:r>
      <w:proofErr w:type="spellEnd"/>
      <w:r w:rsidRPr="00D803FA">
        <w:rPr>
          <w:rFonts w:ascii="Times New Roman" w:hAnsi="Times New Roman" w:cs="Times New Roman"/>
          <w:sz w:val="24"/>
          <w:szCs w:val="24"/>
        </w:rPr>
        <w:t xml:space="preserve"> et al. 2013). The reasons for this include ALBs: prevent minsters from becoming overloaded; bring expert advice to complex policy issues; and undertake regulatory and quasi-judicial tasks that need to be politically independent (</w:t>
      </w:r>
      <w:proofErr w:type="spellStart"/>
      <w:r w:rsidRPr="00D803FA">
        <w:rPr>
          <w:rFonts w:ascii="Times New Roman" w:hAnsi="Times New Roman" w:cs="Times New Roman"/>
          <w:sz w:val="24"/>
          <w:szCs w:val="24"/>
        </w:rPr>
        <w:t>Skelcher</w:t>
      </w:r>
      <w:proofErr w:type="spellEnd"/>
      <w:r w:rsidRPr="00D803FA">
        <w:rPr>
          <w:rFonts w:ascii="Times New Roman" w:hAnsi="Times New Roman" w:cs="Times New Roman"/>
          <w:sz w:val="24"/>
          <w:szCs w:val="24"/>
        </w:rPr>
        <w:t xml:space="preserve"> et al. 2013). However, the application of the ‘agency’ model and the concept of ‘agencification’ or ‘agentification’ differ from country to country with different terms being used for ALBs; for example, special operating agencies in Canada and state enterprises in Finland and New Zealand (</w:t>
      </w:r>
      <w:proofErr w:type="spellStart"/>
      <w:r w:rsidRPr="00D803FA">
        <w:rPr>
          <w:rFonts w:ascii="Times New Roman" w:hAnsi="Times New Roman" w:cs="Times New Roman"/>
          <w:sz w:val="24"/>
          <w:szCs w:val="24"/>
        </w:rPr>
        <w:t>Wettenhall</w:t>
      </w:r>
      <w:proofErr w:type="spellEnd"/>
      <w:r w:rsidRPr="00D803FA">
        <w:rPr>
          <w:rFonts w:ascii="Times New Roman" w:hAnsi="Times New Roman" w:cs="Times New Roman"/>
          <w:sz w:val="24"/>
          <w:szCs w:val="24"/>
        </w:rPr>
        <w:t xml:space="preserve"> 2005). Moreover, Overman and van </w:t>
      </w:r>
      <w:proofErr w:type="spellStart"/>
      <w:r w:rsidRPr="00D803FA">
        <w:rPr>
          <w:rFonts w:ascii="Times New Roman" w:hAnsi="Times New Roman" w:cs="Times New Roman"/>
          <w:sz w:val="24"/>
          <w:szCs w:val="24"/>
        </w:rPr>
        <w:t>Thiel</w:t>
      </w:r>
      <w:proofErr w:type="spellEnd"/>
      <w:r w:rsidRPr="00D803FA">
        <w:rPr>
          <w:rFonts w:ascii="Times New Roman" w:hAnsi="Times New Roman" w:cs="Times New Roman"/>
          <w:sz w:val="24"/>
          <w:szCs w:val="24"/>
        </w:rPr>
        <w:t xml:space="preserve"> (2016) outlined the different levels of agencification in twenty countries, </w:t>
      </w:r>
      <w:r w:rsidR="00980094" w:rsidRPr="00D803FA">
        <w:rPr>
          <w:rFonts w:ascii="Times New Roman" w:hAnsi="Times New Roman" w:cs="Times New Roman"/>
          <w:sz w:val="24"/>
          <w:szCs w:val="24"/>
        </w:rPr>
        <w:t xml:space="preserve">with these ranging from all public services being provided by agencies in </w:t>
      </w:r>
      <w:r w:rsidRPr="00D803FA">
        <w:rPr>
          <w:rFonts w:ascii="Times New Roman" w:hAnsi="Times New Roman" w:cs="Times New Roman"/>
          <w:sz w:val="24"/>
          <w:szCs w:val="24"/>
        </w:rPr>
        <w:t xml:space="preserve">Lithuania </w:t>
      </w:r>
      <w:r w:rsidR="00980094" w:rsidRPr="00D803FA">
        <w:rPr>
          <w:rFonts w:ascii="Times New Roman" w:hAnsi="Times New Roman" w:cs="Times New Roman"/>
          <w:sz w:val="24"/>
          <w:szCs w:val="24"/>
        </w:rPr>
        <w:t>to less than half i</w:t>
      </w:r>
      <w:r w:rsidRPr="00D803FA">
        <w:rPr>
          <w:rFonts w:ascii="Times New Roman" w:hAnsi="Times New Roman" w:cs="Times New Roman"/>
          <w:sz w:val="24"/>
          <w:szCs w:val="24"/>
        </w:rPr>
        <w:t>n</w:t>
      </w:r>
      <w:r w:rsidR="00980094" w:rsidRPr="00D803FA">
        <w:rPr>
          <w:rFonts w:ascii="Times New Roman" w:hAnsi="Times New Roman" w:cs="Times New Roman"/>
          <w:sz w:val="24"/>
          <w:szCs w:val="24"/>
        </w:rPr>
        <w:t xml:space="preserve"> Switzerland; in the UK, this was approximately 80 per cent</w:t>
      </w:r>
      <w:r w:rsidRPr="00D803FA">
        <w:rPr>
          <w:rFonts w:ascii="Times New Roman" w:hAnsi="Times New Roman" w:cs="Times New Roman"/>
          <w:sz w:val="24"/>
          <w:szCs w:val="24"/>
        </w:rPr>
        <w:t>. These authors also tested the claims that such bodies improve performance at the macro level, and reported a negative effect on both public sector output and efficiency, thus refuting the economic claims underlying agencification programmes.</w:t>
      </w:r>
    </w:p>
    <w:p w14:paraId="3147D736" w14:textId="77777777" w:rsidR="00D76E12" w:rsidRPr="00D803FA" w:rsidRDefault="00D76E12" w:rsidP="00D803FA">
      <w:pPr>
        <w:spacing w:after="0" w:line="360" w:lineRule="auto"/>
        <w:ind w:firstLine="432"/>
        <w:jc w:val="both"/>
        <w:rPr>
          <w:rFonts w:ascii="Times New Roman" w:hAnsi="Times New Roman" w:cs="Times New Roman"/>
          <w:sz w:val="24"/>
          <w:szCs w:val="24"/>
        </w:rPr>
      </w:pPr>
      <w:r w:rsidRPr="00D803FA">
        <w:rPr>
          <w:rFonts w:ascii="Times New Roman" w:hAnsi="Times New Roman" w:cs="Times New Roman"/>
          <w:sz w:val="24"/>
          <w:szCs w:val="24"/>
        </w:rPr>
        <w:t>Building on the Nolan principles (Committee on Standards in Public Life 1995), t</w:t>
      </w:r>
      <w:r w:rsidRPr="00D803FA">
        <w:rPr>
          <w:rFonts w:ascii="Times New Roman" w:hAnsi="Times New Roman" w:cs="Times New Roman"/>
          <w:sz w:val="24"/>
          <w:szCs w:val="24"/>
          <w:lang w:val="en"/>
        </w:rPr>
        <w:t xml:space="preserve">he Independent Commission on Good Governance in Public Services (2004) developed six common principles of good governance for public service organizations that are intended to help those with an interest in public governance to assess good practice. Accordingly, </w:t>
      </w:r>
      <w:r w:rsidRPr="00D803FA">
        <w:rPr>
          <w:rFonts w:ascii="Times New Roman" w:hAnsi="Times New Roman" w:cs="Times New Roman"/>
          <w:bCs/>
          <w:sz w:val="24"/>
          <w:szCs w:val="24"/>
        </w:rPr>
        <w:t>good governance means: (</w:t>
      </w:r>
      <w:proofErr w:type="spellStart"/>
      <w:r w:rsidRPr="00D803FA">
        <w:rPr>
          <w:rFonts w:ascii="Times New Roman" w:hAnsi="Times New Roman" w:cs="Times New Roman"/>
          <w:bCs/>
          <w:sz w:val="24"/>
          <w:szCs w:val="24"/>
        </w:rPr>
        <w:t>i</w:t>
      </w:r>
      <w:proofErr w:type="spellEnd"/>
      <w:r w:rsidRPr="00D803FA">
        <w:rPr>
          <w:rFonts w:ascii="Times New Roman" w:hAnsi="Times New Roman" w:cs="Times New Roman"/>
          <w:bCs/>
          <w:sz w:val="24"/>
          <w:szCs w:val="24"/>
        </w:rPr>
        <w:t xml:space="preserve">) focusing on the organization’s purpose and on outcomes for citizens and service users; (ii) performing effectively in clearly defined functions and roles; (iii) promoting values for the whole organization and demonstrating good governance through behaviour; (iv) taking informed, transparent decisions and managing risk; (v) developing the capacity and capability of the governing body to be effective; and (iv) engaging stakeholders and making accountability real. </w:t>
      </w:r>
      <w:r w:rsidRPr="00D803FA">
        <w:rPr>
          <w:rFonts w:ascii="Times New Roman" w:hAnsi="Times New Roman" w:cs="Times New Roman"/>
          <w:sz w:val="24"/>
          <w:szCs w:val="24"/>
        </w:rPr>
        <w:t>This latter point requires a relationship and a dialogue, and for organizations to understand to whom, and for what, they are accountable. As it involves not only reporting on what has happened but also engaging with stakeholders to plan future activities, it is consistent with accountability being viewed in the context of stakeholder theory (Freeman 2010).</w:t>
      </w:r>
    </w:p>
    <w:p w14:paraId="2C17F23C" w14:textId="46141ACE" w:rsidR="00D76E12" w:rsidRPr="00D803FA" w:rsidRDefault="00B70B7E" w:rsidP="00D803FA">
      <w:pPr>
        <w:spacing w:after="0" w:line="360" w:lineRule="auto"/>
        <w:ind w:firstLine="426"/>
        <w:jc w:val="both"/>
        <w:rPr>
          <w:rFonts w:ascii="Times New Roman" w:hAnsi="Times New Roman" w:cs="Times New Roman"/>
          <w:sz w:val="24"/>
          <w:szCs w:val="24"/>
        </w:rPr>
      </w:pPr>
      <w:r w:rsidRPr="00D803FA">
        <w:rPr>
          <w:rFonts w:ascii="Times New Roman" w:hAnsi="Times New Roman" w:cs="Times New Roman"/>
          <w:sz w:val="24"/>
          <w:szCs w:val="24"/>
        </w:rPr>
        <w:lastRenderedPageBreak/>
        <w:t xml:space="preserve">Despite initiatives by the UK government that aimed to reform public bodies (see </w:t>
      </w:r>
      <w:proofErr w:type="spellStart"/>
      <w:r w:rsidRPr="00D803FA">
        <w:rPr>
          <w:rFonts w:ascii="Times New Roman" w:hAnsi="Times New Roman" w:cs="Times New Roman"/>
          <w:sz w:val="24"/>
          <w:szCs w:val="24"/>
        </w:rPr>
        <w:t>Skelcher</w:t>
      </w:r>
      <w:proofErr w:type="spellEnd"/>
      <w:r w:rsidRPr="00D803FA">
        <w:rPr>
          <w:rFonts w:ascii="Times New Roman" w:hAnsi="Times New Roman" w:cs="Times New Roman"/>
          <w:sz w:val="24"/>
          <w:szCs w:val="24"/>
        </w:rPr>
        <w:t xml:space="preserve"> et al. 2013) the House of Commons Public Administration Select Committee (</w:t>
      </w:r>
      <w:proofErr w:type="spellStart"/>
      <w:r w:rsidRPr="00D803FA">
        <w:rPr>
          <w:rFonts w:ascii="Times New Roman" w:hAnsi="Times New Roman" w:cs="Times New Roman"/>
          <w:sz w:val="24"/>
          <w:szCs w:val="24"/>
        </w:rPr>
        <w:t>HoCPASC</w:t>
      </w:r>
      <w:proofErr w:type="spellEnd"/>
      <w:r w:rsidRPr="00D803FA">
        <w:rPr>
          <w:rFonts w:ascii="Times New Roman" w:hAnsi="Times New Roman" w:cs="Times New Roman"/>
          <w:sz w:val="24"/>
          <w:szCs w:val="24"/>
        </w:rPr>
        <w:t xml:space="preserve">) (2014) raised a number of concerns about their </w:t>
      </w:r>
      <w:r w:rsidRPr="00D803FA">
        <w:rPr>
          <w:rFonts w:ascii="Times New Roman" w:hAnsi="Times New Roman" w:cs="Times New Roman"/>
          <w:bCs/>
          <w:sz w:val="24"/>
          <w:szCs w:val="24"/>
        </w:rPr>
        <w:t xml:space="preserve">accountability, </w:t>
      </w:r>
      <w:r w:rsidR="00767DD0" w:rsidRPr="00D803FA">
        <w:rPr>
          <w:rFonts w:ascii="Times New Roman" w:hAnsi="Times New Roman" w:cs="Times New Roman"/>
          <w:bCs/>
          <w:sz w:val="24"/>
          <w:szCs w:val="24"/>
        </w:rPr>
        <w:t xml:space="preserve">contending </w:t>
      </w:r>
      <w:r w:rsidRPr="00D803FA">
        <w:rPr>
          <w:rFonts w:ascii="Times New Roman" w:hAnsi="Times New Roman" w:cs="Times New Roman"/>
          <w:bCs/>
          <w:sz w:val="24"/>
          <w:szCs w:val="24"/>
        </w:rPr>
        <w:t xml:space="preserve">it was transactional in nature, with an insufficient emphasis on the human factors, confused and neglected. </w:t>
      </w:r>
      <w:proofErr w:type="spellStart"/>
      <w:r w:rsidRPr="00D803FA">
        <w:rPr>
          <w:rFonts w:ascii="Times New Roman" w:hAnsi="Times New Roman" w:cs="Times New Roman"/>
          <w:sz w:val="24"/>
          <w:szCs w:val="24"/>
        </w:rPr>
        <w:t>HoCPASC</w:t>
      </w:r>
      <w:proofErr w:type="spellEnd"/>
      <w:r w:rsidRPr="00D803FA">
        <w:rPr>
          <w:rFonts w:ascii="Times New Roman" w:hAnsi="Times New Roman" w:cs="Times New Roman"/>
          <w:sz w:val="24"/>
          <w:szCs w:val="24"/>
        </w:rPr>
        <w:t xml:space="preserve"> (2014) also advised the </w:t>
      </w:r>
      <w:r w:rsidRPr="00D803FA">
        <w:rPr>
          <w:rFonts w:ascii="Times New Roman" w:hAnsi="Times New Roman" w:cs="Times New Roman"/>
          <w:bCs/>
          <w:sz w:val="24"/>
          <w:szCs w:val="24"/>
        </w:rPr>
        <w:t xml:space="preserve">Government to promote good relationships between Central Government and public bodies. It is against this backdrop of issues with NDPBs’ accountability that this paper aims to answer the following research question: how do the relationships </w:t>
      </w:r>
      <w:r w:rsidRPr="00D803FA">
        <w:rPr>
          <w:rFonts w:ascii="Times New Roman" w:hAnsi="Times New Roman" w:cs="Times New Roman"/>
          <w:sz w:val="24"/>
          <w:szCs w:val="24"/>
        </w:rPr>
        <w:t xml:space="preserve">NI NDPBs </w:t>
      </w:r>
      <w:r w:rsidRPr="00D803FA">
        <w:rPr>
          <w:rFonts w:ascii="Times New Roman" w:hAnsi="Times New Roman" w:cs="Times New Roman"/>
          <w:bCs/>
          <w:sz w:val="24"/>
          <w:szCs w:val="24"/>
        </w:rPr>
        <w:t xml:space="preserve">have with </w:t>
      </w:r>
      <w:r w:rsidRPr="00D803FA">
        <w:rPr>
          <w:rFonts w:ascii="Times New Roman" w:hAnsi="Times New Roman" w:cs="Times New Roman"/>
          <w:sz w:val="24"/>
          <w:szCs w:val="24"/>
        </w:rPr>
        <w:t>two key stakeholders, sponsoring government departments and service users, impact upon their ability to discharge their accountability responsibilities effectively? The paper highlights certain problems that these NDPBS face with regard to relationships and accountability and also offers some solutions that may be of benefit to other public sector organisations, both in the UK and other jurisdictions.</w:t>
      </w:r>
      <w:r w:rsidR="00D76E12" w:rsidRPr="00D803FA">
        <w:rPr>
          <w:rFonts w:ascii="Times New Roman" w:hAnsi="Times New Roman" w:cs="Times New Roman"/>
          <w:sz w:val="24"/>
          <w:szCs w:val="24"/>
        </w:rPr>
        <w:t xml:space="preserve"> In terms of structure, the next </w:t>
      </w:r>
      <w:r w:rsidR="00D76288" w:rsidRPr="00D803FA">
        <w:rPr>
          <w:rFonts w:ascii="Times New Roman" w:hAnsi="Times New Roman" w:cs="Times New Roman"/>
          <w:sz w:val="24"/>
          <w:szCs w:val="24"/>
        </w:rPr>
        <w:t>t</w:t>
      </w:r>
      <w:r w:rsidR="00767DD0" w:rsidRPr="00D803FA">
        <w:rPr>
          <w:rFonts w:ascii="Times New Roman" w:hAnsi="Times New Roman" w:cs="Times New Roman"/>
          <w:sz w:val="24"/>
          <w:szCs w:val="24"/>
        </w:rPr>
        <w:t>hree</w:t>
      </w:r>
      <w:r w:rsidR="00D76288" w:rsidRPr="00D803FA">
        <w:rPr>
          <w:rFonts w:ascii="Times New Roman" w:hAnsi="Times New Roman" w:cs="Times New Roman"/>
          <w:sz w:val="24"/>
          <w:szCs w:val="24"/>
        </w:rPr>
        <w:t xml:space="preserve"> </w:t>
      </w:r>
      <w:r w:rsidR="00D76E12" w:rsidRPr="00D803FA">
        <w:rPr>
          <w:rFonts w:ascii="Times New Roman" w:hAnsi="Times New Roman" w:cs="Times New Roman"/>
          <w:sz w:val="24"/>
          <w:szCs w:val="24"/>
        </w:rPr>
        <w:t>section</w:t>
      </w:r>
      <w:r w:rsidR="00D76288" w:rsidRPr="00D803FA">
        <w:rPr>
          <w:rFonts w:ascii="Times New Roman" w:hAnsi="Times New Roman" w:cs="Times New Roman"/>
          <w:sz w:val="24"/>
          <w:szCs w:val="24"/>
        </w:rPr>
        <w:t>s</w:t>
      </w:r>
      <w:r w:rsidR="00D76E12" w:rsidRPr="00D803FA">
        <w:rPr>
          <w:rFonts w:ascii="Times New Roman" w:hAnsi="Times New Roman" w:cs="Times New Roman"/>
          <w:sz w:val="24"/>
          <w:szCs w:val="24"/>
        </w:rPr>
        <w:t xml:space="preserve"> provide background to the study</w:t>
      </w:r>
      <w:r w:rsidR="00767DD0" w:rsidRPr="00D803FA">
        <w:rPr>
          <w:rFonts w:ascii="Times New Roman" w:hAnsi="Times New Roman" w:cs="Times New Roman"/>
          <w:sz w:val="24"/>
          <w:szCs w:val="24"/>
        </w:rPr>
        <w:t xml:space="preserve">, including recent changes imposed on public bodies, outline the structure of government in NI and discuss </w:t>
      </w:r>
      <w:r w:rsidR="00D76E12" w:rsidRPr="00D803FA">
        <w:rPr>
          <w:rFonts w:ascii="Times New Roman" w:hAnsi="Times New Roman" w:cs="Times New Roman"/>
          <w:sz w:val="24"/>
          <w:szCs w:val="24"/>
        </w:rPr>
        <w:t>the notion of accountability and how it is operationalized by NDPBs. The research method is then explained before the results of a survey of, and interviews with, NDPB board members are presented. Finally, the findings are discussed and conclusions drawn.</w:t>
      </w:r>
    </w:p>
    <w:p w14:paraId="2DB4A371" w14:textId="77777777" w:rsidR="00D76E12" w:rsidRPr="00D803FA" w:rsidRDefault="00D76E12" w:rsidP="00D803FA">
      <w:pPr>
        <w:spacing w:after="0" w:line="360" w:lineRule="auto"/>
        <w:rPr>
          <w:rFonts w:ascii="Times New Roman" w:hAnsi="Times New Roman" w:cs="Times New Roman"/>
          <w:b/>
          <w:sz w:val="24"/>
          <w:szCs w:val="24"/>
        </w:rPr>
      </w:pPr>
    </w:p>
    <w:p w14:paraId="05EEF002" w14:textId="77777777" w:rsidR="00D76E12" w:rsidRPr="00D803FA" w:rsidRDefault="00D76E12" w:rsidP="00D803FA">
      <w:pPr>
        <w:spacing w:after="0" w:line="360" w:lineRule="auto"/>
        <w:jc w:val="both"/>
        <w:rPr>
          <w:rFonts w:ascii="Times New Roman" w:hAnsi="Times New Roman" w:cs="Times New Roman"/>
          <w:b/>
          <w:sz w:val="24"/>
          <w:szCs w:val="24"/>
        </w:rPr>
      </w:pPr>
      <w:r w:rsidRPr="00D803FA">
        <w:rPr>
          <w:rFonts w:ascii="Times New Roman" w:hAnsi="Times New Roman" w:cs="Times New Roman"/>
          <w:b/>
          <w:sz w:val="24"/>
          <w:szCs w:val="24"/>
        </w:rPr>
        <w:t>BACKGROUND AND CONTEXT</w:t>
      </w:r>
    </w:p>
    <w:p w14:paraId="3A7A3AEB" w14:textId="77777777" w:rsidR="00D76E12" w:rsidRPr="00D803FA" w:rsidRDefault="00D76E12" w:rsidP="00D803FA">
      <w:pPr>
        <w:spacing w:after="0" w:line="360" w:lineRule="auto"/>
        <w:jc w:val="both"/>
        <w:rPr>
          <w:rFonts w:ascii="Times New Roman" w:hAnsi="Times New Roman" w:cs="Times New Roman"/>
          <w:sz w:val="24"/>
          <w:szCs w:val="24"/>
        </w:rPr>
      </w:pPr>
    </w:p>
    <w:p w14:paraId="7E331A11" w14:textId="77777777" w:rsidR="00D76E12" w:rsidRPr="00D803FA" w:rsidRDefault="00D76E12" w:rsidP="00D803FA">
      <w:pPr>
        <w:spacing w:after="0" w:line="360" w:lineRule="auto"/>
        <w:jc w:val="both"/>
        <w:rPr>
          <w:rFonts w:ascii="Times New Roman" w:hAnsi="Times New Roman" w:cs="Times New Roman"/>
          <w:sz w:val="24"/>
          <w:szCs w:val="24"/>
        </w:rPr>
      </w:pPr>
      <w:r w:rsidRPr="00D803FA">
        <w:rPr>
          <w:rFonts w:ascii="Times New Roman" w:hAnsi="Times New Roman" w:cs="Times New Roman"/>
          <w:sz w:val="24"/>
          <w:szCs w:val="24"/>
        </w:rPr>
        <w:t xml:space="preserve">In May 2010, the </w:t>
      </w:r>
      <w:r w:rsidR="00B70B7E" w:rsidRPr="00D803FA">
        <w:rPr>
          <w:rFonts w:ascii="Times New Roman" w:hAnsi="Times New Roman" w:cs="Times New Roman"/>
          <w:sz w:val="24"/>
          <w:szCs w:val="24"/>
        </w:rPr>
        <w:t xml:space="preserve">UK </w:t>
      </w:r>
      <w:r w:rsidRPr="00D803FA">
        <w:rPr>
          <w:rFonts w:ascii="Times New Roman" w:hAnsi="Times New Roman" w:cs="Times New Roman"/>
          <w:sz w:val="24"/>
          <w:szCs w:val="24"/>
        </w:rPr>
        <w:t xml:space="preserve">Coalition Government pledged to reform public bodies in its </w:t>
      </w:r>
      <w:r w:rsidRPr="00D803FA">
        <w:rPr>
          <w:rFonts w:ascii="Times New Roman" w:hAnsi="Times New Roman" w:cs="Times New Roman"/>
          <w:i/>
          <w:sz w:val="24"/>
          <w:szCs w:val="24"/>
        </w:rPr>
        <w:t>Programme for Government</w:t>
      </w:r>
      <w:r w:rsidRPr="00D803FA">
        <w:rPr>
          <w:rFonts w:ascii="Times New Roman" w:hAnsi="Times New Roman" w:cs="Times New Roman"/>
          <w:sz w:val="24"/>
          <w:szCs w:val="24"/>
        </w:rPr>
        <w:t>, emphasizing two key objectives: saving money and increasing accountability (</w:t>
      </w:r>
      <w:proofErr w:type="spellStart"/>
      <w:r w:rsidRPr="00D803FA">
        <w:rPr>
          <w:rFonts w:ascii="Times New Roman" w:hAnsi="Times New Roman" w:cs="Times New Roman"/>
          <w:sz w:val="24"/>
          <w:szCs w:val="24"/>
        </w:rPr>
        <w:t>Skelcher</w:t>
      </w:r>
      <w:proofErr w:type="spellEnd"/>
      <w:r w:rsidRPr="00D803FA">
        <w:rPr>
          <w:rFonts w:ascii="Times New Roman" w:hAnsi="Times New Roman" w:cs="Times New Roman"/>
          <w:sz w:val="24"/>
          <w:szCs w:val="24"/>
        </w:rPr>
        <w:t xml:space="preserve"> et al. 2013). However, while the reforms have led to significant reductions in the number of public bodies, this has often involved all or some of the functions being transferred to a new ALB, a government department or local council or the not-for-profit or business sectors (</w:t>
      </w:r>
      <w:proofErr w:type="spellStart"/>
      <w:r w:rsidRPr="00D803FA">
        <w:rPr>
          <w:rFonts w:ascii="Times New Roman" w:hAnsi="Times New Roman" w:cs="Times New Roman"/>
          <w:sz w:val="24"/>
          <w:szCs w:val="24"/>
        </w:rPr>
        <w:t>Skelcher</w:t>
      </w:r>
      <w:proofErr w:type="spellEnd"/>
      <w:r w:rsidRPr="00D803FA">
        <w:rPr>
          <w:rFonts w:ascii="Times New Roman" w:hAnsi="Times New Roman" w:cs="Times New Roman"/>
          <w:sz w:val="24"/>
          <w:szCs w:val="24"/>
        </w:rPr>
        <w:t xml:space="preserve"> et al. 2013). Thus, significant savings are unlikely if all that has changed is the organizational location of a function and not the specific functions themselves. Moreover, </w:t>
      </w:r>
      <w:proofErr w:type="spellStart"/>
      <w:r w:rsidRPr="00D803FA">
        <w:rPr>
          <w:rFonts w:ascii="Times New Roman" w:hAnsi="Times New Roman" w:cs="Times New Roman"/>
          <w:sz w:val="24"/>
          <w:szCs w:val="24"/>
        </w:rPr>
        <w:t>Skelcher</w:t>
      </w:r>
      <w:proofErr w:type="spellEnd"/>
      <w:r w:rsidRPr="00D803FA">
        <w:rPr>
          <w:rFonts w:ascii="Times New Roman" w:hAnsi="Times New Roman" w:cs="Times New Roman"/>
          <w:sz w:val="24"/>
          <w:szCs w:val="24"/>
        </w:rPr>
        <w:t xml:space="preserve"> et al. (2013) also contend that there is a tension between the centrifugal forces underlying the civil service reform plan’s ambition for enhanced delivery and the centripetal forces of improved accountability that in part motivated the public bodies’ review. For example, while integrating a NDPB into a departmental line management system may theoretically increase ministerial accountability, the functions may become a relatively minor component of the department and therefore receive less scrutiny and attention. Similarly, </w:t>
      </w:r>
      <w:proofErr w:type="spellStart"/>
      <w:r w:rsidRPr="00D803FA">
        <w:rPr>
          <w:rFonts w:ascii="Times New Roman" w:hAnsi="Times New Roman" w:cs="Times New Roman"/>
          <w:sz w:val="24"/>
          <w:szCs w:val="24"/>
        </w:rPr>
        <w:t>Tonkiss</w:t>
      </w:r>
      <w:proofErr w:type="spellEnd"/>
      <w:r w:rsidRPr="00D803FA">
        <w:rPr>
          <w:rFonts w:ascii="Times New Roman" w:hAnsi="Times New Roman" w:cs="Times New Roman"/>
          <w:sz w:val="24"/>
          <w:szCs w:val="24"/>
        </w:rPr>
        <w:t xml:space="preserve"> (2016) reports tensions between independence and accountability, which </w:t>
      </w:r>
      <w:r w:rsidRPr="00D803FA">
        <w:rPr>
          <w:rFonts w:ascii="Times New Roman" w:hAnsi="Times New Roman" w:cs="Times New Roman"/>
          <w:sz w:val="24"/>
          <w:szCs w:val="24"/>
        </w:rPr>
        <w:lastRenderedPageBreak/>
        <w:t>come to the fore in periods of fiscal stress as governments employ financial management tools to regulate the use of resources by ALBs.</w:t>
      </w:r>
    </w:p>
    <w:p w14:paraId="097BF012" w14:textId="04225001" w:rsidR="00D76E12" w:rsidRPr="00D803FA" w:rsidRDefault="00767DD0" w:rsidP="00D803FA">
      <w:pPr>
        <w:spacing w:after="0" w:line="360" w:lineRule="auto"/>
        <w:ind w:firstLine="426"/>
        <w:jc w:val="both"/>
        <w:rPr>
          <w:rFonts w:ascii="Times New Roman" w:hAnsi="Times New Roman" w:cs="Times New Roman"/>
          <w:bCs/>
          <w:sz w:val="24"/>
          <w:szCs w:val="24"/>
        </w:rPr>
      </w:pPr>
      <w:r w:rsidRPr="00D803FA">
        <w:rPr>
          <w:rFonts w:ascii="Times New Roman" w:hAnsi="Times New Roman" w:cs="Times New Roman"/>
          <w:bCs/>
          <w:sz w:val="24"/>
          <w:szCs w:val="24"/>
        </w:rPr>
        <w:t>In addition to the matters referred to above, and w</w:t>
      </w:r>
      <w:r w:rsidR="00D76E12" w:rsidRPr="00D803FA">
        <w:rPr>
          <w:rFonts w:ascii="Times New Roman" w:hAnsi="Times New Roman" w:cs="Times New Roman"/>
          <w:bCs/>
          <w:sz w:val="24"/>
          <w:szCs w:val="24"/>
        </w:rPr>
        <w:t>hilst acknowledging that the UK Government has r</w:t>
      </w:r>
      <w:r w:rsidRPr="00D803FA">
        <w:rPr>
          <w:rFonts w:ascii="Times New Roman" w:hAnsi="Times New Roman" w:cs="Times New Roman"/>
          <w:bCs/>
          <w:sz w:val="24"/>
          <w:szCs w:val="24"/>
        </w:rPr>
        <w:t xml:space="preserve">eformed ALBs (including NDPBs), </w:t>
      </w:r>
      <w:r w:rsidR="00B70B7E" w:rsidRPr="00D803FA">
        <w:rPr>
          <w:rFonts w:ascii="Times New Roman" w:hAnsi="Times New Roman" w:cs="Times New Roman"/>
          <w:sz w:val="24"/>
          <w:szCs w:val="24"/>
        </w:rPr>
        <w:t xml:space="preserve">the </w:t>
      </w:r>
      <w:proofErr w:type="spellStart"/>
      <w:r w:rsidR="00B70B7E" w:rsidRPr="00D803FA">
        <w:rPr>
          <w:rFonts w:ascii="Times New Roman" w:hAnsi="Times New Roman" w:cs="Times New Roman"/>
          <w:sz w:val="24"/>
          <w:szCs w:val="24"/>
        </w:rPr>
        <w:t>HoCPASC</w:t>
      </w:r>
      <w:proofErr w:type="spellEnd"/>
      <w:r w:rsidR="00B70B7E" w:rsidRPr="00D803FA">
        <w:rPr>
          <w:rFonts w:ascii="Times New Roman" w:hAnsi="Times New Roman" w:cs="Times New Roman"/>
          <w:sz w:val="24"/>
          <w:szCs w:val="24"/>
        </w:rPr>
        <w:t xml:space="preserve"> (2014)</w:t>
      </w:r>
      <w:r w:rsidR="00D76E12" w:rsidRPr="00D803FA">
        <w:rPr>
          <w:rFonts w:ascii="Times New Roman" w:hAnsi="Times New Roman" w:cs="Times New Roman"/>
          <w:sz w:val="24"/>
          <w:szCs w:val="24"/>
        </w:rPr>
        <w:t xml:space="preserve"> </w:t>
      </w:r>
      <w:r w:rsidR="00D76702" w:rsidRPr="00D803FA">
        <w:rPr>
          <w:rFonts w:ascii="Times New Roman" w:hAnsi="Times New Roman" w:cs="Times New Roman"/>
          <w:sz w:val="24"/>
          <w:szCs w:val="24"/>
        </w:rPr>
        <w:t>argu</w:t>
      </w:r>
      <w:r w:rsidR="00D76E12" w:rsidRPr="00D803FA">
        <w:rPr>
          <w:rFonts w:ascii="Times New Roman" w:hAnsi="Times New Roman" w:cs="Times New Roman"/>
          <w:bCs/>
          <w:sz w:val="24"/>
          <w:szCs w:val="24"/>
        </w:rPr>
        <w:t>e</w:t>
      </w:r>
      <w:r w:rsidRPr="00D803FA">
        <w:rPr>
          <w:rFonts w:ascii="Times New Roman" w:hAnsi="Times New Roman" w:cs="Times New Roman"/>
          <w:bCs/>
          <w:sz w:val="24"/>
          <w:szCs w:val="24"/>
        </w:rPr>
        <w:t>d</w:t>
      </w:r>
      <w:r w:rsidR="00D76702" w:rsidRPr="00D803FA">
        <w:rPr>
          <w:rFonts w:ascii="Times New Roman" w:hAnsi="Times New Roman" w:cs="Times New Roman"/>
          <w:bCs/>
          <w:sz w:val="24"/>
          <w:szCs w:val="24"/>
        </w:rPr>
        <w:t>:</w:t>
      </w:r>
      <w:r w:rsidR="00D76E12" w:rsidRPr="00D803FA">
        <w:rPr>
          <w:rFonts w:ascii="Times New Roman" w:hAnsi="Times New Roman" w:cs="Times New Roman"/>
          <w:bCs/>
          <w:sz w:val="24"/>
          <w:szCs w:val="24"/>
        </w:rPr>
        <w:t xml:space="preserve"> </w:t>
      </w:r>
      <w:r w:rsidR="00D76702" w:rsidRPr="00D803FA">
        <w:rPr>
          <w:rFonts w:ascii="Times New Roman" w:hAnsi="Times New Roman" w:cs="Times New Roman"/>
          <w:bCs/>
          <w:sz w:val="24"/>
          <w:szCs w:val="24"/>
        </w:rPr>
        <w:t xml:space="preserve">for </w:t>
      </w:r>
      <w:r w:rsidR="00D76E12" w:rsidRPr="00D803FA">
        <w:rPr>
          <w:rFonts w:ascii="Times New Roman" w:hAnsi="Times New Roman" w:cs="Times New Roman"/>
          <w:bCs/>
          <w:sz w:val="24"/>
          <w:szCs w:val="24"/>
        </w:rPr>
        <w:t>a taxonomy of public bodies to simplify state structures</w:t>
      </w:r>
      <w:r w:rsidR="00D76702" w:rsidRPr="00D803FA">
        <w:rPr>
          <w:rFonts w:ascii="Times New Roman" w:hAnsi="Times New Roman" w:cs="Times New Roman"/>
          <w:bCs/>
          <w:sz w:val="24"/>
          <w:szCs w:val="24"/>
        </w:rPr>
        <w:t xml:space="preserve">; </w:t>
      </w:r>
      <w:r w:rsidR="00D76E12" w:rsidRPr="00D803FA">
        <w:rPr>
          <w:rFonts w:ascii="Times New Roman" w:hAnsi="Times New Roman" w:cs="Times New Roman"/>
          <w:sz w:val="24"/>
          <w:szCs w:val="24"/>
        </w:rPr>
        <w:t>that accountability primarily depends on relationships</w:t>
      </w:r>
      <w:r w:rsidR="00593F5B" w:rsidRPr="00D803FA">
        <w:rPr>
          <w:rFonts w:ascii="Times New Roman" w:hAnsi="Times New Roman" w:cs="Times New Roman"/>
          <w:sz w:val="24"/>
          <w:szCs w:val="24"/>
        </w:rPr>
        <w:t>;</w:t>
      </w:r>
      <w:r w:rsidR="00D76702" w:rsidRPr="00D803FA">
        <w:rPr>
          <w:rFonts w:ascii="Times New Roman" w:hAnsi="Times New Roman" w:cs="Times New Roman"/>
          <w:sz w:val="24"/>
          <w:szCs w:val="24"/>
        </w:rPr>
        <w:t xml:space="preserve"> </w:t>
      </w:r>
      <w:r w:rsidRPr="00D803FA">
        <w:rPr>
          <w:rFonts w:ascii="Times New Roman" w:hAnsi="Times New Roman" w:cs="Times New Roman"/>
          <w:sz w:val="24"/>
          <w:szCs w:val="24"/>
        </w:rPr>
        <w:t>t</w:t>
      </w:r>
      <w:r w:rsidR="00D76E12" w:rsidRPr="00D803FA">
        <w:rPr>
          <w:rFonts w:ascii="Times New Roman" w:hAnsi="Times New Roman" w:cs="Times New Roman"/>
          <w:bCs/>
          <w:sz w:val="24"/>
          <w:szCs w:val="24"/>
        </w:rPr>
        <w:t xml:space="preserve">hat </w:t>
      </w:r>
      <w:r w:rsidRPr="00D803FA">
        <w:rPr>
          <w:rFonts w:ascii="Times New Roman" w:hAnsi="Times New Roman" w:cs="Times New Roman"/>
          <w:bCs/>
          <w:sz w:val="24"/>
          <w:szCs w:val="24"/>
        </w:rPr>
        <w:t xml:space="preserve">any </w:t>
      </w:r>
      <w:r w:rsidR="00D76E12" w:rsidRPr="00D803FA">
        <w:rPr>
          <w:rFonts w:ascii="Times New Roman" w:hAnsi="Times New Roman" w:cs="Times New Roman"/>
          <w:bCs/>
          <w:sz w:val="24"/>
          <w:szCs w:val="24"/>
        </w:rPr>
        <w:t xml:space="preserve">disagreements </w:t>
      </w:r>
      <w:r w:rsidRPr="00D803FA">
        <w:rPr>
          <w:rFonts w:ascii="Times New Roman" w:hAnsi="Times New Roman" w:cs="Times New Roman"/>
          <w:bCs/>
          <w:sz w:val="24"/>
          <w:szCs w:val="24"/>
        </w:rPr>
        <w:t xml:space="preserve">between Central Government and public bodies </w:t>
      </w:r>
      <w:r w:rsidR="00D76E12" w:rsidRPr="00D803FA">
        <w:rPr>
          <w:rFonts w:ascii="Times New Roman" w:hAnsi="Times New Roman" w:cs="Times New Roman"/>
          <w:bCs/>
          <w:sz w:val="24"/>
          <w:szCs w:val="24"/>
        </w:rPr>
        <w:t>are open and honest</w:t>
      </w:r>
      <w:r w:rsidR="00D76702" w:rsidRPr="00D803FA">
        <w:rPr>
          <w:rFonts w:ascii="Times New Roman" w:hAnsi="Times New Roman" w:cs="Times New Roman"/>
          <w:bCs/>
          <w:sz w:val="24"/>
          <w:szCs w:val="24"/>
        </w:rPr>
        <w:t>;</w:t>
      </w:r>
      <w:r w:rsidR="00D76E12" w:rsidRPr="00D803FA">
        <w:rPr>
          <w:rFonts w:ascii="Times New Roman" w:hAnsi="Times New Roman" w:cs="Times New Roman"/>
          <w:bCs/>
          <w:sz w:val="24"/>
          <w:szCs w:val="24"/>
        </w:rPr>
        <w:t xml:space="preserve"> and there is learning from mistakes. </w:t>
      </w:r>
      <w:proofErr w:type="spellStart"/>
      <w:r w:rsidR="00D76E12" w:rsidRPr="00D803FA">
        <w:rPr>
          <w:rFonts w:ascii="Times New Roman" w:hAnsi="Times New Roman" w:cs="Times New Roman"/>
          <w:sz w:val="24"/>
          <w:szCs w:val="24"/>
        </w:rPr>
        <w:t>HoCPASC</w:t>
      </w:r>
      <w:proofErr w:type="spellEnd"/>
      <w:r w:rsidR="00D76E12" w:rsidRPr="00D803FA">
        <w:rPr>
          <w:rFonts w:ascii="Times New Roman" w:hAnsi="Times New Roman" w:cs="Times New Roman"/>
          <w:sz w:val="24"/>
          <w:szCs w:val="24"/>
        </w:rPr>
        <w:t xml:space="preserve"> (2014) also expresse</w:t>
      </w:r>
      <w:r w:rsidR="00593F5B" w:rsidRPr="00D803FA">
        <w:rPr>
          <w:rFonts w:ascii="Times New Roman" w:hAnsi="Times New Roman" w:cs="Times New Roman"/>
          <w:sz w:val="24"/>
          <w:szCs w:val="24"/>
        </w:rPr>
        <w:t>d</w:t>
      </w:r>
      <w:r w:rsidR="00D76E12" w:rsidRPr="00D803FA">
        <w:rPr>
          <w:rFonts w:ascii="Times New Roman" w:hAnsi="Times New Roman" w:cs="Times New Roman"/>
          <w:sz w:val="24"/>
          <w:szCs w:val="24"/>
        </w:rPr>
        <w:t xml:space="preserve"> concern that p</w:t>
      </w:r>
      <w:r w:rsidR="00D76E12" w:rsidRPr="00D803FA">
        <w:rPr>
          <w:rFonts w:ascii="Times New Roman" w:hAnsi="Times New Roman" w:cs="Times New Roman"/>
          <w:bCs/>
          <w:sz w:val="24"/>
          <w:szCs w:val="24"/>
        </w:rPr>
        <w:t xml:space="preserve">ublic appointments are not sufficiently transparent, representative or accountable, which is alarming given their importance to the effectiveness and accountability of public bodies. </w:t>
      </w:r>
    </w:p>
    <w:p w14:paraId="68F666C9" w14:textId="7F60B478" w:rsidR="00E71798" w:rsidRPr="00D803FA" w:rsidRDefault="00D76E12" w:rsidP="00D803FA">
      <w:pPr>
        <w:spacing w:after="0" w:line="360" w:lineRule="auto"/>
        <w:ind w:firstLine="426"/>
        <w:jc w:val="both"/>
        <w:rPr>
          <w:rFonts w:ascii="Times New Roman" w:hAnsi="Times New Roman" w:cs="Times New Roman"/>
          <w:sz w:val="24"/>
          <w:szCs w:val="24"/>
        </w:rPr>
      </w:pPr>
      <w:r w:rsidRPr="00D803FA">
        <w:rPr>
          <w:rFonts w:ascii="Times New Roman" w:hAnsi="Times New Roman" w:cs="Times New Roman"/>
          <w:sz w:val="24"/>
          <w:szCs w:val="24"/>
        </w:rPr>
        <w:t xml:space="preserve">The Cabinet Office (2015) reported on the completion of the 2010 Public Bodies Reform Programme, the objectives of which were to, </w:t>
      </w:r>
      <w:r w:rsidRPr="00D803FA">
        <w:rPr>
          <w:rFonts w:ascii="Times New Roman" w:hAnsi="Times New Roman" w:cs="Times New Roman"/>
          <w:i/>
          <w:sz w:val="24"/>
          <w:szCs w:val="24"/>
        </w:rPr>
        <w:t>inter alia</w:t>
      </w:r>
      <w:r w:rsidRPr="00D803FA">
        <w:rPr>
          <w:rFonts w:ascii="Times New Roman" w:hAnsi="Times New Roman" w:cs="Times New Roman"/>
          <w:sz w:val="24"/>
          <w:szCs w:val="24"/>
        </w:rPr>
        <w:t xml:space="preserve">, improve transparency and accountability. In contrast to the tone of </w:t>
      </w:r>
      <w:proofErr w:type="spellStart"/>
      <w:r w:rsidRPr="00D803FA">
        <w:rPr>
          <w:rFonts w:ascii="Times New Roman" w:hAnsi="Times New Roman" w:cs="Times New Roman"/>
          <w:sz w:val="24"/>
          <w:szCs w:val="24"/>
        </w:rPr>
        <w:t>HoCPASC</w:t>
      </w:r>
      <w:proofErr w:type="spellEnd"/>
      <w:r w:rsidRPr="00D803FA">
        <w:rPr>
          <w:rFonts w:ascii="Times New Roman" w:hAnsi="Times New Roman" w:cs="Times New Roman"/>
          <w:sz w:val="24"/>
          <w:szCs w:val="24"/>
        </w:rPr>
        <w:t xml:space="preserve"> (2014), the Cabinet Office (2015) claimed amongst its achievements: improved accountability, by moving the functions of over 75 bodies closer to democratically elected representatives; and increased transparency, by simplifying the public bodies’ landscape by abolishing and merging a number of public bodies, together with an increased percentage of NDPBs publishing an annual report and making minutes available to the public. By 31 March 2015, following the completion of the Programme, the number of public bodies under the aegis of Westminster departments had been reduced by over 290</w:t>
      </w:r>
      <w:r w:rsidRPr="00D803FA">
        <w:rPr>
          <w:rFonts w:ascii="Times New Roman" w:hAnsi="Times New Roman" w:cs="Times New Roman"/>
          <w:bCs/>
          <w:sz w:val="24"/>
          <w:szCs w:val="24"/>
        </w:rPr>
        <w:t xml:space="preserve">; over 190 had been abolished and 165 had been merged </w:t>
      </w:r>
      <w:r w:rsidRPr="00D803FA">
        <w:rPr>
          <w:rFonts w:ascii="Times New Roman" w:hAnsi="Times New Roman" w:cs="Times New Roman"/>
          <w:sz w:val="24"/>
          <w:szCs w:val="24"/>
        </w:rPr>
        <w:t xml:space="preserve">into </w:t>
      </w:r>
      <w:r w:rsidRPr="00D803FA">
        <w:rPr>
          <w:rFonts w:ascii="Times New Roman" w:hAnsi="Times New Roman" w:cs="Times New Roman"/>
          <w:bCs/>
          <w:sz w:val="24"/>
          <w:szCs w:val="24"/>
        </w:rPr>
        <w:t>fewer than 70</w:t>
      </w:r>
      <w:r w:rsidRPr="00D803FA">
        <w:rPr>
          <w:rFonts w:ascii="Times New Roman" w:hAnsi="Times New Roman" w:cs="Times New Roman"/>
          <w:sz w:val="24"/>
          <w:szCs w:val="24"/>
        </w:rPr>
        <w:t xml:space="preserve">, leaving 403 NDPBs (Executive - 111; Advisory – 146; Tribunal – 13; and Other – 133) (Cabinet Office 2015). </w:t>
      </w:r>
    </w:p>
    <w:p w14:paraId="55B2538B" w14:textId="4FD22115" w:rsidR="00E71798" w:rsidRPr="00D803FA" w:rsidRDefault="00E71798" w:rsidP="00D803FA">
      <w:pPr>
        <w:spacing w:after="0" w:line="360" w:lineRule="auto"/>
        <w:ind w:firstLine="426"/>
        <w:jc w:val="both"/>
        <w:rPr>
          <w:rFonts w:ascii="Times New Roman" w:hAnsi="Times New Roman" w:cs="Times New Roman"/>
          <w:sz w:val="24"/>
          <w:szCs w:val="24"/>
        </w:rPr>
      </w:pPr>
      <w:r w:rsidRPr="00D803FA">
        <w:rPr>
          <w:rFonts w:ascii="Times New Roman" w:hAnsi="Times New Roman" w:cs="Times New Roman"/>
          <w:sz w:val="24"/>
          <w:szCs w:val="24"/>
        </w:rPr>
        <w:t>Having provided a background and context to the current environment in which NDPBs are operating in the UK, the next section outlines the structure of government in NI in order clarify the setting for the research presented later in this paper.</w:t>
      </w:r>
    </w:p>
    <w:p w14:paraId="353BE7EB" w14:textId="77777777" w:rsidR="00E71798" w:rsidRPr="00D803FA" w:rsidRDefault="00E71798" w:rsidP="00D803FA">
      <w:pPr>
        <w:pStyle w:val="BodyText"/>
        <w:spacing w:after="0" w:line="360" w:lineRule="auto"/>
        <w:jc w:val="both"/>
        <w:rPr>
          <w:rFonts w:ascii="Times New Roman" w:hAnsi="Times New Roman" w:cs="Times New Roman"/>
          <w:sz w:val="24"/>
          <w:szCs w:val="24"/>
        </w:rPr>
      </w:pPr>
    </w:p>
    <w:p w14:paraId="2ED34891" w14:textId="77777777" w:rsidR="00E71798" w:rsidRPr="00D803FA" w:rsidRDefault="00E71798" w:rsidP="00D803FA">
      <w:pPr>
        <w:spacing w:after="0" w:line="360" w:lineRule="auto"/>
        <w:jc w:val="both"/>
        <w:rPr>
          <w:rFonts w:ascii="Times New Roman" w:hAnsi="Times New Roman" w:cs="Times New Roman"/>
          <w:b/>
          <w:sz w:val="24"/>
          <w:szCs w:val="24"/>
        </w:rPr>
      </w:pPr>
      <w:r w:rsidRPr="00D803FA">
        <w:rPr>
          <w:rFonts w:ascii="Times New Roman" w:hAnsi="Times New Roman" w:cs="Times New Roman"/>
          <w:b/>
          <w:sz w:val="24"/>
          <w:szCs w:val="24"/>
        </w:rPr>
        <w:t>STRUCTURE OF DEVOLVED GOVERNMENT IN NORTHERN IRELAND</w:t>
      </w:r>
    </w:p>
    <w:p w14:paraId="7A93B76B" w14:textId="77777777" w:rsidR="00E71798" w:rsidRPr="00D803FA" w:rsidRDefault="00E71798" w:rsidP="00D803FA">
      <w:pPr>
        <w:pStyle w:val="BodyText"/>
        <w:spacing w:after="0" w:line="360" w:lineRule="auto"/>
        <w:jc w:val="both"/>
        <w:rPr>
          <w:rFonts w:ascii="Times New Roman" w:hAnsi="Times New Roman" w:cs="Times New Roman"/>
          <w:sz w:val="24"/>
          <w:szCs w:val="24"/>
        </w:rPr>
      </w:pPr>
    </w:p>
    <w:p w14:paraId="0FF06E6C" w14:textId="1012BFE8" w:rsidR="00E71798" w:rsidRPr="00D803FA" w:rsidRDefault="00E71798" w:rsidP="00D803FA">
      <w:pPr>
        <w:pStyle w:val="BodyText"/>
        <w:spacing w:after="0" w:line="360" w:lineRule="auto"/>
        <w:jc w:val="both"/>
        <w:rPr>
          <w:rFonts w:ascii="Times New Roman" w:hAnsi="Times New Roman" w:cs="Times New Roman"/>
          <w:sz w:val="24"/>
          <w:szCs w:val="24"/>
        </w:rPr>
      </w:pPr>
      <w:r w:rsidRPr="00D803FA">
        <w:rPr>
          <w:rFonts w:ascii="Times New Roman" w:hAnsi="Times New Roman" w:cs="Times New Roman"/>
          <w:sz w:val="24"/>
          <w:szCs w:val="24"/>
          <w:lang w:val="en" w:eastAsia="en-GB"/>
        </w:rPr>
        <w:t xml:space="preserve">Following referendums in Scotland and Wales in 1997, and in NI in 1998, the UK Parliament transferred a range of powers to national parliaments or assemblies. </w:t>
      </w:r>
      <w:r w:rsidRPr="00D803FA">
        <w:rPr>
          <w:rFonts w:ascii="Times New Roman" w:hAnsi="Times New Roman" w:cs="Times New Roman"/>
          <w:sz w:val="24"/>
          <w:szCs w:val="24"/>
          <w:lang w:val="en"/>
        </w:rPr>
        <w:t xml:space="preserve">The Scottish Parliament, the National Assembly for Wales and the NI Assembly were established and took control in 1999. The arrangements are different for each, reflecting their history and administrative structures. </w:t>
      </w:r>
      <w:r w:rsidRPr="00D803FA">
        <w:rPr>
          <w:rFonts w:ascii="Times New Roman" w:hAnsi="Times New Roman" w:cs="Times New Roman"/>
          <w:sz w:val="24"/>
          <w:szCs w:val="24"/>
        </w:rPr>
        <w:t xml:space="preserve">The structure of devolved government in NI is illustrated in Figure 1. </w:t>
      </w:r>
    </w:p>
    <w:p w14:paraId="15C8E41A" w14:textId="77777777" w:rsidR="00E71798" w:rsidRPr="00D803FA" w:rsidRDefault="00E71798" w:rsidP="00D803FA">
      <w:pPr>
        <w:spacing w:after="0" w:line="360" w:lineRule="auto"/>
        <w:jc w:val="both"/>
        <w:rPr>
          <w:rFonts w:ascii="Times New Roman" w:hAnsi="Times New Roman" w:cs="Times New Roman"/>
          <w:sz w:val="24"/>
          <w:szCs w:val="24"/>
        </w:rPr>
      </w:pPr>
    </w:p>
    <w:p w14:paraId="701DF127" w14:textId="08274EBC" w:rsidR="00E71798" w:rsidRPr="0020584E" w:rsidRDefault="00E71798" w:rsidP="0020584E">
      <w:pPr>
        <w:spacing w:after="0" w:line="240" w:lineRule="auto"/>
        <w:jc w:val="both"/>
        <w:rPr>
          <w:rFonts w:ascii="Times New Roman" w:hAnsi="Times New Roman" w:cs="Times New Roman"/>
          <w:b/>
          <w:sz w:val="24"/>
          <w:szCs w:val="24"/>
        </w:rPr>
      </w:pPr>
      <w:r w:rsidRPr="0020584E">
        <w:rPr>
          <w:rFonts w:ascii="Times New Roman" w:hAnsi="Times New Roman" w:cs="Times New Roman"/>
          <w:b/>
          <w:sz w:val="24"/>
          <w:szCs w:val="24"/>
        </w:rPr>
        <w:lastRenderedPageBreak/>
        <w:t>Figure 1</w:t>
      </w:r>
      <w:r w:rsidR="005B5DD9" w:rsidRPr="0020584E">
        <w:rPr>
          <w:rFonts w:ascii="Times New Roman" w:hAnsi="Times New Roman" w:cs="Times New Roman"/>
          <w:b/>
          <w:sz w:val="24"/>
          <w:szCs w:val="24"/>
        </w:rPr>
        <w:t xml:space="preserve">: </w:t>
      </w:r>
      <w:r w:rsidRPr="0020584E">
        <w:rPr>
          <w:rFonts w:ascii="Times New Roman" w:hAnsi="Times New Roman" w:cs="Times New Roman"/>
          <w:b/>
          <w:sz w:val="24"/>
          <w:szCs w:val="24"/>
        </w:rPr>
        <w:t xml:space="preserve">Structure of </w:t>
      </w:r>
      <w:r w:rsidR="005B5DD9" w:rsidRPr="0020584E">
        <w:rPr>
          <w:rFonts w:ascii="Times New Roman" w:hAnsi="Times New Roman" w:cs="Times New Roman"/>
          <w:b/>
          <w:sz w:val="24"/>
          <w:szCs w:val="24"/>
        </w:rPr>
        <w:t xml:space="preserve">devolved government </w:t>
      </w:r>
      <w:r w:rsidRPr="0020584E">
        <w:rPr>
          <w:rFonts w:ascii="Times New Roman" w:hAnsi="Times New Roman" w:cs="Times New Roman"/>
          <w:b/>
          <w:sz w:val="24"/>
          <w:szCs w:val="24"/>
        </w:rPr>
        <w:t>in Northern Ireland</w:t>
      </w:r>
    </w:p>
    <w:p w14:paraId="47B945FA" w14:textId="77777777" w:rsidR="00E71798" w:rsidRPr="0020584E" w:rsidRDefault="00E71798" w:rsidP="0020584E">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5"/>
      </w:tblGrid>
      <w:tr w:rsidR="00EE2C22" w:rsidRPr="00015EC5" w14:paraId="2F64297F" w14:textId="77777777" w:rsidTr="009F6625">
        <w:tc>
          <w:tcPr>
            <w:tcW w:w="9060" w:type="dxa"/>
            <w:gridSpan w:val="2"/>
            <w:tcBorders>
              <w:top w:val="single" w:sz="4" w:space="0" w:color="auto"/>
              <w:left w:val="single" w:sz="4" w:space="0" w:color="auto"/>
              <w:bottom w:val="single" w:sz="4" w:space="0" w:color="auto"/>
              <w:right w:val="single" w:sz="4" w:space="0" w:color="auto"/>
            </w:tcBorders>
            <w:shd w:val="clear" w:color="auto" w:fill="auto"/>
          </w:tcPr>
          <w:p w14:paraId="29BE555F" w14:textId="77777777" w:rsidR="00E71798" w:rsidRPr="0020584E" w:rsidRDefault="00E71798" w:rsidP="0020584E">
            <w:pPr>
              <w:spacing w:after="0" w:line="240" w:lineRule="auto"/>
              <w:jc w:val="center"/>
              <w:rPr>
                <w:rFonts w:ascii="Times New Roman" w:hAnsi="Times New Roman" w:cs="Times New Roman"/>
                <w:b/>
                <w:sz w:val="24"/>
                <w:szCs w:val="24"/>
              </w:rPr>
            </w:pPr>
            <w:r w:rsidRPr="0020584E">
              <w:rPr>
                <w:rFonts w:ascii="Times New Roman" w:hAnsi="Times New Roman" w:cs="Times New Roman"/>
                <w:b/>
                <w:sz w:val="24"/>
                <w:szCs w:val="24"/>
              </w:rPr>
              <w:t>NI Assembly</w:t>
            </w:r>
          </w:p>
          <w:p w14:paraId="05DDF748" w14:textId="77777777" w:rsidR="00E71798" w:rsidRPr="0020584E" w:rsidRDefault="00E71798" w:rsidP="0020584E">
            <w:pPr>
              <w:spacing w:after="0" w:line="240" w:lineRule="auto"/>
              <w:jc w:val="center"/>
              <w:rPr>
                <w:rFonts w:ascii="Times New Roman" w:hAnsi="Times New Roman" w:cs="Times New Roman"/>
                <w:sz w:val="24"/>
                <w:szCs w:val="24"/>
              </w:rPr>
            </w:pPr>
            <w:r w:rsidRPr="0020584E">
              <w:rPr>
                <w:rFonts w:ascii="Times New Roman" w:hAnsi="Times New Roman" w:cs="Times New Roman"/>
                <w:sz w:val="24"/>
                <w:szCs w:val="24"/>
              </w:rPr>
              <w:t>(90 MLAs in the NI Assembly)</w:t>
            </w:r>
          </w:p>
        </w:tc>
      </w:tr>
      <w:tr w:rsidR="00EE2C22" w:rsidRPr="00015EC5" w14:paraId="3AAF9DCE" w14:textId="77777777" w:rsidTr="009F6625">
        <w:tc>
          <w:tcPr>
            <w:tcW w:w="4535" w:type="dxa"/>
            <w:tcBorders>
              <w:top w:val="single" w:sz="4" w:space="0" w:color="auto"/>
              <w:left w:val="nil"/>
              <w:bottom w:val="nil"/>
              <w:right w:val="single" w:sz="4" w:space="0" w:color="auto"/>
            </w:tcBorders>
            <w:shd w:val="clear" w:color="auto" w:fill="auto"/>
          </w:tcPr>
          <w:p w14:paraId="3098CAA6" w14:textId="77777777" w:rsidR="00E71798" w:rsidRPr="0020584E" w:rsidRDefault="00E71798" w:rsidP="0020584E">
            <w:pPr>
              <w:spacing w:after="0" w:line="240" w:lineRule="auto"/>
              <w:jc w:val="center"/>
              <w:rPr>
                <w:rFonts w:ascii="Times New Roman" w:hAnsi="Times New Roman" w:cs="Times New Roman"/>
                <w:sz w:val="24"/>
                <w:szCs w:val="24"/>
              </w:rPr>
            </w:pPr>
          </w:p>
        </w:tc>
        <w:tc>
          <w:tcPr>
            <w:tcW w:w="4525" w:type="dxa"/>
            <w:tcBorders>
              <w:top w:val="single" w:sz="4" w:space="0" w:color="auto"/>
              <w:left w:val="single" w:sz="4" w:space="0" w:color="auto"/>
              <w:bottom w:val="nil"/>
              <w:right w:val="nil"/>
            </w:tcBorders>
            <w:shd w:val="clear" w:color="auto" w:fill="auto"/>
          </w:tcPr>
          <w:p w14:paraId="70A31027" w14:textId="77777777" w:rsidR="00E71798" w:rsidRPr="0020584E" w:rsidRDefault="00E71798" w:rsidP="0020584E">
            <w:pPr>
              <w:spacing w:after="0" w:line="240" w:lineRule="auto"/>
              <w:jc w:val="center"/>
              <w:rPr>
                <w:rFonts w:ascii="Times New Roman" w:hAnsi="Times New Roman" w:cs="Times New Roman"/>
                <w:sz w:val="24"/>
                <w:szCs w:val="24"/>
              </w:rPr>
            </w:pPr>
          </w:p>
        </w:tc>
      </w:tr>
      <w:tr w:rsidR="00EE2C22" w:rsidRPr="00015EC5" w14:paraId="7CF764CB" w14:textId="77777777" w:rsidTr="009F6625">
        <w:tc>
          <w:tcPr>
            <w:tcW w:w="4535" w:type="dxa"/>
            <w:tcBorders>
              <w:top w:val="nil"/>
              <w:left w:val="nil"/>
              <w:bottom w:val="single" w:sz="4" w:space="0" w:color="auto"/>
              <w:right w:val="single" w:sz="4" w:space="0" w:color="auto"/>
            </w:tcBorders>
            <w:shd w:val="clear" w:color="auto" w:fill="auto"/>
          </w:tcPr>
          <w:p w14:paraId="7E45C891" w14:textId="77777777" w:rsidR="00E71798" w:rsidRPr="0020584E" w:rsidRDefault="00E71798" w:rsidP="0020584E">
            <w:pPr>
              <w:spacing w:after="0" w:line="240" w:lineRule="auto"/>
              <w:jc w:val="center"/>
              <w:rPr>
                <w:rFonts w:ascii="Times New Roman" w:hAnsi="Times New Roman" w:cs="Times New Roman"/>
                <w:sz w:val="24"/>
                <w:szCs w:val="24"/>
              </w:rPr>
            </w:pPr>
          </w:p>
        </w:tc>
        <w:tc>
          <w:tcPr>
            <w:tcW w:w="4525" w:type="dxa"/>
            <w:tcBorders>
              <w:top w:val="nil"/>
              <w:left w:val="single" w:sz="4" w:space="0" w:color="auto"/>
              <w:bottom w:val="single" w:sz="4" w:space="0" w:color="auto"/>
              <w:right w:val="nil"/>
            </w:tcBorders>
            <w:shd w:val="clear" w:color="auto" w:fill="auto"/>
          </w:tcPr>
          <w:p w14:paraId="562C4F9F" w14:textId="77777777" w:rsidR="00E71798" w:rsidRPr="0020584E" w:rsidRDefault="00E71798" w:rsidP="0020584E">
            <w:pPr>
              <w:spacing w:after="0" w:line="240" w:lineRule="auto"/>
              <w:jc w:val="center"/>
              <w:rPr>
                <w:rFonts w:ascii="Times New Roman" w:hAnsi="Times New Roman" w:cs="Times New Roman"/>
                <w:sz w:val="24"/>
                <w:szCs w:val="24"/>
              </w:rPr>
            </w:pPr>
          </w:p>
        </w:tc>
      </w:tr>
      <w:tr w:rsidR="00EE2C22" w:rsidRPr="00015EC5" w14:paraId="1A1FB9B5" w14:textId="77777777" w:rsidTr="009F6625">
        <w:tc>
          <w:tcPr>
            <w:tcW w:w="9060" w:type="dxa"/>
            <w:gridSpan w:val="2"/>
            <w:tcBorders>
              <w:top w:val="single" w:sz="4" w:space="0" w:color="auto"/>
              <w:left w:val="single" w:sz="4" w:space="0" w:color="auto"/>
              <w:bottom w:val="single" w:sz="4" w:space="0" w:color="auto"/>
              <w:right w:val="single" w:sz="4" w:space="0" w:color="auto"/>
            </w:tcBorders>
            <w:shd w:val="clear" w:color="auto" w:fill="auto"/>
          </w:tcPr>
          <w:p w14:paraId="39E2BE60" w14:textId="77777777" w:rsidR="00E71798" w:rsidRPr="0020584E" w:rsidRDefault="00E71798" w:rsidP="0020584E">
            <w:pPr>
              <w:spacing w:after="0" w:line="240" w:lineRule="auto"/>
              <w:jc w:val="center"/>
              <w:rPr>
                <w:rFonts w:ascii="Times New Roman" w:hAnsi="Times New Roman" w:cs="Times New Roman"/>
                <w:b/>
                <w:sz w:val="24"/>
                <w:szCs w:val="24"/>
              </w:rPr>
            </w:pPr>
            <w:r w:rsidRPr="0020584E">
              <w:rPr>
                <w:rFonts w:ascii="Times New Roman" w:hAnsi="Times New Roman" w:cs="Times New Roman"/>
                <w:b/>
                <w:sz w:val="24"/>
                <w:szCs w:val="24"/>
              </w:rPr>
              <w:t>NI Executive</w:t>
            </w:r>
          </w:p>
          <w:p w14:paraId="4AAE41D1" w14:textId="77777777" w:rsidR="00E71798" w:rsidRPr="0020584E" w:rsidRDefault="00E71798" w:rsidP="0020584E">
            <w:pPr>
              <w:spacing w:after="0" w:line="240" w:lineRule="auto"/>
              <w:jc w:val="center"/>
              <w:rPr>
                <w:rFonts w:ascii="Times New Roman" w:hAnsi="Times New Roman" w:cs="Times New Roman"/>
                <w:sz w:val="24"/>
                <w:szCs w:val="24"/>
              </w:rPr>
            </w:pPr>
            <w:r w:rsidRPr="0020584E">
              <w:rPr>
                <w:rFonts w:ascii="Times New Roman" w:hAnsi="Times New Roman" w:cs="Times New Roman"/>
                <w:sz w:val="24"/>
                <w:szCs w:val="24"/>
              </w:rPr>
              <w:t xml:space="preserve">(First Minister, Deputy First Minister, </w:t>
            </w:r>
            <w:r w:rsidRPr="0020584E">
              <w:rPr>
                <w:rFonts w:ascii="Times New Roman" w:hAnsi="Times New Roman" w:cs="Times New Roman"/>
                <w:bCs/>
                <w:sz w:val="24"/>
                <w:szCs w:val="24"/>
              </w:rPr>
              <w:t xml:space="preserve">two Junior Ministers and eight other government ministers </w:t>
            </w:r>
            <w:r w:rsidRPr="0020584E">
              <w:rPr>
                <w:rFonts w:ascii="Times New Roman" w:hAnsi="Times New Roman" w:cs="Times New Roman"/>
                <w:sz w:val="24"/>
                <w:szCs w:val="24"/>
              </w:rPr>
              <w:t>(each with responsibility for a specific department, excluding Department of Justice))</w:t>
            </w:r>
          </w:p>
        </w:tc>
      </w:tr>
      <w:tr w:rsidR="00EE2C22" w:rsidRPr="00015EC5" w14:paraId="40464EAC" w14:textId="77777777" w:rsidTr="009F6625">
        <w:tc>
          <w:tcPr>
            <w:tcW w:w="4535" w:type="dxa"/>
            <w:tcBorders>
              <w:top w:val="single" w:sz="4" w:space="0" w:color="auto"/>
              <w:left w:val="nil"/>
              <w:bottom w:val="nil"/>
              <w:right w:val="single" w:sz="4" w:space="0" w:color="auto"/>
            </w:tcBorders>
            <w:shd w:val="clear" w:color="auto" w:fill="auto"/>
          </w:tcPr>
          <w:p w14:paraId="4E2412DE" w14:textId="77777777" w:rsidR="00E71798" w:rsidRPr="0020584E" w:rsidRDefault="00E71798" w:rsidP="0020584E">
            <w:pPr>
              <w:spacing w:after="0" w:line="240" w:lineRule="auto"/>
              <w:jc w:val="center"/>
              <w:rPr>
                <w:rFonts w:ascii="Times New Roman" w:hAnsi="Times New Roman" w:cs="Times New Roman"/>
                <w:sz w:val="24"/>
                <w:szCs w:val="24"/>
              </w:rPr>
            </w:pPr>
          </w:p>
        </w:tc>
        <w:tc>
          <w:tcPr>
            <w:tcW w:w="4525" w:type="dxa"/>
            <w:tcBorders>
              <w:top w:val="single" w:sz="4" w:space="0" w:color="auto"/>
              <w:left w:val="single" w:sz="4" w:space="0" w:color="auto"/>
              <w:bottom w:val="nil"/>
              <w:right w:val="nil"/>
            </w:tcBorders>
            <w:shd w:val="clear" w:color="auto" w:fill="auto"/>
          </w:tcPr>
          <w:p w14:paraId="58F4BEBD" w14:textId="77777777" w:rsidR="00E71798" w:rsidRPr="0020584E" w:rsidRDefault="00E71798" w:rsidP="0020584E">
            <w:pPr>
              <w:spacing w:after="0" w:line="240" w:lineRule="auto"/>
              <w:jc w:val="center"/>
              <w:rPr>
                <w:rFonts w:ascii="Times New Roman" w:hAnsi="Times New Roman" w:cs="Times New Roman"/>
                <w:sz w:val="24"/>
                <w:szCs w:val="24"/>
              </w:rPr>
            </w:pPr>
          </w:p>
        </w:tc>
      </w:tr>
      <w:tr w:rsidR="00EE2C22" w:rsidRPr="00015EC5" w14:paraId="66960457" w14:textId="77777777" w:rsidTr="009F6625">
        <w:tc>
          <w:tcPr>
            <w:tcW w:w="4535" w:type="dxa"/>
            <w:tcBorders>
              <w:top w:val="nil"/>
              <w:left w:val="nil"/>
              <w:bottom w:val="single" w:sz="4" w:space="0" w:color="auto"/>
              <w:right w:val="single" w:sz="4" w:space="0" w:color="auto"/>
            </w:tcBorders>
            <w:shd w:val="clear" w:color="auto" w:fill="auto"/>
          </w:tcPr>
          <w:p w14:paraId="6444F98B" w14:textId="77777777" w:rsidR="00E71798" w:rsidRPr="0020584E" w:rsidRDefault="00E71798" w:rsidP="0020584E">
            <w:pPr>
              <w:spacing w:after="0" w:line="240" w:lineRule="auto"/>
              <w:jc w:val="center"/>
              <w:rPr>
                <w:rFonts w:ascii="Times New Roman" w:hAnsi="Times New Roman" w:cs="Times New Roman"/>
                <w:sz w:val="24"/>
                <w:szCs w:val="24"/>
              </w:rPr>
            </w:pPr>
          </w:p>
        </w:tc>
        <w:tc>
          <w:tcPr>
            <w:tcW w:w="4525" w:type="dxa"/>
            <w:tcBorders>
              <w:top w:val="nil"/>
              <w:left w:val="single" w:sz="4" w:space="0" w:color="auto"/>
              <w:bottom w:val="single" w:sz="4" w:space="0" w:color="auto"/>
              <w:right w:val="nil"/>
            </w:tcBorders>
            <w:shd w:val="clear" w:color="auto" w:fill="auto"/>
          </w:tcPr>
          <w:p w14:paraId="45263A43" w14:textId="77777777" w:rsidR="00E71798" w:rsidRPr="0020584E" w:rsidRDefault="00E71798" w:rsidP="0020584E">
            <w:pPr>
              <w:spacing w:after="0" w:line="240" w:lineRule="auto"/>
              <w:jc w:val="center"/>
              <w:rPr>
                <w:rFonts w:ascii="Times New Roman" w:hAnsi="Times New Roman" w:cs="Times New Roman"/>
                <w:sz w:val="24"/>
                <w:szCs w:val="24"/>
              </w:rPr>
            </w:pPr>
          </w:p>
        </w:tc>
      </w:tr>
      <w:tr w:rsidR="00EE2C22" w:rsidRPr="00015EC5" w14:paraId="7EB030D1" w14:textId="77777777" w:rsidTr="009F6625">
        <w:tc>
          <w:tcPr>
            <w:tcW w:w="9060" w:type="dxa"/>
            <w:gridSpan w:val="2"/>
            <w:tcBorders>
              <w:top w:val="single" w:sz="4" w:space="0" w:color="auto"/>
              <w:left w:val="single" w:sz="4" w:space="0" w:color="auto"/>
              <w:bottom w:val="single" w:sz="4" w:space="0" w:color="auto"/>
              <w:right w:val="single" w:sz="4" w:space="0" w:color="auto"/>
            </w:tcBorders>
            <w:shd w:val="clear" w:color="auto" w:fill="auto"/>
          </w:tcPr>
          <w:p w14:paraId="24315BF1" w14:textId="77777777" w:rsidR="00E71798" w:rsidRPr="0020584E" w:rsidRDefault="00E71798" w:rsidP="0020584E">
            <w:pPr>
              <w:spacing w:after="0" w:line="240" w:lineRule="auto"/>
              <w:jc w:val="center"/>
              <w:rPr>
                <w:rFonts w:ascii="Times New Roman" w:hAnsi="Times New Roman" w:cs="Times New Roman"/>
                <w:b/>
                <w:sz w:val="24"/>
                <w:szCs w:val="24"/>
              </w:rPr>
            </w:pPr>
            <w:r w:rsidRPr="0020584E">
              <w:rPr>
                <w:rFonts w:ascii="Times New Roman" w:hAnsi="Times New Roman" w:cs="Times New Roman"/>
                <w:b/>
                <w:sz w:val="24"/>
                <w:szCs w:val="24"/>
              </w:rPr>
              <w:t>9 Departments</w:t>
            </w:r>
          </w:p>
          <w:p w14:paraId="14A0FA54" w14:textId="77777777" w:rsidR="00E71798" w:rsidRPr="0020584E" w:rsidRDefault="00E71798" w:rsidP="0020584E">
            <w:pPr>
              <w:spacing w:after="0" w:line="240" w:lineRule="auto"/>
              <w:jc w:val="center"/>
              <w:rPr>
                <w:rFonts w:ascii="Times New Roman" w:hAnsi="Times New Roman" w:cs="Times New Roman"/>
                <w:sz w:val="24"/>
                <w:szCs w:val="24"/>
              </w:rPr>
            </w:pPr>
            <w:r w:rsidRPr="0020584E">
              <w:rPr>
                <w:rFonts w:ascii="Times New Roman" w:hAnsi="Times New Roman" w:cs="Times New Roman"/>
                <w:sz w:val="24"/>
                <w:szCs w:val="24"/>
              </w:rPr>
              <w:t>(Executive Office; Department of Agriculture, Environment &amp; Rural Affairs; Department for Infrastructure; Department for the Economy; Department of Education; Department of Finance; Department of Health; Department for Communities; and Department of Justice)</w:t>
            </w:r>
          </w:p>
        </w:tc>
      </w:tr>
    </w:tbl>
    <w:p w14:paraId="484DCCFE" w14:textId="77777777" w:rsidR="00E71798" w:rsidRPr="0020584E" w:rsidRDefault="00E71798" w:rsidP="0020584E">
      <w:pPr>
        <w:spacing w:after="0" w:line="360" w:lineRule="auto"/>
        <w:jc w:val="both"/>
        <w:rPr>
          <w:rFonts w:ascii="Times New Roman" w:hAnsi="Times New Roman" w:cs="Times New Roman"/>
          <w:sz w:val="24"/>
          <w:szCs w:val="24"/>
        </w:rPr>
      </w:pPr>
    </w:p>
    <w:p w14:paraId="3F352157" w14:textId="188526D9" w:rsidR="00E71798" w:rsidRPr="00015EC5" w:rsidRDefault="00E71798" w:rsidP="00EB2D5F">
      <w:pPr>
        <w:pStyle w:val="BodyText"/>
        <w:spacing w:after="0" w:line="360" w:lineRule="auto"/>
        <w:jc w:val="both"/>
        <w:rPr>
          <w:rFonts w:ascii="Times New Roman" w:hAnsi="Times New Roman" w:cs="Times New Roman"/>
          <w:sz w:val="24"/>
          <w:szCs w:val="24"/>
        </w:rPr>
      </w:pPr>
      <w:r w:rsidRPr="00EB2D5F">
        <w:rPr>
          <w:rFonts w:ascii="Times New Roman" w:hAnsi="Times New Roman" w:cs="Times New Roman"/>
          <w:sz w:val="24"/>
          <w:szCs w:val="24"/>
        </w:rPr>
        <w:t xml:space="preserve">The NI Assembly is the prime source of authority for all devolved responsibilities in NI. </w:t>
      </w:r>
      <w:r w:rsidRPr="00EB2D5F">
        <w:rPr>
          <w:rFonts w:ascii="Times New Roman" w:hAnsi="Times New Roman" w:cs="Times New Roman"/>
          <w:sz w:val="24"/>
          <w:szCs w:val="24"/>
          <w:lang w:val="en"/>
        </w:rPr>
        <w:t>Until 2016, it had 108 members (MLAs) elected from 18 six-member constituencies. However, the number of MLAs per constituency was reduced from six to five with effect from 2017, resulting in 90 seat</w:t>
      </w:r>
      <w:r w:rsidRPr="00FB74CA">
        <w:rPr>
          <w:rFonts w:ascii="Times New Roman" w:hAnsi="Times New Roman" w:cs="Times New Roman"/>
          <w:sz w:val="24"/>
          <w:szCs w:val="24"/>
          <w:lang w:val="en"/>
        </w:rPr>
        <w:t xml:space="preserve">s in the March 2017 election. The elected </w:t>
      </w:r>
      <w:r w:rsidRPr="008B6361">
        <w:rPr>
          <w:rFonts w:ascii="Times New Roman" w:hAnsi="Times New Roman" w:cs="Times New Roman"/>
          <w:sz w:val="24"/>
          <w:szCs w:val="24"/>
        </w:rPr>
        <w:t xml:space="preserve">MLAs appoint the executive arm, the NI Executive, which </w:t>
      </w:r>
      <w:r w:rsidRPr="00015EC5">
        <w:rPr>
          <w:rFonts w:ascii="Times New Roman" w:hAnsi="Times New Roman" w:cs="Times New Roman"/>
          <w:sz w:val="24"/>
          <w:szCs w:val="24"/>
          <w:lang w:val="en"/>
        </w:rPr>
        <w:t xml:space="preserve">is the devolved government for NI. </w:t>
      </w:r>
      <w:r w:rsidRPr="00015EC5">
        <w:rPr>
          <w:rFonts w:ascii="Times New Roman" w:hAnsi="Times New Roman" w:cs="Times New Roman"/>
          <w:sz w:val="24"/>
          <w:szCs w:val="24"/>
        </w:rPr>
        <w:t>The NI Assembly can make legislation in those areas which have been ‘transferred’</w:t>
      </w:r>
      <w:r w:rsidRPr="00015EC5">
        <w:rPr>
          <w:rFonts w:ascii="Times New Roman" w:hAnsi="Times New Roman" w:cs="Times New Roman"/>
          <w:sz w:val="24"/>
          <w:szCs w:val="24"/>
          <w:lang w:val="en"/>
        </w:rPr>
        <w:t xml:space="preserve"> from Westminster (e.g. economic and social matters, agriculture and rural development, culture, arts, education, health, social services and public safety)</w:t>
      </w:r>
      <w:r w:rsidRPr="00015EC5">
        <w:rPr>
          <w:rFonts w:ascii="Times New Roman" w:hAnsi="Times New Roman" w:cs="Times New Roman"/>
          <w:sz w:val="24"/>
          <w:szCs w:val="24"/>
        </w:rPr>
        <w:t xml:space="preserve">, with Westminster retaining legislative authority for defence and national security, foreign policy, </w:t>
      </w:r>
      <w:r w:rsidR="005A1DA8" w:rsidRPr="00015EC5">
        <w:rPr>
          <w:rFonts w:ascii="Times New Roman" w:hAnsi="Times New Roman" w:cs="Times New Roman"/>
          <w:sz w:val="24"/>
          <w:szCs w:val="24"/>
        </w:rPr>
        <w:t>immigration</w:t>
      </w:r>
      <w:r w:rsidRPr="00015EC5">
        <w:rPr>
          <w:rFonts w:ascii="Times New Roman" w:hAnsi="Times New Roman" w:cs="Times New Roman"/>
          <w:sz w:val="24"/>
          <w:szCs w:val="24"/>
        </w:rPr>
        <w:t xml:space="preserve"> and energy. </w:t>
      </w:r>
    </w:p>
    <w:p w14:paraId="19D282B8" w14:textId="66CE6EFF" w:rsidR="00E71798" w:rsidRPr="00015EC5" w:rsidRDefault="00E71798" w:rsidP="00FB74CA">
      <w:pPr>
        <w:pStyle w:val="BodyText"/>
        <w:spacing w:after="0" w:line="360" w:lineRule="auto"/>
        <w:ind w:firstLine="426"/>
        <w:jc w:val="both"/>
        <w:rPr>
          <w:rFonts w:ascii="Times New Roman" w:hAnsi="Times New Roman" w:cs="Times New Roman"/>
          <w:sz w:val="24"/>
          <w:szCs w:val="24"/>
        </w:rPr>
      </w:pPr>
      <w:r w:rsidRPr="00015EC5">
        <w:rPr>
          <w:rFonts w:ascii="Times New Roman" w:hAnsi="Times New Roman" w:cs="Times New Roman"/>
          <w:bCs/>
          <w:sz w:val="24"/>
          <w:szCs w:val="24"/>
        </w:rPr>
        <w:t xml:space="preserve">The NI Executive comprises the First Minister, the </w:t>
      </w:r>
      <w:r w:rsidR="00593F5B" w:rsidRPr="00015EC5">
        <w:rPr>
          <w:rFonts w:ascii="Times New Roman" w:hAnsi="Times New Roman" w:cs="Times New Roman"/>
          <w:bCs/>
          <w:sz w:val="24"/>
          <w:szCs w:val="24"/>
        </w:rPr>
        <w:t>D</w:t>
      </w:r>
      <w:r w:rsidRPr="00015EC5">
        <w:rPr>
          <w:rFonts w:ascii="Times New Roman" w:hAnsi="Times New Roman" w:cs="Times New Roman"/>
          <w:bCs/>
          <w:sz w:val="24"/>
          <w:szCs w:val="24"/>
        </w:rPr>
        <w:t xml:space="preserve">eputy First Minister, two Junior Ministers and eight other government ministers. </w:t>
      </w:r>
      <w:r w:rsidRPr="00015EC5">
        <w:rPr>
          <w:rFonts w:ascii="Times New Roman" w:hAnsi="Times New Roman" w:cs="Times New Roman"/>
          <w:sz w:val="24"/>
          <w:szCs w:val="24"/>
        </w:rPr>
        <w:t xml:space="preserve">The First Minister and </w:t>
      </w:r>
      <w:r w:rsidR="00593F5B" w:rsidRPr="00015EC5">
        <w:rPr>
          <w:rFonts w:ascii="Times New Roman" w:hAnsi="Times New Roman" w:cs="Times New Roman"/>
          <w:sz w:val="24"/>
          <w:szCs w:val="24"/>
        </w:rPr>
        <w:t>D</w:t>
      </w:r>
      <w:r w:rsidRPr="00015EC5">
        <w:rPr>
          <w:rFonts w:ascii="Times New Roman" w:hAnsi="Times New Roman" w:cs="Times New Roman"/>
          <w:sz w:val="24"/>
          <w:szCs w:val="24"/>
        </w:rPr>
        <w:t>eputy First Minister are nominated by the largest and second largest political parties respectively and act as joint chairs of the NI Executive.</w:t>
      </w:r>
      <w:r w:rsidRPr="00015EC5">
        <w:rPr>
          <w:rFonts w:ascii="Times New Roman" w:hAnsi="Times New Roman" w:cs="Times New Roman"/>
          <w:bCs/>
          <w:sz w:val="24"/>
          <w:szCs w:val="24"/>
        </w:rPr>
        <w:t xml:space="preserve"> </w:t>
      </w:r>
      <w:r w:rsidRPr="00015EC5">
        <w:rPr>
          <w:rFonts w:ascii="Times New Roman" w:hAnsi="Times New Roman" w:cs="Times New Roman"/>
          <w:sz w:val="24"/>
          <w:szCs w:val="24"/>
        </w:rPr>
        <w:t xml:space="preserve">Departmental ministers, with the exception of the Minister of Justice, are nominated by the political parties in the NI Assembly according to their share of seats (calculated using the </w:t>
      </w:r>
      <w:proofErr w:type="spellStart"/>
      <w:r w:rsidRPr="00015EC5">
        <w:rPr>
          <w:rFonts w:ascii="Times New Roman" w:hAnsi="Times New Roman" w:cs="Times New Roman"/>
          <w:sz w:val="24"/>
          <w:szCs w:val="24"/>
        </w:rPr>
        <w:t>d’Hondt</w:t>
      </w:r>
      <w:proofErr w:type="spellEnd"/>
      <w:r w:rsidRPr="00015EC5">
        <w:rPr>
          <w:rFonts w:ascii="Times New Roman" w:hAnsi="Times New Roman" w:cs="Times New Roman"/>
          <w:sz w:val="24"/>
          <w:szCs w:val="24"/>
        </w:rPr>
        <w:t xml:space="preserve"> method of proportional representation </w:t>
      </w:r>
      <w:r w:rsidRPr="00015EC5">
        <w:rPr>
          <w:rFonts w:ascii="Times New Roman" w:hAnsi="Times New Roman" w:cs="Times New Roman"/>
          <w:sz w:val="24"/>
          <w:szCs w:val="24"/>
          <w:lang w:val="x-none"/>
        </w:rPr>
        <w:t>(</w:t>
      </w:r>
      <w:proofErr w:type="spellStart"/>
      <w:r w:rsidRPr="00015EC5">
        <w:rPr>
          <w:rFonts w:ascii="Times New Roman" w:hAnsi="Times New Roman" w:cs="Times New Roman"/>
          <w:sz w:val="24"/>
          <w:szCs w:val="24"/>
          <w:lang w:val="x-none"/>
        </w:rPr>
        <w:t>Bogdanor</w:t>
      </w:r>
      <w:proofErr w:type="spellEnd"/>
      <w:r w:rsidRPr="00015EC5">
        <w:rPr>
          <w:rFonts w:ascii="Times New Roman" w:hAnsi="Times New Roman" w:cs="Times New Roman"/>
          <w:sz w:val="24"/>
          <w:szCs w:val="24"/>
          <w:lang w:val="x-none"/>
        </w:rPr>
        <w:t xml:space="preserve"> 2001)</w:t>
      </w:r>
      <w:r w:rsidRPr="00015EC5">
        <w:rPr>
          <w:rFonts w:ascii="Times New Roman" w:hAnsi="Times New Roman" w:cs="Times New Roman"/>
          <w:sz w:val="24"/>
          <w:szCs w:val="24"/>
        </w:rPr>
        <w:t>). The Minister of Justice is appointed following a cross-community NI Assembly vote.</w:t>
      </w:r>
      <w:r w:rsidR="000B21E0" w:rsidRPr="00015EC5">
        <w:rPr>
          <w:rFonts w:ascii="Times New Roman" w:hAnsi="Times New Roman" w:cs="Times New Roman"/>
          <w:sz w:val="24"/>
          <w:szCs w:val="24"/>
        </w:rPr>
        <w:t xml:space="preserve"> </w:t>
      </w:r>
      <w:r w:rsidRPr="00015EC5">
        <w:rPr>
          <w:rFonts w:ascii="Times New Roman" w:hAnsi="Times New Roman" w:cs="Times New Roman"/>
          <w:sz w:val="24"/>
          <w:szCs w:val="24"/>
        </w:rPr>
        <w:t>With effect from May 2016, the number of government departments in NI was reduced from 12 to nine, with their role, together with their executive agencies</w:t>
      </w:r>
      <w:r w:rsidR="0011172A" w:rsidRPr="00015EC5">
        <w:rPr>
          <w:rFonts w:ascii="Times New Roman" w:hAnsi="Times New Roman" w:cs="Times New Roman"/>
          <w:sz w:val="24"/>
          <w:szCs w:val="24"/>
        </w:rPr>
        <w:t>, NDPBs and other ALBs</w:t>
      </w:r>
      <w:r w:rsidRPr="00015EC5">
        <w:rPr>
          <w:rFonts w:ascii="Times New Roman" w:hAnsi="Times New Roman" w:cs="Times New Roman"/>
          <w:sz w:val="24"/>
          <w:szCs w:val="24"/>
        </w:rPr>
        <w:t xml:space="preserve">, being to implement government policy and advise ministers. </w:t>
      </w:r>
    </w:p>
    <w:p w14:paraId="571EDA87" w14:textId="77777777" w:rsidR="00E71798" w:rsidRPr="00015EC5" w:rsidRDefault="00E71798" w:rsidP="008B6361">
      <w:pPr>
        <w:spacing w:after="0" w:line="360" w:lineRule="auto"/>
        <w:jc w:val="both"/>
        <w:rPr>
          <w:rFonts w:ascii="Times New Roman" w:hAnsi="Times New Roman" w:cs="Times New Roman"/>
          <w:sz w:val="24"/>
          <w:szCs w:val="24"/>
        </w:rPr>
      </w:pPr>
    </w:p>
    <w:p w14:paraId="112DC7DC" w14:textId="77777777" w:rsidR="00E340E0" w:rsidRDefault="00E340E0">
      <w:pPr>
        <w:rPr>
          <w:rFonts w:ascii="Times New Roman" w:hAnsi="Times New Roman" w:cs="Times New Roman"/>
          <w:b/>
          <w:sz w:val="24"/>
          <w:szCs w:val="24"/>
        </w:rPr>
      </w:pPr>
      <w:r>
        <w:rPr>
          <w:rFonts w:ascii="Times New Roman" w:hAnsi="Times New Roman" w:cs="Times New Roman"/>
          <w:b/>
          <w:sz w:val="24"/>
          <w:szCs w:val="24"/>
        </w:rPr>
        <w:br w:type="page"/>
      </w:r>
    </w:p>
    <w:p w14:paraId="245824EB" w14:textId="7CC0F2C1" w:rsidR="00D76E12" w:rsidRPr="00FB74CA" w:rsidRDefault="00D76E12" w:rsidP="00FB74CA">
      <w:pPr>
        <w:spacing w:after="0" w:line="360" w:lineRule="auto"/>
        <w:jc w:val="both"/>
        <w:rPr>
          <w:rFonts w:ascii="Times New Roman" w:hAnsi="Times New Roman" w:cs="Times New Roman"/>
          <w:b/>
          <w:sz w:val="24"/>
          <w:szCs w:val="24"/>
        </w:rPr>
      </w:pPr>
      <w:r w:rsidRPr="00FB74CA">
        <w:rPr>
          <w:rFonts w:ascii="Times New Roman" w:hAnsi="Times New Roman" w:cs="Times New Roman"/>
          <w:b/>
          <w:sz w:val="24"/>
          <w:szCs w:val="24"/>
        </w:rPr>
        <w:lastRenderedPageBreak/>
        <w:t>ACCOUNTABILITY</w:t>
      </w:r>
    </w:p>
    <w:p w14:paraId="0DCAC13B" w14:textId="77777777" w:rsidR="00E71798" w:rsidRPr="008B6361" w:rsidRDefault="00E71798" w:rsidP="008B6361">
      <w:pPr>
        <w:spacing w:after="0" w:line="360" w:lineRule="auto"/>
        <w:jc w:val="both"/>
        <w:rPr>
          <w:rFonts w:ascii="Times New Roman" w:hAnsi="Times New Roman" w:cs="Times New Roman"/>
          <w:sz w:val="24"/>
          <w:szCs w:val="24"/>
        </w:rPr>
      </w:pPr>
    </w:p>
    <w:p w14:paraId="46B0F599" w14:textId="77777777" w:rsidR="00E71798" w:rsidRPr="00015EC5" w:rsidRDefault="00E71798" w:rsidP="00015EC5">
      <w:pPr>
        <w:spacing w:after="0" w:line="360" w:lineRule="auto"/>
        <w:jc w:val="both"/>
        <w:rPr>
          <w:rFonts w:ascii="Times New Roman" w:hAnsi="Times New Roman" w:cs="Times New Roman"/>
          <w:sz w:val="24"/>
          <w:szCs w:val="24"/>
        </w:rPr>
      </w:pPr>
      <w:r w:rsidRPr="00015EC5">
        <w:rPr>
          <w:rFonts w:ascii="Times New Roman" w:hAnsi="Times New Roman" w:cs="Times New Roman"/>
          <w:sz w:val="24"/>
          <w:szCs w:val="24"/>
        </w:rPr>
        <w:t>This paper considers how the relationship between NI NDPBs and two key stakeholders, sponsoring government departments and service users, can impact upon the discharge of accountability by NDPBs. With the previous two sections outlining the environment in which NDPBs operate in the UK and the structure of government in NI, this section presents the theoretical underpinning for the paper. After reflecting on what is meant by accountability, it examines to whom and in what ways NDPBs are accountable before concluding by considering how accountability is operationalized.</w:t>
      </w:r>
    </w:p>
    <w:p w14:paraId="648D1327" w14:textId="77777777" w:rsidR="00D76E12" w:rsidRPr="00015EC5" w:rsidRDefault="00D76E12" w:rsidP="00015EC5">
      <w:pPr>
        <w:autoSpaceDE w:val="0"/>
        <w:autoSpaceDN w:val="0"/>
        <w:adjustRightInd w:val="0"/>
        <w:spacing w:after="0" w:line="360" w:lineRule="auto"/>
        <w:jc w:val="both"/>
        <w:rPr>
          <w:rFonts w:ascii="Times New Roman" w:hAnsi="Times New Roman" w:cs="Times New Roman"/>
          <w:sz w:val="24"/>
          <w:szCs w:val="24"/>
        </w:rPr>
      </w:pPr>
    </w:p>
    <w:p w14:paraId="13249976" w14:textId="77777777" w:rsidR="00D76E12" w:rsidRPr="00015EC5" w:rsidRDefault="00D76E12" w:rsidP="00015EC5">
      <w:pPr>
        <w:autoSpaceDE w:val="0"/>
        <w:autoSpaceDN w:val="0"/>
        <w:adjustRightInd w:val="0"/>
        <w:spacing w:after="0" w:line="360" w:lineRule="auto"/>
        <w:jc w:val="both"/>
        <w:rPr>
          <w:rFonts w:ascii="Times New Roman" w:hAnsi="Times New Roman" w:cs="Times New Roman"/>
          <w:b/>
          <w:sz w:val="24"/>
          <w:szCs w:val="24"/>
        </w:rPr>
      </w:pPr>
      <w:r w:rsidRPr="00015EC5">
        <w:rPr>
          <w:rFonts w:ascii="Times New Roman" w:hAnsi="Times New Roman" w:cs="Times New Roman"/>
          <w:b/>
          <w:sz w:val="24"/>
          <w:szCs w:val="24"/>
        </w:rPr>
        <w:t>What is accountability?</w:t>
      </w:r>
    </w:p>
    <w:p w14:paraId="7E1FF29E" w14:textId="77777777" w:rsidR="00D76E12" w:rsidRPr="00015EC5" w:rsidRDefault="00D76E12" w:rsidP="00015EC5">
      <w:pPr>
        <w:spacing w:after="0" w:line="360" w:lineRule="auto"/>
        <w:jc w:val="both"/>
        <w:rPr>
          <w:rFonts w:ascii="Times New Roman" w:hAnsi="Times New Roman" w:cs="Times New Roman"/>
          <w:sz w:val="24"/>
          <w:szCs w:val="24"/>
        </w:rPr>
      </w:pPr>
    </w:p>
    <w:p w14:paraId="2AABA4CA" w14:textId="77777777" w:rsidR="00D76E12" w:rsidRPr="00015EC5" w:rsidRDefault="00D76E12" w:rsidP="00015EC5">
      <w:pPr>
        <w:spacing w:after="0" w:line="360" w:lineRule="auto"/>
        <w:jc w:val="both"/>
        <w:rPr>
          <w:rFonts w:ascii="Times New Roman" w:hAnsi="Times New Roman" w:cs="Times New Roman"/>
          <w:sz w:val="24"/>
          <w:szCs w:val="24"/>
        </w:rPr>
      </w:pPr>
      <w:r w:rsidRPr="00015EC5">
        <w:rPr>
          <w:rFonts w:ascii="Times New Roman" w:hAnsi="Times New Roman" w:cs="Times New Roman"/>
          <w:sz w:val="24"/>
          <w:szCs w:val="24"/>
        </w:rPr>
        <w:t xml:space="preserve">Accountability is widely recognized as a fundamental element of democratic government (Ashworth, Boyne, and Walker 2001), with Gray, Owen, and Adams (1996, 38) defining it as the ‘duty to provide an account (by no means necessarily a financial account) or reckoning of those actions for which one is held responsible’. This is consistent with notions of </w:t>
      </w:r>
      <w:r w:rsidRPr="00015EC5">
        <w:rPr>
          <w:rFonts w:ascii="Times New Roman" w:hAnsi="Times New Roman" w:cs="Times New Roman"/>
          <w:i/>
          <w:sz w:val="24"/>
          <w:szCs w:val="24"/>
        </w:rPr>
        <w:t>political</w:t>
      </w:r>
      <w:r w:rsidRPr="00015EC5">
        <w:rPr>
          <w:rFonts w:ascii="Times New Roman" w:hAnsi="Times New Roman" w:cs="Times New Roman"/>
          <w:sz w:val="24"/>
          <w:szCs w:val="24"/>
        </w:rPr>
        <w:t xml:space="preserve"> accountability, whereby elected politicians are held accountable for policy decisions, and </w:t>
      </w:r>
      <w:r w:rsidRPr="00015EC5">
        <w:rPr>
          <w:rFonts w:ascii="Times New Roman" w:hAnsi="Times New Roman" w:cs="Times New Roman"/>
          <w:i/>
          <w:sz w:val="24"/>
          <w:szCs w:val="24"/>
        </w:rPr>
        <w:t>financial</w:t>
      </w:r>
      <w:r w:rsidRPr="00015EC5">
        <w:rPr>
          <w:rFonts w:ascii="Times New Roman" w:hAnsi="Times New Roman" w:cs="Times New Roman"/>
          <w:sz w:val="24"/>
          <w:szCs w:val="24"/>
        </w:rPr>
        <w:t xml:space="preserve"> and </w:t>
      </w:r>
      <w:r w:rsidRPr="00015EC5">
        <w:rPr>
          <w:rFonts w:ascii="Times New Roman" w:hAnsi="Times New Roman" w:cs="Times New Roman"/>
          <w:i/>
          <w:sz w:val="24"/>
          <w:szCs w:val="24"/>
        </w:rPr>
        <w:t>legal</w:t>
      </w:r>
      <w:r w:rsidRPr="00015EC5">
        <w:rPr>
          <w:rFonts w:ascii="Times New Roman" w:hAnsi="Times New Roman" w:cs="Times New Roman"/>
          <w:sz w:val="24"/>
          <w:szCs w:val="24"/>
        </w:rPr>
        <w:t xml:space="preserve"> accountability, whereby public organizations must comply with financial reporting regulations. New Public Management reforms have arguably widened expectations of who should be held accountable to senior pubic service officials, with the public expecting a minimum level of service and information on efficiency and effectiveness (Power 1997).</w:t>
      </w:r>
    </w:p>
    <w:p w14:paraId="15DDA9EF" w14:textId="16F7B058" w:rsidR="00D76E12" w:rsidRPr="00015EC5" w:rsidRDefault="00D76E12" w:rsidP="00015EC5">
      <w:pPr>
        <w:pStyle w:val="BodyText"/>
        <w:spacing w:after="0" w:line="360" w:lineRule="auto"/>
        <w:ind w:firstLine="426"/>
        <w:jc w:val="both"/>
        <w:rPr>
          <w:rFonts w:ascii="Times New Roman" w:hAnsi="Times New Roman" w:cs="Times New Roman"/>
          <w:sz w:val="24"/>
          <w:szCs w:val="24"/>
        </w:rPr>
      </w:pPr>
      <w:r w:rsidRPr="00015EC5">
        <w:rPr>
          <w:rFonts w:ascii="Times New Roman" w:hAnsi="Times New Roman" w:cs="Times New Roman"/>
          <w:sz w:val="24"/>
          <w:szCs w:val="24"/>
          <w:lang w:val="en-IE"/>
        </w:rPr>
        <w:t xml:space="preserve">Previous </w:t>
      </w:r>
      <w:r w:rsidRPr="00015EC5">
        <w:rPr>
          <w:rFonts w:ascii="Times New Roman" w:hAnsi="Times New Roman" w:cs="Times New Roman"/>
          <w:sz w:val="24"/>
          <w:szCs w:val="24"/>
        </w:rPr>
        <w:t>research has often considered accountability in the context of stakeholder theory (</w:t>
      </w:r>
      <w:proofErr w:type="spellStart"/>
      <w:r w:rsidRPr="00015EC5">
        <w:rPr>
          <w:rStyle w:val="bodytext1"/>
          <w:rFonts w:ascii="Times New Roman" w:hAnsi="Times New Roman" w:cs="Times New Roman"/>
          <w:bCs/>
          <w:color w:val="auto"/>
          <w:sz w:val="24"/>
          <w:szCs w:val="24"/>
        </w:rPr>
        <w:t>Gray</w:t>
      </w:r>
      <w:proofErr w:type="spellEnd"/>
      <w:r w:rsidRPr="00015EC5">
        <w:rPr>
          <w:rStyle w:val="bodytext1"/>
          <w:rFonts w:ascii="Times New Roman" w:hAnsi="Times New Roman" w:cs="Times New Roman"/>
          <w:bCs/>
          <w:color w:val="auto"/>
          <w:sz w:val="24"/>
          <w:szCs w:val="24"/>
        </w:rPr>
        <w:t xml:space="preserve">, </w:t>
      </w:r>
      <w:proofErr w:type="spellStart"/>
      <w:r w:rsidRPr="00015EC5">
        <w:rPr>
          <w:rStyle w:val="bodytext1"/>
          <w:rFonts w:ascii="Times New Roman" w:hAnsi="Times New Roman" w:cs="Times New Roman"/>
          <w:bCs/>
          <w:color w:val="auto"/>
          <w:sz w:val="24"/>
          <w:szCs w:val="24"/>
        </w:rPr>
        <w:t>Bebbington</w:t>
      </w:r>
      <w:proofErr w:type="spellEnd"/>
      <w:r w:rsidRPr="00015EC5">
        <w:rPr>
          <w:rStyle w:val="bodytext1"/>
          <w:rFonts w:ascii="Times New Roman" w:hAnsi="Times New Roman" w:cs="Times New Roman"/>
          <w:bCs/>
          <w:color w:val="auto"/>
          <w:sz w:val="24"/>
          <w:szCs w:val="24"/>
        </w:rPr>
        <w:t>, and Collison</w:t>
      </w:r>
      <w:r w:rsidRPr="00015EC5">
        <w:rPr>
          <w:rFonts w:ascii="Times New Roman" w:hAnsi="Times New Roman" w:cs="Times New Roman"/>
          <w:sz w:val="24"/>
          <w:szCs w:val="24"/>
        </w:rPr>
        <w:t xml:space="preserve"> 2006; </w:t>
      </w:r>
      <w:proofErr w:type="spellStart"/>
      <w:r w:rsidRPr="00015EC5">
        <w:rPr>
          <w:rStyle w:val="italic1"/>
          <w:rFonts w:ascii="Times New Roman" w:hAnsi="Times New Roman" w:cs="Times New Roman"/>
          <w:i w:val="0"/>
          <w:sz w:val="24"/>
          <w:szCs w:val="24"/>
        </w:rPr>
        <w:t>Mäkelä</w:t>
      </w:r>
      <w:proofErr w:type="spellEnd"/>
      <w:r w:rsidRPr="00015EC5">
        <w:rPr>
          <w:rStyle w:val="italic1"/>
          <w:rFonts w:ascii="Times New Roman" w:hAnsi="Times New Roman" w:cs="Times New Roman"/>
          <w:i w:val="0"/>
          <w:sz w:val="24"/>
          <w:szCs w:val="24"/>
        </w:rPr>
        <w:t xml:space="preserve"> and </w:t>
      </w:r>
      <w:proofErr w:type="spellStart"/>
      <w:r w:rsidRPr="00015EC5">
        <w:rPr>
          <w:rStyle w:val="italic1"/>
          <w:rFonts w:ascii="Times New Roman" w:hAnsi="Times New Roman" w:cs="Times New Roman"/>
          <w:i w:val="0"/>
          <w:sz w:val="24"/>
          <w:szCs w:val="24"/>
        </w:rPr>
        <w:t>Näsi</w:t>
      </w:r>
      <w:proofErr w:type="spellEnd"/>
      <w:r w:rsidRPr="00015EC5">
        <w:rPr>
          <w:rFonts w:ascii="Times New Roman" w:hAnsi="Times New Roman" w:cs="Times New Roman"/>
          <w:sz w:val="24"/>
          <w:szCs w:val="24"/>
        </w:rPr>
        <w:t xml:space="preserve"> 2010), a theory developed from studies of corporate organizational behaviour (Freeman 2010) which posits that an organization is in various relationships with internal and external parties known as stakeholders. The central argument is that if organizations engage with stakeholders on a basis of mutual trust and cooperation (a key tenet of </w:t>
      </w:r>
      <w:proofErr w:type="spellStart"/>
      <w:r w:rsidRPr="00015EC5">
        <w:rPr>
          <w:rFonts w:ascii="Times New Roman" w:hAnsi="Times New Roman" w:cs="Times New Roman"/>
          <w:sz w:val="24"/>
          <w:szCs w:val="24"/>
        </w:rPr>
        <w:t>HoCPASC</w:t>
      </w:r>
      <w:proofErr w:type="spellEnd"/>
      <w:r w:rsidRPr="00015EC5">
        <w:rPr>
          <w:rFonts w:ascii="Times New Roman" w:hAnsi="Times New Roman" w:cs="Times New Roman"/>
          <w:sz w:val="24"/>
          <w:szCs w:val="24"/>
        </w:rPr>
        <w:t xml:space="preserve"> (2014)), they will build legitimacy and reputation </w:t>
      </w:r>
      <w:r w:rsidR="00803368" w:rsidRPr="00015EC5">
        <w:rPr>
          <w:rFonts w:ascii="Times New Roman" w:hAnsi="Times New Roman" w:cs="Times New Roman"/>
          <w:sz w:val="24"/>
          <w:szCs w:val="24"/>
        </w:rPr>
        <w:t xml:space="preserve">and gain competitive advantage (Donaldson and Preston 1995; Jones and Wicks 1999; Freeman 2010). </w:t>
      </w:r>
      <w:r w:rsidRPr="00015EC5">
        <w:rPr>
          <w:rFonts w:ascii="Times New Roman" w:hAnsi="Times New Roman" w:cs="Times New Roman"/>
          <w:sz w:val="24"/>
          <w:szCs w:val="24"/>
        </w:rPr>
        <w:t>This suggests that organizational survival and success need stakeholder support, which requires management to legitimate organizational activities to stakeholders by demonstrating the organization’s values, beliefs and successes (</w:t>
      </w:r>
      <w:proofErr w:type="spellStart"/>
      <w:r w:rsidRPr="00015EC5">
        <w:rPr>
          <w:rFonts w:ascii="Times New Roman" w:hAnsi="Times New Roman" w:cs="Times New Roman"/>
          <w:sz w:val="24"/>
          <w:szCs w:val="24"/>
        </w:rPr>
        <w:t>Samkin</w:t>
      </w:r>
      <w:proofErr w:type="spellEnd"/>
      <w:r w:rsidRPr="00015EC5">
        <w:rPr>
          <w:rFonts w:ascii="Times New Roman" w:hAnsi="Times New Roman" w:cs="Times New Roman"/>
          <w:sz w:val="24"/>
          <w:szCs w:val="24"/>
        </w:rPr>
        <w:t xml:space="preserve"> and Schneider 2010). Additionally, accountability has been examined in terms of the role and value of different accountability mechanisms (</w:t>
      </w:r>
      <w:proofErr w:type="spellStart"/>
      <w:r w:rsidRPr="00015EC5">
        <w:rPr>
          <w:rFonts w:ascii="Times New Roman" w:hAnsi="Times New Roman" w:cs="Times New Roman"/>
          <w:sz w:val="24"/>
          <w:szCs w:val="24"/>
        </w:rPr>
        <w:t>O’Dwyer</w:t>
      </w:r>
      <w:proofErr w:type="spellEnd"/>
      <w:r w:rsidRPr="00015EC5">
        <w:rPr>
          <w:rFonts w:ascii="Times New Roman" w:hAnsi="Times New Roman" w:cs="Times New Roman"/>
          <w:sz w:val="24"/>
          <w:szCs w:val="24"/>
        </w:rPr>
        <w:t xml:space="preserve"> and </w:t>
      </w:r>
      <w:proofErr w:type="spellStart"/>
      <w:r w:rsidRPr="00015EC5">
        <w:rPr>
          <w:rFonts w:ascii="Times New Roman" w:hAnsi="Times New Roman" w:cs="Times New Roman"/>
          <w:sz w:val="24"/>
          <w:szCs w:val="24"/>
        </w:rPr>
        <w:t>Unerman</w:t>
      </w:r>
      <w:proofErr w:type="spellEnd"/>
      <w:r w:rsidRPr="00015EC5">
        <w:rPr>
          <w:rFonts w:ascii="Times New Roman" w:hAnsi="Times New Roman" w:cs="Times New Roman"/>
          <w:sz w:val="24"/>
          <w:szCs w:val="24"/>
        </w:rPr>
        <w:t xml:space="preserve"> 2007) and its play-out </w:t>
      </w:r>
      <w:r w:rsidRPr="00015EC5">
        <w:rPr>
          <w:rFonts w:ascii="Times New Roman" w:hAnsi="Times New Roman" w:cs="Times New Roman"/>
          <w:sz w:val="24"/>
          <w:szCs w:val="24"/>
        </w:rPr>
        <w:lastRenderedPageBreak/>
        <w:t>in organizations (</w:t>
      </w:r>
      <w:proofErr w:type="spellStart"/>
      <w:r w:rsidRPr="00015EC5">
        <w:rPr>
          <w:rFonts w:ascii="Times New Roman" w:hAnsi="Times New Roman" w:cs="Times New Roman"/>
          <w:sz w:val="24"/>
          <w:szCs w:val="24"/>
        </w:rPr>
        <w:t>Ezzamel</w:t>
      </w:r>
      <w:proofErr w:type="spellEnd"/>
      <w:r w:rsidRPr="00015EC5">
        <w:rPr>
          <w:rFonts w:ascii="Times New Roman" w:hAnsi="Times New Roman" w:cs="Times New Roman"/>
          <w:sz w:val="24"/>
          <w:szCs w:val="24"/>
        </w:rPr>
        <w:t xml:space="preserve"> et al. 2007), including </w:t>
      </w:r>
      <w:r w:rsidRPr="00015EC5">
        <w:rPr>
          <w:rFonts w:ascii="Times New Roman" w:hAnsi="Times New Roman" w:cs="Times New Roman"/>
          <w:sz w:val="24"/>
          <w:szCs w:val="24"/>
          <w:lang w:val="en-IE"/>
        </w:rPr>
        <w:t>taking responsibility for actions and behaviours towards constituents (</w:t>
      </w:r>
      <w:proofErr w:type="spellStart"/>
      <w:r w:rsidRPr="00015EC5">
        <w:rPr>
          <w:rFonts w:ascii="Times New Roman" w:hAnsi="Times New Roman" w:cs="Times New Roman"/>
          <w:sz w:val="24"/>
          <w:szCs w:val="24"/>
          <w:lang w:val="en-IE"/>
        </w:rPr>
        <w:t>Ebrahim</w:t>
      </w:r>
      <w:proofErr w:type="spellEnd"/>
      <w:r w:rsidRPr="00015EC5">
        <w:rPr>
          <w:rFonts w:ascii="Times New Roman" w:hAnsi="Times New Roman" w:cs="Times New Roman"/>
          <w:sz w:val="24"/>
          <w:szCs w:val="24"/>
          <w:lang w:val="en-IE"/>
        </w:rPr>
        <w:t xml:space="preserve"> 2003a; Cooper and Owen 2007). </w:t>
      </w:r>
    </w:p>
    <w:p w14:paraId="73CCF36A" w14:textId="77777777" w:rsidR="00D76E12" w:rsidRPr="00015EC5" w:rsidRDefault="00D76E12" w:rsidP="00015EC5">
      <w:pPr>
        <w:pStyle w:val="BodyText"/>
        <w:spacing w:after="0" w:line="360" w:lineRule="auto"/>
        <w:jc w:val="both"/>
        <w:rPr>
          <w:rFonts w:ascii="Times New Roman" w:hAnsi="Times New Roman" w:cs="Times New Roman"/>
          <w:sz w:val="24"/>
          <w:szCs w:val="24"/>
        </w:rPr>
      </w:pPr>
    </w:p>
    <w:p w14:paraId="18A30F30" w14:textId="77777777" w:rsidR="00D76E12" w:rsidRPr="00015EC5" w:rsidRDefault="00D76E12" w:rsidP="00015EC5">
      <w:pPr>
        <w:pStyle w:val="BodyText"/>
        <w:spacing w:after="0" w:line="360" w:lineRule="auto"/>
        <w:jc w:val="both"/>
        <w:rPr>
          <w:rFonts w:ascii="Times New Roman" w:hAnsi="Times New Roman" w:cs="Times New Roman"/>
          <w:b/>
          <w:sz w:val="24"/>
          <w:szCs w:val="24"/>
        </w:rPr>
      </w:pPr>
      <w:r w:rsidRPr="00015EC5">
        <w:rPr>
          <w:rFonts w:ascii="Times New Roman" w:hAnsi="Times New Roman" w:cs="Times New Roman"/>
          <w:b/>
          <w:sz w:val="24"/>
          <w:szCs w:val="24"/>
        </w:rPr>
        <w:t>To whom and in what ways are NDPBs accountable?</w:t>
      </w:r>
    </w:p>
    <w:p w14:paraId="428A6AA5" w14:textId="77777777" w:rsidR="00D76E12" w:rsidRPr="00015EC5" w:rsidRDefault="00D76E12" w:rsidP="00015EC5">
      <w:pPr>
        <w:spacing w:after="0" w:line="360" w:lineRule="auto"/>
        <w:jc w:val="both"/>
        <w:rPr>
          <w:rFonts w:ascii="Times New Roman" w:hAnsi="Times New Roman" w:cs="Times New Roman"/>
          <w:sz w:val="24"/>
          <w:szCs w:val="24"/>
        </w:rPr>
      </w:pPr>
    </w:p>
    <w:p w14:paraId="79B5A34C" w14:textId="1E271C20" w:rsidR="00803368" w:rsidRPr="00015EC5" w:rsidRDefault="00803368" w:rsidP="00015EC5">
      <w:pPr>
        <w:pStyle w:val="PlainText"/>
        <w:spacing w:line="360" w:lineRule="auto"/>
        <w:jc w:val="both"/>
        <w:rPr>
          <w:rFonts w:ascii="Times New Roman" w:hAnsi="Times New Roman" w:cs="Times New Roman"/>
          <w:sz w:val="24"/>
          <w:szCs w:val="24"/>
        </w:rPr>
      </w:pPr>
      <w:r w:rsidRPr="00015EC5">
        <w:rPr>
          <w:rFonts w:ascii="Times New Roman" w:hAnsi="Times New Roman" w:cs="Times New Roman"/>
          <w:sz w:val="24"/>
          <w:szCs w:val="24"/>
          <w:shd w:val="clear" w:color="auto" w:fill="FFFFFF"/>
        </w:rPr>
        <w:t xml:space="preserve">Any definition of a stakeholder must take into account the stakeholder-organization relationship. Whilst acknowledging that </w:t>
      </w:r>
      <w:r w:rsidRPr="00015EC5">
        <w:rPr>
          <w:rFonts w:ascii="Times New Roman" w:hAnsi="Times New Roman" w:cs="Times New Roman"/>
          <w:sz w:val="24"/>
          <w:szCs w:val="24"/>
        </w:rPr>
        <w:t xml:space="preserve">different definitions are used for identifying stakeholders, they tend to be either broad and inclusive or narrow and pragmatic. Although </w:t>
      </w:r>
      <w:r w:rsidRPr="00015EC5">
        <w:rPr>
          <w:rFonts w:ascii="Times New Roman" w:hAnsi="Times New Roman" w:cs="Times New Roman"/>
          <w:sz w:val="24"/>
          <w:szCs w:val="24"/>
          <w:shd w:val="clear" w:color="auto" w:fill="FFFFFF"/>
        </w:rPr>
        <w:t xml:space="preserve">Freeman’s (2010) well-established broad definition, that a stakeholder is any group or individual who can affect or be affected by an organization, reflects the important bi-directionality of stakeholders, it arguably </w:t>
      </w:r>
      <w:r w:rsidRPr="00015EC5">
        <w:rPr>
          <w:rFonts w:ascii="Times New Roman" w:hAnsi="Times New Roman" w:cs="Times New Roman"/>
          <w:sz w:val="24"/>
          <w:szCs w:val="24"/>
        </w:rPr>
        <w:t>allows anyone to be classified as a stakeholder. Freeman (2010) further distinguishes between primary (e.g. consumers, suppliers, employees and the community) and secondary (e.g. media, competitors, financial institutions and public interest groups). The former are considered vital to the persistence of the organization, with their withdrawal potentially leading to the organization’s cessation</w:t>
      </w:r>
      <w:r w:rsidR="00593F5B" w:rsidRPr="00015EC5">
        <w:rPr>
          <w:rFonts w:ascii="Times New Roman" w:hAnsi="Times New Roman" w:cs="Times New Roman"/>
          <w:sz w:val="24"/>
          <w:szCs w:val="24"/>
        </w:rPr>
        <w:t>.</w:t>
      </w:r>
      <w:r w:rsidRPr="00015EC5">
        <w:rPr>
          <w:rFonts w:ascii="Times New Roman" w:hAnsi="Times New Roman" w:cs="Times New Roman"/>
          <w:sz w:val="24"/>
          <w:szCs w:val="24"/>
        </w:rPr>
        <w:t xml:space="preserve"> </w:t>
      </w:r>
      <w:r w:rsidR="00593F5B" w:rsidRPr="00015EC5">
        <w:rPr>
          <w:rFonts w:ascii="Times New Roman" w:hAnsi="Times New Roman" w:cs="Times New Roman"/>
          <w:sz w:val="24"/>
          <w:szCs w:val="24"/>
        </w:rPr>
        <w:t>W</w:t>
      </w:r>
      <w:r w:rsidRPr="00015EC5">
        <w:rPr>
          <w:rFonts w:ascii="Times New Roman" w:hAnsi="Times New Roman" w:cs="Times New Roman"/>
          <w:sz w:val="24"/>
          <w:szCs w:val="24"/>
        </w:rPr>
        <w:t xml:space="preserve">hilst the latter are also important to the organization in the context of their relationship, the persistence of </w:t>
      </w:r>
      <w:r w:rsidR="00593F5B" w:rsidRPr="00015EC5">
        <w:rPr>
          <w:rFonts w:ascii="Times New Roman" w:hAnsi="Times New Roman" w:cs="Times New Roman"/>
          <w:sz w:val="24"/>
          <w:szCs w:val="24"/>
        </w:rPr>
        <w:t xml:space="preserve">the </w:t>
      </w:r>
      <w:r w:rsidRPr="00015EC5">
        <w:rPr>
          <w:rFonts w:ascii="Times New Roman" w:hAnsi="Times New Roman" w:cs="Times New Roman"/>
          <w:sz w:val="24"/>
          <w:szCs w:val="24"/>
        </w:rPr>
        <w:t xml:space="preserve">organization does not depend on secondary stakeholders. In comparison, other definitions take an arguably more pragmatic approach by emphasizing legitimacy (‘persons or groups with legitimate interests in procedural and/or substantive aspects of corporate activity’ (Donaldson and Preston 1995, 85)). In other words, an entity must have a legitimate claim or stake in the organisation to be considered a stakeholder. These narrow definitions accept the reality that managers cannot or do not consider all possible stakeholders. </w:t>
      </w:r>
    </w:p>
    <w:p w14:paraId="532A1D59" w14:textId="395AB47C" w:rsidR="00D76E12" w:rsidRPr="00015EC5" w:rsidRDefault="00803368" w:rsidP="00015EC5">
      <w:pPr>
        <w:autoSpaceDE w:val="0"/>
        <w:autoSpaceDN w:val="0"/>
        <w:adjustRightInd w:val="0"/>
        <w:spacing w:after="0" w:line="360" w:lineRule="auto"/>
        <w:ind w:firstLine="426"/>
        <w:jc w:val="both"/>
        <w:rPr>
          <w:rFonts w:ascii="Times New Roman" w:hAnsi="Times New Roman" w:cs="Times New Roman"/>
          <w:sz w:val="24"/>
          <w:szCs w:val="24"/>
        </w:rPr>
      </w:pPr>
      <w:r w:rsidRPr="00015EC5">
        <w:rPr>
          <w:rFonts w:ascii="Times New Roman" w:hAnsi="Times New Roman" w:cs="Times New Roman"/>
          <w:sz w:val="24"/>
          <w:szCs w:val="24"/>
        </w:rPr>
        <w:t xml:space="preserve">Noting that definitions such has those presented above tended to focus on either power or legitimacy (i.e. the power of an organization over a stakeholder and vice versa, or the legitimacy of a stakeholder’s claim on an organization), Mitchell, </w:t>
      </w:r>
      <w:proofErr w:type="spellStart"/>
      <w:r w:rsidRPr="00015EC5">
        <w:rPr>
          <w:rFonts w:ascii="Times New Roman" w:hAnsi="Times New Roman" w:cs="Times New Roman"/>
          <w:sz w:val="24"/>
          <w:szCs w:val="24"/>
        </w:rPr>
        <w:t>Agle</w:t>
      </w:r>
      <w:proofErr w:type="spellEnd"/>
      <w:r w:rsidRPr="00015EC5">
        <w:rPr>
          <w:rFonts w:ascii="Times New Roman" w:hAnsi="Times New Roman" w:cs="Times New Roman"/>
          <w:sz w:val="24"/>
          <w:szCs w:val="24"/>
        </w:rPr>
        <w:t xml:space="preserve"> and Wood (1997, 864) contended that they ignored urgency (i.e. ‘the degree to which stakeholder claims call for immediate attention’). Considering the principle, proposed by Freeman (2010), of ‘who and what really counts’, Mitchell, </w:t>
      </w:r>
      <w:proofErr w:type="spellStart"/>
      <w:r w:rsidRPr="00015EC5">
        <w:rPr>
          <w:rFonts w:ascii="Times New Roman" w:hAnsi="Times New Roman" w:cs="Times New Roman"/>
          <w:sz w:val="24"/>
          <w:szCs w:val="24"/>
        </w:rPr>
        <w:t>Agle</w:t>
      </w:r>
      <w:proofErr w:type="spellEnd"/>
      <w:r w:rsidRPr="00015EC5">
        <w:rPr>
          <w:rFonts w:ascii="Times New Roman" w:hAnsi="Times New Roman" w:cs="Times New Roman"/>
          <w:sz w:val="24"/>
          <w:szCs w:val="24"/>
        </w:rPr>
        <w:t xml:space="preserve"> and Wood (1997) argue that the first question calls for a normative theory</w:t>
      </w:r>
      <w:r w:rsidR="00593F5B" w:rsidRPr="00015EC5">
        <w:rPr>
          <w:rFonts w:ascii="Times New Roman" w:hAnsi="Times New Roman" w:cs="Times New Roman"/>
          <w:sz w:val="24"/>
          <w:szCs w:val="24"/>
        </w:rPr>
        <w:t>,</w:t>
      </w:r>
      <w:r w:rsidRPr="00015EC5">
        <w:rPr>
          <w:rFonts w:ascii="Times New Roman" w:hAnsi="Times New Roman" w:cs="Times New Roman"/>
          <w:sz w:val="24"/>
          <w:szCs w:val="24"/>
        </w:rPr>
        <w:t xml:space="preserve"> which logically defines who should be considered as stakeholders</w:t>
      </w:r>
      <w:r w:rsidR="00593F5B" w:rsidRPr="00015EC5">
        <w:rPr>
          <w:rFonts w:ascii="Times New Roman" w:hAnsi="Times New Roman" w:cs="Times New Roman"/>
          <w:sz w:val="24"/>
          <w:szCs w:val="24"/>
        </w:rPr>
        <w:t>;</w:t>
      </w:r>
      <w:r w:rsidRPr="00015EC5">
        <w:rPr>
          <w:rFonts w:ascii="Times New Roman" w:hAnsi="Times New Roman" w:cs="Times New Roman"/>
          <w:sz w:val="24"/>
          <w:szCs w:val="24"/>
        </w:rPr>
        <w:t xml:space="preserve"> </w:t>
      </w:r>
      <w:r w:rsidR="00593F5B" w:rsidRPr="00015EC5">
        <w:rPr>
          <w:rFonts w:ascii="Times New Roman" w:hAnsi="Times New Roman" w:cs="Times New Roman"/>
          <w:sz w:val="24"/>
          <w:szCs w:val="24"/>
        </w:rPr>
        <w:t>w</w:t>
      </w:r>
      <w:r w:rsidRPr="00015EC5">
        <w:rPr>
          <w:rFonts w:ascii="Times New Roman" w:hAnsi="Times New Roman" w:cs="Times New Roman"/>
          <w:sz w:val="24"/>
          <w:szCs w:val="24"/>
        </w:rPr>
        <w:t>hile the second requires a ‘descriptive theory of stakeholder salience’</w:t>
      </w:r>
      <w:r w:rsidR="00593F5B" w:rsidRPr="00015EC5">
        <w:rPr>
          <w:rFonts w:ascii="Times New Roman" w:hAnsi="Times New Roman" w:cs="Times New Roman"/>
          <w:sz w:val="24"/>
          <w:szCs w:val="24"/>
        </w:rPr>
        <w:t>,</w:t>
      </w:r>
      <w:r w:rsidRPr="00015EC5">
        <w:rPr>
          <w:rFonts w:ascii="Times New Roman" w:hAnsi="Times New Roman" w:cs="Times New Roman"/>
          <w:sz w:val="24"/>
          <w:szCs w:val="24"/>
        </w:rPr>
        <w:t xml:space="preserve"> which explains what conditions are in place when managers consider certain people or entities as stakeholders (853). They argue that once</w:t>
      </w:r>
      <w:r w:rsidR="00D76E12" w:rsidRPr="00015EC5">
        <w:rPr>
          <w:rFonts w:ascii="Times New Roman" w:hAnsi="Times New Roman" w:cs="Times New Roman"/>
          <w:sz w:val="24"/>
          <w:szCs w:val="24"/>
        </w:rPr>
        <w:t xml:space="preserve"> stakeholders are identified, organizations determine ‘who or what really counts’ and rank competing stakeholder claims. Stakeholders who are perceived to have power, legitimacy and urgency are deemed the most salient and their claims are likely to </w:t>
      </w:r>
      <w:r w:rsidR="00D76E12" w:rsidRPr="00015EC5">
        <w:rPr>
          <w:rFonts w:ascii="Times New Roman" w:hAnsi="Times New Roman" w:cs="Times New Roman"/>
          <w:sz w:val="24"/>
          <w:szCs w:val="24"/>
        </w:rPr>
        <w:lastRenderedPageBreak/>
        <w:t xml:space="preserve">be prioritized. Power, it is suggested, reflects the extent to which a stakeholder has or can gain access to coercive, utilitarian or normative means to impose its will on an organization. For stakeholders to have legitimate claims, such entitlements must be consistent with social norms and expectations (e.g. through a contractual or moral connection with the organization, or by bearing some risk as a result of an organization’s activities). Urgency represents the degree to which stakeholder claims justify immediate attention based on either the time-sensitivity or criticality of the claim. The organization would be expected to prioritize the needs of stakeholders who are perceived to possess all three attributes (‘definitive stakeholders’, 878). The perceived salience of other stakeholders would be less, due to them demonstrating fewer attributes; for example, ‘dependent stakeholders’ (877) might have legitimate claims but need the power of others to pursue them, and ‘discretionary stakeholders’ (875) may have legitimacy but no power to compel an organization’s attention (but which may be given at its discretion). Stakeholders’ salience, that is, the degree to which their influence(s) affect organizational activities, determine the hierarchical structure, with definitive stakeholders being given immediate priority. </w:t>
      </w:r>
    </w:p>
    <w:p w14:paraId="32C1855C" w14:textId="78F983B7" w:rsidR="008D2EEA" w:rsidRPr="00015EC5" w:rsidRDefault="00D76E12" w:rsidP="00015EC5">
      <w:pPr>
        <w:spacing w:after="0" w:line="360" w:lineRule="auto"/>
        <w:ind w:firstLine="432"/>
        <w:jc w:val="both"/>
        <w:rPr>
          <w:rFonts w:ascii="Times New Roman" w:hAnsi="Times New Roman" w:cs="Times New Roman"/>
          <w:iCs/>
          <w:sz w:val="24"/>
          <w:szCs w:val="24"/>
        </w:rPr>
      </w:pPr>
      <w:r w:rsidRPr="00015EC5">
        <w:rPr>
          <w:rFonts w:ascii="Times New Roman" w:hAnsi="Times New Roman" w:cs="Times New Roman"/>
          <w:sz w:val="24"/>
          <w:szCs w:val="24"/>
          <w:lang w:val="en"/>
        </w:rPr>
        <w:t xml:space="preserve">In exploring the outworking of stakeholder theory, Donaldson and Preston (1995) describe two distinct motivations (instrumental and normative) on why organizations do or do not take account of stakeholder needs in their decision making. </w:t>
      </w:r>
      <w:r w:rsidRPr="00015EC5">
        <w:rPr>
          <w:rFonts w:ascii="Times New Roman" w:hAnsi="Times New Roman" w:cs="Times New Roman"/>
          <w:sz w:val="24"/>
          <w:szCs w:val="24"/>
        </w:rPr>
        <w:t xml:space="preserve">Consistent with Mitchell, </w:t>
      </w:r>
      <w:proofErr w:type="spellStart"/>
      <w:r w:rsidRPr="00015EC5">
        <w:rPr>
          <w:rFonts w:ascii="Times New Roman" w:hAnsi="Times New Roman" w:cs="Times New Roman"/>
          <w:sz w:val="24"/>
          <w:szCs w:val="24"/>
        </w:rPr>
        <w:t>Agle</w:t>
      </w:r>
      <w:proofErr w:type="spellEnd"/>
      <w:r w:rsidRPr="00015EC5">
        <w:rPr>
          <w:rFonts w:ascii="Times New Roman" w:hAnsi="Times New Roman" w:cs="Times New Roman"/>
          <w:sz w:val="24"/>
          <w:szCs w:val="24"/>
        </w:rPr>
        <w:t xml:space="preserve">, and Wood (1997), their instrumental view is </w:t>
      </w:r>
      <w:r w:rsidRPr="00015EC5">
        <w:rPr>
          <w:rFonts w:ascii="Times New Roman" w:hAnsi="Times New Roman" w:cs="Times New Roman"/>
          <w:iCs/>
          <w:sz w:val="24"/>
          <w:szCs w:val="24"/>
        </w:rPr>
        <w:t>considered to typify the approach adopted by most corporate organizations, which is that businesses prioritize the interests of those who hold the greatest economic power and influence to ensure their own success and survival</w:t>
      </w:r>
      <w:r w:rsidR="0038784E" w:rsidRPr="00015EC5">
        <w:rPr>
          <w:rFonts w:ascii="Times New Roman" w:hAnsi="Times New Roman" w:cs="Times New Roman"/>
          <w:iCs/>
          <w:sz w:val="24"/>
          <w:szCs w:val="24"/>
        </w:rPr>
        <w:t xml:space="preserve"> (consistent with Freeman’s (2010) primary stakeholders); </w:t>
      </w:r>
      <w:r w:rsidRPr="00015EC5">
        <w:rPr>
          <w:rFonts w:ascii="Times New Roman" w:hAnsi="Times New Roman" w:cs="Times New Roman"/>
          <w:iCs/>
          <w:sz w:val="24"/>
          <w:szCs w:val="24"/>
        </w:rPr>
        <w:t xml:space="preserve">thus suggesting competing stakeholders. In comparison, the normative perspective contends </w:t>
      </w:r>
      <w:r w:rsidRPr="00015EC5">
        <w:rPr>
          <w:rFonts w:ascii="Times New Roman" w:hAnsi="Times New Roman" w:cs="Times New Roman"/>
          <w:sz w:val="24"/>
          <w:szCs w:val="24"/>
        </w:rPr>
        <w:t xml:space="preserve">that individuals have a moral duty to embrace each other’s needs and opinions. In an organizational context, </w:t>
      </w:r>
      <w:r w:rsidRPr="00015EC5">
        <w:rPr>
          <w:rFonts w:ascii="Times New Roman" w:hAnsi="Times New Roman" w:cs="Times New Roman"/>
          <w:iCs/>
          <w:sz w:val="24"/>
          <w:szCs w:val="24"/>
        </w:rPr>
        <w:t xml:space="preserve">all stakeholders are therefore </w:t>
      </w:r>
      <w:r w:rsidR="005A1DA8" w:rsidRPr="00015EC5">
        <w:rPr>
          <w:rFonts w:ascii="Times New Roman" w:hAnsi="Times New Roman" w:cs="Times New Roman"/>
          <w:iCs/>
          <w:sz w:val="24"/>
          <w:szCs w:val="24"/>
        </w:rPr>
        <w:t>treated</w:t>
      </w:r>
      <w:r w:rsidRPr="00015EC5">
        <w:rPr>
          <w:rFonts w:ascii="Times New Roman" w:hAnsi="Times New Roman" w:cs="Times New Roman"/>
          <w:iCs/>
          <w:sz w:val="24"/>
          <w:szCs w:val="24"/>
        </w:rPr>
        <w:t xml:space="preserve"> equitably and participation is promoted sincerely</w:t>
      </w:r>
      <w:r w:rsidRPr="00015EC5">
        <w:rPr>
          <w:rFonts w:ascii="Times New Roman" w:hAnsi="Times New Roman" w:cs="Times New Roman"/>
          <w:sz w:val="24"/>
          <w:szCs w:val="24"/>
        </w:rPr>
        <w:t xml:space="preserve">. </w:t>
      </w:r>
      <w:r w:rsidRPr="00015EC5">
        <w:rPr>
          <w:rFonts w:ascii="Times New Roman" w:hAnsi="Times New Roman" w:cs="Times New Roman"/>
          <w:iCs/>
          <w:sz w:val="24"/>
          <w:szCs w:val="24"/>
        </w:rPr>
        <w:t xml:space="preserve">Accordingly, in contrast with </w:t>
      </w:r>
      <w:r w:rsidRPr="00015EC5">
        <w:rPr>
          <w:rFonts w:ascii="Times New Roman" w:hAnsi="Times New Roman" w:cs="Times New Roman"/>
          <w:sz w:val="24"/>
          <w:szCs w:val="24"/>
        </w:rPr>
        <w:t xml:space="preserve">Mitchell, </w:t>
      </w:r>
      <w:proofErr w:type="spellStart"/>
      <w:r w:rsidRPr="00015EC5">
        <w:rPr>
          <w:rFonts w:ascii="Times New Roman" w:hAnsi="Times New Roman" w:cs="Times New Roman"/>
          <w:sz w:val="24"/>
          <w:szCs w:val="24"/>
        </w:rPr>
        <w:t>Agle</w:t>
      </w:r>
      <w:proofErr w:type="spellEnd"/>
      <w:r w:rsidRPr="00015EC5">
        <w:rPr>
          <w:rFonts w:ascii="Times New Roman" w:hAnsi="Times New Roman" w:cs="Times New Roman"/>
          <w:sz w:val="24"/>
          <w:szCs w:val="24"/>
        </w:rPr>
        <w:t xml:space="preserve">, and Wood (1997), </w:t>
      </w:r>
      <w:r w:rsidRPr="00015EC5">
        <w:rPr>
          <w:rFonts w:ascii="Times New Roman" w:hAnsi="Times New Roman" w:cs="Times New Roman"/>
          <w:iCs/>
          <w:sz w:val="24"/>
          <w:szCs w:val="24"/>
        </w:rPr>
        <w:t xml:space="preserve">power differentials between </w:t>
      </w:r>
      <w:proofErr w:type="spellStart"/>
      <w:r w:rsidRPr="00015EC5">
        <w:rPr>
          <w:rFonts w:ascii="Times New Roman" w:hAnsi="Times New Roman" w:cs="Times New Roman"/>
          <w:iCs/>
          <w:sz w:val="24"/>
          <w:szCs w:val="24"/>
        </w:rPr>
        <w:t>accountees</w:t>
      </w:r>
      <w:proofErr w:type="spellEnd"/>
      <w:r w:rsidRPr="00015EC5">
        <w:rPr>
          <w:rFonts w:ascii="Times New Roman" w:hAnsi="Times New Roman" w:cs="Times New Roman"/>
          <w:iCs/>
          <w:sz w:val="24"/>
          <w:szCs w:val="24"/>
        </w:rPr>
        <w:t xml:space="preserve"> and </w:t>
      </w:r>
      <w:proofErr w:type="spellStart"/>
      <w:r w:rsidRPr="00015EC5">
        <w:rPr>
          <w:rFonts w:ascii="Times New Roman" w:hAnsi="Times New Roman" w:cs="Times New Roman"/>
          <w:iCs/>
          <w:sz w:val="24"/>
          <w:szCs w:val="24"/>
        </w:rPr>
        <w:t>accountors</w:t>
      </w:r>
      <w:proofErr w:type="spellEnd"/>
      <w:r w:rsidRPr="00015EC5">
        <w:rPr>
          <w:rFonts w:ascii="Times New Roman" w:hAnsi="Times New Roman" w:cs="Times New Roman"/>
          <w:iCs/>
          <w:sz w:val="24"/>
          <w:szCs w:val="24"/>
        </w:rPr>
        <w:t xml:space="preserve"> are deemed inconsequential and a partnering relationship is considered more appropriate than a controlling one often associated with a more business-related instrumental view (Co</w:t>
      </w:r>
      <w:r w:rsidR="00593F5B" w:rsidRPr="00015EC5">
        <w:rPr>
          <w:rFonts w:ascii="Times New Roman" w:hAnsi="Times New Roman" w:cs="Times New Roman"/>
          <w:iCs/>
          <w:sz w:val="24"/>
          <w:szCs w:val="24"/>
        </w:rPr>
        <w:t>r</w:t>
      </w:r>
      <w:r w:rsidRPr="00015EC5">
        <w:rPr>
          <w:rFonts w:ascii="Times New Roman" w:hAnsi="Times New Roman" w:cs="Times New Roman"/>
          <w:iCs/>
          <w:sz w:val="24"/>
          <w:szCs w:val="24"/>
        </w:rPr>
        <w:t>nforth 2003;</w:t>
      </w:r>
      <w:r w:rsidRPr="00015EC5">
        <w:rPr>
          <w:rFonts w:ascii="Times New Roman" w:hAnsi="Times New Roman" w:cs="Times New Roman"/>
          <w:sz w:val="24"/>
          <w:szCs w:val="24"/>
        </w:rPr>
        <w:t xml:space="preserve"> </w:t>
      </w:r>
      <w:proofErr w:type="spellStart"/>
      <w:r w:rsidRPr="00015EC5">
        <w:rPr>
          <w:rFonts w:ascii="Times New Roman" w:hAnsi="Times New Roman" w:cs="Times New Roman"/>
          <w:sz w:val="24"/>
          <w:szCs w:val="24"/>
        </w:rPr>
        <w:t>HoCPASC</w:t>
      </w:r>
      <w:proofErr w:type="spellEnd"/>
      <w:r w:rsidRPr="00015EC5">
        <w:rPr>
          <w:rFonts w:ascii="Times New Roman" w:hAnsi="Times New Roman" w:cs="Times New Roman"/>
          <w:sz w:val="24"/>
          <w:szCs w:val="24"/>
        </w:rPr>
        <w:t xml:space="preserve"> 2014</w:t>
      </w:r>
      <w:r w:rsidRPr="00015EC5">
        <w:rPr>
          <w:rFonts w:ascii="Times New Roman" w:hAnsi="Times New Roman" w:cs="Times New Roman"/>
          <w:iCs/>
          <w:sz w:val="24"/>
          <w:szCs w:val="24"/>
        </w:rPr>
        <w:t xml:space="preserve">). </w:t>
      </w:r>
      <w:r w:rsidR="008D2EEA" w:rsidRPr="00015EC5">
        <w:rPr>
          <w:rFonts w:ascii="Times New Roman" w:hAnsi="Times New Roman" w:cs="Times New Roman"/>
          <w:bCs/>
          <w:sz w:val="24"/>
          <w:szCs w:val="24"/>
        </w:rPr>
        <w:t>This kind of substantive commitment to all stakeholders might involve trading off the (economic) interests of one group against those of another.</w:t>
      </w:r>
      <w:r w:rsidR="008D2EEA" w:rsidRPr="00015EC5">
        <w:rPr>
          <w:rFonts w:ascii="Times New Roman" w:hAnsi="Times New Roman" w:cs="Times New Roman"/>
          <w:sz w:val="24"/>
          <w:szCs w:val="24"/>
        </w:rPr>
        <w:t> </w:t>
      </w:r>
      <w:r w:rsidR="008D2EEA" w:rsidRPr="00015EC5">
        <w:rPr>
          <w:rFonts w:ascii="Times New Roman" w:hAnsi="Times New Roman" w:cs="Times New Roman"/>
          <w:sz w:val="24"/>
          <w:szCs w:val="24"/>
          <w:shd w:val="clear" w:color="auto" w:fill="FFFFFF"/>
        </w:rPr>
        <w:t xml:space="preserve">Freeman (2010) suggests that both the owners (shareholders) and other stakeholders have a right to demand certain actions from management because they all have a vested stake in the business. </w:t>
      </w:r>
      <w:r w:rsidR="00593F5B" w:rsidRPr="00015EC5">
        <w:rPr>
          <w:rFonts w:ascii="Times New Roman" w:hAnsi="Times New Roman" w:cs="Times New Roman"/>
          <w:sz w:val="24"/>
          <w:szCs w:val="24"/>
          <w:shd w:val="clear" w:color="auto" w:fill="FFFFFF"/>
        </w:rPr>
        <w:t>However,</w:t>
      </w:r>
      <w:r w:rsidR="008D2EEA" w:rsidRPr="00015EC5">
        <w:rPr>
          <w:rFonts w:ascii="Times New Roman" w:hAnsi="Times New Roman" w:cs="Times New Roman"/>
          <w:sz w:val="24"/>
          <w:szCs w:val="24"/>
          <w:shd w:val="clear" w:color="auto" w:fill="FFFFFF"/>
        </w:rPr>
        <w:t xml:space="preserve"> saying this makes everyone equal when, according to Mitchell, </w:t>
      </w:r>
      <w:proofErr w:type="spellStart"/>
      <w:r w:rsidR="008D2EEA" w:rsidRPr="00015EC5">
        <w:rPr>
          <w:rFonts w:ascii="Times New Roman" w:hAnsi="Times New Roman" w:cs="Times New Roman"/>
          <w:sz w:val="24"/>
          <w:szCs w:val="24"/>
          <w:shd w:val="clear" w:color="auto" w:fill="FFFFFF"/>
        </w:rPr>
        <w:t>Agle</w:t>
      </w:r>
      <w:proofErr w:type="spellEnd"/>
      <w:r w:rsidR="008D2EEA" w:rsidRPr="00015EC5">
        <w:rPr>
          <w:rFonts w:ascii="Times New Roman" w:hAnsi="Times New Roman" w:cs="Times New Roman"/>
          <w:sz w:val="24"/>
          <w:szCs w:val="24"/>
          <w:shd w:val="clear" w:color="auto" w:fill="FFFFFF"/>
        </w:rPr>
        <w:t xml:space="preserve"> and Wood (1997), they are really not.</w:t>
      </w:r>
    </w:p>
    <w:p w14:paraId="5DF415DC" w14:textId="77777777" w:rsidR="00D76E12" w:rsidRPr="00015EC5" w:rsidRDefault="00D76E12" w:rsidP="00015EC5">
      <w:pPr>
        <w:pStyle w:val="BodyText"/>
        <w:spacing w:after="0" w:line="360" w:lineRule="auto"/>
        <w:ind w:firstLine="426"/>
        <w:jc w:val="both"/>
        <w:rPr>
          <w:rFonts w:ascii="Times New Roman" w:hAnsi="Times New Roman" w:cs="Times New Roman"/>
          <w:sz w:val="24"/>
          <w:szCs w:val="24"/>
        </w:rPr>
      </w:pPr>
      <w:r w:rsidRPr="00015EC5">
        <w:rPr>
          <w:rFonts w:ascii="Times New Roman" w:hAnsi="Times New Roman" w:cs="Times New Roman"/>
          <w:sz w:val="24"/>
          <w:szCs w:val="24"/>
        </w:rPr>
        <w:lastRenderedPageBreak/>
        <w:t>Fry (1995) and Gregory (1995) also distinguish between the instrumental view’s externally-focussed notion of accountability and an internal dimension motivated by a felt responsibility. For NDPBs, this latter form of accountability should perhaps be an intrinsic feature of how they operate in fulfilling their responsibilities and ensuring that public trust is served. However, balancing external accountability (e.g. to a government department) and felt responsibility (e.g. to service users) may create tension (Fry 1995). As organizations seeking an equitable society, NDPBs might be expected to adopt the normative model (</w:t>
      </w:r>
      <w:r w:rsidRPr="00015EC5">
        <w:rPr>
          <w:rFonts w:ascii="Times New Roman" w:hAnsi="Times New Roman" w:cs="Times New Roman"/>
          <w:sz w:val="24"/>
          <w:szCs w:val="24"/>
          <w:lang w:val="en"/>
        </w:rPr>
        <w:t>Donaldson and Preston 1995)</w:t>
      </w:r>
      <w:r w:rsidRPr="00015EC5">
        <w:rPr>
          <w:rFonts w:ascii="Times New Roman" w:hAnsi="Times New Roman" w:cs="Times New Roman"/>
          <w:sz w:val="24"/>
          <w:szCs w:val="24"/>
        </w:rPr>
        <w:t>; therefore, accountability would be an intrinsic feature of their operations, with</w:t>
      </w:r>
      <w:r w:rsidRPr="00015EC5">
        <w:rPr>
          <w:rFonts w:ascii="Times New Roman" w:hAnsi="Times New Roman" w:cs="Times New Roman"/>
          <w:iCs/>
          <w:sz w:val="24"/>
          <w:szCs w:val="24"/>
        </w:rPr>
        <w:t xml:space="preserve"> its outworking reflecting the characteristics of the normative perspective (</w:t>
      </w:r>
      <w:proofErr w:type="spellStart"/>
      <w:r w:rsidRPr="00015EC5">
        <w:rPr>
          <w:rFonts w:ascii="Times New Roman" w:hAnsi="Times New Roman" w:cs="Times New Roman"/>
          <w:iCs/>
          <w:sz w:val="24"/>
          <w:szCs w:val="24"/>
        </w:rPr>
        <w:t>Ebrahim</w:t>
      </w:r>
      <w:proofErr w:type="spellEnd"/>
      <w:r w:rsidRPr="00015EC5">
        <w:rPr>
          <w:rFonts w:ascii="Times New Roman" w:hAnsi="Times New Roman" w:cs="Times New Roman"/>
          <w:iCs/>
          <w:sz w:val="24"/>
          <w:szCs w:val="24"/>
        </w:rPr>
        <w:t xml:space="preserve"> 2003a). </w:t>
      </w:r>
      <w:r w:rsidRPr="00015EC5">
        <w:rPr>
          <w:rFonts w:ascii="Times New Roman" w:hAnsi="Times New Roman" w:cs="Times New Roman"/>
          <w:sz w:val="24"/>
          <w:szCs w:val="24"/>
        </w:rPr>
        <w:t>To the extent that NDPB practices are aligned with this model, their actions and discourse in communications (e.g. annual reports) will be characterized by openness and transparency in order to meet the (information) needs of all stakeholders equitably. In contrast, if an organization’s actions and discourse reflect the instrumental model (</w:t>
      </w:r>
      <w:r w:rsidRPr="00015EC5">
        <w:rPr>
          <w:rFonts w:ascii="Times New Roman" w:hAnsi="Times New Roman" w:cs="Times New Roman"/>
          <w:sz w:val="24"/>
          <w:szCs w:val="24"/>
          <w:lang w:val="en"/>
        </w:rPr>
        <w:t>Donaldson and Preston 1995)</w:t>
      </w:r>
      <w:r w:rsidRPr="00015EC5">
        <w:rPr>
          <w:rFonts w:ascii="Times New Roman" w:hAnsi="Times New Roman" w:cs="Times New Roman"/>
          <w:sz w:val="24"/>
          <w:szCs w:val="24"/>
        </w:rPr>
        <w:t>, they</w:t>
      </w:r>
      <w:r w:rsidRPr="00015EC5">
        <w:rPr>
          <w:rFonts w:ascii="Times New Roman" w:hAnsi="Times New Roman" w:cs="Times New Roman"/>
          <w:iCs/>
          <w:sz w:val="24"/>
          <w:szCs w:val="24"/>
        </w:rPr>
        <w:t xml:space="preserve"> will be utilized to convey that its practices align with stakeholder expectations and values, without this necessarily being the case. Accordingly, the accountability system may be dominated by self-promotion and techniques of i</w:t>
      </w:r>
      <w:r w:rsidRPr="00015EC5">
        <w:rPr>
          <w:rFonts w:ascii="Times New Roman" w:hAnsi="Times New Roman" w:cs="Times New Roman"/>
          <w:sz w:val="24"/>
          <w:szCs w:val="24"/>
        </w:rPr>
        <w:t xml:space="preserve">mpression management (Chen </w:t>
      </w:r>
      <w:r w:rsidRPr="00015EC5">
        <w:rPr>
          <w:rFonts w:ascii="Times New Roman" w:hAnsi="Times New Roman" w:cs="Times New Roman"/>
          <w:iCs/>
          <w:sz w:val="24"/>
          <w:szCs w:val="24"/>
        </w:rPr>
        <w:t>and Roberts 2010;</w:t>
      </w:r>
      <w:r w:rsidRPr="00015EC5">
        <w:rPr>
          <w:rFonts w:ascii="Times New Roman" w:hAnsi="Times New Roman" w:cs="Times New Roman"/>
          <w:b/>
          <w:sz w:val="24"/>
          <w:szCs w:val="24"/>
        </w:rPr>
        <w:t xml:space="preserve"> </w:t>
      </w:r>
      <w:proofErr w:type="spellStart"/>
      <w:r w:rsidRPr="00015EC5">
        <w:rPr>
          <w:rFonts w:ascii="Times New Roman" w:hAnsi="Times New Roman" w:cs="Times New Roman"/>
          <w:iCs/>
          <w:sz w:val="24"/>
          <w:szCs w:val="24"/>
        </w:rPr>
        <w:t>Beelitz</w:t>
      </w:r>
      <w:proofErr w:type="spellEnd"/>
      <w:r w:rsidRPr="00015EC5">
        <w:rPr>
          <w:rFonts w:ascii="Times New Roman" w:hAnsi="Times New Roman" w:cs="Times New Roman"/>
          <w:iCs/>
          <w:sz w:val="24"/>
          <w:szCs w:val="24"/>
        </w:rPr>
        <w:t xml:space="preserve"> and </w:t>
      </w:r>
      <w:proofErr w:type="spellStart"/>
      <w:r w:rsidRPr="00015EC5">
        <w:rPr>
          <w:rFonts w:ascii="Times New Roman" w:hAnsi="Times New Roman" w:cs="Times New Roman"/>
          <w:iCs/>
          <w:sz w:val="24"/>
          <w:szCs w:val="24"/>
        </w:rPr>
        <w:t>Merkl</w:t>
      </w:r>
      <w:proofErr w:type="spellEnd"/>
      <w:r w:rsidRPr="00015EC5">
        <w:rPr>
          <w:rFonts w:ascii="Times New Roman" w:hAnsi="Times New Roman" w:cs="Times New Roman"/>
          <w:iCs/>
          <w:sz w:val="24"/>
          <w:szCs w:val="24"/>
        </w:rPr>
        <w:t>-Davies 2012)</w:t>
      </w:r>
      <w:r w:rsidRPr="00015EC5">
        <w:rPr>
          <w:rFonts w:ascii="Times New Roman" w:hAnsi="Times New Roman" w:cs="Times New Roman"/>
          <w:sz w:val="24"/>
          <w:szCs w:val="24"/>
        </w:rPr>
        <w:t xml:space="preserve">. </w:t>
      </w:r>
    </w:p>
    <w:p w14:paraId="77F78CFC" w14:textId="57F5ED3F" w:rsidR="00D76E12" w:rsidRPr="00015EC5" w:rsidRDefault="00D76E12" w:rsidP="00015EC5">
      <w:pPr>
        <w:spacing w:after="0" w:line="360" w:lineRule="auto"/>
        <w:ind w:firstLine="426"/>
        <w:jc w:val="both"/>
        <w:rPr>
          <w:rFonts w:ascii="Times New Roman" w:hAnsi="Times New Roman" w:cs="Times New Roman"/>
          <w:sz w:val="24"/>
          <w:szCs w:val="24"/>
        </w:rPr>
      </w:pPr>
      <w:r w:rsidRPr="00015EC5">
        <w:rPr>
          <w:rFonts w:ascii="Times New Roman" w:hAnsi="Times New Roman" w:cs="Times New Roman"/>
          <w:sz w:val="24"/>
          <w:szCs w:val="24"/>
        </w:rPr>
        <w:t xml:space="preserve">Roberts (1991, 385), who observes that ‘different forms of accountability produce very different senses of our self and our relation to others’, presents two contrasting forms of accountability: </w:t>
      </w:r>
      <w:r w:rsidRPr="00015EC5">
        <w:rPr>
          <w:rFonts w:ascii="Times New Roman" w:hAnsi="Times New Roman" w:cs="Times New Roman"/>
          <w:iCs/>
          <w:sz w:val="24"/>
          <w:szCs w:val="24"/>
        </w:rPr>
        <w:t xml:space="preserve">hierarchical </w:t>
      </w:r>
      <w:r w:rsidRPr="00015EC5">
        <w:rPr>
          <w:rFonts w:ascii="Times New Roman" w:hAnsi="Times New Roman" w:cs="Times New Roman"/>
          <w:sz w:val="24"/>
          <w:szCs w:val="24"/>
        </w:rPr>
        <w:t xml:space="preserve">and </w:t>
      </w:r>
      <w:r w:rsidRPr="00015EC5">
        <w:rPr>
          <w:rFonts w:ascii="Times New Roman" w:hAnsi="Times New Roman" w:cs="Times New Roman"/>
          <w:iCs/>
          <w:sz w:val="24"/>
          <w:szCs w:val="24"/>
        </w:rPr>
        <w:t>socialising</w:t>
      </w:r>
      <w:r w:rsidRPr="00015EC5">
        <w:rPr>
          <w:rFonts w:ascii="Times New Roman" w:hAnsi="Times New Roman" w:cs="Times New Roman"/>
          <w:sz w:val="24"/>
          <w:szCs w:val="24"/>
        </w:rPr>
        <w:t xml:space="preserve">. Based upon Foucault’s (1979) notion of </w:t>
      </w:r>
      <w:r w:rsidRPr="00015EC5">
        <w:rPr>
          <w:rFonts w:ascii="Times New Roman" w:hAnsi="Times New Roman" w:cs="Times New Roman"/>
          <w:iCs/>
          <w:sz w:val="24"/>
          <w:szCs w:val="24"/>
        </w:rPr>
        <w:t>disciplinary power</w:t>
      </w:r>
      <w:r w:rsidRPr="00015EC5">
        <w:rPr>
          <w:rFonts w:ascii="Times New Roman" w:hAnsi="Times New Roman" w:cs="Times New Roman"/>
          <w:sz w:val="24"/>
          <w:szCs w:val="24"/>
        </w:rPr>
        <w:t xml:space="preserve"> (i.e. the </w:t>
      </w:r>
      <w:r w:rsidRPr="00015EC5">
        <w:rPr>
          <w:rFonts w:ascii="Times New Roman" w:hAnsi="Times New Roman" w:cs="Times New Roman"/>
          <w:bCs/>
          <w:sz w:val="24"/>
          <w:szCs w:val="24"/>
        </w:rPr>
        <w:t>power exercised by those who represent the sovereign authority in everyday transactions by their own or the sovereign’s rules),</w:t>
      </w:r>
      <w:r w:rsidRPr="00015EC5">
        <w:rPr>
          <w:rFonts w:ascii="Times New Roman" w:hAnsi="Times New Roman" w:cs="Times New Roman"/>
          <w:sz w:val="24"/>
          <w:szCs w:val="24"/>
        </w:rPr>
        <w:t xml:space="preserve"> Roberts defines hierarchical forms as those that create in those held accountable a mental absorption with the self and with how one is seen; this is typically through institutionalized and invisible channels of disciplinary power. In contrast, Roberts claims that </w:t>
      </w:r>
      <w:r w:rsidRPr="00015EC5">
        <w:rPr>
          <w:rFonts w:ascii="Times New Roman" w:hAnsi="Times New Roman" w:cs="Times New Roman"/>
          <w:iCs/>
          <w:sz w:val="24"/>
          <w:szCs w:val="24"/>
        </w:rPr>
        <w:t>socialising</w:t>
      </w:r>
      <w:r w:rsidRPr="00015EC5">
        <w:rPr>
          <w:rFonts w:ascii="Times New Roman" w:hAnsi="Times New Roman" w:cs="Times New Roman"/>
          <w:sz w:val="24"/>
          <w:szCs w:val="24"/>
        </w:rPr>
        <w:t xml:space="preserve"> </w:t>
      </w:r>
      <w:r w:rsidRPr="00015EC5">
        <w:rPr>
          <w:rFonts w:ascii="Times New Roman" w:hAnsi="Times New Roman" w:cs="Times New Roman"/>
          <w:iCs/>
          <w:sz w:val="24"/>
          <w:szCs w:val="24"/>
        </w:rPr>
        <w:t xml:space="preserve">forms </w:t>
      </w:r>
      <w:r w:rsidRPr="00015EC5">
        <w:rPr>
          <w:rFonts w:ascii="Times New Roman" w:hAnsi="Times New Roman" w:cs="Times New Roman"/>
          <w:sz w:val="24"/>
          <w:szCs w:val="24"/>
        </w:rPr>
        <w:t xml:space="preserve">can produce a more rationally-grounded consensus. While these </w:t>
      </w:r>
      <w:r w:rsidR="00593F5B" w:rsidRPr="00015EC5">
        <w:rPr>
          <w:rFonts w:ascii="Times New Roman" w:hAnsi="Times New Roman" w:cs="Times New Roman"/>
          <w:sz w:val="24"/>
          <w:szCs w:val="24"/>
        </w:rPr>
        <w:t xml:space="preserve">forms </w:t>
      </w:r>
      <w:r w:rsidRPr="00015EC5">
        <w:rPr>
          <w:rFonts w:ascii="Times New Roman" w:hAnsi="Times New Roman" w:cs="Times New Roman"/>
          <w:sz w:val="24"/>
          <w:szCs w:val="24"/>
        </w:rPr>
        <w:t xml:space="preserve">also aim at confirming the self, they acknowledge the interdependence of the self and the other and are characterized by a relative absence of power inequalities. In contrast to hierarchical forms, socialising forms promote dialogue, engagement and reciprocal recognition, resulting in acknowledgement of the other. </w:t>
      </w:r>
    </w:p>
    <w:p w14:paraId="6EE8873F" w14:textId="77777777" w:rsidR="00D76E12" w:rsidRPr="00015EC5" w:rsidRDefault="00D76E12" w:rsidP="00015EC5">
      <w:pPr>
        <w:pStyle w:val="BodyText"/>
        <w:spacing w:after="0" w:line="360" w:lineRule="auto"/>
        <w:ind w:firstLine="426"/>
        <w:jc w:val="both"/>
        <w:rPr>
          <w:rFonts w:ascii="Times New Roman" w:hAnsi="Times New Roman" w:cs="Times New Roman"/>
          <w:sz w:val="24"/>
          <w:szCs w:val="24"/>
        </w:rPr>
      </w:pPr>
      <w:r w:rsidRPr="00015EC5">
        <w:rPr>
          <w:rFonts w:ascii="Times New Roman" w:hAnsi="Times New Roman" w:cs="Times New Roman"/>
          <w:iCs/>
          <w:sz w:val="24"/>
          <w:szCs w:val="24"/>
        </w:rPr>
        <w:t>A</w:t>
      </w:r>
      <w:r w:rsidRPr="00015EC5">
        <w:rPr>
          <w:rFonts w:ascii="Times New Roman" w:hAnsi="Times New Roman" w:cs="Times New Roman"/>
          <w:sz w:val="24"/>
          <w:szCs w:val="24"/>
        </w:rPr>
        <w:t xml:space="preserve">lbeit using different terms, Laughlin (1996) categorizes accountability in a similar manner to </w:t>
      </w:r>
      <w:r w:rsidRPr="00015EC5">
        <w:rPr>
          <w:rFonts w:ascii="Times New Roman" w:hAnsi="Times New Roman" w:cs="Times New Roman"/>
          <w:sz w:val="24"/>
          <w:szCs w:val="24"/>
          <w:lang w:val="en"/>
        </w:rPr>
        <w:t xml:space="preserve">Donaldson and Preston (1995) and </w:t>
      </w:r>
      <w:r w:rsidRPr="00015EC5">
        <w:rPr>
          <w:rFonts w:ascii="Times New Roman" w:hAnsi="Times New Roman" w:cs="Times New Roman"/>
          <w:sz w:val="24"/>
          <w:szCs w:val="24"/>
        </w:rPr>
        <w:t>Roberts (1991). His c</w:t>
      </w:r>
      <w:r w:rsidRPr="00015EC5">
        <w:rPr>
          <w:rFonts w:ascii="Times New Roman" w:hAnsi="Times New Roman" w:cs="Times New Roman"/>
          <w:iCs/>
          <w:sz w:val="24"/>
          <w:szCs w:val="24"/>
        </w:rPr>
        <w:t>ontractual</w:t>
      </w:r>
      <w:r w:rsidRPr="00015EC5">
        <w:rPr>
          <w:rFonts w:ascii="Times New Roman" w:hAnsi="Times New Roman" w:cs="Times New Roman"/>
          <w:sz w:val="24"/>
          <w:szCs w:val="24"/>
        </w:rPr>
        <w:t xml:space="preserve"> </w:t>
      </w:r>
      <w:r w:rsidRPr="00015EC5">
        <w:rPr>
          <w:rFonts w:ascii="Times New Roman" w:hAnsi="Times New Roman" w:cs="Times New Roman"/>
          <w:iCs/>
          <w:sz w:val="24"/>
          <w:szCs w:val="24"/>
        </w:rPr>
        <w:t>accountability</w:t>
      </w:r>
      <w:r w:rsidRPr="00015EC5">
        <w:rPr>
          <w:rFonts w:ascii="Times New Roman" w:hAnsi="Times New Roman" w:cs="Times New Roman"/>
          <w:sz w:val="24"/>
          <w:szCs w:val="24"/>
        </w:rPr>
        <w:t xml:space="preserve"> equates to instrumental/hierarchical accountability, while </w:t>
      </w:r>
      <w:r w:rsidRPr="00015EC5">
        <w:rPr>
          <w:rFonts w:ascii="Times New Roman" w:hAnsi="Times New Roman" w:cs="Times New Roman"/>
          <w:iCs/>
          <w:sz w:val="24"/>
          <w:szCs w:val="24"/>
        </w:rPr>
        <w:t>communal accountability</w:t>
      </w:r>
      <w:r w:rsidRPr="00015EC5">
        <w:rPr>
          <w:rFonts w:ascii="Times New Roman" w:hAnsi="Times New Roman" w:cs="Times New Roman"/>
          <w:sz w:val="24"/>
          <w:szCs w:val="24"/>
        </w:rPr>
        <w:t xml:space="preserve"> is aligned with normative/socialising forms. Laughlin (1996) argues that contractual accountability exists in formal relationships where actions, including information demand and supply, are </w:t>
      </w:r>
      <w:r w:rsidRPr="00015EC5">
        <w:rPr>
          <w:rFonts w:ascii="Times New Roman" w:hAnsi="Times New Roman" w:cs="Times New Roman"/>
          <w:sz w:val="24"/>
          <w:szCs w:val="24"/>
        </w:rPr>
        <w:lastRenderedPageBreak/>
        <w:t>clearly defined in enforceable terms, often through the judicial process (</w:t>
      </w:r>
      <w:proofErr w:type="spellStart"/>
      <w:r w:rsidRPr="00015EC5">
        <w:rPr>
          <w:rFonts w:ascii="Times New Roman" w:hAnsi="Times New Roman" w:cs="Times New Roman"/>
          <w:sz w:val="24"/>
          <w:szCs w:val="24"/>
        </w:rPr>
        <w:t>Dubnick</w:t>
      </w:r>
      <w:proofErr w:type="spellEnd"/>
      <w:r w:rsidRPr="00015EC5">
        <w:rPr>
          <w:rFonts w:ascii="Times New Roman" w:hAnsi="Times New Roman" w:cs="Times New Roman"/>
          <w:sz w:val="24"/>
          <w:szCs w:val="24"/>
        </w:rPr>
        <w:t xml:space="preserve"> 1998). In contrast, communal accountability occurs in less-formal relationships, where expectations over conduct and information demand and supply are less-clearly defined. This involves meeting stakeholders’ needs through consultation and seeking their involvement in the decision-making process. Laughlin (1996) attributes the different forms of accountability to the </w:t>
      </w:r>
      <w:r w:rsidRPr="00015EC5">
        <w:rPr>
          <w:rFonts w:ascii="Times New Roman" w:hAnsi="Times New Roman" w:cs="Times New Roman"/>
          <w:iCs/>
          <w:sz w:val="24"/>
          <w:szCs w:val="24"/>
        </w:rPr>
        <w:t>potential for trust</w:t>
      </w:r>
      <w:r w:rsidRPr="00015EC5">
        <w:rPr>
          <w:rFonts w:ascii="Times New Roman" w:hAnsi="Times New Roman" w:cs="Times New Roman"/>
          <w:sz w:val="24"/>
          <w:szCs w:val="24"/>
        </w:rPr>
        <w:t xml:space="preserve"> and </w:t>
      </w:r>
      <w:r w:rsidRPr="00015EC5">
        <w:rPr>
          <w:rFonts w:ascii="Times New Roman" w:hAnsi="Times New Roman" w:cs="Times New Roman"/>
          <w:iCs/>
          <w:sz w:val="24"/>
          <w:szCs w:val="24"/>
        </w:rPr>
        <w:t>value conflict</w:t>
      </w:r>
      <w:r w:rsidRPr="00015EC5">
        <w:rPr>
          <w:rFonts w:ascii="Times New Roman" w:hAnsi="Times New Roman" w:cs="Times New Roman"/>
          <w:sz w:val="24"/>
          <w:szCs w:val="24"/>
        </w:rPr>
        <w:t xml:space="preserve"> between principals and agents. He contends that formal mechanisms are less important where there is a high inter-party trust, as it is assumed that the agent will fulfil the principal’s expectations. In contrast, if trust is low, the principal is likely to place greater reliance on formal and contractual mechanisms to exert control over the agent’s behaviour. Similarly, with respect to value conflict, if the principals’ and agents’ values are aligned, communal accountability is more likely; if this is not the case, the principal may employ more contractual forms of accountability. </w:t>
      </w:r>
    </w:p>
    <w:p w14:paraId="699964B6" w14:textId="77777777" w:rsidR="00D76E12" w:rsidRPr="00015EC5" w:rsidRDefault="00D76E12" w:rsidP="00015EC5">
      <w:pPr>
        <w:spacing w:after="0" w:line="360" w:lineRule="auto"/>
        <w:jc w:val="both"/>
        <w:rPr>
          <w:rFonts w:ascii="Times New Roman" w:hAnsi="Times New Roman" w:cs="Times New Roman"/>
          <w:sz w:val="24"/>
          <w:szCs w:val="24"/>
        </w:rPr>
      </w:pPr>
    </w:p>
    <w:p w14:paraId="3CB97874" w14:textId="77777777" w:rsidR="00D76E12" w:rsidRPr="00015EC5" w:rsidRDefault="00D76E12" w:rsidP="00015EC5">
      <w:pPr>
        <w:spacing w:after="0" w:line="360" w:lineRule="auto"/>
        <w:jc w:val="both"/>
        <w:rPr>
          <w:rFonts w:ascii="Times New Roman" w:hAnsi="Times New Roman" w:cs="Times New Roman"/>
          <w:b/>
          <w:sz w:val="24"/>
          <w:szCs w:val="24"/>
        </w:rPr>
      </w:pPr>
      <w:r w:rsidRPr="00015EC5">
        <w:rPr>
          <w:rFonts w:ascii="Times New Roman" w:hAnsi="Times New Roman" w:cs="Times New Roman"/>
          <w:b/>
          <w:sz w:val="24"/>
          <w:szCs w:val="24"/>
        </w:rPr>
        <w:t>How is accountability operationalized?</w:t>
      </w:r>
    </w:p>
    <w:p w14:paraId="324EC7EB" w14:textId="77777777" w:rsidR="00D76E12" w:rsidRPr="00015EC5" w:rsidRDefault="00D76E12" w:rsidP="00015EC5">
      <w:pPr>
        <w:spacing w:after="0" w:line="360" w:lineRule="auto"/>
        <w:jc w:val="both"/>
        <w:rPr>
          <w:rFonts w:ascii="Times New Roman" w:hAnsi="Times New Roman" w:cs="Times New Roman"/>
          <w:b/>
          <w:sz w:val="24"/>
          <w:szCs w:val="24"/>
        </w:rPr>
      </w:pPr>
    </w:p>
    <w:p w14:paraId="13584AAE" w14:textId="77777777" w:rsidR="00D76E12" w:rsidRPr="00015EC5" w:rsidRDefault="00D76E12" w:rsidP="00015EC5">
      <w:pPr>
        <w:autoSpaceDE w:val="0"/>
        <w:autoSpaceDN w:val="0"/>
        <w:adjustRightInd w:val="0"/>
        <w:spacing w:after="0" w:line="360" w:lineRule="auto"/>
        <w:jc w:val="both"/>
        <w:rPr>
          <w:rFonts w:ascii="Times New Roman" w:hAnsi="Times New Roman" w:cs="Times New Roman"/>
          <w:sz w:val="24"/>
          <w:szCs w:val="24"/>
        </w:rPr>
      </w:pPr>
      <w:r w:rsidRPr="00015EC5">
        <w:rPr>
          <w:rFonts w:ascii="Times New Roman" w:hAnsi="Times New Roman" w:cs="Times New Roman"/>
          <w:sz w:val="24"/>
          <w:szCs w:val="24"/>
        </w:rPr>
        <w:t xml:space="preserve">Depending on the stakeholders involved, contractual (instrumental/hierarchical) and communal (normative/socialising) accountability may be discharged differently. For example, reports may be contractually required by ‘upward’ stakeholders (e.g. the sponsoring department), whilst communal accountability is more likely to be provided ‘downward’ (e.g. to service users) in a less-structured format (Broadbent, Dietrich, and Laughlin 1996). As upward accountability may be linked to ensuring that organizational funds are utilized effectively and efficiently, NDPBs can gain legitimacy from their upward stakeholders by reporting the financial aspects of their activities. However, there is often a disparity in the power of downward stakeholders, compared to upward stakeholders. While the limited power of downward stakeholders may discourage NDPBs from discharging accountability, NDPBs being value-driven organizations may provide a counterbalance. This may generate intangible sources of legitimacy such as credibility, reputation and trust, with increased consultation and participation leading to more appropriate and effective management. Downward accountability is consistent with Fry’s (1995) notion of felt responsibility and transfers the right of accountability from those in a position of power to enforce it to those affected by an organization and its activities. </w:t>
      </w:r>
    </w:p>
    <w:p w14:paraId="3D35B38D" w14:textId="77777777" w:rsidR="00D76E12" w:rsidRPr="00015EC5" w:rsidRDefault="00D76E12" w:rsidP="00015EC5">
      <w:pPr>
        <w:spacing w:after="0" w:line="360" w:lineRule="auto"/>
        <w:ind w:firstLine="425"/>
        <w:jc w:val="both"/>
        <w:rPr>
          <w:rFonts w:ascii="Times New Roman" w:hAnsi="Times New Roman" w:cs="Times New Roman"/>
          <w:sz w:val="24"/>
          <w:szCs w:val="24"/>
          <w:shd w:val="clear" w:color="auto" w:fill="FFFFFF"/>
        </w:rPr>
      </w:pPr>
      <w:r w:rsidRPr="00015EC5">
        <w:rPr>
          <w:rFonts w:ascii="Times New Roman" w:hAnsi="Times New Roman" w:cs="Times New Roman"/>
          <w:sz w:val="24"/>
          <w:szCs w:val="24"/>
          <w:shd w:val="clear" w:color="auto" w:fill="FFFFFF"/>
        </w:rPr>
        <w:t xml:space="preserve">In practice, upward and downward accountability may represent end-points on a continuum; furthermore, upward stakeholders may bolster the position of downward stakeholders (for example, by making </w:t>
      </w:r>
      <w:r w:rsidRPr="00015EC5">
        <w:rPr>
          <w:rFonts w:ascii="Times New Roman" w:hAnsi="Times New Roman" w:cs="Times New Roman"/>
          <w:sz w:val="24"/>
          <w:szCs w:val="24"/>
        </w:rPr>
        <w:t>beneficiary participation a funding condition)</w:t>
      </w:r>
      <w:r w:rsidRPr="00015EC5">
        <w:rPr>
          <w:rFonts w:ascii="Times New Roman" w:hAnsi="Times New Roman" w:cs="Times New Roman"/>
          <w:sz w:val="24"/>
          <w:szCs w:val="24"/>
          <w:shd w:val="clear" w:color="auto" w:fill="FFFFFF"/>
        </w:rPr>
        <w:t xml:space="preserve">. </w:t>
      </w:r>
      <w:r w:rsidRPr="00015EC5">
        <w:rPr>
          <w:rFonts w:ascii="Times New Roman" w:hAnsi="Times New Roman" w:cs="Times New Roman"/>
          <w:sz w:val="24"/>
          <w:szCs w:val="24"/>
          <w:shd w:val="clear" w:color="auto" w:fill="FFFFFF"/>
        </w:rPr>
        <w:lastRenderedPageBreak/>
        <w:t xml:space="preserve">Reflecting such considerations, </w:t>
      </w:r>
      <w:proofErr w:type="spellStart"/>
      <w:r w:rsidRPr="00015EC5">
        <w:rPr>
          <w:rFonts w:ascii="Times New Roman" w:hAnsi="Times New Roman" w:cs="Times New Roman"/>
          <w:sz w:val="24"/>
          <w:szCs w:val="24"/>
          <w:shd w:val="clear" w:color="auto" w:fill="FFFFFF"/>
        </w:rPr>
        <w:t>O’Dwyer</w:t>
      </w:r>
      <w:proofErr w:type="spellEnd"/>
      <w:r w:rsidRPr="00015EC5">
        <w:rPr>
          <w:rFonts w:ascii="Times New Roman" w:hAnsi="Times New Roman" w:cs="Times New Roman"/>
          <w:sz w:val="24"/>
          <w:szCs w:val="24"/>
          <w:shd w:val="clear" w:color="auto" w:fill="FFFFFF"/>
        </w:rPr>
        <w:t xml:space="preserve"> and </w:t>
      </w:r>
      <w:proofErr w:type="spellStart"/>
      <w:r w:rsidRPr="00015EC5">
        <w:rPr>
          <w:rFonts w:ascii="Times New Roman" w:hAnsi="Times New Roman" w:cs="Times New Roman"/>
          <w:sz w:val="24"/>
          <w:szCs w:val="24"/>
          <w:shd w:val="clear" w:color="auto" w:fill="FFFFFF"/>
        </w:rPr>
        <w:t>Unerman</w:t>
      </w:r>
      <w:proofErr w:type="spellEnd"/>
      <w:r w:rsidRPr="00015EC5">
        <w:rPr>
          <w:rFonts w:ascii="Times New Roman" w:hAnsi="Times New Roman" w:cs="Times New Roman"/>
          <w:sz w:val="24"/>
          <w:szCs w:val="24"/>
          <w:shd w:val="clear" w:color="auto" w:fill="FFFFFF"/>
        </w:rPr>
        <w:t xml:space="preserve"> (2007) discuss the concept of holistic accountability which encompasses multi-directional accountability, not just upward and downward, between different stakeholders. They argue that this is desirable from both a practical perspective, as it helps ensure that organizations are aware of the most effective ways to deploy finite funding, and from a moral perspective, as it helps discharge accountability derived from felt responsibilities. </w:t>
      </w:r>
    </w:p>
    <w:p w14:paraId="503606DB" w14:textId="109B7FD4" w:rsidR="00D76E12" w:rsidRPr="00FB74CA" w:rsidRDefault="00D76E12" w:rsidP="00015EC5">
      <w:pPr>
        <w:spacing w:after="0" w:line="360" w:lineRule="auto"/>
        <w:ind w:firstLine="426"/>
        <w:jc w:val="both"/>
        <w:rPr>
          <w:rFonts w:ascii="Times New Roman" w:hAnsi="Times New Roman" w:cs="Times New Roman"/>
          <w:sz w:val="24"/>
          <w:szCs w:val="24"/>
        </w:rPr>
      </w:pPr>
      <w:r w:rsidRPr="00015EC5">
        <w:rPr>
          <w:rFonts w:ascii="Times New Roman" w:hAnsi="Times New Roman" w:cs="Times New Roman"/>
          <w:sz w:val="24"/>
          <w:szCs w:val="24"/>
        </w:rPr>
        <w:t>Operationally, there are multiple instruments</w:t>
      </w:r>
      <w:r w:rsidRPr="00015EC5" w:rsidDel="001F0B08">
        <w:rPr>
          <w:rFonts w:ascii="Times New Roman" w:hAnsi="Times New Roman" w:cs="Times New Roman"/>
          <w:sz w:val="24"/>
          <w:szCs w:val="24"/>
        </w:rPr>
        <w:t xml:space="preserve"> </w:t>
      </w:r>
      <w:r w:rsidRPr="00015EC5">
        <w:rPr>
          <w:rFonts w:ascii="Times New Roman" w:hAnsi="Times New Roman" w:cs="Times New Roman"/>
          <w:sz w:val="24"/>
          <w:szCs w:val="24"/>
        </w:rPr>
        <w:t>of accountability. Public discourse enables organizations to communicate with constituents and demonstrate that they are operating responsibly (</w:t>
      </w:r>
      <w:proofErr w:type="spellStart"/>
      <w:r w:rsidRPr="00015EC5">
        <w:rPr>
          <w:rFonts w:ascii="Times New Roman" w:hAnsi="Times New Roman" w:cs="Times New Roman"/>
          <w:sz w:val="24"/>
          <w:szCs w:val="24"/>
        </w:rPr>
        <w:t>Samkin</w:t>
      </w:r>
      <w:proofErr w:type="spellEnd"/>
      <w:r w:rsidRPr="00015EC5">
        <w:rPr>
          <w:rFonts w:ascii="Times New Roman" w:hAnsi="Times New Roman" w:cs="Times New Roman"/>
          <w:sz w:val="24"/>
          <w:szCs w:val="24"/>
        </w:rPr>
        <w:t xml:space="preserve"> and Schneider 2010). This can be employed to shape stakeholder perceptions and expectations to ensure that organizational behaviours are (</w:t>
      </w:r>
      <w:r w:rsidR="00593F5B" w:rsidRPr="00015EC5">
        <w:rPr>
          <w:rFonts w:ascii="Times New Roman" w:hAnsi="Times New Roman" w:cs="Times New Roman"/>
          <w:sz w:val="24"/>
          <w:szCs w:val="24"/>
        </w:rPr>
        <w:t xml:space="preserve">or </w:t>
      </w:r>
      <w:r w:rsidRPr="00015EC5">
        <w:rPr>
          <w:rFonts w:ascii="Times New Roman" w:hAnsi="Times New Roman" w:cs="Times New Roman"/>
          <w:sz w:val="24"/>
          <w:szCs w:val="24"/>
        </w:rPr>
        <w:t>perceived to be) aligned with societal values (</w:t>
      </w:r>
      <w:proofErr w:type="spellStart"/>
      <w:r w:rsidRPr="00015EC5">
        <w:rPr>
          <w:rStyle w:val="bodytext1"/>
          <w:rFonts w:ascii="Times New Roman" w:hAnsi="Times New Roman" w:cs="Times New Roman"/>
          <w:bCs/>
          <w:color w:val="auto"/>
          <w:sz w:val="24"/>
          <w:szCs w:val="24"/>
        </w:rPr>
        <w:t>Gray</w:t>
      </w:r>
      <w:proofErr w:type="spellEnd"/>
      <w:r w:rsidRPr="00015EC5">
        <w:rPr>
          <w:rStyle w:val="bodytext1"/>
          <w:rFonts w:ascii="Times New Roman" w:hAnsi="Times New Roman" w:cs="Times New Roman"/>
          <w:bCs/>
          <w:color w:val="auto"/>
          <w:sz w:val="24"/>
          <w:szCs w:val="24"/>
        </w:rPr>
        <w:t xml:space="preserve">, </w:t>
      </w:r>
      <w:proofErr w:type="spellStart"/>
      <w:r w:rsidRPr="00015EC5">
        <w:rPr>
          <w:rStyle w:val="bodytext1"/>
          <w:rFonts w:ascii="Times New Roman" w:hAnsi="Times New Roman" w:cs="Times New Roman"/>
          <w:bCs/>
          <w:color w:val="auto"/>
          <w:sz w:val="24"/>
          <w:szCs w:val="24"/>
        </w:rPr>
        <w:t>Bebbington</w:t>
      </w:r>
      <w:proofErr w:type="spellEnd"/>
      <w:r w:rsidRPr="00015EC5">
        <w:rPr>
          <w:rStyle w:val="bodytext1"/>
          <w:rFonts w:ascii="Times New Roman" w:hAnsi="Times New Roman" w:cs="Times New Roman"/>
          <w:bCs/>
          <w:color w:val="auto"/>
          <w:sz w:val="24"/>
          <w:szCs w:val="24"/>
        </w:rPr>
        <w:t>, and Collison</w:t>
      </w:r>
      <w:r w:rsidRPr="00015EC5">
        <w:rPr>
          <w:rFonts w:ascii="Times New Roman" w:hAnsi="Times New Roman" w:cs="Times New Roman"/>
          <w:sz w:val="24"/>
          <w:szCs w:val="24"/>
        </w:rPr>
        <w:t xml:space="preserve"> 2006). Such mechanisms include the statutory annual report</w:t>
      </w:r>
      <w:r w:rsidRPr="0020584E">
        <w:rPr>
          <w:rStyle w:val="EndnoteReference"/>
          <w:rFonts w:ascii="Times New Roman" w:hAnsi="Times New Roman" w:cs="Times New Roman"/>
          <w:sz w:val="24"/>
          <w:szCs w:val="24"/>
        </w:rPr>
        <w:endnoteReference w:id="1"/>
      </w:r>
      <w:r w:rsidRPr="0020584E">
        <w:rPr>
          <w:rFonts w:ascii="Times New Roman" w:hAnsi="Times New Roman" w:cs="Times New Roman"/>
          <w:sz w:val="24"/>
          <w:szCs w:val="24"/>
        </w:rPr>
        <w:t xml:space="preserve"> and other voluntary documents that organizations publish for stakeholder consumption. Supplementary accountability mechanisms include: participation, where organizations engage with </w:t>
      </w:r>
      <w:r w:rsidRPr="00EB2D5F">
        <w:rPr>
          <w:rFonts w:ascii="Times New Roman" w:hAnsi="Times New Roman" w:cs="Times New Roman"/>
          <w:sz w:val="24"/>
          <w:szCs w:val="24"/>
        </w:rPr>
        <w:t>(downward) constituents and involve them in decision making; and the adoption of standards and codes of conduct which convey appropriate and accountable behaviour (</w:t>
      </w:r>
      <w:proofErr w:type="spellStart"/>
      <w:r w:rsidRPr="00EB2D5F">
        <w:rPr>
          <w:rFonts w:ascii="Times New Roman" w:hAnsi="Times New Roman" w:cs="Times New Roman"/>
          <w:sz w:val="24"/>
          <w:szCs w:val="24"/>
        </w:rPr>
        <w:t>Ebrahim</w:t>
      </w:r>
      <w:proofErr w:type="spellEnd"/>
      <w:r w:rsidRPr="00EB2D5F">
        <w:rPr>
          <w:rFonts w:ascii="Times New Roman" w:hAnsi="Times New Roman" w:cs="Times New Roman"/>
          <w:sz w:val="24"/>
          <w:szCs w:val="24"/>
        </w:rPr>
        <w:t xml:space="preserve"> 2003b). In practice, accountability mechanisms operate collectively and connectedly.</w:t>
      </w:r>
      <w:r w:rsidRPr="00FB74CA">
        <w:rPr>
          <w:rFonts w:ascii="Times New Roman" w:hAnsi="Times New Roman" w:cs="Times New Roman"/>
          <w:sz w:val="24"/>
          <w:szCs w:val="24"/>
        </w:rPr>
        <w:t xml:space="preserve"> Codes of conduct may, for example, inform attempts to account through discourse, while simultaneously the (self-imposed) pressures to account through discourse may encourage the adoption of specific standards. </w:t>
      </w:r>
    </w:p>
    <w:p w14:paraId="43B1E935" w14:textId="77777777" w:rsidR="00D76E12" w:rsidRPr="00015EC5" w:rsidRDefault="00D76E12" w:rsidP="00015EC5">
      <w:pPr>
        <w:autoSpaceDE w:val="0"/>
        <w:autoSpaceDN w:val="0"/>
        <w:adjustRightInd w:val="0"/>
        <w:spacing w:after="0" w:line="360" w:lineRule="auto"/>
        <w:ind w:firstLine="426"/>
        <w:jc w:val="both"/>
        <w:rPr>
          <w:rFonts w:ascii="Times New Roman" w:hAnsi="Times New Roman" w:cs="Times New Roman"/>
          <w:sz w:val="24"/>
          <w:szCs w:val="24"/>
        </w:rPr>
      </w:pPr>
      <w:r w:rsidRPr="008B6361">
        <w:rPr>
          <w:rFonts w:ascii="Times New Roman" w:hAnsi="Times New Roman" w:cs="Times New Roman"/>
          <w:sz w:val="24"/>
          <w:szCs w:val="24"/>
        </w:rPr>
        <w:t xml:space="preserve">In relation to public bodies, </w:t>
      </w:r>
      <w:proofErr w:type="spellStart"/>
      <w:r w:rsidRPr="008B6361">
        <w:rPr>
          <w:rFonts w:ascii="Times New Roman" w:hAnsi="Times New Roman" w:cs="Times New Roman"/>
          <w:sz w:val="24"/>
          <w:szCs w:val="24"/>
        </w:rPr>
        <w:t>HoCPASC</w:t>
      </w:r>
      <w:proofErr w:type="spellEnd"/>
      <w:r w:rsidRPr="008B6361">
        <w:rPr>
          <w:rFonts w:ascii="Times New Roman" w:hAnsi="Times New Roman" w:cs="Times New Roman"/>
          <w:sz w:val="24"/>
          <w:szCs w:val="24"/>
        </w:rPr>
        <w:t xml:space="preserve"> (2014) states that being accountable means taking responsibility for actions, with examples of accountability mechanisms including responding to Parliamentary questions, holding board meetings in public, taking the views of stakeholders into account and publishi</w:t>
      </w:r>
      <w:r w:rsidRPr="00015EC5">
        <w:rPr>
          <w:rFonts w:ascii="Times New Roman" w:hAnsi="Times New Roman" w:cs="Times New Roman"/>
          <w:sz w:val="24"/>
          <w:szCs w:val="24"/>
        </w:rPr>
        <w:t>ng an annual report and accounts. The annual report is often viewed as the principal, formal means through which management communicates with their (often predominantly upward) stakeholders (</w:t>
      </w:r>
      <w:proofErr w:type="spellStart"/>
      <w:r w:rsidRPr="00015EC5">
        <w:rPr>
          <w:rStyle w:val="hiddentext1"/>
          <w:rFonts w:ascii="Times New Roman" w:hAnsi="Times New Roman" w:cs="Times New Roman"/>
          <w:sz w:val="24"/>
          <w:szCs w:val="24"/>
          <w:lang w:val="en"/>
          <w:specVanish w:val="0"/>
        </w:rPr>
        <w:t>Yuthas</w:t>
      </w:r>
      <w:proofErr w:type="spellEnd"/>
      <w:r w:rsidRPr="00015EC5">
        <w:rPr>
          <w:rStyle w:val="hiddentext1"/>
          <w:rFonts w:ascii="Times New Roman" w:hAnsi="Times New Roman" w:cs="Times New Roman"/>
          <w:sz w:val="24"/>
          <w:szCs w:val="24"/>
          <w:lang w:val="en"/>
          <w:specVanish w:val="0"/>
        </w:rPr>
        <w:t>, Rogers, and Dillard</w:t>
      </w:r>
      <w:r w:rsidRPr="00015EC5">
        <w:rPr>
          <w:rFonts w:ascii="Times New Roman" w:hAnsi="Times New Roman" w:cs="Times New Roman"/>
          <w:sz w:val="24"/>
          <w:szCs w:val="24"/>
        </w:rPr>
        <w:t xml:space="preserve"> 2002). As the communication lens through which stakeholders can understand and monitor organizations’ activities, successes and failures, it occupies a prominent position as a statutory document (</w:t>
      </w:r>
      <w:proofErr w:type="spellStart"/>
      <w:r w:rsidRPr="00015EC5">
        <w:rPr>
          <w:rStyle w:val="bodytext1"/>
          <w:rFonts w:ascii="Times New Roman" w:hAnsi="Times New Roman" w:cs="Times New Roman"/>
          <w:bCs/>
          <w:color w:val="auto"/>
          <w:sz w:val="24"/>
          <w:szCs w:val="24"/>
        </w:rPr>
        <w:t>Gray</w:t>
      </w:r>
      <w:proofErr w:type="spellEnd"/>
      <w:r w:rsidRPr="00015EC5">
        <w:rPr>
          <w:rStyle w:val="bodytext1"/>
          <w:rFonts w:ascii="Times New Roman" w:hAnsi="Times New Roman" w:cs="Times New Roman"/>
          <w:bCs/>
          <w:color w:val="auto"/>
          <w:sz w:val="24"/>
          <w:szCs w:val="24"/>
        </w:rPr>
        <w:t xml:space="preserve">, </w:t>
      </w:r>
      <w:proofErr w:type="spellStart"/>
      <w:r w:rsidRPr="00015EC5">
        <w:rPr>
          <w:rStyle w:val="bodytext1"/>
          <w:rFonts w:ascii="Times New Roman" w:hAnsi="Times New Roman" w:cs="Times New Roman"/>
          <w:bCs/>
          <w:color w:val="auto"/>
          <w:sz w:val="24"/>
          <w:szCs w:val="24"/>
        </w:rPr>
        <w:t>Bebbington</w:t>
      </w:r>
      <w:proofErr w:type="spellEnd"/>
      <w:r w:rsidRPr="00015EC5">
        <w:rPr>
          <w:rStyle w:val="bodytext1"/>
          <w:rFonts w:ascii="Times New Roman" w:hAnsi="Times New Roman" w:cs="Times New Roman"/>
          <w:bCs/>
          <w:color w:val="auto"/>
          <w:sz w:val="24"/>
          <w:szCs w:val="24"/>
        </w:rPr>
        <w:t>, and Collison</w:t>
      </w:r>
      <w:r w:rsidRPr="00015EC5">
        <w:rPr>
          <w:rFonts w:ascii="Times New Roman" w:hAnsi="Times New Roman" w:cs="Times New Roman"/>
          <w:sz w:val="24"/>
          <w:szCs w:val="24"/>
        </w:rPr>
        <w:t xml:space="preserve"> 2006) and, as a systematically produced document, attracts a degree of authenticity not associated with other such organizational outputs (Boyne and Law 1991; Coy, Fischer, and Gordon 2001). Moreover, high-quality reports and accounts can lead to greater confidence in the organization, and greater confidence generates increased legitimacy (</w:t>
      </w:r>
      <w:proofErr w:type="spellStart"/>
      <w:r w:rsidRPr="00015EC5">
        <w:rPr>
          <w:rFonts w:ascii="Times New Roman" w:hAnsi="Times New Roman" w:cs="Times New Roman"/>
          <w:sz w:val="24"/>
          <w:szCs w:val="24"/>
        </w:rPr>
        <w:t>Steccolini</w:t>
      </w:r>
      <w:proofErr w:type="spellEnd"/>
      <w:r w:rsidRPr="00015EC5">
        <w:rPr>
          <w:rFonts w:ascii="Times New Roman" w:hAnsi="Times New Roman" w:cs="Times New Roman"/>
          <w:sz w:val="24"/>
          <w:szCs w:val="24"/>
        </w:rPr>
        <w:t xml:space="preserve"> 2004). </w:t>
      </w:r>
    </w:p>
    <w:p w14:paraId="1B4C7471" w14:textId="77777777" w:rsidR="00D76E12" w:rsidRPr="00015EC5" w:rsidRDefault="00D76E12" w:rsidP="00015EC5">
      <w:pPr>
        <w:spacing w:after="0" w:line="360" w:lineRule="auto"/>
        <w:ind w:firstLine="426"/>
        <w:jc w:val="both"/>
        <w:rPr>
          <w:rFonts w:ascii="Times New Roman" w:hAnsi="Times New Roman" w:cs="Times New Roman"/>
          <w:sz w:val="24"/>
          <w:szCs w:val="24"/>
        </w:rPr>
      </w:pPr>
      <w:r w:rsidRPr="00015EC5">
        <w:rPr>
          <w:rFonts w:ascii="Times New Roman" w:hAnsi="Times New Roman" w:cs="Times New Roman"/>
          <w:sz w:val="24"/>
          <w:szCs w:val="24"/>
        </w:rPr>
        <w:t xml:space="preserve">Despite being widely debated, what constitutes accountability and how it should be operationalized remains unclear, chameleon-like and abstract (Patton 1992; Sinclair 1995). </w:t>
      </w:r>
      <w:r w:rsidRPr="00015EC5">
        <w:rPr>
          <w:rFonts w:ascii="Times New Roman" w:hAnsi="Times New Roman" w:cs="Times New Roman"/>
          <w:sz w:val="24"/>
          <w:szCs w:val="24"/>
        </w:rPr>
        <w:lastRenderedPageBreak/>
        <w:t xml:space="preserve">Moreover, with respect to organizational communication, deciding what information should be provided is difficult (Reynolds and </w:t>
      </w:r>
      <w:proofErr w:type="spellStart"/>
      <w:r w:rsidRPr="00015EC5">
        <w:rPr>
          <w:rFonts w:ascii="Times New Roman" w:hAnsi="Times New Roman" w:cs="Times New Roman"/>
          <w:sz w:val="24"/>
          <w:szCs w:val="24"/>
        </w:rPr>
        <w:t>Yuthas</w:t>
      </w:r>
      <w:proofErr w:type="spellEnd"/>
      <w:r w:rsidRPr="00015EC5">
        <w:rPr>
          <w:rFonts w:ascii="Times New Roman" w:hAnsi="Times New Roman" w:cs="Times New Roman"/>
          <w:sz w:val="24"/>
          <w:szCs w:val="24"/>
        </w:rPr>
        <w:t xml:space="preserve"> 2008). Having considered different forms of accountability, to whom an organization might be accountable and how a duty to account might be discharged, the next section explains the research methods adopted in undertaking this research. </w:t>
      </w:r>
    </w:p>
    <w:p w14:paraId="5F1BD2E3" w14:textId="77777777" w:rsidR="00D76E12" w:rsidRPr="00015EC5" w:rsidRDefault="00D76E12" w:rsidP="00015EC5">
      <w:pPr>
        <w:spacing w:after="0" w:line="360" w:lineRule="auto"/>
        <w:jc w:val="both"/>
        <w:rPr>
          <w:rFonts w:ascii="Times New Roman" w:hAnsi="Times New Roman" w:cs="Times New Roman"/>
          <w:sz w:val="24"/>
          <w:szCs w:val="24"/>
        </w:rPr>
      </w:pPr>
    </w:p>
    <w:p w14:paraId="49764560" w14:textId="77777777" w:rsidR="00D76E12" w:rsidRPr="00015EC5" w:rsidRDefault="00D76E12" w:rsidP="00015EC5">
      <w:pPr>
        <w:autoSpaceDE w:val="0"/>
        <w:autoSpaceDN w:val="0"/>
        <w:adjustRightInd w:val="0"/>
        <w:spacing w:after="0" w:line="360" w:lineRule="auto"/>
        <w:jc w:val="both"/>
        <w:rPr>
          <w:rFonts w:ascii="Times New Roman" w:hAnsi="Times New Roman" w:cs="Times New Roman"/>
          <w:sz w:val="24"/>
          <w:szCs w:val="24"/>
        </w:rPr>
      </w:pPr>
      <w:r w:rsidRPr="00015EC5">
        <w:rPr>
          <w:rFonts w:ascii="Times New Roman" w:hAnsi="Times New Roman" w:cs="Times New Roman"/>
          <w:b/>
          <w:sz w:val="24"/>
          <w:szCs w:val="24"/>
        </w:rPr>
        <w:t>RESEARCH METHODS</w:t>
      </w:r>
    </w:p>
    <w:p w14:paraId="595057D4" w14:textId="77777777" w:rsidR="00372E77" w:rsidRPr="00015EC5" w:rsidRDefault="00372E77" w:rsidP="00015EC5">
      <w:pPr>
        <w:pStyle w:val="Default"/>
        <w:spacing w:line="360" w:lineRule="auto"/>
        <w:jc w:val="both"/>
        <w:rPr>
          <w:rFonts w:ascii="Times New Roman" w:hAnsi="Times New Roman" w:cs="Times New Roman"/>
          <w:color w:val="auto"/>
        </w:rPr>
      </w:pPr>
    </w:p>
    <w:p w14:paraId="140FAC46" w14:textId="01756C83" w:rsidR="00CE357A" w:rsidRPr="0020584E" w:rsidRDefault="00372E77" w:rsidP="00EB2D5F">
      <w:pPr>
        <w:pStyle w:val="Default"/>
        <w:spacing w:line="360" w:lineRule="auto"/>
        <w:jc w:val="both"/>
        <w:rPr>
          <w:rFonts w:ascii="Times New Roman" w:hAnsi="Times New Roman" w:cs="Times New Roman"/>
          <w:color w:val="auto"/>
        </w:rPr>
      </w:pPr>
      <w:r w:rsidRPr="00015EC5">
        <w:rPr>
          <w:rFonts w:ascii="Times New Roman" w:hAnsi="Times New Roman" w:cs="Times New Roman"/>
          <w:color w:val="auto"/>
        </w:rPr>
        <w:t xml:space="preserve">In order to assess how </w:t>
      </w:r>
      <w:r w:rsidRPr="00015EC5">
        <w:rPr>
          <w:rFonts w:ascii="Times New Roman" w:hAnsi="Times New Roman" w:cs="Times New Roman"/>
          <w:bCs/>
          <w:color w:val="auto"/>
        </w:rPr>
        <w:t xml:space="preserve">the relationships </w:t>
      </w:r>
      <w:r w:rsidRPr="00015EC5">
        <w:rPr>
          <w:rFonts w:ascii="Times New Roman" w:hAnsi="Times New Roman" w:cs="Times New Roman"/>
          <w:color w:val="auto"/>
        </w:rPr>
        <w:t xml:space="preserve">NI NDPBs </w:t>
      </w:r>
      <w:r w:rsidRPr="00015EC5">
        <w:rPr>
          <w:rFonts w:ascii="Times New Roman" w:hAnsi="Times New Roman" w:cs="Times New Roman"/>
          <w:bCs/>
          <w:color w:val="auto"/>
        </w:rPr>
        <w:t xml:space="preserve">have with </w:t>
      </w:r>
      <w:r w:rsidRPr="00015EC5">
        <w:rPr>
          <w:rFonts w:ascii="Times New Roman" w:hAnsi="Times New Roman" w:cs="Times New Roman"/>
          <w:color w:val="auto"/>
        </w:rPr>
        <w:t xml:space="preserve">two key stakeholders impact upon their ability to discharge their accountability responsibilities effectively, this research utilized a survey and semi-structured interviews, with the latter developing the responses to the former. </w:t>
      </w:r>
      <w:bookmarkStart w:id="0" w:name="_Hlk482258869"/>
      <w:r w:rsidR="00CE357A" w:rsidRPr="00EB2D5F">
        <w:rPr>
          <w:rFonts w:ascii="Times New Roman" w:eastAsia="Calibri" w:hAnsi="Times New Roman" w:cs="Times New Roman"/>
        </w:rPr>
        <w:t>Summarizing the discussion above, accountability involves providing an account (not necessarily financial) and engaging with upward (e.g. sponsoring department) and downward (</w:t>
      </w:r>
      <w:r w:rsidR="009D2D08">
        <w:rPr>
          <w:rFonts w:ascii="Times New Roman" w:eastAsia="Calibri" w:hAnsi="Times New Roman" w:cs="Times New Roman"/>
        </w:rPr>
        <w:t xml:space="preserve">e.g. </w:t>
      </w:r>
      <w:r w:rsidR="00CE357A" w:rsidRPr="00EB2D5F">
        <w:rPr>
          <w:rFonts w:ascii="Times New Roman" w:eastAsia="Calibri" w:hAnsi="Times New Roman" w:cs="Times New Roman"/>
        </w:rPr>
        <w:t>service users) stakeholders, taking into consideration their needs and views and providing explanations for actions. The elements or attributes of accountability include: transparency (</w:t>
      </w:r>
      <w:r w:rsidR="00CE357A" w:rsidRPr="00EB2D5F">
        <w:rPr>
          <w:rFonts w:ascii="Times New Roman" w:eastAsia="Calibri" w:hAnsi="Times New Roman" w:cs="Times New Roman"/>
          <w:lang w:val="en"/>
        </w:rPr>
        <w:t xml:space="preserve">Donaldson and Preston 1995; Independent Commission on Good Governance in Public Services 2004; </w:t>
      </w:r>
      <w:proofErr w:type="spellStart"/>
      <w:r w:rsidR="00CE357A" w:rsidRPr="00EB2D5F">
        <w:rPr>
          <w:rFonts w:ascii="Times New Roman" w:eastAsia="Calibri" w:hAnsi="Times New Roman" w:cs="Times New Roman"/>
        </w:rPr>
        <w:t>HoCPASC</w:t>
      </w:r>
      <w:proofErr w:type="spellEnd"/>
      <w:r w:rsidR="00CE357A" w:rsidRPr="00EB2D5F">
        <w:rPr>
          <w:rFonts w:ascii="Times New Roman" w:eastAsia="Calibri" w:hAnsi="Times New Roman" w:cs="Times New Roman"/>
        </w:rPr>
        <w:t xml:space="preserve"> 2014; Cabinet Office 2015</w:t>
      </w:r>
      <w:r w:rsidR="00CE357A" w:rsidRPr="00EB2D5F">
        <w:rPr>
          <w:rFonts w:ascii="Times New Roman" w:eastAsia="Calibri" w:hAnsi="Times New Roman" w:cs="Times New Roman"/>
          <w:lang w:val="en"/>
        </w:rPr>
        <w:t>)</w:t>
      </w:r>
      <w:r w:rsidR="00CE357A" w:rsidRPr="00EB2D5F">
        <w:rPr>
          <w:rFonts w:ascii="Times New Roman" w:eastAsia="Calibri" w:hAnsi="Times New Roman" w:cs="Times New Roman"/>
        </w:rPr>
        <w:t>; responsiveness (e.g. explaining and responding to stakeholders) (</w:t>
      </w:r>
      <w:proofErr w:type="spellStart"/>
      <w:r w:rsidR="00CE357A" w:rsidRPr="00EB2D5F">
        <w:rPr>
          <w:rFonts w:ascii="Times New Roman" w:eastAsia="Calibri" w:hAnsi="Times New Roman" w:cs="Times New Roman"/>
        </w:rPr>
        <w:t>HoCPASC</w:t>
      </w:r>
      <w:proofErr w:type="spellEnd"/>
      <w:r w:rsidR="00CE357A" w:rsidRPr="00EB2D5F">
        <w:rPr>
          <w:rFonts w:ascii="Times New Roman" w:eastAsia="Calibri" w:hAnsi="Times New Roman" w:cs="Times New Roman"/>
        </w:rPr>
        <w:t xml:space="preserve"> 2014); and responsible decision making (Fry 1995; </w:t>
      </w:r>
      <w:proofErr w:type="spellStart"/>
      <w:r w:rsidR="00CE357A" w:rsidRPr="00EB2D5F">
        <w:rPr>
          <w:rFonts w:ascii="Times New Roman" w:eastAsia="Calibri" w:hAnsi="Times New Roman" w:cs="Times New Roman"/>
          <w:lang w:val="en-IE"/>
        </w:rPr>
        <w:t>Ebrahim</w:t>
      </w:r>
      <w:proofErr w:type="spellEnd"/>
      <w:r w:rsidR="00CE357A" w:rsidRPr="00EB2D5F">
        <w:rPr>
          <w:rFonts w:ascii="Times New Roman" w:eastAsia="Calibri" w:hAnsi="Times New Roman" w:cs="Times New Roman"/>
          <w:lang w:val="en-IE"/>
        </w:rPr>
        <w:t xml:space="preserve"> 2003a; Cooper and Owen 2007). </w:t>
      </w:r>
      <w:r w:rsidR="00CE357A" w:rsidRPr="00EB2D5F">
        <w:rPr>
          <w:rFonts w:ascii="Times New Roman" w:eastAsia="Calibri" w:hAnsi="Times New Roman" w:cs="Times New Roman"/>
        </w:rPr>
        <w:t xml:space="preserve">It may be operationalized by publicly defining the organisation’s values, mission and strategy, establishing strategies to accomplish objectives and measuring and reporting on outcomes (i.e. board effectiveness). </w:t>
      </w:r>
      <w:r w:rsidR="002158B2" w:rsidRPr="00EB2D5F">
        <w:rPr>
          <w:rFonts w:ascii="Times New Roman" w:eastAsia="Calibri" w:hAnsi="Times New Roman" w:cs="Times New Roman"/>
        </w:rPr>
        <w:t xml:space="preserve">Moreover, </w:t>
      </w:r>
      <w:proofErr w:type="spellStart"/>
      <w:r w:rsidR="00CE357A" w:rsidRPr="00EB2D5F">
        <w:rPr>
          <w:rFonts w:ascii="Times New Roman" w:eastAsia="Calibri" w:hAnsi="Times New Roman" w:cs="Times New Roman"/>
        </w:rPr>
        <w:t>HoCPASC</w:t>
      </w:r>
      <w:proofErr w:type="spellEnd"/>
      <w:r w:rsidR="00CE357A" w:rsidRPr="00EB2D5F">
        <w:rPr>
          <w:rFonts w:ascii="Times New Roman" w:eastAsia="Calibri" w:hAnsi="Times New Roman" w:cs="Times New Roman"/>
        </w:rPr>
        <w:t xml:space="preserve"> (2014) contends that accountability above all depends on relationships based on trust, openness and mutual support </w:t>
      </w:r>
      <w:r w:rsidR="002158B2" w:rsidRPr="00EB2D5F">
        <w:rPr>
          <w:rFonts w:ascii="Times New Roman" w:eastAsia="Calibri" w:hAnsi="Times New Roman" w:cs="Times New Roman"/>
        </w:rPr>
        <w:t xml:space="preserve">including those </w:t>
      </w:r>
      <w:r w:rsidR="00CE357A" w:rsidRPr="00EB2D5F">
        <w:rPr>
          <w:rFonts w:ascii="Times New Roman" w:eastAsia="Calibri" w:hAnsi="Times New Roman" w:cs="Times New Roman"/>
        </w:rPr>
        <w:t>between the sponsoring department and the leadership of the public body.</w:t>
      </w:r>
      <w:r w:rsidR="002158B2" w:rsidRPr="00EB2D5F">
        <w:rPr>
          <w:rFonts w:ascii="Times New Roman" w:eastAsia="Calibri" w:hAnsi="Times New Roman" w:cs="Times New Roman"/>
        </w:rPr>
        <w:t xml:space="preserve"> Therefore</w:t>
      </w:r>
      <w:r w:rsidR="00886547">
        <w:rPr>
          <w:rFonts w:ascii="Times New Roman" w:eastAsia="Calibri" w:hAnsi="Times New Roman" w:cs="Times New Roman"/>
        </w:rPr>
        <w:t>,</w:t>
      </w:r>
      <w:r w:rsidR="002158B2" w:rsidRPr="00EB2D5F">
        <w:rPr>
          <w:rFonts w:ascii="Times New Roman" w:hAnsi="Times New Roman" w:cs="Times New Roman"/>
          <w:color w:val="auto"/>
        </w:rPr>
        <w:t xml:space="preserve"> d</w:t>
      </w:r>
      <w:r w:rsidR="00CE357A" w:rsidRPr="00EB2D5F">
        <w:rPr>
          <w:rFonts w:ascii="Times New Roman" w:hAnsi="Times New Roman" w:cs="Times New Roman"/>
          <w:color w:val="auto"/>
        </w:rPr>
        <w:t>rawing upon the</w:t>
      </w:r>
      <w:r w:rsidR="002158B2" w:rsidRPr="00EB2D5F">
        <w:rPr>
          <w:rFonts w:ascii="Times New Roman" w:hAnsi="Times New Roman" w:cs="Times New Roman"/>
          <w:color w:val="auto"/>
        </w:rPr>
        <w:t>se</w:t>
      </w:r>
      <w:r w:rsidR="00CE357A" w:rsidRPr="00EB2D5F">
        <w:rPr>
          <w:rFonts w:ascii="Times New Roman" w:hAnsi="Times New Roman" w:cs="Times New Roman"/>
          <w:color w:val="auto"/>
        </w:rPr>
        <w:t xml:space="preserve"> themes, the </w:t>
      </w:r>
      <w:r w:rsidR="0010136B">
        <w:rPr>
          <w:rFonts w:ascii="Times New Roman" w:hAnsi="Times New Roman" w:cs="Times New Roman"/>
          <w:color w:val="auto"/>
        </w:rPr>
        <w:t xml:space="preserve">main body of the </w:t>
      </w:r>
      <w:r w:rsidR="00CE357A" w:rsidRPr="00EB2D5F">
        <w:rPr>
          <w:rFonts w:ascii="Times New Roman" w:hAnsi="Times New Roman" w:cs="Times New Roman"/>
          <w:color w:val="auto"/>
        </w:rPr>
        <w:t>survey comprised nineteen questions</w:t>
      </w:r>
      <w:r w:rsidR="0010136B">
        <w:rPr>
          <w:rFonts w:ascii="Times New Roman" w:hAnsi="Times New Roman" w:cs="Times New Roman"/>
          <w:color w:val="auto"/>
        </w:rPr>
        <w:t xml:space="preserve">: </w:t>
      </w:r>
      <w:r w:rsidR="00A1616B" w:rsidRPr="00EB2D5F">
        <w:rPr>
          <w:rFonts w:ascii="Times New Roman" w:hAnsi="Times New Roman" w:cs="Times New Roman"/>
          <w:color w:val="auto"/>
        </w:rPr>
        <w:t>questions 1</w:t>
      </w:r>
      <w:r w:rsidR="005939A8" w:rsidRPr="00EB2D5F">
        <w:rPr>
          <w:rFonts w:ascii="Times New Roman" w:hAnsi="Times New Roman" w:cs="Times New Roman"/>
          <w:color w:val="auto"/>
        </w:rPr>
        <w:t xml:space="preserve"> and </w:t>
      </w:r>
      <w:r w:rsidR="00A1616B" w:rsidRPr="00EB2D5F">
        <w:rPr>
          <w:rFonts w:ascii="Times New Roman" w:hAnsi="Times New Roman" w:cs="Times New Roman"/>
          <w:color w:val="auto"/>
        </w:rPr>
        <w:t>3 deal</w:t>
      </w:r>
      <w:r w:rsidR="0010136B">
        <w:rPr>
          <w:rFonts w:ascii="Times New Roman" w:hAnsi="Times New Roman" w:cs="Times New Roman"/>
          <w:color w:val="auto"/>
        </w:rPr>
        <w:t xml:space="preserve">t </w:t>
      </w:r>
      <w:r w:rsidR="00A1616B" w:rsidRPr="00EB2D5F">
        <w:rPr>
          <w:rFonts w:ascii="Times New Roman" w:hAnsi="Times New Roman" w:cs="Times New Roman"/>
          <w:color w:val="auto"/>
        </w:rPr>
        <w:t>with governance</w:t>
      </w:r>
      <w:r w:rsidR="0010136B">
        <w:rPr>
          <w:rFonts w:ascii="Times New Roman" w:hAnsi="Times New Roman" w:cs="Times New Roman"/>
          <w:color w:val="auto"/>
        </w:rPr>
        <w:t xml:space="preserve">; </w:t>
      </w:r>
      <w:r w:rsidR="005939A8" w:rsidRPr="00EB2D5F">
        <w:rPr>
          <w:rFonts w:ascii="Times New Roman" w:hAnsi="Times New Roman" w:cs="Times New Roman"/>
          <w:color w:val="auto"/>
        </w:rPr>
        <w:t>questions 2 and 4-6 address</w:t>
      </w:r>
      <w:r w:rsidR="0010136B">
        <w:rPr>
          <w:rFonts w:ascii="Times New Roman" w:hAnsi="Times New Roman" w:cs="Times New Roman"/>
          <w:color w:val="auto"/>
        </w:rPr>
        <w:t>ed</w:t>
      </w:r>
      <w:r w:rsidR="005939A8" w:rsidRPr="00EB2D5F">
        <w:rPr>
          <w:rFonts w:ascii="Times New Roman" w:hAnsi="Times New Roman" w:cs="Times New Roman"/>
          <w:color w:val="auto"/>
        </w:rPr>
        <w:t xml:space="preserve"> values and mission</w:t>
      </w:r>
      <w:r w:rsidR="0010136B">
        <w:rPr>
          <w:rFonts w:ascii="Times New Roman" w:hAnsi="Times New Roman" w:cs="Times New Roman"/>
          <w:color w:val="auto"/>
        </w:rPr>
        <w:t xml:space="preserve">; </w:t>
      </w:r>
      <w:r w:rsidR="005939A8" w:rsidRPr="00EB2D5F">
        <w:rPr>
          <w:rFonts w:ascii="Times New Roman" w:hAnsi="Times New Roman" w:cs="Times New Roman"/>
          <w:color w:val="auto"/>
        </w:rPr>
        <w:t>and the remainder focuss</w:t>
      </w:r>
      <w:r w:rsidR="0010136B">
        <w:rPr>
          <w:rFonts w:ascii="Times New Roman" w:hAnsi="Times New Roman" w:cs="Times New Roman"/>
          <w:color w:val="auto"/>
        </w:rPr>
        <w:t xml:space="preserve">ed </w:t>
      </w:r>
      <w:r w:rsidR="005939A8" w:rsidRPr="00EB2D5F">
        <w:rPr>
          <w:rFonts w:ascii="Times New Roman" w:hAnsi="Times New Roman" w:cs="Times New Roman"/>
          <w:color w:val="auto"/>
        </w:rPr>
        <w:t xml:space="preserve">on organizational and board effectiveness, including stakeholder relationships </w:t>
      </w:r>
      <w:r w:rsidR="002158B2" w:rsidRPr="00EB2D5F">
        <w:rPr>
          <w:rFonts w:ascii="Times New Roman" w:hAnsi="Times New Roman" w:cs="Times New Roman"/>
          <w:color w:val="auto"/>
        </w:rPr>
        <w:t>(see Table 1</w:t>
      </w:r>
      <w:r w:rsidR="009F6625">
        <w:rPr>
          <w:rStyle w:val="EndnoteReference"/>
          <w:rFonts w:ascii="Times New Roman" w:hAnsi="Times New Roman" w:cs="Times New Roman"/>
          <w:color w:val="auto"/>
        </w:rPr>
        <w:endnoteReference w:id="2"/>
      </w:r>
      <w:r w:rsidR="002158B2" w:rsidRPr="0020584E">
        <w:rPr>
          <w:rFonts w:ascii="Times New Roman" w:hAnsi="Times New Roman" w:cs="Times New Roman"/>
          <w:color w:val="auto"/>
        </w:rPr>
        <w:t>)</w:t>
      </w:r>
      <w:r w:rsidR="00CE357A" w:rsidRPr="0020584E">
        <w:rPr>
          <w:rFonts w:ascii="Times New Roman" w:hAnsi="Times New Roman" w:cs="Times New Roman"/>
          <w:color w:val="auto"/>
        </w:rPr>
        <w:t xml:space="preserve">. </w:t>
      </w:r>
      <w:r w:rsidR="009F6625">
        <w:rPr>
          <w:rFonts w:ascii="Times New Roman" w:hAnsi="Times New Roman" w:cs="Times New Roman"/>
          <w:color w:val="auto"/>
        </w:rPr>
        <w:t>In addition</w:t>
      </w:r>
      <w:r w:rsidR="00886547">
        <w:rPr>
          <w:rFonts w:ascii="Times New Roman" w:hAnsi="Times New Roman" w:cs="Times New Roman"/>
          <w:color w:val="auto"/>
        </w:rPr>
        <w:t>,</w:t>
      </w:r>
      <w:r w:rsidR="009F6625">
        <w:rPr>
          <w:rFonts w:ascii="Times New Roman" w:hAnsi="Times New Roman" w:cs="Times New Roman"/>
          <w:color w:val="auto"/>
        </w:rPr>
        <w:t xml:space="preserve"> the questionnaire included a number of background questions relating to the NDPB and respondent</w:t>
      </w:r>
      <w:r w:rsidR="009D2D08">
        <w:rPr>
          <w:rFonts w:ascii="Times New Roman" w:hAnsi="Times New Roman" w:cs="Times New Roman"/>
          <w:color w:val="auto"/>
        </w:rPr>
        <w:t>, which</w:t>
      </w:r>
      <w:r w:rsidR="00362BA8">
        <w:rPr>
          <w:rFonts w:ascii="Times New Roman" w:hAnsi="Times New Roman" w:cs="Times New Roman"/>
          <w:color w:val="auto"/>
        </w:rPr>
        <w:t xml:space="preserve"> are </w:t>
      </w:r>
      <w:r w:rsidR="009F6625">
        <w:rPr>
          <w:rFonts w:ascii="Times New Roman" w:hAnsi="Times New Roman" w:cs="Times New Roman"/>
          <w:color w:val="auto"/>
        </w:rPr>
        <w:t>discussed below.</w:t>
      </w:r>
      <w:bookmarkEnd w:id="0"/>
    </w:p>
    <w:p w14:paraId="7A4645B1" w14:textId="610ECB46" w:rsidR="00B0627A" w:rsidRPr="0020584E" w:rsidRDefault="00372E77" w:rsidP="0020584E">
      <w:pPr>
        <w:pStyle w:val="Default"/>
        <w:spacing w:line="360" w:lineRule="auto"/>
        <w:ind w:firstLine="426"/>
        <w:jc w:val="both"/>
        <w:rPr>
          <w:rFonts w:ascii="Times New Roman" w:hAnsi="Times New Roman" w:cs="Times New Roman"/>
          <w:color w:val="auto"/>
        </w:rPr>
      </w:pPr>
      <w:r w:rsidRPr="0020584E">
        <w:rPr>
          <w:rFonts w:ascii="Times New Roman" w:hAnsi="Times New Roman" w:cs="Times New Roman"/>
          <w:color w:val="auto"/>
        </w:rPr>
        <w:t xml:space="preserve">Whilst the majority of questions were closed, respondents had the opportunity to develop some of their responses. Using OFMDFM (2014), which provides details of the 105 NDPBs sponsored by the NI Executive, as well as their board members, details of the online survey, which was open between October-December 2014, were sent to all NI NDPBs’ board members using contact details obtained from their websites or via the chief executive (CEO) </w:t>
      </w:r>
      <w:r w:rsidRPr="0020584E">
        <w:rPr>
          <w:rFonts w:ascii="Times New Roman" w:hAnsi="Times New Roman" w:cs="Times New Roman"/>
          <w:color w:val="auto"/>
        </w:rPr>
        <w:lastRenderedPageBreak/>
        <w:t xml:space="preserve">or chair. One hundred responses were received, with the vast majority (75 per cent) of respondents representing service delivery bodies (i.e. Executive and HSC NDPBs), and the remainder being involved in regulation (20 per cent) (i.e. Advisory, Tribunal and some ‘Other’ NDPBs) and funding (5 per cent) (i.e. Executive and HSC NDPBs). This means that 75 per cent of the NDPBs represented has experience of the frontline delivery of services. </w:t>
      </w:r>
    </w:p>
    <w:p w14:paraId="74EC83CB" w14:textId="388397BF" w:rsidR="00372E77" w:rsidRPr="00EB2D5F" w:rsidRDefault="00372E77" w:rsidP="0020584E">
      <w:pPr>
        <w:pStyle w:val="Default"/>
        <w:spacing w:line="360" w:lineRule="auto"/>
        <w:ind w:firstLine="426"/>
        <w:jc w:val="both"/>
        <w:rPr>
          <w:rFonts w:ascii="Times New Roman" w:hAnsi="Times New Roman" w:cs="Times New Roman"/>
          <w:color w:val="auto"/>
        </w:rPr>
      </w:pPr>
      <w:r w:rsidRPr="0020584E">
        <w:rPr>
          <w:rFonts w:ascii="Times New Roman" w:hAnsi="Times New Roman" w:cs="Times New Roman"/>
          <w:color w:val="auto"/>
        </w:rPr>
        <w:t>Using their annual budget as an indicator of size, 32 per cent of respondents represented ‘small’ NDPBs (i.e. a budget of less than £5 million) and 40 per cent ‘large’ (a budget of over £50 million). If the number of employees is used as a measure of size, 33 per cent of respondents were from NDPBs employing less than fifty, whilst 52 per cent o</w:t>
      </w:r>
      <w:r w:rsidRPr="00EB2D5F">
        <w:rPr>
          <w:rFonts w:ascii="Times New Roman" w:hAnsi="Times New Roman" w:cs="Times New Roman"/>
          <w:color w:val="auto"/>
        </w:rPr>
        <w:t xml:space="preserve">f respondents were from bodies employing more than 200. </w:t>
      </w:r>
      <w:r w:rsidR="00B0627A" w:rsidRPr="00EB2D5F">
        <w:rPr>
          <w:rFonts w:ascii="Times New Roman" w:hAnsi="Times New Roman" w:cs="Times New Roman"/>
          <w:color w:val="auto"/>
        </w:rPr>
        <w:t xml:space="preserve">A sizeable majority of respondents had prior experience having held board appointments before (79 per cent), with 62 per cent having two or more previous appointments. Thus, while the views expressed include those </w:t>
      </w:r>
      <w:r w:rsidR="000B21E0" w:rsidRPr="00EB2D5F">
        <w:rPr>
          <w:rFonts w:ascii="Times New Roman" w:hAnsi="Times New Roman" w:cs="Times New Roman"/>
          <w:color w:val="auto"/>
        </w:rPr>
        <w:t xml:space="preserve">from members </w:t>
      </w:r>
      <w:r w:rsidR="00B0627A" w:rsidRPr="00EB2D5F">
        <w:rPr>
          <w:rFonts w:ascii="Times New Roman" w:hAnsi="Times New Roman" w:cs="Times New Roman"/>
          <w:color w:val="auto"/>
        </w:rPr>
        <w:t>sitting on their first boards (21 per cent), it should be noted that some respondents might come from the ‘revolving door’ cohort of NDPB appointees</w:t>
      </w:r>
      <w:r w:rsidR="00593F5B" w:rsidRPr="00EB2D5F">
        <w:rPr>
          <w:rFonts w:ascii="Times New Roman" w:hAnsi="Times New Roman" w:cs="Times New Roman"/>
          <w:color w:val="auto"/>
        </w:rPr>
        <w:t>,</w:t>
      </w:r>
      <w:r w:rsidR="00B0627A" w:rsidRPr="00EB2D5F">
        <w:rPr>
          <w:rFonts w:ascii="Times New Roman" w:hAnsi="Times New Roman" w:cs="Times New Roman"/>
          <w:color w:val="auto"/>
        </w:rPr>
        <w:t xml:space="preserve"> who could be less critical of appointment </w:t>
      </w:r>
      <w:r w:rsidR="000B21E0" w:rsidRPr="00EB2D5F">
        <w:rPr>
          <w:rFonts w:ascii="Times New Roman" w:hAnsi="Times New Roman" w:cs="Times New Roman"/>
          <w:color w:val="auto"/>
        </w:rPr>
        <w:t xml:space="preserve">processes </w:t>
      </w:r>
      <w:r w:rsidR="00B0627A" w:rsidRPr="00EB2D5F">
        <w:rPr>
          <w:rFonts w:ascii="Times New Roman" w:hAnsi="Times New Roman" w:cs="Times New Roman"/>
          <w:color w:val="auto"/>
        </w:rPr>
        <w:t xml:space="preserve">and governance than newly appointees. </w:t>
      </w:r>
      <w:r w:rsidRPr="00EB2D5F">
        <w:rPr>
          <w:rFonts w:ascii="Times New Roman" w:hAnsi="Times New Roman" w:cs="Times New Roman"/>
          <w:color w:val="auto"/>
        </w:rPr>
        <w:t xml:space="preserve">With regard to the position of respondents, 20 per cent were chairs, 16 per cent CEOs, 48 per cent non-executive directors (NEDs) and 9 per cent executive directors (EDs). Seven respondents did not indicate their position. </w:t>
      </w:r>
    </w:p>
    <w:p w14:paraId="3089038D" w14:textId="27BBDD53" w:rsidR="00372E77" w:rsidRPr="00EB2D5F" w:rsidRDefault="00372E77" w:rsidP="00EB2D5F">
      <w:pPr>
        <w:autoSpaceDE w:val="0"/>
        <w:autoSpaceDN w:val="0"/>
        <w:adjustRightInd w:val="0"/>
        <w:spacing w:after="0" w:line="360" w:lineRule="auto"/>
        <w:ind w:firstLine="426"/>
        <w:jc w:val="both"/>
        <w:rPr>
          <w:rFonts w:ascii="Times New Roman" w:hAnsi="Times New Roman" w:cs="Times New Roman"/>
          <w:sz w:val="24"/>
          <w:szCs w:val="24"/>
        </w:rPr>
      </w:pPr>
      <w:r w:rsidRPr="00EB2D5F">
        <w:rPr>
          <w:rFonts w:ascii="Times New Roman" w:hAnsi="Times New Roman" w:cs="Times New Roman"/>
          <w:sz w:val="24"/>
          <w:szCs w:val="24"/>
        </w:rPr>
        <w:t xml:space="preserve">A semi-structured interview guide, informed by the theoretical issues and empirical findings discussed above, was developed in order to expand on some of the responses to the </w:t>
      </w:r>
      <w:r w:rsidR="005939A8" w:rsidRPr="00EB2D5F">
        <w:rPr>
          <w:rFonts w:ascii="Times New Roman" w:hAnsi="Times New Roman" w:cs="Times New Roman"/>
          <w:sz w:val="24"/>
          <w:szCs w:val="24"/>
        </w:rPr>
        <w:t>questionnaire</w:t>
      </w:r>
      <w:r w:rsidRPr="00E340E0">
        <w:rPr>
          <w:rFonts w:ascii="Times New Roman" w:hAnsi="Times New Roman" w:cs="Times New Roman"/>
          <w:sz w:val="24"/>
          <w:szCs w:val="24"/>
        </w:rPr>
        <w:t xml:space="preserve">. </w:t>
      </w:r>
      <w:bookmarkStart w:id="1" w:name="_Hlk482259849"/>
      <w:r w:rsidR="005939A8" w:rsidRPr="00E340E0">
        <w:rPr>
          <w:rFonts w:ascii="Times New Roman" w:hAnsi="Times New Roman" w:cs="Times New Roman"/>
          <w:sz w:val="24"/>
          <w:szCs w:val="24"/>
        </w:rPr>
        <w:t xml:space="preserve">Specifically, the NDPB’s relationship with the sponsoring department and service </w:t>
      </w:r>
      <w:r w:rsidR="005939A8" w:rsidRPr="00FB74CA">
        <w:rPr>
          <w:rFonts w:ascii="Times New Roman" w:hAnsi="Times New Roman" w:cs="Times New Roman"/>
          <w:sz w:val="24"/>
          <w:szCs w:val="24"/>
        </w:rPr>
        <w:t>users</w:t>
      </w:r>
      <w:r w:rsidR="00CF6777" w:rsidRPr="00FB74CA">
        <w:rPr>
          <w:rFonts w:ascii="Times New Roman" w:hAnsi="Times New Roman" w:cs="Times New Roman"/>
          <w:sz w:val="24"/>
          <w:szCs w:val="24"/>
        </w:rPr>
        <w:t>, from the public body’s perspective,</w:t>
      </w:r>
      <w:r w:rsidR="00583802" w:rsidRPr="008B6361">
        <w:rPr>
          <w:rFonts w:ascii="Times New Roman" w:hAnsi="Times New Roman" w:cs="Times New Roman"/>
          <w:sz w:val="24"/>
          <w:szCs w:val="24"/>
        </w:rPr>
        <w:t xml:space="preserve"> was further investigated</w:t>
      </w:r>
      <w:r w:rsidR="005939A8" w:rsidRPr="008B6361">
        <w:rPr>
          <w:rFonts w:ascii="Times New Roman" w:hAnsi="Times New Roman" w:cs="Times New Roman"/>
          <w:sz w:val="24"/>
          <w:szCs w:val="24"/>
        </w:rPr>
        <w:t xml:space="preserve">. </w:t>
      </w:r>
      <w:bookmarkEnd w:id="1"/>
      <w:r w:rsidR="009F6625">
        <w:rPr>
          <w:rFonts w:ascii="Times New Roman" w:hAnsi="Times New Roman" w:cs="Times New Roman"/>
          <w:sz w:val="24"/>
          <w:szCs w:val="24"/>
        </w:rPr>
        <w:t xml:space="preserve">With regard to the </w:t>
      </w:r>
      <w:r w:rsidR="0012042D" w:rsidRPr="00B04522">
        <w:rPr>
          <w:rFonts w:ascii="Times New Roman" w:hAnsi="Times New Roman" w:cs="Times New Roman"/>
          <w:sz w:val="24"/>
          <w:szCs w:val="24"/>
        </w:rPr>
        <w:t>NDPB’s relationship with the sponsoring department</w:t>
      </w:r>
      <w:r w:rsidR="0012042D">
        <w:rPr>
          <w:rFonts w:ascii="Times New Roman" w:hAnsi="Times New Roman" w:cs="Times New Roman"/>
          <w:sz w:val="24"/>
          <w:szCs w:val="24"/>
        </w:rPr>
        <w:t>,</w:t>
      </w:r>
      <w:r w:rsidR="009F6625">
        <w:rPr>
          <w:rFonts w:ascii="Times New Roman" w:hAnsi="Times New Roman" w:cs="Times New Roman"/>
          <w:sz w:val="24"/>
          <w:szCs w:val="24"/>
        </w:rPr>
        <w:t xml:space="preserve"> responsibility (</w:t>
      </w:r>
      <w:r w:rsidR="0012042D">
        <w:rPr>
          <w:rFonts w:ascii="Times New Roman" w:hAnsi="Times New Roman" w:cs="Times New Roman"/>
          <w:sz w:val="24"/>
          <w:szCs w:val="24"/>
        </w:rPr>
        <w:t>‘</w:t>
      </w:r>
      <w:r w:rsidR="009F6625">
        <w:rPr>
          <w:rFonts w:ascii="Times New Roman" w:hAnsi="Times New Roman" w:cs="Times New Roman"/>
          <w:sz w:val="24"/>
          <w:szCs w:val="24"/>
        </w:rPr>
        <w:t>governance delegation</w:t>
      </w:r>
      <w:r w:rsidR="0012042D">
        <w:rPr>
          <w:rFonts w:ascii="Times New Roman" w:hAnsi="Times New Roman" w:cs="Times New Roman"/>
          <w:sz w:val="24"/>
          <w:szCs w:val="24"/>
        </w:rPr>
        <w:t>’</w:t>
      </w:r>
      <w:r w:rsidR="009F6625">
        <w:rPr>
          <w:rFonts w:ascii="Times New Roman" w:hAnsi="Times New Roman" w:cs="Times New Roman"/>
          <w:sz w:val="24"/>
          <w:szCs w:val="24"/>
        </w:rPr>
        <w:t>) and decision making (</w:t>
      </w:r>
      <w:r w:rsidR="0012042D">
        <w:rPr>
          <w:rFonts w:ascii="Times New Roman" w:hAnsi="Times New Roman" w:cs="Times New Roman"/>
          <w:sz w:val="24"/>
          <w:szCs w:val="24"/>
        </w:rPr>
        <w:t>‘</w:t>
      </w:r>
      <w:r w:rsidR="009F6625">
        <w:rPr>
          <w:rFonts w:ascii="Times New Roman" w:hAnsi="Times New Roman" w:cs="Times New Roman"/>
          <w:sz w:val="24"/>
          <w:szCs w:val="24"/>
        </w:rPr>
        <w:t>independence</w:t>
      </w:r>
      <w:r w:rsidR="0012042D">
        <w:rPr>
          <w:rFonts w:ascii="Times New Roman" w:hAnsi="Times New Roman" w:cs="Times New Roman"/>
          <w:sz w:val="24"/>
          <w:szCs w:val="24"/>
        </w:rPr>
        <w:t>’</w:t>
      </w:r>
      <w:r w:rsidR="009F6625">
        <w:rPr>
          <w:rFonts w:ascii="Times New Roman" w:hAnsi="Times New Roman" w:cs="Times New Roman"/>
          <w:sz w:val="24"/>
          <w:szCs w:val="24"/>
        </w:rPr>
        <w:t xml:space="preserve"> and </w:t>
      </w:r>
      <w:r w:rsidR="0012042D">
        <w:rPr>
          <w:rFonts w:ascii="Times New Roman" w:hAnsi="Times New Roman" w:cs="Times New Roman"/>
          <w:sz w:val="24"/>
          <w:szCs w:val="24"/>
        </w:rPr>
        <w:t>‘</w:t>
      </w:r>
      <w:r w:rsidR="009F6625">
        <w:rPr>
          <w:rFonts w:ascii="Times New Roman" w:hAnsi="Times New Roman" w:cs="Times New Roman"/>
          <w:sz w:val="24"/>
          <w:szCs w:val="24"/>
        </w:rPr>
        <w:t>risk management</w:t>
      </w:r>
      <w:r w:rsidR="0012042D">
        <w:rPr>
          <w:rFonts w:ascii="Times New Roman" w:hAnsi="Times New Roman" w:cs="Times New Roman"/>
          <w:sz w:val="24"/>
          <w:szCs w:val="24"/>
        </w:rPr>
        <w:t>’</w:t>
      </w:r>
      <w:r w:rsidR="009F6625">
        <w:rPr>
          <w:rFonts w:ascii="Times New Roman" w:hAnsi="Times New Roman" w:cs="Times New Roman"/>
          <w:sz w:val="24"/>
          <w:szCs w:val="24"/>
        </w:rPr>
        <w:t>)</w:t>
      </w:r>
      <w:r w:rsidR="0012042D">
        <w:rPr>
          <w:rFonts w:ascii="Times New Roman" w:hAnsi="Times New Roman" w:cs="Times New Roman"/>
          <w:sz w:val="24"/>
          <w:szCs w:val="24"/>
        </w:rPr>
        <w:t xml:space="preserve"> emerged as key issues. </w:t>
      </w:r>
      <w:r w:rsidR="00E340E0">
        <w:rPr>
          <w:rFonts w:ascii="Times New Roman" w:hAnsi="Times New Roman" w:cs="Times New Roman"/>
          <w:sz w:val="24"/>
          <w:szCs w:val="24"/>
        </w:rPr>
        <w:t xml:space="preserve">With regard to the </w:t>
      </w:r>
      <w:r w:rsidR="00E340E0" w:rsidRPr="00B04522">
        <w:rPr>
          <w:rFonts w:ascii="Times New Roman" w:hAnsi="Times New Roman" w:cs="Times New Roman"/>
          <w:sz w:val="24"/>
          <w:szCs w:val="24"/>
        </w:rPr>
        <w:t>NDPB’s relationshi</w:t>
      </w:r>
      <w:r w:rsidR="00E340E0">
        <w:rPr>
          <w:rFonts w:ascii="Times New Roman" w:hAnsi="Times New Roman" w:cs="Times New Roman"/>
          <w:sz w:val="24"/>
          <w:szCs w:val="24"/>
        </w:rPr>
        <w:t xml:space="preserve">p with services users, the main issue related to the effectiveness of communication. </w:t>
      </w:r>
      <w:r w:rsidR="005939A8" w:rsidRPr="0020584E">
        <w:rPr>
          <w:rFonts w:ascii="Times New Roman" w:hAnsi="Times New Roman" w:cs="Times New Roman"/>
          <w:sz w:val="24"/>
          <w:szCs w:val="24"/>
        </w:rPr>
        <w:t>Moreover, given the</w:t>
      </w:r>
      <w:r w:rsidR="00583802" w:rsidRPr="0020584E">
        <w:rPr>
          <w:rFonts w:ascii="Times New Roman" w:hAnsi="Times New Roman" w:cs="Times New Roman"/>
          <w:sz w:val="24"/>
          <w:szCs w:val="24"/>
        </w:rPr>
        <w:t xml:space="preserve"> emphasis placed on transparent public appointments in the context of accountability (Independent Commission on Good Governance in Public Services 2004; </w:t>
      </w:r>
      <w:proofErr w:type="spellStart"/>
      <w:r w:rsidR="00583802" w:rsidRPr="0020584E">
        <w:rPr>
          <w:rFonts w:ascii="Times New Roman" w:hAnsi="Times New Roman" w:cs="Times New Roman"/>
          <w:sz w:val="24"/>
          <w:szCs w:val="24"/>
        </w:rPr>
        <w:t>Skelcher</w:t>
      </w:r>
      <w:proofErr w:type="spellEnd"/>
      <w:r w:rsidR="00583802" w:rsidRPr="0020584E">
        <w:rPr>
          <w:rFonts w:ascii="Times New Roman" w:hAnsi="Times New Roman" w:cs="Times New Roman"/>
          <w:sz w:val="24"/>
          <w:szCs w:val="24"/>
        </w:rPr>
        <w:t xml:space="preserve"> et al. 2013; </w:t>
      </w:r>
      <w:proofErr w:type="spellStart"/>
      <w:r w:rsidR="00583802" w:rsidRPr="0020584E">
        <w:rPr>
          <w:rFonts w:ascii="Times New Roman" w:hAnsi="Times New Roman" w:cs="Times New Roman"/>
          <w:sz w:val="24"/>
          <w:szCs w:val="24"/>
        </w:rPr>
        <w:t>HocPAC</w:t>
      </w:r>
      <w:proofErr w:type="spellEnd"/>
      <w:r w:rsidR="00583802" w:rsidRPr="0020584E">
        <w:rPr>
          <w:rFonts w:ascii="Times New Roman" w:hAnsi="Times New Roman" w:cs="Times New Roman"/>
          <w:sz w:val="24"/>
          <w:szCs w:val="24"/>
        </w:rPr>
        <w:t xml:space="preserve"> 2014) this area was also discussed.</w:t>
      </w:r>
      <w:r w:rsidR="00E340E0">
        <w:rPr>
          <w:rFonts w:ascii="Times New Roman" w:hAnsi="Times New Roman" w:cs="Times New Roman"/>
          <w:sz w:val="24"/>
          <w:szCs w:val="24"/>
        </w:rPr>
        <w:t xml:space="preserve"> </w:t>
      </w:r>
      <w:r w:rsidRPr="0020584E">
        <w:rPr>
          <w:rFonts w:ascii="Times New Roman" w:hAnsi="Times New Roman" w:cs="Times New Roman"/>
          <w:sz w:val="24"/>
          <w:szCs w:val="24"/>
        </w:rPr>
        <w:t>Respondents who had indicated in the survey that they were willing to be inte</w:t>
      </w:r>
      <w:r w:rsidRPr="00EB2D5F">
        <w:rPr>
          <w:rFonts w:ascii="Times New Roman" w:hAnsi="Times New Roman" w:cs="Times New Roman"/>
          <w:sz w:val="24"/>
          <w:szCs w:val="24"/>
        </w:rPr>
        <w:t>rviewed were subsequently contacted by the researchers, with the interviews taking place between May-September 2015. Given the difficulties of gaining access to interviewees, NI’s provincial nature, the potential sensitivities of the matters being discusse</w:t>
      </w:r>
      <w:r w:rsidRPr="00E340E0">
        <w:rPr>
          <w:rFonts w:ascii="Times New Roman" w:hAnsi="Times New Roman" w:cs="Times New Roman"/>
          <w:sz w:val="24"/>
          <w:szCs w:val="24"/>
        </w:rPr>
        <w:t xml:space="preserve">d and the researchers’ desire for the interviewees to be as candid as possible, each potential interviewee was informed </w:t>
      </w:r>
      <w:r w:rsidR="00EC55EF" w:rsidRPr="00E340E0">
        <w:rPr>
          <w:rFonts w:ascii="Times New Roman" w:hAnsi="Times New Roman" w:cs="Times New Roman"/>
          <w:sz w:val="24"/>
          <w:szCs w:val="24"/>
        </w:rPr>
        <w:t>(prior to agreeing to be interviewed) that the interviews would be reported</w:t>
      </w:r>
      <w:r w:rsidR="001D6936" w:rsidRPr="00E340E0">
        <w:rPr>
          <w:rFonts w:ascii="Times New Roman" w:hAnsi="Times New Roman" w:cs="Times New Roman"/>
          <w:sz w:val="24"/>
          <w:szCs w:val="24"/>
        </w:rPr>
        <w:t xml:space="preserve"> in a </w:t>
      </w:r>
      <w:r w:rsidR="001D6936" w:rsidRPr="00E340E0">
        <w:rPr>
          <w:rFonts w:ascii="Times New Roman" w:hAnsi="Times New Roman" w:cs="Times New Roman"/>
          <w:sz w:val="24"/>
          <w:szCs w:val="24"/>
        </w:rPr>
        <w:lastRenderedPageBreak/>
        <w:t xml:space="preserve">completely anonymised format so that specific statements could not be attributed to particular individuals. </w:t>
      </w:r>
      <w:r w:rsidR="00EC55EF" w:rsidRPr="00E340E0">
        <w:rPr>
          <w:rFonts w:ascii="Times New Roman" w:hAnsi="Times New Roman" w:cs="Times New Roman"/>
          <w:sz w:val="24"/>
          <w:szCs w:val="24"/>
        </w:rPr>
        <w:t xml:space="preserve">It was considered that such assurances were necessary to increase the number of participants and the quality of participation. </w:t>
      </w:r>
      <w:r w:rsidR="000B21E0" w:rsidRPr="00E340E0">
        <w:rPr>
          <w:rFonts w:ascii="Times New Roman" w:hAnsi="Times New Roman" w:cs="Times New Roman"/>
          <w:sz w:val="24"/>
          <w:szCs w:val="24"/>
        </w:rPr>
        <w:t>However,</w:t>
      </w:r>
      <w:r w:rsidR="00EC55EF" w:rsidRPr="00E340E0">
        <w:rPr>
          <w:rFonts w:ascii="Times New Roman" w:hAnsi="Times New Roman" w:cs="Times New Roman"/>
          <w:sz w:val="24"/>
          <w:szCs w:val="24"/>
        </w:rPr>
        <w:t xml:space="preserve"> each interviewee has been given a unique reference (I1-I27) so as to illustrate that the views are expressed by a range of individuals</w:t>
      </w:r>
      <w:r w:rsidR="000B21E0" w:rsidRPr="00E340E0">
        <w:rPr>
          <w:rFonts w:ascii="Times New Roman" w:hAnsi="Times New Roman" w:cs="Times New Roman"/>
          <w:sz w:val="24"/>
          <w:szCs w:val="24"/>
        </w:rPr>
        <w:t>,</w:t>
      </w:r>
      <w:r w:rsidR="00EC55EF" w:rsidRPr="00E340E0">
        <w:rPr>
          <w:rFonts w:ascii="Times New Roman" w:hAnsi="Times New Roman" w:cs="Times New Roman"/>
          <w:sz w:val="24"/>
          <w:szCs w:val="24"/>
        </w:rPr>
        <w:t xml:space="preserve"> enable the reader to identify comments from the same interviewee, while maintaining confidentiality</w:t>
      </w:r>
      <w:r w:rsidR="005238BE" w:rsidRPr="00E340E0">
        <w:rPr>
          <w:rFonts w:ascii="Times New Roman" w:hAnsi="Times New Roman" w:cs="Times New Roman"/>
          <w:sz w:val="24"/>
          <w:szCs w:val="24"/>
        </w:rPr>
        <w:t>,</w:t>
      </w:r>
      <w:r w:rsidR="000B21E0" w:rsidRPr="00E340E0">
        <w:rPr>
          <w:rFonts w:ascii="Times New Roman" w:hAnsi="Times New Roman" w:cs="Times New Roman"/>
          <w:sz w:val="24"/>
          <w:szCs w:val="24"/>
        </w:rPr>
        <w:t xml:space="preserve"> and</w:t>
      </w:r>
      <w:r w:rsidRPr="00E340E0">
        <w:rPr>
          <w:rFonts w:ascii="Times New Roman" w:hAnsi="Times New Roman" w:cs="Times New Roman"/>
          <w:sz w:val="24"/>
          <w:szCs w:val="24"/>
        </w:rPr>
        <w:t xml:space="preserve"> reflect some of the diversity of opinions</w:t>
      </w:r>
      <w:r w:rsidRPr="0020584E">
        <w:rPr>
          <w:rStyle w:val="EndnoteReference"/>
          <w:rFonts w:ascii="Times New Roman" w:hAnsi="Times New Roman" w:cs="Times New Roman"/>
          <w:sz w:val="24"/>
          <w:szCs w:val="24"/>
        </w:rPr>
        <w:endnoteReference w:id="3"/>
      </w:r>
      <w:r w:rsidRPr="0020584E">
        <w:rPr>
          <w:rFonts w:ascii="Times New Roman" w:hAnsi="Times New Roman" w:cs="Times New Roman"/>
          <w:sz w:val="24"/>
          <w:szCs w:val="24"/>
        </w:rPr>
        <w:t xml:space="preserve">. In total, the authors conducted twenty seven interviews, which ranged from one to two hours. All interviewees, each of whom held a senior role in their organization, allowed their interviews to be recorded, with notes also being taken. The tapes were transcribed immediately to ensure accuracy </w:t>
      </w:r>
      <w:r w:rsidRPr="00EB2D5F">
        <w:rPr>
          <w:rFonts w:ascii="Times New Roman" w:hAnsi="Times New Roman" w:cs="Times New Roman"/>
          <w:sz w:val="24"/>
          <w:szCs w:val="24"/>
        </w:rPr>
        <w:t xml:space="preserve">and comprehension. </w:t>
      </w:r>
    </w:p>
    <w:p w14:paraId="1359F4FE" w14:textId="77777777" w:rsidR="00D76E12" w:rsidRPr="00EB2D5F" w:rsidRDefault="00D76E12" w:rsidP="00EB2D5F">
      <w:pPr>
        <w:pStyle w:val="Default"/>
        <w:spacing w:line="360" w:lineRule="auto"/>
        <w:jc w:val="both"/>
        <w:rPr>
          <w:rFonts w:ascii="Times New Roman" w:hAnsi="Times New Roman" w:cs="Times New Roman"/>
          <w:color w:val="auto"/>
        </w:rPr>
      </w:pPr>
    </w:p>
    <w:p w14:paraId="7D1873A9" w14:textId="77777777" w:rsidR="00D76E12" w:rsidRPr="00FB74CA" w:rsidRDefault="00D76E12" w:rsidP="00FB74CA">
      <w:pPr>
        <w:spacing w:after="0" w:line="360" w:lineRule="auto"/>
        <w:jc w:val="both"/>
        <w:rPr>
          <w:rFonts w:ascii="Times New Roman" w:hAnsi="Times New Roman" w:cs="Times New Roman"/>
          <w:b/>
          <w:sz w:val="24"/>
          <w:szCs w:val="24"/>
        </w:rPr>
      </w:pPr>
      <w:r w:rsidRPr="00FB74CA">
        <w:rPr>
          <w:rFonts w:ascii="Times New Roman" w:hAnsi="Times New Roman" w:cs="Times New Roman"/>
          <w:b/>
          <w:sz w:val="24"/>
          <w:szCs w:val="24"/>
        </w:rPr>
        <w:t>FINDINGS</w:t>
      </w:r>
    </w:p>
    <w:p w14:paraId="2E1A0DDC" w14:textId="77777777" w:rsidR="00D76E12" w:rsidRPr="008B6361" w:rsidRDefault="00D76E12" w:rsidP="008B6361">
      <w:pPr>
        <w:spacing w:after="0" w:line="360" w:lineRule="auto"/>
        <w:jc w:val="both"/>
        <w:rPr>
          <w:rFonts w:ascii="Times New Roman" w:hAnsi="Times New Roman" w:cs="Times New Roman"/>
          <w:b/>
          <w:sz w:val="24"/>
          <w:szCs w:val="24"/>
        </w:rPr>
      </w:pPr>
    </w:p>
    <w:p w14:paraId="38928751" w14:textId="3B1E8FE8" w:rsidR="00D76E12" w:rsidRPr="00015EC5" w:rsidRDefault="00D76E12" w:rsidP="00015EC5">
      <w:pPr>
        <w:pStyle w:val="Default"/>
        <w:spacing w:line="360" w:lineRule="auto"/>
        <w:jc w:val="both"/>
        <w:rPr>
          <w:rFonts w:ascii="Times New Roman" w:hAnsi="Times New Roman" w:cs="Times New Roman"/>
          <w:color w:val="auto"/>
        </w:rPr>
      </w:pPr>
      <w:r w:rsidRPr="00015EC5">
        <w:rPr>
          <w:rFonts w:ascii="Times New Roman" w:hAnsi="Times New Roman" w:cs="Times New Roman"/>
          <w:color w:val="auto"/>
        </w:rPr>
        <w:t xml:space="preserve">The Independent Commission on Good Governance in Public Services (2004) and International Federation of Accountants/Chartered Institute of Public Finance and Accountancy (2014) build upon the Nolan Principles (Committee on Standards in Public Life 1995), one of which is accountability. Using a seven-point Likert scale, respondents were initially asked whether their board culture and its decision-making processes reflected the Nolan Principles, with ‘seven’ indicating </w:t>
      </w:r>
      <w:r w:rsidR="00625D19">
        <w:rPr>
          <w:rFonts w:ascii="Times New Roman" w:hAnsi="Times New Roman" w:cs="Times New Roman"/>
          <w:color w:val="auto"/>
        </w:rPr>
        <w:t xml:space="preserve">a </w:t>
      </w:r>
      <w:r w:rsidRPr="00015EC5">
        <w:rPr>
          <w:rFonts w:ascii="Times New Roman" w:hAnsi="Times New Roman" w:cs="Times New Roman"/>
          <w:color w:val="auto"/>
        </w:rPr>
        <w:t xml:space="preserve">complete </w:t>
      </w:r>
      <w:r w:rsidR="00625D19">
        <w:rPr>
          <w:rFonts w:ascii="Times New Roman" w:hAnsi="Times New Roman" w:cs="Times New Roman"/>
          <w:color w:val="auto"/>
        </w:rPr>
        <w:t>reflection</w:t>
      </w:r>
      <w:r w:rsidRPr="00015EC5">
        <w:rPr>
          <w:rFonts w:ascii="Times New Roman" w:hAnsi="Times New Roman" w:cs="Times New Roman"/>
          <w:color w:val="auto"/>
        </w:rPr>
        <w:t xml:space="preserve">. The results were positive, with </w:t>
      </w:r>
      <w:r w:rsidR="00EE259D" w:rsidRPr="00015EC5">
        <w:rPr>
          <w:rFonts w:ascii="Times New Roman" w:hAnsi="Times New Roman" w:cs="Times New Roman"/>
          <w:color w:val="auto"/>
        </w:rPr>
        <w:t>an average score of 6.18 (see Table 1, question 1)</w:t>
      </w:r>
      <w:r w:rsidRPr="00015EC5">
        <w:rPr>
          <w:rFonts w:ascii="Times New Roman" w:hAnsi="Times New Roman" w:cs="Times New Roman"/>
          <w:color w:val="auto"/>
        </w:rPr>
        <w:t>. Two noteworthy issues are: firstly, there was a high degree of recognition of the principles; and secondly, the high scoring further reflects the relevance respondents attach to the principles in terms of their application to decision making in practice. However, in the open responses to the questionnaire and the interviews, a number of participants expressed dissatisfaction with current decision-making processes, commenting that such processes were complex and that the proximity to decision making was further removed than expected when initially joining the board. This may be as a result of NI NDPBs not formulating strategy, but putting into practice that emanating from their sponsoring departments. Respondents and interviewees also referred to the protracted nature of decision making, with a common theme being ‘the civil service way of doing things’</w:t>
      </w:r>
      <w:r w:rsidR="00146CE1" w:rsidRPr="00015EC5">
        <w:rPr>
          <w:rFonts w:ascii="Times New Roman" w:hAnsi="Times New Roman" w:cs="Times New Roman"/>
          <w:color w:val="auto"/>
        </w:rPr>
        <w:t xml:space="preserve"> (I13)</w:t>
      </w:r>
      <w:r w:rsidRPr="00015EC5">
        <w:rPr>
          <w:rFonts w:ascii="Times New Roman" w:hAnsi="Times New Roman" w:cs="Times New Roman"/>
          <w:color w:val="auto"/>
        </w:rPr>
        <w:t xml:space="preserve">. Furthermore, there was a belief that process outweighed outcome, the result of which was a tendency for board members to be reactive rather than proactive and reticent about making decisions for fear of being criticized. This is discussed further when addressing the boards’ relationship with their sponsoring departments. </w:t>
      </w:r>
    </w:p>
    <w:p w14:paraId="3F0CF1C5" w14:textId="77777777" w:rsidR="00C2150D" w:rsidRPr="00015EC5" w:rsidRDefault="00C2150D" w:rsidP="00015EC5">
      <w:pPr>
        <w:spacing w:after="0" w:line="360" w:lineRule="auto"/>
        <w:ind w:firstLine="426"/>
        <w:jc w:val="both"/>
        <w:rPr>
          <w:rFonts w:ascii="Times New Roman" w:hAnsi="Times New Roman" w:cs="Times New Roman"/>
          <w:sz w:val="24"/>
          <w:szCs w:val="24"/>
        </w:rPr>
      </w:pPr>
    </w:p>
    <w:p w14:paraId="3D2B3D51" w14:textId="77777777" w:rsidR="00C2150D" w:rsidRDefault="00C2150D" w:rsidP="00015EC5">
      <w:pPr>
        <w:autoSpaceDE w:val="0"/>
        <w:autoSpaceDN w:val="0"/>
        <w:adjustRightInd w:val="0"/>
        <w:spacing w:after="0" w:line="240" w:lineRule="auto"/>
        <w:rPr>
          <w:rFonts w:ascii="Times New Roman" w:eastAsia="Calibri" w:hAnsi="Times New Roman" w:cs="Times New Roman"/>
          <w:b/>
          <w:color w:val="000000"/>
          <w:sz w:val="24"/>
          <w:szCs w:val="24"/>
        </w:rPr>
      </w:pPr>
      <w:r w:rsidRPr="00015EC5">
        <w:rPr>
          <w:rFonts w:ascii="Times New Roman" w:eastAsia="Calibri" w:hAnsi="Times New Roman" w:cs="Times New Roman"/>
          <w:b/>
          <w:color w:val="000000"/>
          <w:sz w:val="24"/>
          <w:szCs w:val="24"/>
        </w:rPr>
        <w:lastRenderedPageBreak/>
        <w:t>Table 1: Responses to questionnaire</w:t>
      </w:r>
    </w:p>
    <w:p w14:paraId="7BC9E374" w14:textId="77777777" w:rsidR="000E7453" w:rsidRPr="0020584E" w:rsidRDefault="000E7453" w:rsidP="00015EC5">
      <w:pPr>
        <w:autoSpaceDE w:val="0"/>
        <w:autoSpaceDN w:val="0"/>
        <w:adjustRightInd w:val="0"/>
        <w:spacing w:after="0" w:line="240" w:lineRule="auto"/>
        <w:rPr>
          <w:rFonts w:ascii="Times New Roman" w:eastAsia="Calibri" w:hAnsi="Times New Roman" w:cs="Times New Roman"/>
          <w:color w:val="000000"/>
          <w:sz w:val="24"/>
          <w:szCs w:val="24"/>
        </w:rPr>
      </w:pPr>
    </w:p>
    <w:tbl>
      <w:tblPr>
        <w:tblStyle w:val="TableGrid"/>
        <w:tblW w:w="5000" w:type="pct"/>
        <w:tblLook w:val="04A0" w:firstRow="1" w:lastRow="0" w:firstColumn="1" w:lastColumn="0" w:noHBand="0" w:noVBand="1"/>
      </w:tblPr>
      <w:tblGrid>
        <w:gridCol w:w="4522"/>
        <w:gridCol w:w="1588"/>
        <w:gridCol w:w="1588"/>
        <w:gridCol w:w="1588"/>
      </w:tblGrid>
      <w:tr w:rsidR="00C2150D" w:rsidRPr="00015EC5" w14:paraId="315748C8" w14:textId="77777777" w:rsidTr="00287B5C">
        <w:trPr>
          <w:tblHeader/>
        </w:trPr>
        <w:tc>
          <w:tcPr>
            <w:tcW w:w="2435" w:type="pct"/>
            <w:tcBorders>
              <w:top w:val="single" w:sz="4" w:space="0" w:color="auto"/>
              <w:left w:val="nil"/>
              <w:bottom w:val="single" w:sz="4" w:space="0" w:color="auto"/>
              <w:right w:val="nil"/>
            </w:tcBorders>
          </w:tcPr>
          <w:p w14:paraId="3EDC248B" w14:textId="77777777" w:rsidR="00C2150D" w:rsidRPr="0020584E" w:rsidRDefault="00C2150D" w:rsidP="0020584E">
            <w:pPr>
              <w:autoSpaceDE w:val="0"/>
              <w:autoSpaceDN w:val="0"/>
              <w:adjustRightInd w:val="0"/>
              <w:jc w:val="center"/>
              <w:rPr>
                <w:rFonts w:ascii="Times New Roman" w:eastAsia="Calibri" w:hAnsi="Times New Roman" w:cs="Times New Roman"/>
                <w:b/>
                <w:color w:val="000000"/>
                <w:sz w:val="24"/>
                <w:szCs w:val="24"/>
              </w:rPr>
            </w:pPr>
            <w:r w:rsidRPr="0020584E">
              <w:rPr>
                <w:rFonts w:ascii="Times New Roman" w:eastAsia="Calibri" w:hAnsi="Times New Roman" w:cs="Times New Roman"/>
                <w:b/>
                <w:color w:val="000000"/>
                <w:sz w:val="24"/>
                <w:szCs w:val="24"/>
              </w:rPr>
              <w:t>Question</w:t>
            </w:r>
          </w:p>
        </w:tc>
        <w:tc>
          <w:tcPr>
            <w:tcW w:w="2565" w:type="pct"/>
            <w:gridSpan w:val="3"/>
            <w:tcBorders>
              <w:top w:val="single" w:sz="4" w:space="0" w:color="auto"/>
              <w:left w:val="nil"/>
              <w:bottom w:val="single" w:sz="4" w:space="0" w:color="auto"/>
              <w:right w:val="nil"/>
            </w:tcBorders>
            <w:vAlign w:val="bottom"/>
          </w:tcPr>
          <w:p w14:paraId="1E72B35A" w14:textId="4E31E7D1" w:rsidR="00C2150D" w:rsidRPr="0020584E" w:rsidRDefault="00C2150D" w:rsidP="0020584E">
            <w:pPr>
              <w:autoSpaceDE w:val="0"/>
              <w:autoSpaceDN w:val="0"/>
              <w:adjustRightInd w:val="0"/>
              <w:jc w:val="center"/>
              <w:rPr>
                <w:rFonts w:ascii="Times New Roman" w:eastAsia="Calibri" w:hAnsi="Times New Roman" w:cs="Times New Roman"/>
                <w:b/>
                <w:color w:val="000000"/>
                <w:sz w:val="24"/>
                <w:szCs w:val="24"/>
              </w:rPr>
            </w:pPr>
            <w:r w:rsidRPr="0020584E">
              <w:rPr>
                <w:rFonts w:ascii="Times New Roman" w:eastAsia="Calibri" w:hAnsi="Times New Roman" w:cs="Times New Roman"/>
                <w:b/>
                <w:color w:val="000000"/>
                <w:sz w:val="24"/>
                <w:szCs w:val="24"/>
              </w:rPr>
              <w:t>Likert Scale Results</w:t>
            </w:r>
            <w:r w:rsidR="00625D19">
              <w:rPr>
                <w:rFonts w:ascii="Times New Roman" w:eastAsia="Calibri" w:hAnsi="Times New Roman" w:cs="Times New Roman"/>
                <w:b/>
                <w:color w:val="000000"/>
                <w:sz w:val="24"/>
                <w:szCs w:val="24"/>
              </w:rPr>
              <w:t xml:space="preserve"> – Average Score</w:t>
            </w:r>
          </w:p>
        </w:tc>
      </w:tr>
      <w:tr w:rsidR="00C2150D" w:rsidRPr="00015EC5" w14:paraId="30E0C156" w14:textId="77777777" w:rsidTr="0020584E">
        <w:tc>
          <w:tcPr>
            <w:tcW w:w="2435" w:type="pct"/>
            <w:tcBorders>
              <w:top w:val="single" w:sz="4" w:space="0" w:color="auto"/>
              <w:left w:val="nil"/>
              <w:bottom w:val="nil"/>
              <w:right w:val="nil"/>
            </w:tcBorders>
          </w:tcPr>
          <w:p w14:paraId="7C8FE643" w14:textId="77777777" w:rsidR="00C2150D" w:rsidRPr="0020584E" w:rsidRDefault="00C2150D" w:rsidP="0020584E">
            <w:pPr>
              <w:numPr>
                <w:ilvl w:val="0"/>
                <w:numId w:val="7"/>
              </w:numPr>
              <w:autoSpaceDE w:val="0"/>
              <w:autoSpaceDN w:val="0"/>
              <w:adjustRightInd w:val="0"/>
              <w:ind w:left="454" w:hanging="425"/>
              <w:rPr>
                <w:rFonts w:ascii="Times New Roman" w:eastAsia="Calibri" w:hAnsi="Times New Roman" w:cs="Times New Roman"/>
                <w:color w:val="000000"/>
                <w:sz w:val="24"/>
                <w:szCs w:val="24"/>
              </w:rPr>
            </w:pPr>
            <w:r w:rsidRPr="0020584E">
              <w:rPr>
                <w:rFonts w:ascii="Times New Roman" w:eastAsia="Calibri" w:hAnsi="Times New Roman" w:cs="Times New Roman"/>
                <w:color w:val="000000"/>
                <w:sz w:val="24"/>
                <w:szCs w:val="24"/>
              </w:rPr>
              <w:t>How does your board’s decision making reflect the Nolan Principles?</w:t>
            </w:r>
          </w:p>
        </w:tc>
        <w:tc>
          <w:tcPr>
            <w:tcW w:w="2565" w:type="pct"/>
            <w:gridSpan w:val="3"/>
            <w:tcBorders>
              <w:top w:val="single" w:sz="4" w:space="0" w:color="auto"/>
              <w:left w:val="nil"/>
              <w:bottom w:val="nil"/>
              <w:right w:val="nil"/>
            </w:tcBorders>
            <w:vAlign w:val="bottom"/>
          </w:tcPr>
          <w:p w14:paraId="37818EBA" w14:textId="77777777" w:rsidR="00C2150D" w:rsidRPr="0020584E" w:rsidRDefault="00C2150D" w:rsidP="0020584E">
            <w:pPr>
              <w:autoSpaceDE w:val="0"/>
              <w:autoSpaceDN w:val="0"/>
              <w:adjustRightInd w:val="0"/>
              <w:jc w:val="center"/>
              <w:rPr>
                <w:rFonts w:ascii="Times New Roman" w:eastAsia="Calibri" w:hAnsi="Times New Roman" w:cs="Times New Roman"/>
                <w:color w:val="000000"/>
                <w:sz w:val="24"/>
                <w:szCs w:val="24"/>
              </w:rPr>
            </w:pPr>
            <w:r w:rsidRPr="0020584E">
              <w:rPr>
                <w:rFonts w:ascii="Times New Roman" w:eastAsia="Calibri" w:hAnsi="Times New Roman" w:cs="Times New Roman"/>
                <w:color w:val="000000"/>
                <w:sz w:val="24"/>
                <w:szCs w:val="24"/>
              </w:rPr>
              <w:t xml:space="preserve">[1 = does not reflect, 7 = completely reflects] </w:t>
            </w:r>
          </w:p>
          <w:p w14:paraId="004D4F1D" w14:textId="77777777" w:rsidR="00C2150D" w:rsidRPr="0020584E" w:rsidRDefault="00C2150D" w:rsidP="0020584E">
            <w:pPr>
              <w:autoSpaceDE w:val="0"/>
              <w:autoSpaceDN w:val="0"/>
              <w:adjustRightInd w:val="0"/>
              <w:jc w:val="center"/>
              <w:rPr>
                <w:rFonts w:ascii="Times New Roman" w:eastAsia="Calibri" w:hAnsi="Times New Roman" w:cs="Times New Roman"/>
                <w:color w:val="000000"/>
                <w:sz w:val="24"/>
                <w:szCs w:val="24"/>
              </w:rPr>
            </w:pPr>
            <w:r w:rsidRPr="0020584E">
              <w:rPr>
                <w:rFonts w:ascii="Times New Roman" w:eastAsia="Calibri" w:hAnsi="Times New Roman" w:cs="Times New Roman"/>
                <w:color w:val="000000"/>
                <w:sz w:val="24"/>
                <w:szCs w:val="24"/>
              </w:rPr>
              <w:t>6.18</w:t>
            </w:r>
          </w:p>
        </w:tc>
      </w:tr>
      <w:tr w:rsidR="00C2150D" w:rsidRPr="00015EC5" w14:paraId="20D3F498" w14:textId="77777777" w:rsidTr="0020584E">
        <w:tc>
          <w:tcPr>
            <w:tcW w:w="2435" w:type="pct"/>
            <w:tcBorders>
              <w:top w:val="nil"/>
              <w:left w:val="nil"/>
              <w:bottom w:val="nil"/>
              <w:right w:val="nil"/>
            </w:tcBorders>
          </w:tcPr>
          <w:p w14:paraId="3965C3C1" w14:textId="77777777" w:rsidR="00C2150D" w:rsidRPr="0020584E" w:rsidRDefault="00C2150D" w:rsidP="0020584E">
            <w:pPr>
              <w:numPr>
                <w:ilvl w:val="0"/>
                <w:numId w:val="7"/>
              </w:numPr>
              <w:autoSpaceDE w:val="0"/>
              <w:autoSpaceDN w:val="0"/>
              <w:adjustRightInd w:val="0"/>
              <w:ind w:left="454" w:hanging="425"/>
              <w:rPr>
                <w:rFonts w:ascii="Times New Roman" w:eastAsia="Calibri" w:hAnsi="Times New Roman" w:cs="Times New Roman"/>
                <w:color w:val="000000"/>
                <w:sz w:val="24"/>
                <w:szCs w:val="24"/>
              </w:rPr>
            </w:pPr>
            <w:r w:rsidRPr="0020584E">
              <w:rPr>
                <w:rFonts w:ascii="Times New Roman" w:eastAsia="Calibri" w:hAnsi="Times New Roman" w:cs="Times New Roman"/>
                <w:color w:val="000000"/>
                <w:sz w:val="24"/>
                <w:szCs w:val="24"/>
              </w:rPr>
              <w:t>Are vision and values at the forefront of decision making?</w:t>
            </w:r>
          </w:p>
        </w:tc>
        <w:tc>
          <w:tcPr>
            <w:tcW w:w="2565" w:type="pct"/>
            <w:gridSpan w:val="3"/>
            <w:tcBorders>
              <w:top w:val="nil"/>
              <w:left w:val="nil"/>
              <w:bottom w:val="nil"/>
              <w:right w:val="nil"/>
            </w:tcBorders>
            <w:vAlign w:val="bottom"/>
          </w:tcPr>
          <w:p w14:paraId="10139E3B" w14:textId="77777777" w:rsidR="00C2150D" w:rsidRPr="0020584E" w:rsidRDefault="00C2150D" w:rsidP="0020584E">
            <w:pPr>
              <w:autoSpaceDE w:val="0"/>
              <w:autoSpaceDN w:val="0"/>
              <w:adjustRightInd w:val="0"/>
              <w:jc w:val="center"/>
              <w:rPr>
                <w:rFonts w:ascii="Times New Roman" w:eastAsia="Calibri" w:hAnsi="Times New Roman" w:cs="Times New Roman"/>
                <w:color w:val="000000"/>
                <w:sz w:val="24"/>
                <w:szCs w:val="24"/>
              </w:rPr>
            </w:pPr>
            <w:r w:rsidRPr="0020584E">
              <w:rPr>
                <w:rFonts w:ascii="Times New Roman" w:eastAsia="Calibri" w:hAnsi="Times New Roman" w:cs="Times New Roman"/>
                <w:color w:val="000000"/>
                <w:sz w:val="24"/>
                <w:szCs w:val="24"/>
              </w:rPr>
              <w:t xml:space="preserve">[1 = never, 5 = all the time] </w:t>
            </w:r>
          </w:p>
          <w:p w14:paraId="5BA9EC1D" w14:textId="77777777" w:rsidR="00C2150D" w:rsidRPr="0020584E" w:rsidRDefault="00C2150D" w:rsidP="0020584E">
            <w:pPr>
              <w:autoSpaceDE w:val="0"/>
              <w:autoSpaceDN w:val="0"/>
              <w:adjustRightInd w:val="0"/>
              <w:jc w:val="center"/>
              <w:rPr>
                <w:rFonts w:ascii="Times New Roman" w:eastAsia="Calibri" w:hAnsi="Times New Roman" w:cs="Times New Roman"/>
                <w:color w:val="000000"/>
                <w:sz w:val="24"/>
                <w:szCs w:val="24"/>
              </w:rPr>
            </w:pPr>
            <w:r w:rsidRPr="0020584E">
              <w:rPr>
                <w:rFonts w:ascii="Times New Roman" w:eastAsia="Calibri" w:hAnsi="Times New Roman" w:cs="Times New Roman"/>
                <w:color w:val="000000"/>
                <w:sz w:val="24"/>
                <w:szCs w:val="24"/>
              </w:rPr>
              <w:t>3.64</w:t>
            </w:r>
          </w:p>
        </w:tc>
      </w:tr>
      <w:tr w:rsidR="00C2150D" w:rsidRPr="00015EC5" w14:paraId="4305D51D" w14:textId="77777777" w:rsidTr="0020584E">
        <w:tc>
          <w:tcPr>
            <w:tcW w:w="2435" w:type="pct"/>
            <w:tcBorders>
              <w:top w:val="nil"/>
              <w:left w:val="nil"/>
              <w:bottom w:val="nil"/>
              <w:right w:val="nil"/>
            </w:tcBorders>
          </w:tcPr>
          <w:p w14:paraId="7E5B3FCF" w14:textId="77777777" w:rsidR="00C2150D" w:rsidRPr="0020584E" w:rsidRDefault="00C2150D" w:rsidP="0020584E">
            <w:pPr>
              <w:autoSpaceDE w:val="0"/>
              <w:autoSpaceDN w:val="0"/>
              <w:adjustRightInd w:val="0"/>
              <w:ind w:left="454"/>
              <w:rPr>
                <w:rFonts w:ascii="Times New Roman" w:eastAsia="Calibri" w:hAnsi="Times New Roman" w:cs="Times New Roman"/>
                <w:color w:val="000000"/>
                <w:sz w:val="24"/>
                <w:szCs w:val="24"/>
              </w:rPr>
            </w:pPr>
          </w:p>
        </w:tc>
        <w:tc>
          <w:tcPr>
            <w:tcW w:w="855" w:type="pct"/>
            <w:tcBorders>
              <w:top w:val="nil"/>
              <w:left w:val="nil"/>
              <w:bottom w:val="nil"/>
              <w:right w:val="nil"/>
            </w:tcBorders>
            <w:vAlign w:val="bottom"/>
          </w:tcPr>
          <w:p w14:paraId="0DABEB2D" w14:textId="77777777" w:rsidR="00C2150D" w:rsidRPr="0020584E" w:rsidRDefault="00C2150D" w:rsidP="0020584E">
            <w:pPr>
              <w:autoSpaceDE w:val="0"/>
              <w:autoSpaceDN w:val="0"/>
              <w:adjustRightInd w:val="0"/>
              <w:jc w:val="center"/>
              <w:rPr>
                <w:rFonts w:ascii="Times New Roman" w:eastAsia="Calibri" w:hAnsi="Times New Roman" w:cs="Times New Roman"/>
                <w:b/>
                <w:color w:val="000000"/>
                <w:sz w:val="24"/>
                <w:szCs w:val="24"/>
              </w:rPr>
            </w:pPr>
            <w:r w:rsidRPr="0020584E">
              <w:rPr>
                <w:rFonts w:ascii="Times New Roman" w:eastAsia="Calibri" w:hAnsi="Times New Roman" w:cs="Times New Roman"/>
                <w:b/>
                <w:color w:val="000000"/>
                <w:sz w:val="24"/>
                <w:szCs w:val="24"/>
              </w:rPr>
              <w:t>Yes</w:t>
            </w:r>
          </w:p>
        </w:tc>
        <w:tc>
          <w:tcPr>
            <w:tcW w:w="855" w:type="pct"/>
            <w:tcBorders>
              <w:top w:val="nil"/>
              <w:left w:val="nil"/>
              <w:bottom w:val="nil"/>
              <w:right w:val="nil"/>
            </w:tcBorders>
            <w:vAlign w:val="bottom"/>
          </w:tcPr>
          <w:p w14:paraId="1769E44F" w14:textId="77777777" w:rsidR="00C2150D" w:rsidRPr="0020584E" w:rsidRDefault="00C2150D" w:rsidP="0020584E">
            <w:pPr>
              <w:autoSpaceDE w:val="0"/>
              <w:autoSpaceDN w:val="0"/>
              <w:adjustRightInd w:val="0"/>
              <w:jc w:val="center"/>
              <w:rPr>
                <w:rFonts w:ascii="Times New Roman" w:eastAsia="Calibri" w:hAnsi="Times New Roman" w:cs="Times New Roman"/>
                <w:b/>
                <w:color w:val="000000"/>
                <w:sz w:val="24"/>
                <w:szCs w:val="24"/>
              </w:rPr>
            </w:pPr>
            <w:r w:rsidRPr="0020584E">
              <w:rPr>
                <w:rFonts w:ascii="Times New Roman" w:eastAsia="Calibri" w:hAnsi="Times New Roman" w:cs="Times New Roman"/>
                <w:b/>
                <w:color w:val="000000"/>
                <w:sz w:val="24"/>
                <w:szCs w:val="24"/>
              </w:rPr>
              <w:t>No</w:t>
            </w:r>
          </w:p>
        </w:tc>
        <w:tc>
          <w:tcPr>
            <w:tcW w:w="855" w:type="pct"/>
            <w:tcBorders>
              <w:top w:val="nil"/>
              <w:left w:val="nil"/>
              <w:bottom w:val="nil"/>
              <w:right w:val="nil"/>
            </w:tcBorders>
            <w:vAlign w:val="bottom"/>
          </w:tcPr>
          <w:p w14:paraId="54685EB3" w14:textId="77777777" w:rsidR="00C2150D" w:rsidRPr="00EB2D5F" w:rsidRDefault="00C2150D" w:rsidP="00EB2D5F">
            <w:pPr>
              <w:autoSpaceDE w:val="0"/>
              <w:autoSpaceDN w:val="0"/>
              <w:adjustRightInd w:val="0"/>
              <w:jc w:val="center"/>
              <w:rPr>
                <w:rFonts w:ascii="Times New Roman" w:eastAsia="Calibri" w:hAnsi="Times New Roman" w:cs="Times New Roman"/>
                <w:b/>
                <w:color w:val="000000"/>
                <w:sz w:val="24"/>
                <w:szCs w:val="24"/>
              </w:rPr>
            </w:pPr>
            <w:r w:rsidRPr="00EB2D5F">
              <w:rPr>
                <w:rFonts w:ascii="Times New Roman" w:eastAsia="Calibri" w:hAnsi="Times New Roman" w:cs="Times New Roman"/>
                <w:b/>
                <w:color w:val="000000"/>
                <w:sz w:val="24"/>
                <w:szCs w:val="24"/>
              </w:rPr>
              <w:t>Don’t Know</w:t>
            </w:r>
          </w:p>
        </w:tc>
      </w:tr>
      <w:tr w:rsidR="00C2150D" w:rsidRPr="00015EC5" w14:paraId="0AB09FFB" w14:textId="77777777" w:rsidTr="0020584E">
        <w:tc>
          <w:tcPr>
            <w:tcW w:w="2435" w:type="pct"/>
            <w:tcBorders>
              <w:top w:val="nil"/>
              <w:left w:val="nil"/>
              <w:bottom w:val="nil"/>
              <w:right w:val="nil"/>
            </w:tcBorders>
          </w:tcPr>
          <w:p w14:paraId="51CD9C71" w14:textId="77777777" w:rsidR="00C2150D" w:rsidRPr="0020584E" w:rsidRDefault="00C2150D" w:rsidP="0020584E">
            <w:pPr>
              <w:numPr>
                <w:ilvl w:val="0"/>
                <w:numId w:val="7"/>
              </w:numPr>
              <w:autoSpaceDE w:val="0"/>
              <w:autoSpaceDN w:val="0"/>
              <w:adjustRightInd w:val="0"/>
              <w:ind w:left="454" w:hanging="425"/>
              <w:rPr>
                <w:rFonts w:ascii="Times New Roman" w:eastAsia="Calibri" w:hAnsi="Times New Roman" w:cs="Times New Roman"/>
                <w:color w:val="000000"/>
                <w:sz w:val="24"/>
                <w:szCs w:val="24"/>
              </w:rPr>
            </w:pPr>
            <w:r w:rsidRPr="0020584E">
              <w:rPr>
                <w:rFonts w:ascii="Times New Roman" w:eastAsia="Calibri" w:hAnsi="Times New Roman" w:cs="Times New Roman"/>
                <w:color w:val="000000"/>
                <w:sz w:val="24"/>
                <w:szCs w:val="24"/>
              </w:rPr>
              <w:t>Do corporate governance processes enhance decision making?</w:t>
            </w:r>
          </w:p>
        </w:tc>
        <w:tc>
          <w:tcPr>
            <w:tcW w:w="855" w:type="pct"/>
            <w:tcBorders>
              <w:top w:val="nil"/>
              <w:left w:val="nil"/>
              <w:bottom w:val="nil"/>
              <w:right w:val="nil"/>
            </w:tcBorders>
            <w:vAlign w:val="bottom"/>
          </w:tcPr>
          <w:p w14:paraId="57F76BE6" w14:textId="77777777" w:rsidR="00C2150D" w:rsidRPr="0020584E" w:rsidRDefault="00C2150D" w:rsidP="0020584E">
            <w:pPr>
              <w:autoSpaceDE w:val="0"/>
              <w:autoSpaceDN w:val="0"/>
              <w:adjustRightInd w:val="0"/>
              <w:jc w:val="center"/>
              <w:rPr>
                <w:rFonts w:ascii="Times New Roman" w:eastAsia="Calibri" w:hAnsi="Times New Roman" w:cs="Times New Roman"/>
                <w:color w:val="000000"/>
                <w:sz w:val="24"/>
                <w:szCs w:val="24"/>
              </w:rPr>
            </w:pPr>
          </w:p>
          <w:p w14:paraId="49F33005" w14:textId="77777777" w:rsidR="00C2150D" w:rsidRPr="0020584E" w:rsidRDefault="00C2150D" w:rsidP="0020584E">
            <w:pPr>
              <w:autoSpaceDE w:val="0"/>
              <w:autoSpaceDN w:val="0"/>
              <w:adjustRightInd w:val="0"/>
              <w:jc w:val="center"/>
              <w:rPr>
                <w:rFonts w:ascii="Times New Roman" w:eastAsia="Calibri" w:hAnsi="Times New Roman" w:cs="Times New Roman"/>
                <w:color w:val="000000"/>
                <w:sz w:val="24"/>
                <w:szCs w:val="24"/>
              </w:rPr>
            </w:pPr>
            <w:r w:rsidRPr="0020584E">
              <w:rPr>
                <w:rFonts w:ascii="Times New Roman" w:eastAsia="Calibri" w:hAnsi="Times New Roman" w:cs="Times New Roman"/>
                <w:color w:val="000000"/>
                <w:sz w:val="24"/>
                <w:szCs w:val="24"/>
              </w:rPr>
              <w:t>89%</w:t>
            </w:r>
          </w:p>
        </w:tc>
        <w:tc>
          <w:tcPr>
            <w:tcW w:w="855" w:type="pct"/>
            <w:tcBorders>
              <w:top w:val="nil"/>
              <w:left w:val="nil"/>
              <w:bottom w:val="nil"/>
              <w:right w:val="nil"/>
            </w:tcBorders>
            <w:vAlign w:val="bottom"/>
          </w:tcPr>
          <w:p w14:paraId="11860503" w14:textId="77777777" w:rsidR="00C2150D" w:rsidRPr="00EB2D5F" w:rsidRDefault="00C2150D" w:rsidP="00EB2D5F">
            <w:pPr>
              <w:autoSpaceDE w:val="0"/>
              <w:autoSpaceDN w:val="0"/>
              <w:adjustRightInd w:val="0"/>
              <w:jc w:val="center"/>
              <w:rPr>
                <w:rFonts w:ascii="Times New Roman" w:eastAsia="Calibri" w:hAnsi="Times New Roman" w:cs="Times New Roman"/>
                <w:color w:val="000000"/>
                <w:sz w:val="24"/>
                <w:szCs w:val="24"/>
              </w:rPr>
            </w:pPr>
          </w:p>
          <w:p w14:paraId="5D7B0BB8" w14:textId="77777777" w:rsidR="00C2150D" w:rsidRPr="00FB74CA" w:rsidRDefault="00C2150D" w:rsidP="00FB74CA">
            <w:pPr>
              <w:autoSpaceDE w:val="0"/>
              <w:autoSpaceDN w:val="0"/>
              <w:adjustRightInd w:val="0"/>
              <w:jc w:val="center"/>
              <w:rPr>
                <w:rFonts w:ascii="Times New Roman" w:eastAsia="Calibri" w:hAnsi="Times New Roman" w:cs="Times New Roman"/>
                <w:color w:val="000000"/>
                <w:sz w:val="24"/>
                <w:szCs w:val="24"/>
              </w:rPr>
            </w:pPr>
            <w:r w:rsidRPr="00FB74CA">
              <w:rPr>
                <w:rFonts w:ascii="Times New Roman" w:eastAsia="Calibri" w:hAnsi="Times New Roman" w:cs="Times New Roman"/>
                <w:color w:val="000000"/>
                <w:sz w:val="24"/>
                <w:szCs w:val="24"/>
              </w:rPr>
              <w:t>7%</w:t>
            </w:r>
          </w:p>
        </w:tc>
        <w:tc>
          <w:tcPr>
            <w:tcW w:w="855" w:type="pct"/>
            <w:tcBorders>
              <w:top w:val="nil"/>
              <w:left w:val="nil"/>
              <w:bottom w:val="nil"/>
              <w:right w:val="nil"/>
            </w:tcBorders>
            <w:vAlign w:val="bottom"/>
          </w:tcPr>
          <w:p w14:paraId="547D848F" w14:textId="77777777" w:rsidR="00C2150D" w:rsidRPr="008B6361" w:rsidRDefault="00C2150D" w:rsidP="008B6361">
            <w:pPr>
              <w:autoSpaceDE w:val="0"/>
              <w:autoSpaceDN w:val="0"/>
              <w:adjustRightInd w:val="0"/>
              <w:jc w:val="center"/>
              <w:rPr>
                <w:rFonts w:ascii="Times New Roman" w:eastAsia="Calibri" w:hAnsi="Times New Roman" w:cs="Times New Roman"/>
                <w:color w:val="000000"/>
                <w:sz w:val="24"/>
                <w:szCs w:val="24"/>
              </w:rPr>
            </w:pPr>
          </w:p>
          <w:p w14:paraId="6E533F4F" w14:textId="77777777" w:rsidR="00C2150D" w:rsidRPr="00015EC5" w:rsidRDefault="00C2150D" w:rsidP="00015EC5">
            <w:pPr>
              <w:autoSpaceDE w:val="0"/>
              <w:autoSpaceDN w:val="0"/>
              <w:adjustRightInd w:val="0"/>
              <w:jc w:val="center"/>
              <w:rPr>
                <w:rFonts w:ascii="Times New Roman" w:eastAsia="Calibri" w:hAnsi="Times New Roman" w:cs="Times New Roman"/>
                <w:color w:val="000000"/>
                <w:sz w:val="24"/>
                <w:szCs w:val="24"/>
              </w:rPr>
            </w:pPr>
            <w:r w:rsidRPr="00015EC5">
              <w:rPr>
                <w:rFonts w:ascii="Times New Roman" w:eastAsia="Calibri" w:hAnsi="Times New Roman" w:cs="Times New Roman"/>
                <w:color w:val="000000"/>
                <w:sz w:val="24"/>
                <w:szCs w:val="24"/>
              </w:rPr>
              <w:t>4%</w:t>
            </w:r>
          </w:p>
        </w:tc>
      </w:tr>
      <w:tr w:rsidR="00C2150D" w:rsidRPr="00015EC5" w14:paraId="3BDAAD94" w14:textId="77777777" w:rsidTr="0020584E">
        <w:tc>
          <w:tcPr>
            <w:tcW w:w="2435" w:type="pct"/>
            <w:tcBorders>
              <w:top w:val="nil"/>
              <w:left w:val="nil"/>
              <w:bottom w:val="nil"/>
              <w:right w:val="nil"/>
            </w:tcBorders>
          </w:tcPr>
          <w:p w14:paraId="34F6116A" w14:textId="77777777" w:rsidR="00C2150D" w:rsidRPr="0020584E" w:rsidRDefault="00C2150D" w:rsidP="0020584E">
            <w:pPr>
              <w:numPr>
                <w:ilvl w:val="0"/>
                <w:numId w:val="7"/>
              </w:numPr>
              <w:autoSpaceDE w:val="0"/>
              <w:autoSpaceDN w:val="0"/>
              <w:adjustRightInd w:val="0"/>
              <w:ind w:left="454" w:hanging="425"/>
              <w:rPr>
                <w:rFonts w:ascii="Times New Roman" w:eastAsia="Calibri" w:hAnsi="Times New Roman" w:cs="Times New Roman"/>
                <w:color w:val="000000"/>
                <w:sz w:val="24"/>
                <w:szCs w:val="24"/>
              </w:rPr>
            </w:pPr>
            <w:r w:rsidRPr="0020584E">
              <w:rPr>
                <w:rFonts w:ascii="Times New Roman" w:eastAsia="Calibri" w:hAnsi="Times New Roman" w:cs="Times New Roman"/>
                <w:color w:val="000000"/>
                <w:sz w:val="24"/>
                <w:szCs w:val="24"/>
              </w:rPr>
              <w:t>Does your organisation have a mission statement?</w:t>
            </w:r>
          </w:p>
        </w:tc>
        <w:tc>
          <w:tcPr>
            <w:tcW w:w="855" w:type="pct"/>
            <w:tcBorders>
              <w:top w:val="nil"/>
              <w:left w:val="nil"/>
              <w:bottom w:val="nil"/>
              <w:right w:val="nil"/>
            </w:tcBorders>
            <w:vAlign w:val="bottom"/>
          </w:tcPr>
          <w:p w14:paraId="5F06CFF2" w14:textId="77777777" w:rsidR="00C2150D" w:rsidRPr="0020584E" w:rsidRDefault="00C2150D" w:rsidP="0020584E">
            <w:pPr>
              <w:autoSpaceDE w:val="0"/>
              <w:autoSpaceDN w:val="0"/>
              <w:adjustRightInd w:val="0"/>
              <w:jc w:val="center"/>
              <w:rPr>
                <w:rFonts w:ascii="Times New Roman" w:eastAsia="Calibri" w:hAnsi="Times New Roman" w:cs="Times New Roman"/>
                <w:color w:val="000000"/>
                <w:sz w:val="24"/>
                <w:szCs w:val="24"/>
              </w:rPr>
            </w:pPr>
          </w:p>
          <w:p w14:paraId="236458D9" w14:textId="77777777" w:rsidR="00C2150D" w:rsidRPr="0020584E" w:rsidRDefault="00C2150D" w:rsidP="0020584E">
            <w:pPr>
              <w:autoSpaceDE w:val="0"/>
              <w:autoSpaceDN w:val="0"/>
              <w:adjustRightInd w:val="0"/>
              <w:jc w:val="center"/>
              <w:rPr>
                <w:rFonts w:ascii="Times New Roman" w:eastAsia="Calibri" w:hAnsi="Times New Roman" w:cs="Times New Roman"/>
                <w:color w:val="000000"/>
                <w:sz w:val="24"/>
                <w:szCs w:val="24"/>
              </w:rPr>
            </w:pPr>
            <w:r w:rsidRPr="0020584E">
              <w:rPr>
                <w:rFonts w:ascii="Times New Roman" w:eastAsia="Calibri" w:hAnsi="Times New Roman" w:cs="Times New Roman"/>
                <w:color w:val="000000"/>
                <w:sz w:val="24"/>
                <w:szCs w:val="24"/>
              </w:rPr>
              <w:t>91%</w:t>
            </w:r>
          </w:p>
        </w:tc>
        <w:tc>
          <w:tcPr>
            <w:tcW w:w="855" w:type="pct"/>
            <w:tcBorders>
              <w:top w:val="nil"/>
              <w:left w:val="nil"/>
              <w:bottom w:val="nil"/>
              <w:right w:val="nil"/>
            </w:tcBorders>
            <w:vAlign w:val="bottom"/>
          </w:tcPr>
          <w:p w14:paraId="5BB13FD1" w14:textId="77777777" w:rsidR="00C2150D" w:rsidRPr="00EB2D5F" w:rsidRDefault="00C2150D" w:rsidP="00EB2D5F">
            <w:pPr>
              <w:autoSpaceDE w:val="0"/>
              <w:autoSpaceDN w:val="0"/>
              <w:adjustRightInd w:val="0"/>
              <w:jc w:val="center"/>
              <w:rPr>
                <w:rFonts w:ascii="Times New Roman" w:eastAsia="Calibri" w:hAnsi="Times New Roman" w:cs="Times New Roman"/>
                <w:color w:val="000000"/>
                <w:sz w:val="24"/>
                <w:szCs w:val="24"/>
              </w:rPr>
            </w:pPr>
          </w:p>
          <w:p w14:paraId="39EA1D9A" w14:textId="77777777" w:rsidR="00C2150D" w:rsidRPr="00FB74CA" w:rsidRDefault="00C2150D" w:rsidP="00FB74CA">
            <w:pPr>
              <w:autoSpaceDE w:val="0"/>
              <w:autoSpaceDN w:val="0"/>
              <w:adjustRightInd w:val="0"/>
              <w:jc w:val="center"/>
              <w:rPr>
                <w:rFonts w:ascii="Times New Roman" w:eastAsia="Calibri" w:hAnsi="Times New Roman" w:cs="Times New Roman"/>
                <w:color w:val="000000"/>
                <w:sz w:val="24"/>
                <w:szCs w:val="24"/>
              </w:rPr>
            </w:pPr>
            <w:r w:rsidRPr="00FB74CA">
              <w:rPr>
                <w:rFonts w:ascii="Times New Roman" w:eastAsia="Calibri" w:hAnsi="Times New Roman" w:cs="Times New Roman"/>
                <w:color w:val="000000"/>
                <w:sz w:val="24"/>
                <w:szCs w:val="24"/>
              </w:rPr>
              <w:t>3%</w:t>
            </w:r>
          </w:p>
        </w:tc>
        <w:tc>
          <w:tcPr>
            <w:tcW w:w="855" w:type="pct"/>
            <w:tcBorders>
              <w:top w:val="nil"/>
              <w:left w:val="nil"/>
              <w:bottom w:val="nil"/>
              <w:right w:val="nil"/>
            </w:tcBorders>
            <w:vAlign w:val="bottom"/>
          </w:tcPr>
          <w:p w14:paraId="657E6D44" w14:textId="77777777" w:rsidR="00C2150D" w:rsidRPr="008B6361" w:rsidRDefault="00C2150D" w:rsidP="008B6361">
            <w:pPr>
              <w:autoSpaceDE w:val="0"/>
              <w:autoSpaceDN w:val="0"/>
              <w:adjustRightInd w:val="0"/>
              <w:jc w:val="center"/>
              <w:rPr>
                <w:rFonts w:ascii="Times New Roman" w:eastAsia="Calibri" w:hAnsi="Times New Roman" w:cs="Times New Roman"/>
                <w:color w:val="000000"/>
                <w:sz w:val="24"/>
                <w:szCs w:val="24"/>
              </w:rPr>
            </w:pPr>
          </w:p>
          <w:p w14:paraId="3E32BF1E" w14:textId="77777777" w:rsidR="00C2150D" w:rsidRPr="00015EC5" w:rsidRDefault="00C2150D" w:rsidP="00015EC5">
            <w:pPr>
              <w:autoSpaceDE w:val="0"/>
              <w:autoSpaceDN w:val="0"/>
              <w:adjustRightInd w:val="0"/>
              <w:jc w:val="center"/>
              <w:rPr>
                <w:rFonts w:ascii="Times New Roman" w:eastAsia="Calibri" w:hAnsi="Times New Roman" w:cs="Times New Roman"/>
                <w:color w:val="000000"/>
                <w:sz w:val="24"/>
                <w:szCs w:val="24"/>
              </w:rPr>
            </w:pPr>
            <w:r w:rsidRPr="00015EC5">
              <w:rPr>
                <w:rFonts w:ascii="Times New Roman" w:eastAsia="Calibri" w:hAnsi="Times New Roman" w:cs="Times New Roman"/>
                <w:color w:val="000000"/>
                <w:sz w:val="24"/>
                <w:szCs w:val="24"/>
              </w:rPr>
              <w:t>6%</w:t>
            </w:r>
          </w:p>
        </w:tc>
      </w:tr>
      <w:tr w:rsidR="00C2150D" w:rsidRPr="00015EC5" w14:paraId="4C21A67F" w14:textId="77777777" w:rsidTr="0020584E">
        <w:tc>
          <w:tcPr>
            <w:tcW w:w="2435" w:type="pct"/>
            <w:tcBorders>
              <w:top w:val="nil"/>
              <w:left w:val="nil"/>
              <w:bottom w:val="nil"/>
              <w:right w:val="nil"/>
            </w:tcBorders>
          </w:tcPr>
          <w:p w14:paraId="4F41CBC6" w14:textId="77777777" w:rsidR="00C2150D" w:rsidRPr="0020584E" w:rsidRDefault="00C2150D" w:rsidP="0020584E">
            <w:pPr>
              <w:numPr>
                <w:ilvl w:val="0"/>
                <w:numId w:val="7"/>
              </w:numPr>
              <w:autoSpaceDE w:val="0"/>
              <w:autoSpaceDN w:val="0"/>
              <w:adjustRightInd w:val="0"/>
              <w:ind w:left="454" w:hanging="425"/>
              <w:rPr>
                <w:rFonts w:ascii="Times New Roman" w:eastAsia="Calibri" w:hAnsi="Times New Roman" w:cs="Times New Roman"/>
                <w:color w:val="000000"/>
                <w:sz w:val="24"/>
                <w:szCs w:val="24"/>
              </w:rPr>
            </w:pPr>
            <w:r w:rsidRPr="0020584E">
              <w:rPr>
                <w:rFonts w:ascii="Times New Roman" w:eastAsia="Calibri" w:hAnsi="Times New Roman" w:cs="Times New Roman"/>
                <w:color w:val="000000"/>
                <w:sz w:val="24"/>
                <w:szCs w:val="24"/>
              </w:rPr>
              <w:t>Is your mission statement used as part of the stakeholder engagement process?</w:t>
            </w:r>
          </w:p>
        </w:tc>
        <w:tc>
          <w:tcPr>
            <w:tcW w:w="855" w:type="pct"/>
            <w:tcBorders>
              <w:top w:val="nil"/>
              <w:left w:val="nil"/>
              <w:bottom w:val="nil"/>
              <w:right w:val="nil"/>
            </w:tcBorders>
            <w:vAlign w:val="bottom"/>
          </w:tcPr>
          <w:p w14:paraId="2A334FEF" w14:textId="77777777" w:rsidR="00C2150D" w:rsidRPr="0020584E" w:rsidRDefault="00C2150D" w:rsidP="0020584E">
            <w:pPr>
              <w:autoSpaceDE w:val="0"/>
              <w:autoSpaceDN w:val="0"/>
              <w:adjustRightInd w:val="0"/>
              <w:jc w:val="center"/>
              <w:rPr>
                <w:rFonts w:ascii="Times New Roman" w:eastAsia="Calibri" w:hAnsi="Times New Roman" w:cs="Times New Roman"/>
                <w:color w:val="000000"/>
                <w:sz w:val="24"/>
                <w:szCs w:val="24"/>
              </w:rPr>
            </w:pPr>
          </w:p>
          <w:p w14:paraId="0D8E57F9" w14:textId="77777777" w:rsidR="00C2150D" w:rsidRPr="0020584E" w:rsidRDefault="00C2150D" w:rsidP="0020584E">
            <w:pPr>
              <w:autoSpaceDE w:val="0"/>
              <w:autoSpaceDN w:val="0"/>
              <w:adjustRightInd w:val="0"/>
              <w:jc w:val="center"/>
              <w:rPr>
                <w:rFonts w:ascii="Times New Roman" w:eastAsia="Calibri" w:hAnsi="Times New Roman" w:cs="Times New Roman"/>
                <w:color w:val="000000"/>
                <w:sz w:val="24"/>
                <w:szCs w:val="24"/>
              </w:rPr>
            </w:pPr>
            <w:r w:rsidRPr="0020584E">
              <w:rPr>
                <w:rFonts w:ascii="Times New Roman" w:eastAsia="Calibri" w:hAnsi="Times New Roman" w:cs="Times New Roman"/>
                <w:color w:val="000000"/>
                <w:sz w:val="24"/>
                <w:szCs w:val="24"/>
              </w:rPr>
              <w:t>85%</w:t>
            </w:r>
          </w:p>
        </w:tc>
        <w:tc>
          <w:tcPr>
            <w:tcW w:w="855" w:type="pct"/>
            <w:tcBorders>
              <w:top w:val="nil"/>
              <w:left w:val="nil"/>
              <w:bottom w:val="nil"/>
              <w:right w:val="nil"/>
            </w:tcBorders>
            <w:vAlign w:val="bottom"/>
          </w:tcPr>
          <w:p w14:paraId="28D19E43" w14:textId="77777777" w:rsidR="00C2150D" w:rsidRPr="00EB2D5F" w:rsidRDefault="00C2150D" w:rsidP="00EB2D5F">
            <w:pPr>
              <w:autoSpaceDE w:val="0"/>
              <w:autoSpaceDN w:val="0"/>
              <w:adjustRightInd w:val="0"/>
              <w:jc w:val="center"/>
              <w:rPr>
                <w:rFonts w:ascii="Times New Roman" w:eastAsia="Calibri" w:hAnsi="Times New Roman" w:cs="Times New Roman"/>
                <w:color w:val="000000"/>
                <w:sz w:val="24"/>
                <w:szCs w:val="24"/>
              </w:rPr>
            </w:pPr>
          </w:p>
          <w:p w14:paraId="0CB129AA" w14:textId="77777777" w:rsidR="00C2150D" w:rsidRPr="00FB74CA" w:rsidRDefault="00C2150D" w:rsidP="00FB74CA">
            <w:pPr>
              <w:autoSpaceDE w:val="0"/>
              <w:autoSpaceDN w:val="0"/>
              <w:adjustRightInd w:val="0"/>
              <w:jc w:val="center"/>
              <w:rPr>
                <w:rFonts w:ascii="Times New Roman" w:eastAsia="Calibri" w:hAnsi="Times New Roman" w:cs="Times New Roman"/>
                <w:color w:val="000000"/>
                <w:sz w:val="24"/>
                <w:szCs w:val="24"/>
              </w:rPr>
            </w:pPr>
            <w:r w:rsidRPr="00FB74CA">
              <w:rPr>
                <w:rFonts w:ascii="Times New Roman" w:eastAsia="Calibri" w:hAnsi="Times New Roman" w:cs="Times New Roman"/>
                <w:color w:val="000000"/>
                <w:sz w:val="24"/>
                <w:szCs w:val="24"/>
              </w:rPr>
              <w:t>2%</w:t>
            </w:r>
          </w:p>
        </w:tc>
        <w:tc>
          <w:tcPr>
            <w:tcW w:w="855" w:type="pct"/>
            <w:tcBorders>
              <w:top w:val="nil"/>
              <w:left w:val="nil"/>
              <w:bottom w:val="nil"/>
              <w:right w:val="nil"/>
            </w:tcBorders>
            <w:vAlign w:val="bottom"/>
          </w:tcPr>
          <w:p w14:paraId="03981084" w14:textId="77777777" w:rsidR="00C2150D" w:rsidRPr="008B6361" w:rsidRDefault="00C2150D" w:rsidP="008B6361">
            <w:pPr>
              <w:autoSpaceDE w:val="0"/>
              <w:autoSpaceDN w:val="0"/>
              <w:adjustRightInd w:val="0"/>
              <w:jc w:val="center"/>
              <w:rPr>
                <w:rFonts w:ascii="Times New Roman" w:eastAsia="Calibri" w:hAnsi="Times New Roman" w:cs="Times New Roman"/>
                <w:color w:val="000000"/>
                <w:sz w:val="24"/>
                <w:szCs w:val="24"/>
              </w:rPr>
            </w:pPr>
          </w:p>
          <w:p w14:paraId="7BBE3C71" w14:textId="77777777" w:rsidR="00C2150D" w:rsidRPr="00015EC5" w:rsidRDefault="00C2150D" w:rsidP="00015EC5">
            <w:pPr>
              <w:autoSpaceDE w:val="0"/>
              <w:autoSpaceDN w:val="0"/>
              <w:adjustRightInd w:val="0"/>
              <w:jc w:val="center"/>
              <w:rPr>
                <w:rFonts w:ascii="Times New Roman" w:eastAsia="Calibri" w:hAnsi="Times New Roman" w:cs="Times New Roman"/>
                <w:color w:val="000000"/>
                <w:sz w:val="24"/>
                <w:szCs w:val="24"/>
              </w:rPr>
            </w:pPr>
            <w:r w:rsidRPr="00015EC5">
              <w:rPr>
                <w:rFonts w:ascii="Times New Roman" w:eastAsia="Calibri" w:hAnsi="Times New Roman" w:cs="Times New Roman"/>
                <w:color w:val="000000"/>
                <w:sz w:val="24"/>
                <w:szCs w:val="24"/>
              </w:rPr>
              <w:t>13%</w:t>
            </w:r>
          </w:p>
        </w:tc>
      </w:tr>
      <w:tr w:rsidR="00C2150D" w:rsidRPr="00015EC5" w14:paraId="5AADB77C" w14:textId="77777777" w:rsidTr="0020584E">
        <w:tc>
          <w:tcPr>
            <w:tcW w:w="2435" w:type="pct"/>
            <w:tcBorders>
              <w:top w:val="nil"/>
              <w:left w:val="nil"/>
              <w:bottom w:val="nil"/>
              <w:right w:val="nil"/>
            </w:tcBorders>
          </w:tcPr>
          <w:p w14:paraId="41FD4242" w14:textId="77777777" w:rsidR="00C2150D" w:rsidRPr="0020584E" w:rsidRDefault="00C2150D" w:rsidP="0020584E">
            <w:pPr>
              <w:autoSpaceDE w:val="0"/>
              <w:autoSpaceDN w:val="0"/>
              <w:adjustRightInd w:val="0"/>
              <w:ind w:left="454"/>
              <w:rPr>
                <w:rFonts w:ascii="Times New Roman" w:eastAsia="Calibri" w:hAnsi="Times New Roman" w:cs="Times New Roman"/>
                <w:color w:val="000000"/>
                <w:sz w:val="24"/>
                <w:szCs w:val="24"/>
              </w:rPr>
            </w:pPr>
          </w:p>
        </w:tc>
        <w:tc>
          <w:tcPr>
            <w:tcW w:w="2565" w:type="pct"/>
            <w:gridSpan w:val="3"/>
            <w:tcBorders>
              <w:top w:val="nil"/>
              <w:left w:val="nil"/>
              <w:bottom w:val="nil"/>
              <w:right w:val="nil"/>
            </w:tcBorders>
            <w:vAlign w:val="bottom"/>
          </w:tcPr>
          <w:p w14:paraId="2BE3BBF0" w14:textId="79102D18" w:rsidR="00C2150D" w:rsidRPr="0020584E" w:rsidRDefault="00C2150D" w:rsidP="0020584E">
            <w:pPr>
              <w:autoSpaceDE w:val="0"/>
              <w:autoSpaceDN w:val="0"/>
              <w:adjustRightInd w:val="0"/>
              <w:jc w:val="center"/>
              <w:rPr>
                <w:rFonts w:ascii="Times New Roman" w:eastAsia="Calibri" w:hAnsi="Times New Roman" w:cs="Times New Roman"/>
                <w:b/>
                <w:color w:val="000000"/>
                <w:sz w:val="24"/>
                <w:szCs w:val="24"/>
              </w:rPr>
            </w:pPr>
            <w:r w:rsidRPr="0020584E">
              <w:rPr>
                <w:rFonts w:ascii="Times New Roman" w:eastAsia="Calibri" w:hAnsi="Times New Roman" w:cs="Times New Roman"/>
                <w:b/>
                <w:color w:val="000000"/>
                <w:sz w:val="24"/>
                <w:szCs w:val="24"/>
              </w:rPr>
              <w:t>Likert Scale Results</w:t>
            </w:r>
            <w:r w:rsidR="00625D19">
              <w:rPr>
                <w:rFonts w:ascii="Times New Roman" w:eastAsia="Calibri" w:hAnsi="Times New Roman" w:cs="Times New Roman"/>
                <w:b/>
                <w:color w:val="000000"/>
                <w:sz w:val="24"/>
                <w:szCs w:val="24"/>
              </w:rPr>
              <w:t xml:space="preserve"> – Average Score</w:t>
            </w:r>
          </w:p>
        </w:tc>
      </w:tr>
      <w:tr w:rsidR="00C2150D" w:rsidRPr="00015EC5" w14:paraId="4930FD59" w14:textId="77777777" w:rsidTr="0020584E">
        <w:tc>
          <w:tcPr>
            <w:tcW w:w="2435" w:type="pct"/>
            <w:tcBorders>
              <w:top w:val="nil"/>
              <w:left w:val="nil"/>
              <w:bottom w:val="nil"/>
              <w:right w:val="nil"/>
            </w:tcBorders>
          </w:tcPr>
          <w:p w14:paraId="5564ECF5" w14:textId="77777777" w:rsidR="00C2150D" w:rsidRPr="0020584E" w:rsidRDefault="00C2150D" w:rsidP="0020584E">
            <w:pPr>
              <w:numPr>
                <w:ilvl w:val="0"/>
                <w:numId w:val="7"/>
              </w:numPr>
              <w:autoSpaceDE w:val="0"/>
              <w:autoSpaceDN w:val="0"/>
              <w:adjustRightInd w:val="0"/>
              <w:ind w:left="454" w:hanging="425"/>
              <w:rPr>
                <w:rFonts w:ascii="Times New Roman" w:eastAsia="Calibri" w:hAnsi="Times New Roman" w:cs="Times New Roman"/>
                <w:color w:val="000000"/>
                <w:sz w:val="24"/>
                <w:szCs w:val="24"/>
              </w:rPr>
            </w:pPr>
            <w:r w:rsidRPr="0020584E">
              <w:rPr>
                <w:rFonts w:ascii="Times New Roman" w:eastAsia="Calibri" w:hAnsi="Times New Roman" w:cs="Times New Roman"/>
                <w:color w:val="000000"/>
                <w:sz w:val="24"/>
                <w:szCs w:val="24"/>
              </w:rPr>
              <w:t>Do you find it difficult to adhere to your mission statement when making decisions?</w:t>
            </w:r>
          </w:p>
        </w:tc>
        <w:tc>
          <w:tcPr>
            <w:tcW w:w="2565" w:type="pct"/>
            <w:gridSpan w:val="3"/>
            <w:tcBorders>
              <w:top w:val="nil"/>
              <w:left w:val="nil"/>
              <w:bottom w:val="nil"/>
              <w:right w:val="nil"/>
            </w:tcBorders>
          </w:tcPr>
          <w:p w14:paraId="1BE355D6" w14:textId="77777777" w:rsidR="00C2150D" w:rsidRPr="0020584E" w:rsidRDefault="00C2150D" w:rsidP="0020584E">
            <w:pPr>
              <w:autoSpaceDE w:val="0"/>
              <w:autoSpaceDN w:val="0"/>
              <w:adjustRightInd w:val="0"/>
              <w:jc w:val="center"/>
              <w:rPr>
                <w:rFonts w:ascii="Times New Roman" w:eastAsia="Calibri" w:hAnsi="Times New Roman" w:cs="Times New Roman"/>
                <w:color w:val="000000"/>
                <w:sz w:val="24"/>
                <w:szCs w:val="24"/>
              </w:rPr>
            </w:pPr>
            <w:r w:rsidRPr="0020584E">
              <w:rPr>
                <w:rFonts w:ascii="Times New Roman" w:eastAsia="Calibri" w:hAnsi="Times New Roman" w:cs="Times New Roman"/>
                <w:color w:val="000000"/>
                <w:sz w:val="24"/>
                <w:szCs w:val="24"/>
              </w:rPr>
              <w:t>[1 = very easy, 7 = very difficult]</w:t>
            </w:r>
          </w:p>
          <w:p w14:paraId="7B60BC9E" w14:textId="77777777" w:rsidR="00C2150D" w:rsidRPr="0020584E" w:rsidRDefault="00C2150D" w:rsidP="0020584E">
            <w:pPr>
              <w:autoSpaceDE w:val="0"/>
              <w:autoSpaceDN w:val="0"/>
              <w:adjustRightInd w:val="0"/>
              <w:jc w:val="center"/>
              <w:rPr>
                <w:rFonts w:ascii="Times New Roman" w:eastAsia="Calibri" w:hAnsi="Times New Roman" w:cs="Times New Roman"/>
                <w:color w:val="000000"/>
                <w:sz w:val="24"/>
                <w:szCs w:val="24"/>
              </w:rPr>
            </w:pPr>
            <w:r w:rsidRPr="0020584E">
              <w:rPr>
                <w:rFonts w:ascii="Times New Roman" w:eastAsia="Calibri" w:hAnsi="Times New Roman" w:cs="Times New Roman"/>
                <w:color w:val="000000"/>
                <w:sz w:val="24"/>
                <w:szCs w:val="24"/>
              </w:rPr>
              <w:t>3.55</w:t>
            </w:r>
          </w:p>
        </w:tc>
      </w:tr>
      <w:tr w:rsidR="00C2150D" w:rsidRPr="00015EC5" w14:paraId="54B36C13" w14:textId="77777777" w:rsidTr="0020584E">
        <w:tc>
          <w:tcPr>
            <w:tcW w:w="2435" w:type="pct"/>
            <w:tcBorders>
              <w:top w:val="nil"/>
              <w:left w:val="nil"/>
              <w:bottom w:val="nil"/>
              <w:right w:val="nil"/>
            </w:tcBorders>
          </w:tcPr>
          <w:p w14:paraId="77741439" w14:textId="77777777" w:rsidR="00C2150D" w:rsidRPr="0020584E" w:rsidRDefault="00C2150D" w:rsidP="0020584E">
            <w:pPr>
              <w:numPr>
                <w:ilvl w:val="0"/>
                <w:numId w:val="7"/>
              </w:numPr>
              <w:autoSpaceDE w:val="0"/>
              <w:autoSpaceDN w:val="0"/>
              <w:adjustRightInd w:val="0"/>
              <w:ind w:left="454" w:hanging="425"/>
              <w:rPr>
                <w:rFonts w:ascii="Times New Roman" w:eastAsia="Calibri" w:hAnsi="Times New Roman" w:cs="Times New Roman"/>
                <w:color w:val="000000"/>
                <w:sz w:val="24"/>
                <w:szCs w:val="24"/>
              </w:rPr>
            </w:pPr>
            <w:r w:rsidRPr="0020584E">
              <w:rPr>
                <w:rFonts w:ascii="Times New Roman" w:eastAsia="Calibri" w:hAnsi="Times New Roman" w:cs="Times New Roman"/>
                <w:color w:val="000000"/>
                <w:sz w:val="24"/>
                <w:szCs w:val="24"/>
              </w:rPr>
              <w:t>How effective is your board at promoting effective working relationships with executive management?</w:t>
            </w:r>
          </w:p>
        </w:tc>
        <w:tc>
          <w:tcPr>
            <w:tcW w:w="2565" w:type="pct"/>
            <w:gridSpan w:val="3"/>
            <w:tcBorders>
              <w:top w:val="nil"/>
              <w:left w:val="nil"/>
              <w:bottom w:val="nil"/>
              <w:right w:val="nil"/>
            </w:tcBorders>
          </w:tcPr>
          <w:p w14:paraId="3B38C731" w14:textId="77777777" w:rsidR="00C2150D" w:rsidRPr="0020584E" w:rsidRDefault="00C2150D" w:rsidP="0020584E">
            <w:pPr>
              <w:autoSpaceDE w:val="0"/>
              <w:autoSpaceDN w:val="0"/>
              <w:adjustRightInd w:val="0"/>
              <w:jc w:val="center"/>
              <w:rPr>
                <w:rFonts w:ascii="Times New Roman" w:eastAsia="Calibri" w:hAnsi="Times New Roman" w:cs="Times New Roman"/>
                <w:color w:val="000000"/>
                <w:sz w:val="24"/>
                <w:szCs w:val="24"/>
              </w:rPr>
            </w:pPr>
            <w:r w:rsidRPr="0020584E">
              <w:rPr>
                <w:rFonts w:ascii="Times New Roman" w:eastAsia="Calibri" w:hAnsi="Times New Roman" w:cs="Times New Roman"/>
                <w:color w:val="000000"/>
                <w:sz w:val="24"/>
                <w:szCs w:val="24"/>
              </w:rPr>
              <w:t>[1 = not effective, 7 = very effective]</w:t>
            </w:r>
          </w:p>
          <w:p w14:paraId="0C3E7FA4" w14:textId="77777777" w:rsidR="00C2150D" w:rsidRPr="0020584E" w:rsidRDefault="00C2150D" w:rsidP="0020584E">
            <w:pPr>
              <w:autoSpaceDE w:val="0"/>
              <w:autoSpaceDN w:val="0"/>
              <w:adjustRightInd w:val="0"/>
              <w:jc w:val="center"/>
              <w:rPr>
                <w:rFonts w:ascii="Times New Roman" w:eastAsia="Calibri" w:hAnsi="Times New Roman" w:cs="Times New Roman"/>
                <w:color w:val="000000"/>
                <w:sz w:val="24"/>
                <w:szCs w:val="24"/>
              </w:rPr>
            </w:pPr>
            <w:r w:rsidRPr="0020584E">
              <w:rPr>
                <w:rFonts w:ascii="Times New Roman" w:eastAsia="Calibri" w:hAnsi="Times New Roman" w:cs="Times New Roman"/>
                <w:color w:val="000000"/>
                <w:sz w:val="24"/>
                <w:szCs w:val="24"/>
              </w:rPr>
              <w:t>5.49</w:t>
            </w:r>
          </w:p>
        </w:tc>
      </w:tr>
      <w:tr w:rsidR="00C2150D" w:rsidRPr="00015EC5" w14:paraId="42305418" w14:textId="77777777" w:rsidTr="0020584E">
        <w:tc>
          <w:tcPr>
            <w:tcW w:w="2435" w:type="pct"/>
            <w:tcBorders>
              <w:top w:val="nil"/>
              <w:left w:val="nil"/>
              <w:bottom w:val="nil"/>
              <w:right w:val="nil"/>
            </w:tcBorders>
          </w:tcPr>
          <w:p w14:paraId="02460945" w14:textId="77777777" w:rsidR="00C2150D" w:rsidRPr="0020584E" w:rsidRDefault="00C2150D" w:rsidP="0020584E">
            <w:pPr>
              <w:numPr>
                <w:ilvl w:val="0"/>
                <w:numId w:val="7"/>
              </w:numPr>
              <w:autoSpaceDE w:val="0"/>
              <w:autoSpaceDN w:val="0"/>
              <w:adjustRightInd w:val="0"/>
              <w:ind w:left="454" w:hanging="425"/>
              <w:rPr>
                <w:rFonts w:ascii="Times New Roman" w:eastAsia="Calibri" w:hAnsi="Times New Roman" w:cs="Times New Roman"/>
                <w:color w:val="000000"/>
                <w:sz w:val="24"/>
                <w:szCs w:val="24"/>
              </w:rPr>
            </w:pPr>
            <w:r w:rsidRPr="0020584E">
              <w:rPr>
                <w:rFonts w:ascii="Times New Roman" w:eastAsia="Calibri" w:hAnsi="Times New Roman" w:cs="Times New Roman"/>
                <w:color w:val="000000"/>
                <w:sz w:val="24"/>
                <w:szCs w:val="24"/>
              </w:rPr>
              <w:t>How effective is your board at fostering a culture of constructive challenge?</w:t>
            </w:r>
          </w:p>
        </w:tc>
        <w:tc>
          <w:tcPr>
            <w:tcW w:w="2565" w:type="pct"/>
            <w:gridSpan w:val="3"/>
            <w:tcBorders>
              <w:top w:val="nil"/>
              <w:left w:val="nil"/>
              <w:bottom w:val="nil"/>
              <w:right w:val="nil"/>
            </w:tcBorders>
          </w:tcPr>
          <w:p w14:paraId="53DE52EA" w14:textId="77777777" w:rsidR="00C2150D" w:rsidRPr="0020584E" w:rsidRDefault="00C2150D" w:rsidP="0020584E">
            <w:pPr>
              <w:autoSpaceDE w:val="0"/>
              <w:autoSpaceDN w:val="0"/>
              <w:adjustRightInd w:val="0"/>
              <w:jc w:val="center"/>
              <w:rPr>
                <w:rFonts w:ascii="Times New Roman" w:eastAsia="Calibri" w:hAnsi="Times New Roman" w:cs="Times New Roman"/>
                <w:color w:val="000000"/>
                <w:sz w:val="24"/>
                <w:szCs w:val="24"/>
              </w:rPr>
            </w:pPr>
            <w:r w:rsidRPr="0020584E">
              <w:rPr>
                <w:rFonts w:ascii="Times New Roman" w:eastAsia="Calibri" w:hAnsi="Times New Roman" w:cs="Times New Roman"/>
                <w:color w:val="000000"/>
                <w:sz w:val="24"/>
                <w:szCs w:val="24"/>
              </w:rPr>
              <w:t>[1 = not effective, 7 = very effective]</w:t>
            </w:r>
          </w:p>
          <w:p w14:paraId="131FB35B" w14:textId="77777777" w:rsidR="00C2150D" w:rsidRPr="0020584E" w:rsidRDefault="00C2150D" w:rsidP="0020584E">
            <w:pPr>
              <w:autoSpaceDE w:val="0"/>
              <w:autoSpaceDN w:val="0"/>
              <w:adjustRightInd w:val="0"/>
              <w:jc w:val="center"/>
              <w:rPr>
                <w:rFonts w:ascii="Times New Roman" w:eastAsia="Calibri" w:hAnsi="Times New Roman" w:cs="Times New Roman"/>
                <w:color w:val="000000"/>
                <w:sz w:val="24"/>
                <w:szCs w:val="24"/>
              </w:rPr>
            </w:pPr>
            <w:r w:rsidRPr="0020584E">
              <w:rPr>
                <w:rFonts w:ascii="Times New Roman" w:eastAsia="Calibri" w:hAnsi="Times New Roman" w:cs="Times New Roman"/>
                <w:color w:val="000000"/>
                <w:sz w:val="24"/>
                <w:szCs w:val="24"/>
              </w:rPr>
              <w:t>5.42</w:t>
            </w:r>
          </w:p>
        </w:tc>
      </w:tr>
      <w:tr w:rsidR="00C2150D" w:rsidRPr="00015EC5" w14:paraId="29E8CA0E" w14:textId="77777777" w:rsidTr="0020584E">
        <w:tc>
          <w:tcPr>
            <w:tcW w:w="2435" w:type="pct"/>
            <w:tcBorders>
              <w:top w:val="nil"/>
              <w:left w:val="nil"/>
              <w:bottom w:val="nil"/>
              <w:right w:val="nil"/>
            </w:tcBorders>
          </w:tcPr>
          <w:p w14:paraId="5316F2BC" w14:textId="77777777" w:rsidR="00C2150D" w:rsidRPr="0020584E" w:rsidRDefault="00C2150D" w:rsidP="0020584E">
            <w:pPr>
              <w:numPr>
                <w:ilvl w:val="0"/>
                <w:numId w:val="7"/>
              </w:numPr>
              <w:autoSpaceDE w:val="0"/>
              <w:autoSpaceDN w:val="0"/>
              <w:adjustRightInd w:val="0"/>
              <w:ind w:left="454" w:hanging="425"/>
              <w:rPr>
                <w:rFonts w:ascii="Times New Roman" w:eastAsia="Calibri" w:hAnsi="Times New Roman" w:cs="Times New Roman"/>
                <w:color w:val="000000"/>
                <w:sz w:val="24"/>
                <w:szCs w:val="24"/>
              </w:rPr>
            </w:pPr>
            <w:r w:rsidRPr="0020584E">
              <w:rPr>
                <w:rFonts w:ascii="Times New Roman" w:eastAsia="Calibri" w:hAnsi="Times New Roman" w:cs="Times New Roman"/>
                <w:color w:val="000000"/>
                <w:sz w:val="24"/>
                <w:szCs w:val="24"/>
              </w:rPr>
              <w:t>How effective is your board at taking a structured approach to succession planning?</w:t>
            </w:r>
          </w:p>
        </w:tc>
        <w:tc>
          <w:tcPr>
            <w:tcW w:w="2565" w:type="pct"/>
            <w:gridSpan w:val="3"/>
            <w:tcBorders>
              <w:top w:val="nil"/>
              <w:left w:val="nil"/>
              <w:bottom w:val="nil"/>
              <w:right w:val="nil"/>
            </w:tcBorders>
          </w:tcPr>
          <w:p w14:paraId="326B0438" w14:textId="77777777" w:rsidR="00C2150D" w:rsidRPr="0020584E" w:rsidRDefault="00C2150D" w:rsidP="0020584E">
            <w:pPr>
              <w:autoSpaceDE w:val="0"/>
              <w:autoSpaceDN w:val="0"/>
              <w:adjustRightInd w:val="0"/>
              <w:jc w:val="center"/>
              <w:rPr>
                <w:rFonts w:ascii="Times New Roman" w:eastAsia="Calibri" w:hAnsi="Times New Roman" w:cs="Times New Roman"/>
                <w:color w:val="000000"/>
                <w:sz w:val="24"/>
                <w:szCs w:val="24"/>
              </w:rPr>
            </w:pPr>
            <w:r w:rsidRPr="0020584E">
              <w:rPr>
                <w:rFonts w:ascii="Times New Roman" w:eastAsia="Calibri" w:hAnsi="Times New Roman" w:cs="Times New Roman"/>
                <w:color w:val="000000"/>
                <w:sz w:val="24"/>
                <w:szCs w:val="24"/>
              </w:rPr>
              <w:t>[1 = not effective, 7 = very effective]</w:t>
            </w:r>
          </w:p>
          <w:p w14:paraId="4E8D9DBA" w14:textId="77777777" w:rsidR="00C2150D" w:rsidRPr="0020584E" w:rsidRDefault="00C2150D" w:rsidP="0020584E">
            <w:pPr>
              <w:autoSpaceDE w:val="0"/>
              <w:autoSpaceDN w:val="0"/>
              <w:adjustRightInd w:val="0"/>
              <w:jc w:val="center"/>
              <w:rPr>
                <w:rFonts w:ascii="Times New Roman" w:eastAsia="Calibri" w:hAnsi="Times New Roman" w:cs="Times New Roman"/>
                <w:color w:val="000000"/>
                <w:sz w:val="24"/>
                <w:szCs w:val="24"/>
              </w:rPr>
            </w:pPr>
            <w:r w:rsidRPr="0020584E">
              <w:rPr>
                <w:rFonts w:ascii="Times New Roman" w:eastAsia="Calibri" w:hAnsi="Times New Roman" w:cs="Times New Roman"/>
                <w:color w:val="000000"/>
                <w:sz w:val="24"/>
                <w:szCs w:val="24"/>
              </w:rPr>
              <w:t>4.60</w:t>
            </w:r>
          </w:p>
        </w:tc>
      </w:tr>
      <w:tr w:rsidR="00C2150D" w:rsidRPr="00015EC5" w14:paraId="7B49150E" w14:textId="77777777" w:rsidTr="0020584E">
        <w:tc>
          <w:tcPr>
            <w:tcW w:w="2435" w:type="pct"/>
            <w:tcBorders>
              <w:top w:val="nil"/>
              <w:left w:val="nil"/>
              <w:bottom w:val="nil"/>
              <w:right w:val="nil"/>
            </w:tcBorders>
          </w:tcPr>
          <w:p w14:paraId="629C3AA0" w14:textId="77777777" w:rsidR="00C2150D" w:rsidRPr="0020584E" w:rsidRDefault="00C2150D" w:rsidP="0020584E">
            <w:pPr>
              <w:numPr>
                <w:ilvl w:val="0"/>
                <w:numId w:val="7"/>
              </w:numPr>
              <w:autoSpaceDE w:val="0"/>
              <w:autoSpaceDN w:val="0"/>
              <w:adjustRightInd w:val="0"/>
              <w:ind w:left="454" w:hanging="425"/>
              <w:rPr>
                <w:rFonts w:ascii="Times New Roman" w:eastAsia="Calibri" w:hAnsi="Times New Roman" w:cs="Times New Roman"/>
                <w:color w:val="000000"/>
                <w:sz w:val="24"/>
                <w:szCs w:val="24"/>
              </w:rPr>
            </w:pPr>
            <w:r w:rsidRPr="0020584E">
              <w:rPr>
                <w:rFonts w:ascii="Times New Roman" w:eastAsia="Calibri" w:hAnsi="Times New Roman" w:cs="Times New Roman"/>
                <w:color w:val="000000"/>
                <w:sz w:val="24"/>
                <w:szCs w:val="24"/>
              </w:rPr>
              <w:t>How effective is your board at increasing citizen awareness of public body activities?</w:t>
            </w:r>
          </w:p>
        </w:tc>
        <w:tc>
          <w:tcPr>
            <w:tcW w:w="2565" w:type="pct"/>
            <w:gridSpan w:val="3"/>
            <w:tcBorders>
              <w:top w:val="nil"/>
              <w:left w:val="nil"/>
              <w:bottom w:val="nil"/>
              <w:right w:val="nil"/>
            </w:tcBorders>
          </w:tcPr>
          <w:p w14:paraId="1E81E72A" w14:textId="77777777" w:rsidR="00C2150D" w:rsidRPr="0020584E" w:rsidRDefault="00C2150D" w:rsidP="0020584E">
            <w:pPr>
              <w:autoSpaceDE w:val="0"/>
              <w:autoSpaceDN w:val="0"/>
              <w:adjustRightInd w:val="0"/>
              <w:jc w:val="center"/>
              <w:rPr>
                <w:rFonts w:ascii="Times New Roman" w:eastAsia="Calibri" w:hAnsi="Times New Roman" w:cs="Times New Roman"/>
                <w:color w:val="000000"/>
                <w:sz w:val="24"/>
                <w:szCs w:val="24"/>
              </w:rPr>
            </w:pPr>
            <w:r w:rsidRPr="0020584E">
              <w:rPr>
                <w:rFonts w:ascii="Times New Roman" w:eastAsia="Calibri" w:hAnsi="Times New Roman" w:cs="Times New Roman"/>
                <w:color w:val="000000"/>
                <w:sz w:val="24"/>
                <w:szCs w:val="24"/>
              </w:rPr>
              <w:t>[1 = not effective, 7 = very effective]</w:t>
            </w:r>
          </w:p>
          <w:p w14:paraId="788E0454" w14:textId="77777777" w:rsidR="00C2150D" w:rsidRPr="0020584E" w:rsidRDefault="00C2150D" w:rsidP="0020584E">
            <w:pPr>
              <w:autoSpaceDE w:val="0"/>
              <w:autoSpaceDN w:val="0"/>
              <w:adjustRightInd w:val="0"/>
              <w:jc w:val="center"/>
              <w:rPr>
                <w:rFonts w:ascii="Times New Roman" w:eastAsia="Calibri" w:hAnsi="Times New Roman" w:cs="Times New Roman"/>
                <w:color w:val="000000"/>
                <w:sz w:val="24"/>
                <w:szCs w:val="24"/>
              </w:rPr>
            </w:pPr>
            <w:r w:rsidRPr="0020584E">
              <w:rPr>
                <w:rFonts w:ascii="Times New Roman" w:eastAsia="Calibri" w:hAnsi="Times New Roman" w:cs="Times New Roman"/>
                <w:color w:val="000000"/>
                <w:sz w:val="24"/>
                <w:szCs w:val="24"/>
              </w:rPr>
              <w:t>4.63</w:t>
            </w:r>
          </w:p>
        </w:tc>
      </w:tr>
      <w:tr w:rsidR="00C2150D" w:rsidRPr="00015EC5" w14:paraId="218CE9EF" w14:textId="77777777" w:rsidTr="0020584E">
        <w:tc>
          <w:tcPr>
            <w:tcW w:w="2435" w:type="pct"/>
            <w:tcBorders>
              <w:top w:val="nil"/>
              <w:left w:val="nil"/>
              <w:bottom w:val="nil"/>
              <w:right w:val="nil"/>
            </w:tcBorders>
          </w:tcPr>
          <w:p w14:paraId="3DB9B4BE" w14:textId="77777777" w:rsidR="00C2150D" w:rsidRPr="0020584E" w:rsidRDefault="00C2150D" w:rsidP="0020584E">
            <w:pPr>
              <w:numPr>
                <w:ilvl w:val="0"/>
                <w:numId w:val="7"/>
              </w:numPr>
              <w:autoSpaceDE w:val="0"/>
              <w:autoSpaceDN w:val="0"/>
              <w:adjustRightInd w:val="0"/>
              <w:ind w:left="454" w:hanging="425"/>
              <w:rPr>
                <w:rFonts w:ascii="Times New Roman" w:eastAsia="Calibri" w:hAnsi="Times New Roman" w:cs="Times New Roman"/>
                <w:color w:val="000000"/>
                <w:sz w:val="24"/>
                <w:szCs w:val="24"/>
              </w:rPr>
            </w:pPr>
            <w:r w:rsidRPr="0020584E">
              <w:rPr>
                <w:rFonts w:ascii="Times New Roman" w:eastAsia="Calibri" w:hAnsi="Times New Roman" w:cs="Times New Roman"/>
                <w:color w:val="000000"/>
                <w:sz w:val="24"/>
                <w:szCs w:val="24"/>
              </w:rPr>
              <w:t>How effective is your public body at developing relationships with stakeholders?</w:t>
            </w:r>
          </w:p>
        </w:tc>
        <w:tc>
          <w:tcPr>
            <w:tcW w:w="2565" w:type="pct"/>
            <w:gridSpan w:val="3"/>
            <w:tcBorders>
              <w:top w:val="nil"/>
              <w:left w:val="nil"/>
              <w:bottom w:val="nil"/>
              <w:right w:val="nil"/>
            </w:tcBorders>
          </w:tcPr>
          <w:p w14:paraId="1857C434" w14:textId="77777777" w:rsidR="00C2150D" w:rsidRPr="0020584E" w:rsidRDefault="00C2150D" w:rsidP="0020584E">
            <w:pPr>
              <w:autoSpaceDE w:val="0"/>
              <w:autoSpaceDN w:val="0"/>
              <w:adjustRightInd w:val="0"/>
              <w:jc w:val="center"/>
              <w:rPr>
                <w:rFonts w:ascii="Times New Roman" w:eastAsia="Calibri" w:hAnsi="Times New Roman" w:cs="Times New Roman"/>
                <w:color w:val="000000"/>
                <w:sz w:val="24"/>
                <w:szCs w:val="24"/>
              </w:rPr>
            </w:pPr>
            <w:r w:rsidRPr="0020584E">
              <w:rPr>
                <w:rFonts w:ascii="Times New Roman" w:eastAsia="Calibri" w:hAnsi="Times New Roman" w:cs="Times New Roman"/>
                <w:color w:val="000000"/>
                <w:sz w:val="24"/>
                <w:szCs w:val="24"/>
              </w:rPr>
              <w:t>[1 = not effective, 7 = very effective]</w:t>
            </w:r>
          </w:p>
          <w:p w14:paraId="7A0EB6EF" w14:textId="77777777" w:rsidR="00C2150D" w:rsidRPr="0020584E" w:rsidRDefault="00C2150D" w:rsidP="0020584E">
            <w:pPr>
              <w:autoSpaceDE w:val="0"/>
              <w:autoSpaceDN w:val="0"/>
              <w:adjustRightInd w:val="0"/>
              <w:jc w:val="center"/>
              <w:rPr>
                <w:rFonts w:ascii="Times New Roman" w:eastAsia="Calibri" w:hAnsi="Times New Roman" w:cs="Times New Roman"/>
                <w:color w:val="000000"/>
                <w:sz w:val="24"/>
                <w:szCs w:val="24"/>
              </w:rPr>
            </w:pPr>
            <w:r w:rsidRPr="0020584E">
              <w:rPr>
                <w:rFonts w:ascii="Times New Roman" w:eastAsia="Calibri" w:hAnsi="Times New Roman" w:cs="Times New Roman"/>
                <w:color w:val="000000"/>
                <w:sz w:val="24"/>
                <w:szCs w:val="24"/>
              </w:rPr>
              <w:t>4.79</w:t>
            </w:r>
          </w:p>
        </w:tc>
      </w:tr>
      <w:tr w:rsidR="00C2150D" w:rsidRPr="00015EC5" w14:paraId="05825F87" w14:textId="77777777" w:rsidTr="0020584E">
        <w:tc>
          <w:tcPr>
            <w:tcW w:w="2435" w:type="pct"/>
            <w:tcBorders>
              <w:top w:val="nil"/>
              <w:left w:val="nil"/>
              <w:bottom w:val="nil"/>
              <w:right w:val="nil"/>
            </w:tcBorders>
          </w:tcPr>
          <w:p w14:paraId="35F73A16" w14:textId="77777777" w:rsidR="00C2150D" w:rsidRPr="0020584E" w:rsidRDefault="00C2150D" w:rsidP="0020584E">
            <w:pPr>
              <w:numPr>
                <w:ilvl w:val="0"/>
                <w:numId w:val="7"/>
              </w:numPr>
              <w:autoSpaceDE w:val="0"/>
              <w:autoSpaceDN w:val="0"/>
              <w:adjustRightInd w:val="0"/>
              <w:ind w:left="454" w:hanging="425"/>
              <w:rPr>
                <w:rFonts w:ascii="Times New Roman" w:eastAsia="Calibri" w:hAnsi="Times New Roman" w:cs="Times New Roman"/>
                <w:color w:val="000000"/>
                <w:sz w:val="24"/>
                <w:szCs w:val="24"/>
              </w:rPr>
            </w:pPr>
            <w:r w:rsidRPr="0020584E">
              <w:rPr>
                <w:rFonts w:ascii="Times New Roman" w:eastAsia="Calibri" w:hAnsi="Times New Roman" w:cs="Times New Roman"/>
                <w:color w:val="000000"/>
                <w:sz w:val="24"/>
                <w:szCs w:val="24"/>
              </w:rPr>
              <w:t>How effective is your board at promoting effective working relationships with the sponsoring department?</w:t>
            </w:r>
          </w:p>
        </w:tc>
        <w:tc>
          <w:tcPr>
            <w:tcW w:w="2565" w:type="pct"/>
            <w:gridSpan w:val="3"/>
            <w:tcBorders>
              <w:top w:val="nil"/>
              <w:left w:val="nil"/>
              <w:bottom w:val="nil"/>
              <w:right w:val="nil"/>
            </w:tcBorders>
          </w:tcPr>
          <w:p w14:paraId="687C23AC" w14:textId="77777777" w:rsidR="00C2150D" w:rsidRPr="0020584E" w:rsidRDefault="00C2150D" w:rsidP="0020584E">
            <w:pPr>
              <w:autoSpaceDE w:val="0"/>
              <w:autoSpaceDN w:val="0"/>
              <w:adjustRightInd w:val="0"/>
              <w:jc w:val="center"/>
              <w:rPr>
                <w:rFonts w:ascii="Times New Roman" w:eastAsia="Calibri" w:hAnsi="Times New Roman" w:cs="Times New Roman"/>
                <w:color w:val="000000"/>
                <w:sz w:val="24"/>
                <w:szCs w:val="24"/>
              </w:rPr>
            </w:pPr>
            <w:r w:rsidRPr="0020584E">
              <w:rPr>
                <w:rFonts w:ascii="Times New Roman" w:eastAsia="Calibri" w:hAnsi="Times New Roman" w:cs="Times New Roman"/>
                <w:color w:val="000000"/>
                <w:sz w:val="24"/>
                <w:szCs w:val="24"/>
              </w:rPr>
              <w:t>[1 = not effective, 7 = very effective]</w:t>
            </w:r>
          </w:p>
          <w:p w14:paraId="7D717AD6" w14:textId="77777777" w:rsidR="00C2150D" w:rsidRPr="0020584E" w:rsidRDefault="00C2150D" w:rsidP="0020584E">
            <w:pPr>
              <w:autoSpaceDE w:val="0"/>
              <w:autoSpaceDN w:val="0"/>
              <w:adjustRightInd w:val="0"/>
              <w:jc w:val="center"/>
              <w:rPr>
                <w:rFonts w:ascii="Times New Roman" w:eastAsia="Calibri" w:hAnsi="Times New Roman" w:cs="Times New Roman"/>
                <w:color w:val="000000"/>
                <w:sz w:val="24"/>
                <w:szCs w:val="24"/>
              </w:rPr>
            </w:pPr>
            <w:r w:rsidRPr="0020584E">
              <w:rPr>
                <w:rFonts w:ascii="Times New Roman" w:eastAsia="Calibri" w:hAnsi="Times New Roman" w:cs="Times New Roman"/>
                <w:color w:val="000000"/>
                <w:sz w:val="24"/>
                <w:szCs w:val="24"/>
              </w:rPr>
              <w:t>5.00</w:t>
            </w:r>
          </w:p>
        </w:tc>
      </w:tr>
      <w:tr w:rsidR="00C2150D" w:rsidRPr="00015EC5" w14:paraId="3632623D" w14:textId="77777777" w:rsidTr="0020584E">
        <w:tc>
          <w:tcPr>
            <w:tcW w:w="2435" w:type="pct"/>
            <w:tcBorders>
              <w:top w:val="nil"/>
              <w:left w:val="nil"/>
              <w:bottom w:val="nil"/>
              <w:right w:val="nil"/>
            </w:tcBorders>
          </w:tcPr>
          <w:p w14:paraId="75977437" w14:textId="77777777" w:rsidR="00C2150D" w:rsidRPr="0020584E" w:rsidRDefault="00C2150D" w:rsidP="0020584E">
            <w:pPr>
              <w:numPr>
                <w:ilvl w:val="0"/>
                <w:numId w:val="7"/>
              </w:numPr>
              <w:autoSpaceDE w:val="0"/>
              <w:autoSpaceDN w:val="0"/>
              <w:adjustRightInd w:val="0"/>
              <w:ind w:left="454" w:hanging="425"/>
              <w:rPr>
                <w:rFonts w:ascii="Times New Roman" w:eastAsia="Calibri" w:hAnsi="Times New Roman" w:cs="Times New Roman"/>
                <w:color w:val="000000"/>
                <w:sz w:val="24"/>
                <w:szCs w:val="24"/>
              </w:rPr>
            </w:pPr>
            <w:r w:rsidRPr="0020584E">
              <w:rPr>
                <w:rFonts w:ascii="Times New Roman" w:eastAsia="Calibri" w:hAnsi="Times New Roman" w:cs="Times New Roman"/>
                <w:color w:val="000000"/>
                <w:sz w:val="24"/>
                <w:szCs w:val="24"/>
              </w:rPr>
              <w:t>How effective is your board at articulating organizational values?</w:t>
            </w:r>
          </w:p>
        </w:tc>
        <w:tc>
          <w:tcPr>
            <w:tcW w:w="2565" w:type="pct"/>
            <w:gridSpan w:val="3"/>
            <w:tcBorders>
              <w:top w:val="nil"/>
              <w:left w:val="nil"/>
              <w:bottom w:val="nil"/>
              <w:right w:val="nil"/>
            </w:tcBorders>
          </w:tcPr>
          <w:p w14:paraId="4E524855" w14:textId="77777777" w:rsidR="00C2150D" w:rsidRPr="0020584E" w:rsidRDefault="00C2150D" w:rsidP="0020584E">
            <w:pPr>
              <w:autoSpaceDE w:val="0"/>
              <w:autoSpaceDN w:val="0"/>
              <w:adjustRightInd w:val="0"/>
              <w:jc w:val="center"/>
              <w:rPr>
                <w:rFonts w:ascii="Times New Roman" w:eastAsia="Calibri" w:hAnsi="Times New Roman" w:cs="Times New Roman"/>
                <w:color w:val="000000"/>
                <w:sz w:val="24"/>
                <w:szCs w:val="24"/>
              </w:rPr>
            </w:pPr>
            <w:r w:rsidRPr="0020584E">
              <w:rPr>
                <w:rFonts w:ascii="Times New Roman" w:eastAsia="Calibri" w:hAnsi="Times New Roman" w:cs="Times New Roman"/>
                <w:color w:val="000000"/>
                <w:sz w:val="24"/>
                <w:szCs w:val="24"/>
              </w:rPr>
              <w:t>[1 = not effective, 7 = very effective]</w:t>
            </w:r>
          </w:p>
          <w:p w14:paraId="45ADC383" w14:textId="77777777" w:rsidR="00C2150D" w:rsidRPr="0020584E" w:rsidRDefault="00C2150D" w:rsidP="0020584E">
            <w:pPr>
              <w:autoSpaceDE w:val="0"/>
              <w:autoSpaceDN w:val="0"/>
              <w:adjustRightInd w:val="0"/>
              <w:jc w:val="center"/>
              <w:rPr>
                <w:rFonts w:ascii="Times New Roman" w:eastAsia="Calibri" w:hAnsi="Times New Roman" w:cs="Times New Roman"/>
                <w:color w:val="000000"/>
                <w:sz w:val="24"/>
                <w:szCs w:val="24"/>
              </w:rPr>
            </w:pPr>
            <w:r w:rsidRPr="0020584E">
              <w:rPr>
                <w:rFonts w:ascii="Times New Roman" w:eastAsia="Calibri" w:hAnsi="Times New Roman" w:cs="Times New Roman"/>
                <w:color w:val="000000"/>
                <w:sz w:val="24"/>
                <w:szCs w:val="24"/>
              </w:rPr>
              <w:t>5.31</w:t>
            </w:r>
          </w:p>
        </w:tc>
      </w:tr>
      <w:tr w:rsidR="00C2150D" w:rsidRPr="00015EC5" w14:paraId="69E55F5C" w14:textId="77777777" w:rsidTr="0020584E">
        <w:tc>
          <w:tcPr>
            <w:tcW w:w="2435" w:type="pct"/>
            <w:tcBorders>
              <w:top w:val="nil"/>
              <w:left w:val="nil"/>
              <w:bottom w:val="nil"/>
              <w:right w:val="nil"/>
            </w:tcBorders>
          </w:tcPr>
          <w:p w14:paraId="45EF9C58" w14:textId="77777777" w:rsidR="00C2150D" w:rsidRPr="0020584E" w:rsidRDefault="00C2150D" w:rsidP="0020584E">
            <w:pPr>
              <w:numPr>
                <w:ilvl w:val="0"/>
                <w:numId w:val="7"/>
              </w:numPr>
              <w:autoSpaceDE w:val="0"/>
              <w:autoSpaceDN w:val="0"/>
              <w:adjustRightInd w:val="0"/>
              <w:ind w:left="454" w:hanging="425"/>
              <w:rPr>
                <w:rFonts w:ascii="Times New Roman" w:eastAsia="Calibri" w:hAnsi="Times New Roman" w:cs="Times New Roman"/>
                <w:color w:val="000000"/>
                <w:sz w:val="24"/>
                <w:szCs w:val="24"/>
              </w:rPr>
            </w:pPr>
            <w:r w:rsidRPr="0020584E">
              <w:rPr>
                <w:rFonts w:ascii="Times New Roman" w:eastAsia="Calibri" w:hAnsi="Times New Roman" w:cs="Times New Roman"/>
                <w:color w:val="000000"/>
                <w:sz w:val="24"/>
                <w:szCs w:val="24"/>
              </w:rPr>
              <w:t>How effective is your board at using evidence to enhance the quality of decision making?</w:t>
            </w:r>
          </w:p>
        </w:tc>
        <w:tc>
          <w:tcPr>
            <w:tcW w:w="2565" w:type="pct"/>
            <w:gridSpan w:val="3"/>
            <w:tcBorders>
              <w:top w:val="nil"/>
              <w:left w:val="nil"/>
              <w:bottom w:val="nil"/>
              <w:right w:val="nil"/>
            </w:tcBorders>
          </w:tcPr>
          <w:p w14:paraId="144DC22D" w14:textId="77777777" w:rsidR="00C2150D" w:rsidRPr="0020584E" w:rsidRDefault="00C2150D" w:rsidP="0020584E">
            <w:pPr>
              <w:autoSpaceDE w:val="0"/>
              <w:autoSpaceDN w:val="0"/>
              <w:adjustRightInd w:val="0"/>
              <w:jc w:val="center"/>
              <w:rPr>
                <w:rFonts w:ascii="Times New Roman" w:eastAsia="Calibri" w:hAnsi="Times New Roman" w:cs="Times New Roman"/>
                <w:color w:val="000000"/>
                <w:sz w:val="24"/>
                <w:szCs w:val="24"/>
              </w:rPr>
            </w:pPr>
            <w:r w:rsidRPr="0020584E">
              <w:rPr>
                <w:rFonts w:ascii="Times New Roman" w:eastAsia="Calibri" w:hAnsi="Times New Roman" w:cs="Times New Roman"/>
                <w:color w:val="000000"/>
                <w:sz w:val="24"/>
                <w:szCs w:val="24"/>
              </w:rPr>
              <w:t>[1 = not effective, 7 = very effective]</w:t>
            </w:r>
          </w:p>
          <w:p w14:paraId="061EE289" w14:textId="77777777" w:rsidR="00C2150D" w:rsidRPr="0020584E" w:rsidRDefault="00C2150D" w:rsidP="0020584E">
            <w:pPr>
              <w:autoSpaceDE w:val="0"/>
              <w:autoSpaceDN w:val="0"/>
              <w:adjustRightInd w:val="0"/>
              <w:jc w:val="center"/>
              <w:rPr>
                <w:rFonts w:ascii="Times New Roman" w:eastAsia="Calibri" w:hAnsi="Times New Roman" w:cs="Times New Roman"/>
                <w:color w:val="000000"/>
                <w:sz w:val="24"/>
                <w:szCs w:val="24"/>
              </w:rPr>
            </w:pPr>
            <w:r w:rsidRPr="0020584E">
              <w:rPr>
                <w:rFonts w:ascii="Times New Roman" w:eastAsia="Calibri" w:hAnsi="Times New Roman" w:cs="Times New Roman"/>
                <w:color w:val="000000"/>
                <w:sz w:val="24"/>
                <w:szCs w:val="24"/>
              </w:rPr>
              <w:t>5.34</w:t>
            </w:r>
          </w:p>
        </w:tc>
      </w:tr>
      <w:tr w:rsidR="00C2150D" w:rsidRPr="00015EC5" w14:paraId="080CD2F3" w14:textId="77777777" w:rsidTr="0020584E">
        <w:tc>
          <w:tcPr>
            <w:tcW w:w="2435" w:type="pct"/>
            <w:tcBorders>
              <w:top w:val="nil"/>
              <w:left w:val="nil"/>
              <w:bottom w:val="nil"/>
              <w:right w:val="nil"/>
            </w:tcBorders>
          </w:tcPr>
          <w:p w14:paraId="1F88321A" w14:textId="77777777" w:rsidR="00C2150D" w:rsidRPr="0020584E" w:rsidRDefault="00C2150D" w:rsidP="0020584E">
            <w:pPr>
              <w:numPr>
                <w:ilvl w:val="0"/>
                <w:numId w:val="7"/>
              </w:numPr>
              <w:autoSpaceDE w:val="0"/>
              <w:autoSpaceDN w:val="0"/>
              <w:adjustRightInd w:val="0"/>
              <w:ind w:left="454" w:hanging="425"/>
              <w:rPr>
                <w:rFonts w:ascii="Times New Roman" w:eastAsia="Calibri" w:hAnsi="Times New Roman" w:cs="Times New Roman"/>
                <w:color w:val="000000"/>
                <w:sz w:val="24"/>
                <w:szCs w:val="24"/>
              </w:rPr>
            </w:pPr>
            <w:r w:rsidRPr="0020584E">
              <w:rPr>
                <w:rFonts w:ascii="Times New Roman" w:eastAsia="Calibri" w:hAnsi="Times New Roman" w:cs="Times New Roman"/>
                <w:color w:val="000000"/>
                <w:sz w:val="24"/>
                <w:szCs w:val="24"/>
              </w:rPr>
              <w:t>How effective is your board at assessing the adequacy and relevance of the information it receives?</w:t>
            </w:r>
          </w:p>
        </w:tc>
        <w:tc>
          <w:tcPr>
            <w:tcW w:w="2565" w:type="pct"/>
            <w:gridSpan w:val="3"/>
            <w:tcBorders>
              <w:top w:val="nil"/>
              <w:left w:val="nil"/>
              <w:bottom w:val="nil"/>
              <w:right w:val="nil"/>
            </w:tcBorders>
          </w:tcPr>
          <w:p w14:paraId="46F6D594" w14:textId="77777777" w:rsidR="00C2150D" w:rsidRPr="0020584E" w:rsidRDefault="00C2150D" w:rsidP="0020584E">
            <w:pPr>
              <w:autoSpaceDE w:val="0"/>
              <w:autoSpaceDN w:val="0"/>
              <w:adjustRightInd w:val="0"/>
              <w:jc w:val="center"/>
              <w:rPr>
                <w:rFonts w:ascii="Times New Roman" w:eastAsia="Calibri" w:hAnsi="Times New Roman" w:cs="Times New Roman"/>
                <w:color w:val="000000"/>
                <w:sz w:val="24"/>
                <w:szCs w:val="24"/>
              </w:rPr>
            </w:pPr>
            <w:r w:rsidRPr="0020584E">
              <w:rPr>
                <w:rFonts w:ascii="Times New Roman" w:eastAsia="Calibri" w:hAnsi="Times New Roman" w:cs="Times New Roman"/>
                <w:color w:val="000000"/>
                <w:sz w:val="24"/>
                <w:szCs w:val="24"/>
              </w:rPr>
              <w:t>[1 = not effective, 7 = very effective]</w:t>
            </w:r>
          </w:p>
          <w:p w14:paraId="066C6935" w14:textId="77777777" w:rsidR="00C2150D" w:rsidRPr="0020584E" w:rsidRDefault="00C2150D" w:rsidP="0020584E">
            <w:pPr>
              <w:autoSpaceDE w:val="0"/>
              <w:autoSpaceDN w:val="0"/>
              <w:adjustRightInd w:val="0"/>
              <w:jc w:val="center"/>
              <w:rPr>
                <w:rFonts w:ascii="Times New Roman" w:eastAsia="Calibri" w:hAnsi="Times New Roman" w:cs="Times New Roman"/>
                <w:color w:val="000000"/>
                <w:sz w:val="24"/>
                <w:szCs w:val="24"/>
              </w:rPr>
            </w:pPr>
            <w:r w:rsidRPr="0020584E">
              <w:rPr>
                <w:rFonts w:ascii="Times New Roman" w:eastAsia="Calibri" w:hAnsi="Times New Roman" w:cs="Times New Roman"/>
                <w:color w:val="000000"/>
                <w:sz w:val="24"/>
                <w:szCs w:val="24"/>
              </w:rPr>
              <w:t>5.32</w:t>
            </w:r>
          </w:p>
        </w:tc>
      </w:tr>
      <w:tr w:rsidR="00C2150D" w:rsidRPr="00015EC5" w14:paraId="2416B7C1" w14:textId="77777777" w:rsidTr="0020584E">
        <w:tc>
          <w:tcPr>
            <w:tcW w:w="2435" w:type="pct"/>
            <w:tcBorders>
              <w:top w:val="nil"/>
              <w:left w:val="nil"/>
              <w:bottom w:val="nil"/>
              <w:right w:val="nil"/>
            </w:tcBorders>
          </w:tcPr>
          <w:p w14:paraId="6F056CB2" w14:textId="77777777" w:rsidR="00C2150D" w:rsidRPr="0020584E" w:rsidRDefault="00C2150D" w:rsidP="0020584E">
            <w:pPr>
              <w:numPr>
                <w:ilvl w:val="0"/>
                <w:numId w:val="7"/>
              </w:numPr>
              <w:autoSpaceDE w:val="0"/>
              <w:autoSpaceDN w:val="0"/>
              <w:adjustRightInd w:val="0"/>
              <w:ind w:left="454" w:hanging="425"/>
              <w:rPr>
                <w:rFonts w:ascii="Times New Roman" w:eastAsia="Calibri" w:hAnsi="Times New Roman" w:cs="Times New Roman"/>
                <w:color w:val="000000"/>
                <w:sz w:val="24"/>
                <w:szCs w:val="24"/>
              </w:rPr>
            </w:pPr>
            <w:r w:rsidRPr="0020584E">
              <w:rPr>
                <w:rFonts w:ascii="Times New Roman" w:eastAsia="Calibri" w:hAnsi="Times New Roman" w:cs="Times New Roman"/>
                <w:color w:val="000000"/>
                <w:sz w:val="24"/>
                <w:szCs w:val="24"/>
              </w:rPr>
              <w:t>How effective is your board at making appropriate interventions?</w:t>
            </w:r>
          </w:p>
        </w:tc>
        <w:tc>
          <w:tcPr>
            <w:tcW w:w="2565" w:type="pct"/>
            <w:gridSpan w:val="3"/>
            <w:tcBorders>
              <w:top w:val="nil"/>
              <w:left w:val="nil"/>
              <w:bottom w:val="nil"/>
              <w:right w:val="nil"/>
            </w:tcBorders>
          </w:tcPr>
          <w:p w14:paraId="3E27E040" w14:textId="77777777" w:rsidR="00C2150D" w:rsidRPr="0020584E" w:rsidRDefault="00C2150D" w:rsidP="0020584E">
            <w:pPr>
              <w:autoSpaceDE w:val="0"/>
              <w:autoSpaceDN w:val="0"/>
              <w:adjustRightInd w:val="0"/>
              <w:jc w:val="center"/>
              <w:rPr>
                <w:rFonts w:ascii="Times New Roman" w:eastAsia="Calibri" w:hAnsi="Times New Roman" w:cs="Times New Roman"/>
                <w:color w:val="000000"/>
                <w:sz w:val="24"/>
                <w:szCs w:val="24"/>
              </w:rPr>
            </w:pPr>
            <w:r w:rsidRPr="0020584E">
              <w:rPr>
                <w:rFonts w:ascii="Times New Roman" w:eastAsia="Calibri" w:hAnsi="Times New Roman" w:cs="Times New Roman"/>
                <w:color w:val="000000"/>
                <w:sz w:val="24"/>
                <w:szCs w:val="24"/>
              </w:rPr>
              <w:t>[1 = not effective, 7 = very effective]</w:t>
            </w:r>
          </w:p>
          <w:p w14:paraId="1AD2CD32" w14:textId="77777777" w:rsidR="00C2150D" w:rsidRPr="0020584E" w:rsidRDefault="00C2150D" w:rsidP="0020584E">
            <w:pPr>
              <w:autoSpaceDE w:val="0"/>
              <w:autoSpaceDN w:val="0"/>
              <w:adjustRightInd w:val="0"/>
              <w:jc w:val="center"/>
              <w:rPr>
                <w:rFonts w:ascii="Times New Roman" w:eastAsia="Calibri" w:hAnsi="Times New Roman" w:cs="Times New Roman"/>
                <w:color w:val="000000"/>
                <w:sz w:val="24"/>
                <w:szCs w:val="24"/>
              </w:rPr>
            </w:pPr>
            <w:r w:rsidRPr="0020584E">
              <w:rPr>
                <w:rFonts w:ascii="Times New Roman" w:eastAsia="Calibri" w:hAnsi="Times New Roman" w:cs="Times New Roman"/>
                <w:color w:val="000000"/>
                <w:sz w:val="24"/>
                <w:szCs w:val="24"/>
              </w:rPr>
              <w:t>5.12</w:t>
            </w:r>
          </w:p>
        </w:tc>
      </w:tr>
      <w:tr w:rsidR="00C2150D" w:rsidRPr="00015EC5" w14:paraId="43F0D42A" w14:textId="77777777" w:rsidTr="0020584E">
        <w:tc>
          <w:tcPr>
            <w:tcW w:w="2435" w:type="pct"/>
            <w:tcBorders>
              <w:top w:val="nil"/>
              <w:left w:val="nil"/>
              <w:bottom w:val="nil"/>
              <w:right w:val="nil"/>
            </w:tcBorders>
          </w:tcPr>
          <w:p w14:paraId="028BDB0E" w14:textId="77777777" w:rsidR="00C2150D" w:rsidRDefault="00C2150D" w:rsidP="0020584E">
            <w:pPr>
              <w:numPr>
                <w:ilvl w:val="0"/>
                <w:numId w:val="7"/>
              </w:numPr>
              <w:autoSpaceDE w:val="0"/>
              <w:autoSpaceDN w:val="0"/>
              <w:adjustRightInd w:val="0"/>
              <w:ind w:left="454" w:hanging="425"/>
              <w:rPr>
                <w:rFonts w:ascii="Times New Roman" w:eastAsia="Calibri" w:hAnsi="Times New Roman" w:cs="Times New Roman"/>
                <w:color w:val="000000"/>
                <w:sz w:val="24"/>
                <w:szCs w:val="24"/>
              </w:rPr>
            </w:pPr>
            <w:r w:rsidRPr="0020584E">
              <w:rPr>
                <w:rFonts w:ascii="Times New Roman" w:eastAsia="Calibri" w:hAnsi="Times New Roman" w:cs="Times New Roman"/>
                <w:color w:val="000000"/>
                <w:sz w:val="24"/>
                <w:szCs w:val="24"/>
              </w:rPr>
              <w:t>How effective is your board at working to agreed deadlines?</w:t>
            </w:r>
          </w:p>
          <w:p w14:paraId="1694309F" w14:textId="77777777" w:rsidR="00E60710" w:rsidRPr="0020584E" w:rsidRDefault="00E60710" w:rsidP="00E60710">
            <w:pPr>
              <w:autoSpaceDE w:val="0"/>
              <w:autoSpaceDN w:val="0"/>
              <w:adjustRightInd w:val="0"/>
              <w:ind w:left="29"/>
              <w:rPr>
                <w:rFonts w:ascii="Times New Roman" w:eastAsia="Calibri" w:hAnsi="Times New Roman" w:cs="Times New Roman"/>
                <w:color w:val="000000"/>
                <w:sz w:val="24"/>
                <w:szCs w:val="24"/>
              </w:rPr>
            </w:pPr>
          </w:p>
        </w:tc>
        <w:tc>
          <w:tcPr>
            <w:tcW w:w="2565" w:type="pct"/>
            <w:gridSpan w:val="3"/>
            <w:tcBorders>
              <w:top w:val="nil"/>
              <w:left w:val="nil"/>
              <w:bottom w:val="nil"/>
              <w:right w:val="nil"/>
            </w:tcBorders>
          </w:tcPr>
          <w:p w14:paraId="4E19FE81" w14:textId="77777777" w:rsidR="00C2150D" w:rsidRPr="0020584E" w:rsidRDefault="00C2150D" w:rsidP="0020584E">
            <w:pPr>
              <w:autoSpaceDE w:val="0"/>
              <w:autoSpaceDN w:val="0"/>
              <w:adjustRightInd w:val="0"/>
              <w:jc w:val="center"/>
              <w:rPr>
                <w:rFonts w:ascii="Times New Roman" w:eastAsia="Calibri" w:hAnsi="Times New Roman" w:cs="Times New Roman"/>
                <w:color w:val="000000"/>
                <w:sz w:val="24"/>
                <w:szCs w:val="24"/>
              </w:rPr>
            </w:pPr>
            <w:r w:rsidRPr="0020584E">
              <w:rPr>
                <w:rFonts w:ascii="Times New Roman" w:eastAsia="Calibri" w:hAnsi="Times New Roman" w:cs="Times New Roman"/>
                <w:color w:val="000000"/>
                <w:sz w:val="24"/>
                <w:szCs w:val="24"/>
              </w:rPr>
              <w:t>[1 = not effective, 7 = very effective]</w:t>
            </w:r>
          </w:p>
          <w:p w14:paraId="56458449" w14:textId="77777777" w:rsidR="00C2150D" w:rsidRPr="0020584E" w:rsidRDefault="00C2150D" w:rsidP="0020584E">
            <w:pPr>
              <w:autoSpaceDE w:val="0"/>
              <w:autoSpaceDN w:val="0"/>
              <w:adjustRightInd w:val="0"/>
              <w:jc w:val="center"/>
              <w:rPr>
                <w:rFonts w:ascii="Times New Roman" w:eastAsia="Calibri" w:hAnsi="Times New Roman" w:cs="Times New Roman"/>
                <w:color w:val="000000"/>
                <w:sz w:val="24"/>
                <w:szCs w:val="24"/>
              </w:rPr>
            </w:pPr>
            <w:r w:rsidRPr="0020584E">
              <w:rPr>
                <w:rFonts w:ascii="Times New Roman" w:eastAsia="Calibri" w:hAnsi="Times New Roman" w:cs="Times New Roman"/>
                <w:color w:val="000000"/>
                <w:sz w:val="24"/>
                <w:szCs w:val="24"/>
              </w:rPr>
              <w:t>5.48</w:t>
            </w:r>
          </w:p>
        </w:tc>
      </w:tr>
      <w:tr w:rsidR="00C2150D" w:rsidRPr="00015EC5" w14:paraId="16CB8C30" w14:textId="77777777" w:rsidTr="0020584E">
        <w:tc>
          <w:tcPr>
            <w:tcW w:w="2435" w:type="pct"/>
            <w:tcBorders>
              <w:top w:val="nil"/>
              <w:left w:val="nil"/>
              <w:bottom w:val="nil"/>
              <w:right w:val="nil"/>
            </w:tcBorders>
          </w:tcPr>
          <w:p w14:paraId="09081B77" w14:textId="77777777" w:rsidR="00C2150D" w:rsidRPr="0020584E" w:rsidRDefault="00C2150D" w:rsidP="0020584E">
            <w:pPr>
              <w:numPr>
                <w:ilvl w:val="0"/>
                <w:numId w:val="7"/>
              </w:numPr>
              <w:autoSpaceDE w:val="0"/>
              <w:autoSpaceDN w:val="0"/>
              <w:adjustRightInd w:val="0"/>
              <w:ind w:left="454" w:hanging="425"/>
              <w:rPr>
                <w:rFonts w:ascii="Times New Roman" w:eastAsia="Calibri" w:hAnsi="Times New Roman" w:cs="Times New Roman"/>
                <w:color w:val="000000"/>
                <w:sz w:val="24"/>
                <w:szCs w:val="24"/>
              </w:rPr>
            </w:pPr>
            <w:r w:rsidRPr="0020584E">
              <w:rPr>
                <w:rFonts w:ascii="Times New Roman" w:eastAsia="Calibri" w:hAnsi="Times New Roman" w:cs="Times New Roman"/>
                <w:color w:val="000000"/>
                <w:sz w:val="24"/>
                <w:szCs w:val="24"/>
              </w:rPr>
              <w:lastRenderedPageBreak/>
              <w:t>How effective is your board at shaping board agendas and meetings?</w:t>
            </w:r>
          </w:p>
        </w:tc>
        <w:tc>
          <w:tcPr>
            <w:tcW w:w="2565" w:type="pct"/>
            <w:gridSpan w:val="3"/>
            <w:tcBorders>
              <w:top w:val="nil"/>
              <w:left w:val="nil"/>
              <w:bottom w:val="nil"/>
              <w:right w:val="nil"/>
            </w:tcBorders>
          </w:tcPr>
          <w:p w14:paraId="17124D4B" w14:textId="77777777" w:rsidR="00C2150D" w:rsidRPr="00EB2D5F" w:rsidRDefault="00C2150D" w:rsidP="0020584E">
            <w:pPr>
              <w:autoSpaceDE w:val="0"/>
              <w:autoSpaceDN w:val="0"/>
              <w:adjustRightInd w:val="0"/>
              <w:jc w:val="center"/>
              <w:rPr>
                <w:rFonts w:ascii="Times New Roman" w:eastAsia="Calibri" w:hAnsi="Times New Roman" w:cs="Times New Roman"/>
                <w:color w:val="000000"/>
                <w:sz w:val="24"/>
                <w:szCs w:val="24"/>
              </w:rPr>
            </w:pPr>
            <w:r w:rsidRPr="00EB2D5F">
              <w:rPr>
                <w:rFonts w:ascii="Times New Roman" w:eastAsia="Calibri" w:hAnsi="Times New Roman" w:cs="Times New Roman"/>
                <w:color w:val="000000"/>
                <w:sz w:val="24"/>
                <w:szCs w:val="24"/>
              </w:rPr>
              <w:t>[1 = not effective, 7 = very effective]</w:t>
            </w:r>
          </w:p>
          <w:p w14:paraId="342BFE67" w14:textId="77777777" w:rsidR="00C2150D" w:rsidRPr="00FB74CA" w:rsidRDefault="00C2150D" w:rsidP="0020584E">
            <w:pPr>
              <w:autoSpaceDE w:val="0"/>
              <w:autoSpaceDN w:val="0"/>
              <w:adjustRightInd w:val="0"/>
              <w:jc w:val="center"/>
              <w:rPr>
                <w:rFonts w:ascii="Times New Roman" w:eastAsia="Calibri" w:hAnsi="Times New Roman" w:cs="Times New Roman"/>
                <w:color w:val="000000"/>
                <w:sz w:val="24"/>
                <w:szCs w:val="24"/>
              </w:rPr>
            </w:pPr>
            <w:r w:rsidRPr="00FB74CA">
              <w:rPr>
                <w:rFonts w:ascii="Times New Roman" w:eastAsia="Calibri" w:hAnsi="Times New Roman" w:cs="Times New Roman"/>
                <w:color w:val="000000"/>
                <w:sz w:val="24"/>
                <w:szCs w:val="24"/>
              </w:rPr>
              <w:t>5.18</w:t>
            </w:r>
          </w:p>
        </w:tc>
      </w:tr>
      <w:tr w:rsidR="00C2150D" w:rsidRPr="00015EC5" w14:paraId="4CA55374" w14:textId="77777777" w:rsidTr="0020584E">
        <w:tc>
          <w:tcPr>
            <w:tcW w:w="2435" w:type="pct"/>
            <w:tcBorders>
              <w:top w:val="nil"/>
              <w:left w:val="nil"/>
              <w:bottom w:val="single" w:sz="4" w:space="0" w:color="auto"/>
              <w:right w:val="nil"/>
            </w:tcBorders>
          </w:tcPr>
          <w:p w14:paraId="19CDCDF4" w14:textId="77777777" w:rsidR="00C2150D" w:rsidRPr="0020584E" w:rsidRDefault="00C2150D" w:rsidP="0020584E">
            <w:pPr>
              <w:numPr>
                <w:ilvl w:val="0"/>
                <w:numId w:val="7"/>
              </w:numPr>
              <w:autoSpaceDE w:val="0"/>
              <w:autoSpaceDN w:val="0"/>
              <w:adjustRightInd w:val="0"/>
              <w:ind w:left="454" w:hanging="425"/>
              <w:rPr>
                <w:rFonts w:ascii="Times New Roman" w:eastAsia="Calibri" w:hAnsi="Times New Roman" w:cs="Times New Roman"/>
                <w:color w:val="000000"/>
                <w:sz w:val="24"/>
                <w:szCs w:val="24"/>
              </w:rPr>
            </w:pPr>
            <w:r w:rsidRPr="0020584E">
              <w:rPr>
                <w:rFonts w:ascii="Times New Roman" w:eastAsia="Calibri" w:hAnsi="Times New Roman" w:cs="Times New Roman"/>
                <w:color w:val="000000"/>
                <w:sz w:val="24"/>
                <w:szCs w:val="24"/>
              </w:rPr>
              <w:t>How effective is your board at strategic management?</w:t>
            </w:r>
          </w:p>
        </w:tc>
        <w:tc>
          <w:tcPr>
            <w:tcW w:w="2565" w:type="pct"/>
            <w:gridSpan w:val="3"/>
            <w:tcBorders>
              <w:top w:val="nil"/>
              <w:left w:val="nil"/>
              <w:bottom w:val="single" w:sz="4" w:space="0" w:color="auto"/>
              <w:right w:val="nil"/>
            </w:tcBorders>
          </w:tcPr>
          <w:p w14:paraId="0762CC2E" w14:textId="77777777" w:rsidR="00C2150D" w:rsidRPr="0020584E" w:rsidRDefault="00C2150D" w:rsidP="0020584E">
            <w:pPr>
              <w:autoSpaceDE w:val="0"/>
              <w:autoSpaceDN w:val="0"/>
              <w:adjustRightInd w:val="0"/>
              <w:jc w:val="center"/>
              <w:rPr>
                <w:rFonts w:ascii="Times New Roman" w:eastAsia="Calibri" w:hAnsi="Times New Roman" w:cs="Times New Roman"/>
                <w:color w:val="000000"/>
                <w:sz w:val="24"/>
                <w:szCs w:val="24"/>
              </w:rPr>
            </w:pPr>
            <w:r w:rsidRPr="0020584E">
              <w:rPr>
                <w:rFonts w:ascii="Times New Roman" w:eastAsia="Calibri" w:hAnsi="Times New Roman" w:cs="Times New Roman"/>
                <w:color w:val="000000"/>
                <w:sz w:val="24"/>
                <w:szCs w:val="24"/>
              </w:rPr>
              <w:t>[1 = not effective, 7 = very effective]</w:t>
            </w:r>
          </w:p>
          <w:p w14:paraId="743FBF93" w14:textId="77777777" w:rsidR="00C2150D" w:rsidRPr="0020584E" w:rsidRDefault="00C2150D" w:rsidP="0020584E">
            <w:pPr>
              <w:autoSpaceDE w:val="0"/>
              <w:autoSpaceDN w:val="0"/>
              <w:adjustRightInd w:val="0"/>
              <w:jc w:val="center"/>
              <w:rPr>
                <w:rFonts w:ascii="Times New Roman" w:eastAsia="Calibri" w:hAnsi="Times New Roman" w:cs="Times New Roman"/>
                <w:color w:val="000000"/>
                <w:sz w:val="24"/>
                <w:szCs w:val="24"/>
              </w:rPr>
            </w:pPr>
            <w:r w:rsidRPr="0020584E">
              <w:rPr>
                <w:rFonts w:ascii="Times New Roman" w:eastAsia="Calibri" w:hAnsi="Times New Roman" w:cs="Times New Roman"/>
                <w:color w:val="000000"/>
                <w:sz w:val="24"/>
                <w:szCs w:val="24"/>
              </w:rPr>
              <w:t>5.28</w:t>
            </w:r>
          </w:p>
        </w:tc>
      </w:tr>
    </w:tbl>
    <w:p w14:paraId="7D7F5617" w14:textId="77777777" w:rsidR="00C2150D" w:rsidRPr="0020584E" w:rsidRDefault="00C2150D" w:rsidP="0020584E">
      <w:pPr>
        <w:autoSpaceDE w:val="0"/>
        <w:autoSpaceDN w:val="0"/>
        <w:adjustRightInd w:val="0"/>
        <w:spacing w:after="0" w:line="360" w:lineRule="auto"/>
        <w:rPr>
          <w:rFonts w:ascii="Times New Roman" w:eastAsia="Calibri" w:hAnsi="Times New Roman" w:cs="Times New Roman"/>
          <w:color w:val="000000"/>
          <w:sz w:val="24"/>
          <w:szCs w:val="24"/>
        </w:rPr>
      </w:pPr>
    </w:p>
    <w:p w14:paraId="685DF275" w14:textId="48626A11" w:rsidR="00D76E12" w:rsidRPr="00015EC5" w:rsidRDefault="00D76E12" w:rsidP="0020584E">
      <w:pPr>
        <w:spacing w:after="0" w:line="360" w:lineRule="auto"/>
        <w:ind w:firstLine="426"/>
        <w:jc w:val="both"/>
        <w:rPr>
          <w:rFonts w:ascii="Times New Roman" w:hAnsi="Times New Roman" w:cs="Times New Roman"/>
          <w:sz w:val="24"/>
          <w:szCs w:val="24"/>
        </w:rPr>
      </w:pPr>
      <w:r w:rsidRPr="0020584E">
        <w:rPr>
          <w:rFonts w:ascii="Times New Roman" w:hAnsi="Times New Roman" w:cs="Times New Roman"/>
          <w:sz w:val="24"/>
          <w:szCs w:val="24"/>
        </w:rPr>
        <w:t>As discussed above, there are multiple instruments</w:t>
      </w:r>
      <w:r w:rsidRPr="0020584E" w:rsidDel="001F0B08">
        <w:rPr>
          <w:rFonts w:ascii="Times New Roman" w:hAnsi="Times New Roman" w:cs="Times New Roman"/>
          <w:sz w:val="24"/>
          <w:szCs w:val="24"/>
        </w:rPr>
        <w:t xml:space="preserve"> </w:t>
      </w:r>
      <w:r w:rsidRPr="0020584E">
        <w:rPr>
          <w:rFonts w:ascii="Times New Roman" w:hAnsi="Times New Roman" w:cs="Times New Roman"/>
          <w:sz w:val="24"/>
          <w:szCs w:val="24"/>
        </w:rPr>
        <w:t>of accountability, with the statutory annual repo</w:t>
      </w:r>
      <w:r w:rsidRPr="00EB2D5F">
        <w:rPr>
          <w:rFonts w:ascii="Times New Roman" w:hAnsi="Times New Roman" w:cs="Times New Roman"/>
          <w:sz w:val="24"/>
          <w:szCs w:val="24"/>
        </w:rPr>
        <w:t xml:space="preserve">rt and accounts being a well-established accountability mechanism. Indeed, </w:t>
      </w:r>
      <w:proofErr w:type="spellStart"/>
      <w:r w:rsidRPr="00EB2D5F">
        <w:rPr>
          <w:rFonts w:ascii="Times New Roman" w:hAnsi="Times New Roman" w:cs="Times New Roman"/>
          <w:sz w:val="24"/>
          <w:szCs w:val="24"/>
        </w:rPr>
        <w:t>HoCPASC</w:t>
      </w:r>
      <w:proofErr w:type="spellEnd"/>
      <w:r w:rsidRPr="00EB2D5F">
        <w:rPr>
          <w:rFonts w:ascii="Times New Roman" w:hAnsi="Times New Roman" w:cs="Times New Roman"/>
          <w:sz w:val="24"/>
          <w:szCs w:val="24"/>
        </w:rPr>
        <w:t xml:space="preserve"> (2014) states </w:t>
      </w:r>
      <w:r w:rsidR="00EE259D" w:rsidRPr="00FB74CA">
        <w:rPr>
          <w:rFonts w:ascii="Times New Roman" w:hAnsi="Times New Roman" w:cs="Times New Roman"/>
          <w:sz w:val="24"/>
          <w:szCs w:val="24"/>
        </w:rPr>
        <w:t xml:space="preserve">that accountability can be operationalized by </w:t>
      </w:r>
      <w:r w:rsidRPr="00FB74CA">
        <w:rPr>
          <w:rFonts w:ascii="Times New Roman" w:hAnsi="Times New Roman" w:cs="Times New Roman"/>
          <w:sz w:val="24"/>
          <w:szCs w:val="24"/>
        </w:rPr>
        <w:t>the publication of such reports</w:t>
      </w:r>
      <w:r w:rsidRPr="00015EC5">
        <w:rPr>
          <w:rFonts w:ascii="Times New Roman" w:hAnsi="Times New Roman" w:cs="Times New Roman"/>
          <w:sz w:val="24"/>
          <w:szCs w:val="24"/>
        </w:rPr>
        <w:t xml:space="preserve">. Whilst </w:t>
      </w:r>
      <w:r w:rsidR="00EE259D" w:rsidRPr="00015EC5">
        <w:rPr>
          <w:rFonts w:ascii="Times New Roman" w:hAnsi="Times New Roman" w:cs="Times New Roman"/>
          <w:sz w:val="24"/>
          <w:szCs w:val="24"/>
        </w:rPr>
        <w:t>participant</w:t>
      </w:r>
      <w:r w:rsidRPr="00015EC5">
        <w:rPr>
          <w:rFonts w:ascii="Times New Roman" w:hAnsi="Times New Roman" w:cs="Times New Roman"/>
          <w:sz w:val="24"/>
          <w:szCs w:val="24"/>
        </w:rPr>
        <w:t xml:space="preserve">s were not specifically asked about the availability of their annual reports, a review of the websites of the 105 NI NDPBs revealed that eighty six (82 per cent) published such documents on their website. Those NDPBs that did not do so tended to be Advisory NDPBs, which typically do not have their own budgets, and their results were reported as part of their sponsoring department’s resource accounts. Another way of </w:t>
      </w:r>
      <w:r w:rsidR="00FC44BE" w:rsidRPr="00015EC5">
        <w:rPr>
          <w:rFonts w:ascii="Times New Roman" w:hAnsi="Times New Roman" w:cs="Times New Roman"/>
          <w:sz w:val="24"/>
          <w:szCs w:val="24"/>
        </w:rPr>
        <w:t>operationalizing</w:t>
      </w:r>
      <w:r w:rsidRPr="00015EC5">
        <w:rPr>
          <w:rFonts w:ascii="Times New Roman" w:hAnsi="Times New Roman" w:cs="Times New Roman"/>
          <w:sz w:val="24"/>
          <w:szCs w:val="24"/>
        </w:rPr>
        <w:t xml:space="preserve"> accountab</w:t>
      </w:r>
      <w:r w:rsidR="00FC44BE" w:rsidRPr="00015EC5">
        <w:rPr>
          <w:rFonts w:ascii="Times New Roman" w:hAnsi="Times New Roman" w:cs="Times New Roman"/>
          <w:sz w:val="24"/>
          <w:szCs w:val="24"/>
        </w:rPr>
        <w:t>i</w:t>
      </w:r>
      <w:r w:rsidRPr="00015EC5">
        <w:rPr>
          <w:rFonts w:ascii="Times New Roman" w:hAnsi="Times New Roman" w:cs="Times New Roman"/>
          <w:sz w:val="24"/>
          <w:szCs w:val="24"/>
        </w:rPr>
        <w:t>l</w:t>
      </w:r>
      <w:r w:rsidR="00FC44BE" w:rsidRPr="00015EC5">
        <w:rPr>
          <w:rFonts w:ascii="Times New Roman" w:hAnsi="Times New Roman" w:cs="Times New Roman"/>
          <w:sz w:val="24"/>
          <w:szCs w:val="24"/>
        </w:rPr>
        <w:t>ity</w:t>
      </w:r>
      <w:r w:rsidRPr="00015EC5">
        <w:rPr>
          <w:rFonts w:ascii="Times New Roman" w:hAnsi="Times New Roman" w:cs="Times New Roman"/>
          <w:sz w:val="24"/>
          <w:szCs w:val="24"/>
        </w:rPr>
        <w:t xml:space="preserve"> is for an organization to explain its values and progress in achieving its vision/mission (Drucker 1973; </w:t>
      </w:r>
      <w:proofErr w:type="spellStart"/>
      <w:r w:rsidRPr="00015EC5">
        <w:rPr>
          <w:rFonts w:ascii="Times New Roman" w:hAnsi="Times New Roman" w:cs="Times New Roman"/>
          <w:sz w:val="24"/>
          <w:szCs w:val="24"/>
          <w:lang w:val="en"/>
        </w:rPr>
        <w:t>Ingley</w:t>
      </w:r>
      <w:proofErr w:type="spellEnd"/>
      <w:r w:rsidRPr="00015EC5">
        <w:rPr>
          <w:rFonts w:ascii="Times New Roman" w:hAnsi="Times New Roman" w:cs="Times New Roman"/>
          <w:sz w:val="24"/>
          <w:szCs w:val="24"/>
          <w:lang w:val="en"/>
        </w:rPr>
        <w:t xml:space="preserve"> and Van der Walt 2001</w:t>
      </w:r>
      <w:r w:rsidRPr="00015EC5">
        <w:rPr>
          <w:rFonts w:ascii="Times New Roman" w:hAnsi="Times New Roman" w:cs="Times New Roman"/>
          <w:sz w:val="24"/>
          <w:szCs w:val="24"/>
        </w:rPr>
        <w:t>). Moreover, by demonstrating progress towards this, an organization can gain legitimacy from its stakeholders (</w:t>
      </w:r>
      <w:proofErr w:type="spellStart"/>
      <w:r w:rsidRPr="00015EC5">
        <w:rPr>
          <w:rFonts w:ascii="Times New Roman" w:hAnsi="Times New Roman" w:cs="Times New Roman"/>
          <w:sz w:val="24"/>
          <w:szCs w:val="24"/>
        </w:rPr>
        <w:t>Samkin</w:t>
      </w:r>
      <w:proofErr w:type="spellEnd"/>
      <w:r w:rsidRPr="00015EC5">
        <w:rPr>
          <w:rFonts w:ascii="Times New Roman" w:hAnsi="Times New Roman" w:cs="Times New Roman"/>
          <w:sz w:val="24"/>
          <w:szCs w:val="24"/>
        </w:rPr>
        <w:t xml:space="preserve"> and Schneider 2010). </w:t>
      </w:r>
      <w:r w:rsidR="00FC44BE" w:rsidRPr="00015EC5">
        <w:rPr>
          <w:rFonts w:ascii="Times New Roman" w:hAnsi="Times New Roman" w:cs="Times New Roman"/>
          <w:sz w:val="24"/>
          <w:szCs w:val="24"/>
        </w:rPr>
        <w:t>Using a five-point Likert scale, with ‘one’ representing ‘never</w:t>
      </w:r>
      <w:r w:rsidR="00E60710">
        <w:rPr>
          <w:rFonts w:ascii="Times New Roman" w:hAnsi="Times New Roman" w:cs="Times New Roman"/>
          <w:sz w:val="24"/>
          <w:szCs w:val="24"/>
        </w:rPr>
        <w:t>’</w:t>
      </w:r>
      <w:r w:rsidR="00FC44BE" w:rsidRPr="00015EC5">
        <w:rPr>
          <w:rFonts w:ascii="Times New Roman" w:hAnsi="Times New Roman" w:cs="Times New Roman"/>
          <w:sz w:val="24"/>
          <w:szCs w:val="24"/>
        </w:rPr>
        <w:t xml:space="preserve"> and ‘five’ representing ‘all the time’,</w:t>
      </w:r>
      <w:r w:rsidRPr="00015EC5">
        <w:rPr>
          <w:rFonts w:ascii="Times New Roman" w:hAnsi="Times New Roman" w:cs="Times New Roman"/>
          <w:sz w:val="24"/>
          <w:szCs w:val="24"/>
        </w:rPr>
        <w:t xml:space="preserve"> </w:t>
      </w:r>
      <w:r w:rsidR="00FC44BE" w:rsidRPr="00015EC5">
        <w:rPr>
          <w:rFonts w:ascii="Times New Roman" w:hAnsi="Times New Roman" w:cs="Times New Roman"/>
          <w:sz w:val="24"/>
          <w:szCs w:val="24"/>
        </w:rPr>
        <w:t xml:space="preserve">the results were positive with an average score of 3.64, </w:t>
      </w:r>
      <w:r w:rsidRPr="00015EC5">
        <w:rPr>
          <w:rFonts w:ascii="Times New Roman" w:hAnsi="Times New Roman" w:cs="Times New Roman"/>
          <w:sz w:val="24"/>
          <w:szCs w:val="24"/>
        </w:rPr>
        <w:t>indicat</w:t>
      </w:r>
      <w:r w:rsidR="00FC44BE" w:rsidRPr="00015EC5">
        <w:rPr>
          <w:rFonts w:ascii="Times New Roman" w:hAnsi="Times New Roman" w:cs="Times New Roman"/>
          <w:sz w:val="24"/>
          <w:szCs w:val="24"/>
        </w:rPr>
        <w:t>ing</w:t>
      </w:r>
      <w:r w:rsidRPr="00015EC5">
        <w:rPr>
          <w:rFonts w:ascii="Times New Roman" w:hAnsi="Times New Roman" w:cs="Times New Roman"/>
          <w:sz w:val="24"/>
          <w:szCs w:val="24"/>
        </w:rPr>
        <w:t xml:space="preserve"> that vision</w:t>
      </w:r>
      <w:r w:rsidR="00E60710">
        <w:rPr>
          <w:rFonts w:ascii="Times New Roman" w:hAnsi="Times New Roman" w:cs="Times New Roman"/>
          <w:sz w:val="24"/>
          <w:szCs w:val="24"/>
        </w:rPr>
        <w:t xml:space="preserve"> and values</w:t>
      </w:r>
      <w:r w:rsidRPr="00015EC5">
        <w:rPr>
          <w:rFonts w:ascii="Times New Roman" w:hAnsi="Times New Roman" w:cs="Times New Roman"/>
          <w:sz w:val="24"/>
          <w:szCs w:val="24"/>
        </w:rPr>
        <w:t xml:space="preserve"> </w:t>
      </w:r>
      <w:r w:rsidR="00FC44BE" w:rsidRPr="00015EC5">
        <w:rPr>
          <w:rFonts w:ascii="Times New Roman" w:hAnsi="Times New Roman" w:cs="Times New Roman"/>
          <w:sz w:val="24"/>
          <w:szCs w:val="24"/>
        </w:rPr>
        <w:t xml:space="preserve">frequently </w:t>
      </w:r>
      <w:r w:rsidRPr="00015EC5">
        <w:rPr>
          <w:rFonts w:ascii="Times New Roman" w:hAnsi="Times New Roman" w:cs="Times New Roman"/>
          <w:sz w:val="24"/>
          <w:szCs w:val="24"/>
        </w:rPr>
        <w:t>form part of decision making</w:t>
      </w:r>
      <w:r w:rsidR="00FC44BE" w:rsidRPr="00015EC5">
        <w:rPr>
          <w:rFonts w:ascii="Times New Roman" w:hAnsi="Times New Roman" w:cs="Times New Roman"/>
          <w:sz w:val="24"/>
          <w:szCs w:val="24"/>
        </w:rPr>
        <w:t>;</w:t>
      </w:r>
      <w:r w:rsidRPr="00015EC5">
        <w:rPr>
          <w:rFonts w:ascii="Times New Roman" w:hAnsi="Times New Roman" w:cs="Times New Roman"/>
          <w:sz w:val="24"/>
          <w:szCs w:val="24"/>
        </w:rPr>
        <w:t xml:space="preserve"> therefore suggesting that these influenced how accountability was discharged</w:t>
      </w:r>
      <w:r w:rsidR="00BF6C8F" w:rsidRPr="00015EC5">
        <w:rPr>
          <w:rFonts w:ascii="Times New Roman" w:hAnsi="Times New Roman" w:cs="Times New Roman"/>
          <w:sz w:val="24"/>
          <w:szCs w:val="24"/>
        </w:rPr>
        <w:t xml:space="preserve"> (see Table 1, question </w:t>
      </w:r>
      <w:r w:rsidR="00BC03C6" w:rsidRPr="00015EC5">
        <w:rPr>
          <w:rFonts w:ascii="Times New Roman" w:hAnsi="Times New Roman" w:cs="Times New Roman"/>
          <w:sz w:val="24"/>
          <w:szCs w:val="24"/>
        </w:rPr>
        <w:t>2</w:t>
      </w:r>
      <w:r w:rsidR="00BF6C8F" w:rsidRPr="00015EC5">
        <w:rPr>
          <w:rFonts w:ascii="Times New Roman" w:hAnsi="Times New Roman" w:cs="Times New Roman"/>
          <w:sz w:val="24"/>
          <w:szCs w:val="24"/>
        </w:rPr>
        <w:t>)</w:t>
      </w:r>
      <w:r w:rsidRPr="00015EC5">
        <w:rPr>
          <w:rFonts w:ascii="Times New Roman" w:hAnsi="Times New Roman" w:cs="Times New Roman"/>
          <w:sz w:val="24"/>
          <w:szCs w:val="24"/>
        </w:rPr>
        <w:t>. With regard to a mission statement, 91 per cent of respondents stated their organization had one, with 85 per cent sharing it with wider stakeholders</w:t>
      </w:r>
      <w:r w:rsidR="00BF6C8F" w:rsidRPr="00015EC5">
        <w:rPr>
          <w:rFonts w:ascii="Times New Roman" w:hAnsi="Times New Roman" w:cs="Times New Roman"/>
          <w:sz w:val="24"/>
          <w:szCs w:val="24"/>
        </w:rPr>
        <w:t xml:space="preserve"> (see Table 1, questions 4 and 5)</w:t>
      </w:r>
      <w:r w:rsidRPr="00015EC5">
        <w:rPr>
          <w:rFonts w:ascii="Times New Roman" w:hAnsi="Times New Roman" w:cs="Times New Roman"/>
          <w:sz w:val="24"/>
          <w:szCs w:val="24"/>
        </w:rPr>
        <w:t xml:space="preserve">. Consequently, not only are such documents used by public bodies, but they also form part of the stakeholder engagement process, perhaps indicating that significant importance is attached to them. </w:t>
      </w:r>
      <w:r w:rsidR="002241BB" w:rsidRPr="00015EC5">
        <w:rPr>
          <w:rFonts w:ascii="Times New Roman" w:hAnsi="Times New Roman" w:cs="Times New Roman"/>
          <w:sz w:val="24"/>
          <w:szCs w:val="24"/>
        </w:rPr>
        <w:t>The</w:t>
      </w:r>
      <w:r w:rsidRPr="00015EC5">
        <w:rPr>
          <w:rFonts w:ascii="Times New Roman" w:hAnsi="Times New Roman" w:cs="Times New Roman"/>
          <w:sz w:val="24"/>
          <w:szCs w:val="24"/>
        </w:rPr>
        <w:t xml:space="preserve"> board members were </w:t>
      </w:r>
      <w:r w:rsidR="002241BB" w:rsidRPr="00015EC5">
        <w:rPr>
          <w:rFonts w:ascii="Times New Roman" w:hAnsi="Times New Roman" w:cs="Times New Roman"/>
          <w:sz w:val="24"/>
          <w:szCs w:val="24"/>
        </w:rPr>
        <w:t xml:space="preserve">then </w:t>
      </w:r>
      <w:r w:rsidRPr="00015EC5">
        <w:rPr>
          <w:rFonts w:ascii="Times New Roman" w:hAnsi="Times New Roman" w:cs="Times New Roman"/>
          <w:sz w:val="24"/>
          <w:szCs w:val="24"/>
        </w:rPr>
        <w:t xml:space="preserve">asked about the difficulties faced achieving their organizational objectives whilst adhering to their mission statement. Using a seven-point Likert scale, with </w:t>
      </w:r>
      <w:r w:rsidR="00BF6C8F" w:rsidRPr="00015EC5">
        <w:rPr>
          <w:rFonts w:ascii="Times New Roman" w:hAnsi="Times New Roman" w:cs="Times New Roman"/>
          <w:sz w:val="24"/>
          <w:szCs w:val="24"/>
        </w:rPr>
        <w:t xml:space="preserve">‘one’ representing ‘very easy’ and </w:t>
      </w:r>
      <w:r w:rsidRPr="00015EC5">
        <w:rPr>
          <w:rFonts w:ascii="Times New Roman" w:hAnsi="Times New Roman" w:cs="Times New Roman"/>
          <w:sz w:val="24"/>
          <w:szCs w:val="24"/>
        </w:rPr>
        <w:t xml:space="preserve">‘seven’ representing </w:t>
      </w:r>
      <w:r w:rsidR="00BF6C8F" w:rsidRPr="00015EC5">
        <w:rPr>
          <w:rFonts w:ascii="Times New Roman" w:hAnsi="Times New Roman" w:cs="Times New Roman"/>
          <w:sz w:val="24"/>
          <w:szCs w:val="24"/>
        </w:rPr>
        <w:t>‘</w:t>
      </w:r>
      <w:r w:rsidRPr="00015EC5">
        <w:rPr>
          <w:rFonts w:ascii="Times New Roman" w:hAnsi="Times New Roman" w:cs="Times New Roman"/>
          <w:sz w:val="24"/>
          <w:szCs w:val="24"/>
        </w:rPr>
        <w:t>very difficult</w:t>
      </w:r>
      <w:r w:rsidR="00BF6C8F" w:rsidRPr="00015EC5">
        <w:rPr>
          <w:rFonts w:ascii="Times New Roman" w:hAnsi="Times New Roman" w:cs="Times New Roman"/>
          <w:sz w:val="24"/>
          <w:szCs w:val="24"/>
        </w:rPr>
        <w:t>’</w:t>
      </w:r>
      <w:r w:rsidRPr="00015EC5">
        <w:rPr>
          <w:rFonts w:ascii="Times New Roman" w:hAnsi="Times New Roman" w:cs="Times New Roman"/>
          <w:sz w:val="24"/>
          <w:szCs w:val="24"/>
        </w:rPr>
        <w:t xml:space="preserve">, </w:t>
      </w:r>
      <w:r w:rsidR="00BF6C8F" w:rsidRPr="00015EC5">
        <w:rPr>
          <w:rFonts w:ascii="Times New Roman" w:hAnsi="Times New Roman" w:cs="Times New Roman"/>
          <w:sz w:val="24"/>
          <w:szCs w:val="24"/>
        </w:rPr>
        <w:t>responses were spread fairly evenly across each of the scales with the average score being 3.55</w:t>
      </w:r>
      <w:r w:rsidR="002241BB" w:rsidRPr="00015EC5">
        <w:rPr>
          <w:rFonts w:ascii="Times New Roman" w:hAnsi="Times New Roman" w:cs="Times New Roman"/>
          <w:sz w:val="24"/>
          <w:szCs w:val="24"/>
        </w:rPr>
        <w:t>;</w:t>
      </w:r>
      <w:r w:rsidR="00BF6C8F" w:rsidRPr="00015EC5">
        <w:rPr>
          <w:rFonts w:ascii="Times New Roman" w:hAnsi="Times New Roman" w:cs="Times New Roman"/>
          <w:sz w:val="24"/>
          <w:szCs w:val="24"/>
        </w:rPr>
        <w:t xml:space="preserve"> </w:t>
      </w:r>
      <w:r w:rsidR="002241BB" w:rsidRPr="00015EC5">
        <w:rPr>
          <w:rFonts w:ascii="Times New Roman" w:hAnsi="Times New Roman" w:cs="Times New Roman"/>
          <w:sz w:val="24"/>
          <w:szCs w:val="24"/>
        </w:rPr>
        <w:t xml:space="preserve">this </w:t>
      </w:r>
      <w:r w:rsidR="00BF6C8F" w:rsidRPr="00015EC5">
        <w:rPr>
          <w:rFonts w:ascii="Times New Roman" w:hAnsi="Times New Roman" w:cs="Times New Roman"/>
          <w:sz w:val="24"/>
          <w:szCs w:val="24"/>
        </w:rPr>
        <w:t>suggest</w:t>
      </w:r>
      <w:r w:rsidR="002241BB" w:rsidRPr="00015EC5">
        <w:rPr>
          <w:rFonts w:ascii="Times New Roman" w:hAnsi="Times New Roman" w:cs="Times New Roman"/>
          <w:sz w:val="24"/>
          <w:szCs w:val="24"/>
        </w:rPr>
        <w:t>s</w:t>
      </w:r>
      <w:r w:rsidR="00BF6C8F" w:rsidRPr="00015EC5">
        <w:rPr>
          <w:rFonts w:ascii="Times New Roman" w:hAnsi="Times New Roman" w:cs="Times New Roman"/>
          <w:sz w:val="24"/>
          <w:szCs w:val="24"/>
        </w:rPr>
        <w:t xml:space="preserve"> that</w:t>
      </w:r>
      <w:r w:rsidR="002241BB" w:rsidRPr="00015EC5">
        <w:rPr>
          <w:rFonts w:ascii="Times New Roman" w:hAnsi="Times New Roman" w:cs="Times New Roman"/>
          <w:sz w:val="24"/>
          <w:szCs w:val="24"/>
        </w:rPr>
        <w:t xml:space="preserve"> this can be problematic for some boards (see Table 1, question 6)</w:t>
      </w:r>
      <w:r w:rsidRPr="00015EC5">
        <w:rPr>
          <w:rFonts w:ascii="Times New Roman" w:hAnsi="Times New Roman" w:cs="Times New Roman"/>
          <w:sz w:val="24"/>
          <w:szCs w:val="24"/>
        </w:rPr>
        <w:t>.</w:t>
      </w:r>
    </w:p>
    <w:p w14:paraId="772B7001" w14:textId="167233FA" w:rsidR="00D76E12" w:rsidRPr="00015EC5" w:rsidRDefault="00D76E12" w:rsidP="0020584E">
      <w:pPr>
        <w:pStyle w:val="Default"/>
        <w:spacing w:line="360" w:lineRule="auto"/>
        <w:ind w:firstLine="426"/>
        <w:jc w:val="both"/>
        <w:rPr>
          <w:rFonts w:ascii="Times New Roman" w:hAnsi="Times New Roman" w:cs="Times New Roman"/>
          <w:color w:val="auto"/>
        </w:rPr>
      </w:pPr>
      <w:r w:rsidRPr="00015EC5">
        <w:rPr>
          <w:rFonts w:ascii="Times New Roman" w:hAnsi="Times New Roman" w:cs="Times New Roman"/>
          <w:color w:val="auto"/>
        </w:rPr>
        <w:t xml:space="preserve">Questionnaire respondents were also asked how effective their board was at certain activities, with ‘one’ representing </w:t>
      </w:r>
      <w:r w:rsidR="00E60710">
        <w:rPr>
          <w:rFonts w:ascii="Times New Roman" w:hAnsi="Times New Roman" w:cs="Times New Roman"/>
          <w:color w:val="auto"/>
        </w:rPr>
        <w:t>‘</w:t>
      </w:r>
      <w:r w:rsidRPr="00015EC5">
        <w:rPr>
          <w:rFonts w:ascii="Times New Roman" w:hAnsi="Times New Roman" w:cs="Times New Roman"/>
          <w:color w:val="auto"/>
        </w:rPr>
        <w:t>not effective</w:t>
      </w:r>
      <w:r w:rsidR="00E60710">
        <w:rPr>
          <w:rFonts w:ascii="Times New Roman" w:hAnsi="Times New Roman" w:cs="Times New Roman"/>
          <w:color w:val="auto"/>
        </w:rPr>
        <w:t>’</w:t>
      </w:r>
      <w:r w:rsidRPr="00015EC5">
        <w:rPr>
          <w:rFonts w:ascii="Times New Roman" w:hAnsi="Times New Roman" w:cs="Times New Roman"/>
          <w:color w:val="auto"/>
        </w:rPr>
        <w:t xml:space="preserve"> and ‘seven’ </w:t>
      </w:r>
      <w:r w:rsidR="00E60710">
        <w:rPr>
          <w:rFonts w:ascii="Times New Roman" w:hAnsi="Times New Roman" w:cs="Times New Roman"/>
          <w:color w:val="auto"/>
        </w:rPr>
        <w:t>‘</w:t>
      </w:r>
      <w:r w:rsidRPr="00015EC5">
        <w:rPr>
          <w:rFonts w:ascii="Times New Roman" w:hAnsi="Times New Roman" w:cs="Times New Roman"/>
          <w:color w:val="auto"/>
        </w:rPr>
        <w:t>very effective</w:t>
      </w:r>
      <w:r w:rsidR="00E60710">
        <w:rPr>
          <w:rFonts w:ascii="Times New Roman" w:hAnsi="Times New Roman" w:cs="Times New Roman"/>
          <w:color w:val="auto"/>
        </w:rPr>
        <w:t>’</w:t>
      </w:r>
      <w:r w:rsidRPr="00015EC5">
        <w:rPr>
          <w:rFonts w:ascii="Times New Roman" w:hAnsi="Times New Roman" w:cs="Times New Roman"/>
          <w:color w:val="auto"/>
        </w:rPr>
        <w:t>. Two characteristics of board behaviour deemed to be the most effective were: promoting effective working relationships with executive management (average score: 5.49)</w:t>
      </w:r>
      <w:r w:rsidR="00AE0BE9" w:rsidRPr="00015EC5">
        <w:rPr>
          <w:rFonts w:ascii="Times New Roman" w:hAnsi="Times New Roman" w:cs="Times New Roman"/>
        </w:rPr>
        <w:t xml:space="preserve"> (see Table 1, </w:t>
      </w:r>
      <w:r w:rsidR="00AE0BE9" w:rsidRPr="00015EC5">
        <w:rPr>
          <w:rFonts w:ascii="Times New Roman" w:hAnsi="Times New Roman" w:cs="Times New Roman"/>
        </w:rPr>
        <w:lastRenderedPageBreak/>
        <w:t>question 7)</w:t>
      </w:r>
      <w:r w:rsidRPr="00015EC5">
        <w:rPr>
          <w:rFonts w:ascii="Times New Roman" w:hAnsi="Times New Roman" w:cs="Times New Roman"/>
          <w:color w:val="auto"/>
        </w:rPr>
        <w:t>; and fostering a culture of constructive challenge (average score: 5.42</w:t>
      </w:r>
      <w:r w:rsidR="00AE0BE9" w:rsidRPr="00015EC5">
        <w:rPr>
          <w:rFonts w:ascii="Times New Roman" w:hAnsi="Times New Roman" w:cs="Times New Roman"/>
          <w:color w:val="auto"/>
        </w:rPr>
        <w:t xml:space="preserve">) </w:t>
      </w:r>
      <w:r w:rsidR="00AE0BE9" w:rsidRPr="00015EC5">
        <w:rPr>
          <w:rFonts w:ascii="Times New Roman" w:hAnsi="Times New Roman" w:cs="Times New Roman"/>
        </w:rPr>
        <w:t>(see Table 1, question 8</w:t>
      </w:r>
      <w:r w:rsidRPr="00015EC5">
        <w:rPr>
          <w:rFonts w:ascii="Times New Roman" w:hAnsi="Times New Roman" w:cs="Times New Roman"/>
          <w:color w:val="auto"/>
        </w:rPr>
        <w:t xml:space="preserve">). The former suggests that respondents are satisfied with their dealings with one group of stakeholders, whilst the latter indicates a belief that there is a culture within the boards of NI NDPBs that enables constructive challenge; an important duty of a NED in discharging accountability to stakeholders. </w:t>
      </w:r>
      <w:bookmarkStart w:id="2" w:name="here"/>
      <w:bookmarkEnd w:id="2"/>
      <w:r w:rsidRPr="00015EC5">
        <w:rPr>
          <w:rFonts w:ascii="Times New Roman" w:hAnsi="Times New Roman" w:cs="Times New Roman"/>
          <w:color w:val="auto"/>
        </w:rPr>
        <w:t>However, two of the least effective behaviours identified were: taking a structured approach to succession planning (average score: 4.60)</w:t>
      </w:r>
      <w:r w:rsidR="00AE0BE9" w:rsidRPr="00015EC5">
        <w:rPr>
          <w:rFonts w:ascii="Times New Roman" w:hAnsi="Times New Roman" w:cs="Times New Roman"/>
          <w:color w:val="auto"/>
        </w:rPr>
        <w:t xml:space="preserve"> </w:t>
      </w:r>
      <w:r w:rsidR="00AE0BE9" w:rsidRPr="00015EC5">
        <w:rPr>
          <w:rFonts w:ascii="Times New Roman" w:hAnsi="Times New Roman" w:cs="Times New Roman"/>
        </w:rPr>
        <w:t>(see Table 1, question 9)</w:t>
      </w:r>
      <w:r w:rsidRPr="00015EC5">
        <w:rPr>
          <w:rFonts w:ascii="Times New Roman" w:hAnsi="Times New Roman" w:cs="Times New Roman"/>
          <w:color w:val="auto"/>
        </w:rPr>
        <w:t>, which is discussed later in the paper</w:t>
      </w:r>
      <w:r w:rsidR="003D1CFA" w:rsidRPr="00015EC5">
        <w:rPr>
          <w:rFonts w:ascii="Times New Roman" w:hAnsi="Times New Roman" w:cs="Times New Roman"/>
          <w:color w:val="auto"/>
        </w:rPr>
        <w:t xml:space="preserve"> as it is linked with public appointments</w:t>
      </w:r>
      <w:r w:rsidRPr="00015EC5">
        <w:rPr>
          <w:rFonts w:ascii="Times New Roman" w:hAnsi="Times New Roman" w:cs="Times New Roman"/>
          <w:color w:val="auto"/>
        </w:rPr>
        <w:t>; and increasing citizen awareness of public body activities (average score: 4.63)</w:t>
      </w:r>
      <w:r w:rsidR="00AE0BE9" w:rsidRPr="00015EC5">
        <w:rPr>
          <w:rFonts w:ascii="Times New Roman" w:hAnsi="Times New Roman" w:cs="Times New Roman"/>
          <w:color w:val="auto"/>
        </w:rPr>
        <w:t xml:space="preserve"> </w:t>
      </w:r>
      <w:r w:rsidR="00AE0BE9" w:rsidRPr="00015EC5">
        <w:rPr>
          <w:rFonts w:ascii="Times New Roman" w:hAnsi="Times New Roman" w:cs="Times New Roman"/>
        </w:rPr>
        <w:t>(see Table 1, question 10)</w:t>
      </w:r>
      <w:r w:rsidRPr="00015EC5">
        <w:rPr>
          <w:rFonts w:ascii="Times New Roman" w:hAnsi="Times New Roman" w:cs="Times New Roman"/>
          <w:color w:val="auto"/>
        </w:rPr>
        <w:t xml:space="preserve">. Interestingly, with regards to the second issue, whilst this was perceived as one of least effective activities, </w:t>
      </w:r>
      <w:r w:rsidR="00AE0BE9" w:rsidRPr="00015EC5">
        <w:rPr>
          <w:rFonts w:ascii="Times New Roman" w:hAnsi="Times New Roman" w:cs="Times New Roman"/>
          <w:color w:val="auto"/>
        </w:rPr>
        <w:t>an average score of 4.79</w:t>
      </w:r>
      <w:r w:rsidRPr="00015EC5">
        <w:rPr>
          <w:rFonts w:ascii="Times New Roman" w:hAnsi="Times New Roman" w:cs="Times New Roman"/>
          <w:color w:val="auto"/>
        </w:rPr>
        <w:t xml:space="preserve"> </w:t>
      </w:r>
      <w:r w:rsidR="00AE0BE9" w:rsidRPr="00015EC5">
        <w:rPr>
          <w:rFonts w:ascii="Times New Roman" w:hAnsi="Times New Roman" w:cs="Times New Roman"/>
          <w:color w:val="auto"/>
        </w:rPr>
        <w:t xml:space="preserve">suggests that typically </w:t>
      </w:r>
      <w:r w:rsidRPr="00015EC5">
        <w:rPr>
          <w:rFonts w:ascii="Times New Roman" w:hAnsi="Times New Roman" w:cs="Times New Roman"/>
          <w:color w:val="auto"/>
        </w:rPr>
        <w:t>respondents believe their organizations were effective in developing relationships with stakeholders</w:t>
      </w:r>
      <w:r w:rsidR="00AE0BE9" w:rsidRPr="00015EC5">
        <w:rPr>
          <w:rFonts w:ascii="Times New Roman" w:hAnsi="Times New Roman" w:cs="Times New Roman"/>
        </w:rPr>
        <w:t xml:space="preserve"> (see Table 1, question 11)</w:t>
      </w:r>
      <w:r w:rsidRPr="00015EC5">
        <w:rPr>
          <w:rFonts w:ascii="Times New Roman" w:hAnsi="Times New Roman" w:cs="Times New Roman"/>
          <w:color w:val="auto"/>
        </w:rPr>
        <w:t xml:space="preserve">. The relationship with the sponsoring department and service users, two key stakeholders, are now discussed in turn; this is followed by a consideration of </w:t>
      </w:r>
      <w:r w:rsidR="003D1CFA" w:rsidRPr="00015EC5">
        <w:rPr>
          <w:rFonts w:ascii="Times New Roman" w:hAnsi="Times New Roman" w:cs="Times New Roman"/>
          <w:color w:val="auto"/>
        </w:rPr>
        <w:t>public appointments</w:t>
      </w:r>
      <w:r w:rsidRPr="00015EC5">
        <w:rPr>
          <w:rFonts w:ascii="Times New Roman" w:hAnsi="Times New Roman" w:cs="Times New Roman"/>
          <w:color w:val="auto"/>
        </w:rPr>
        <w:t>.</w:t>
      </w:r>
    </w:p>
    <w:p w14:paraId="5874E015" w14:textId="77777777" w:rsidR="00D76E12" w:rsidRPr="00015EC5" w:rsidRDefault="00D76E12" w:rsidP="00EB2D5F">
      <w:pPr>
        <w:pStyle w:val="Default"/>
        <w:spacing w:line="360" w:lineRule="auto"/>
        <w:ind w:firstLine="426"/>
        <w:jc w:val="both"/>
        <w:rPr>
          <w:rFonts w:ascii="Times New Roman" w:hAnsi="Times New Roman" w:cs="Times New Roman"/>
          <w:color w:val="auto"/>
        </w:rPr>
      </w:pPr>
    </w:p>
    <w:p w14:paraId="16C55A13" w14:textId="77777777" w:rsidR="00D76E12" w:rsidRPr="00015EC5" w:rsidRDefault="00D76E12" w:rsidP="00FB74CA">
      <w:pPr>
        <w:pStyle w:val="Default"/>
        <w:spacing w:line="360" w:lineRule="auto"/>
        <w:jc w:val="both"/>
        <w:rPr>
          <w:rFonts w:ascii="Times New Roman" w:hAnsi="Times New Roman" w:cs="Times New Roman"/>
          <w:color w:val="auto"/>
        </w:rPr>
      </w:pPr>
      <w:r w:rsidRPr="00015EC5">
        <w:rPr>
          <w:rFonts w:ascii="Times New Roman" w:hAnsi="Times New Roman" w:cs="Times New Roman"/>
          <w:b/>
          <w:color w:val="auto"/>
        </w:rPr>
        <w:t>The relationship with the sponsoring department</w:t>
      </w:r>
      <w:r w:rsidRPr="00015EC5">
        <w:rPr>
          <w:rFonts w:ascii="Times New Roman" w:hAnsi="Times New Roman" w:cs="Times New Roman"/>
          <w:color w:val="auto"/>
        </w:rPr>
        <w:t xml:space="preserve"> </w:t>
      </w:r>
    </w:p>
    <w:p w14:paraId="2C1D5994" w14:textId="77777777" w:rsidR="00D76E12" w:rsidRPr="00015EC5" w:rsidRDefault="00D76E12" w:rsidP="008B6361">
      <w:pPr>
        <w:pStyle w:val="Default"/>
        <w:spacing w:line="360" w:lineRule="auto"/>
        <w:jc w:val="both"/>
        <w:rPr>
          <w:rFonts w:ascii="Times New Roman" w:hAnsi="Times New Roman" w:cs="Times New Roman"/>
          <w:color w:val="auto"/>
        </w:rPr>
      </w:pPr>
    </w:p>
    <w:p w14:paraId="5D0F4A58" w14:textId="7EE03865" w:rsidR="00D76E12" w:rsidRPr="00015EC5" w:rsidRDefault="00D76E12" w:rsidP="00015EC5">
      <w:pPr>
        <w:pStyle w:val="Default"/>
        <w:spacing w:line="360" w:lineRule="auto"/>
        <w:jc w:val="both"/>
        <w:rPr>
          <w:rFonts w:ascii="Times New Roman" w:hAnsi="Times New Roman" w:cs="Times New Roman"/>
          <w:color w:val="auto"/>
        </w:rPr>
      </w:pPr>
      <w:r w:rsidRPr="00015EC5">
        <w:rPr>
          <w:rFonts w:ascii="Times New Roman" w:hAnsi="Times New Roman" w:cs="Times New Roman"/>
          <w:color w:val="auto"/>
        </w:rPr>
        <w:t xml:space="preserve">One of the aims of this paper is to examine the relationship between NDPBs and certain stakeholders. Whilst the findings reported above indicate that overall there is an effective working relationship between NDPBs and their stakeholders, </w:t>
      </w:r>
      <w:r w:rsidR="00A70012" w:rsidRPr="00015EC5">
        <w:rPr>
          <w:rFonts w:ascii="Times New Roman" w:hAnsi="Times New Roman" w:cs="Times New Roman"/>
          <w:color w:val="auto"/>
        </w:rPr>
        <w:t xml:space="preserve">(for example, see Table 1, question 12, the relationship with the sponsoring department was considered to be broadly effective (average score: 5.00), </w:t>
      </w:r>
      <w:r w:rsidRPr="00015EC5">
        <w:rPr>
          <w:rFonts w:ascii="Times New Roman" w:hAnsi="Times New Roman" w:cs="Times New Roman"/>
          <w:color w:val="auto"/>
        </w:rPr>
        <w:t>some of the open questionnaire and interview responses suggested that the relationship with the sponsoring department</w:t>
      </w:r>
      <w:r w:rsidR="005B5DD9" w:rsidRPr="00015EC5">
        <w:rPr>
          <w:rFonts w:ascii="Times New Roman" w:hAnsi="Times New Roman" w:cs="Times New Roman"/>
          <w:color w:val="auto"/>
        </w:rPr>
        <w:t xml:space="preserve"> (in the parlance of Freeman (2010), a primary stakeholder)</w:t>
      </w:r>
      <w:r w:rsidRPr="00015EC5">
        <w:rPr>
          <w:rFonts w:ascii="Times New Roman" w:hAnsi="Times New Roman" w:cs="Times New Roman"/>
          <w:color w:val="auto"/>
        </w:rPr>
        <w:t xml:space="preserve"> is transactional and procedural, which can cause accountability tensions (</w:t>
      </w:r>
      <w:proofErr w:type="spellStart"/>
      <w:r w:rsidRPr="00015EC5">
        <w:rPr>
          <w:rFonts w:ascii="Times New Roman" w:hAnsi="Times New Roman" w:cs="Times New Roman"/>
          <w:color w:val="auto"/>
        </w:rPr>
        <w:t>HoCPASC</w:t>
      </w:r>
      <w:proofErr w:type="spellEnd"/>
      <w:r w:rsidRPr="00015EC5">
        <w:rPr>
          <w:rFonts w:ascii="Times New Roman" w:hAnsi="Times New Roman" w:cs="Times New Roman"/>
          <w:color w:val="auto"/>
        </w:rPr>
        <w:t xml:space="preserve"> 2014). As these particular stakeholders have power, legitimacy and urgency, their claims are likely to be prioritized (Mitchell, </w:t>
      </w:r>
      <w:proofErr w:type="spellStart"/>
      <w:r w:rsidRPr="00015EC5">
        <w:rPr>
          <w:rFonts w:ascii="Times New Roman" w:hAnsi="Times New Roman" w:cs="Times New Roman"/>
          <w:color w:val="auto"/>
        </w:rPr>
        <w:t>Agle</w:t>
      </w:r>
      <w:proofErr w:type="spellEnd"/>
      <w:r w:rsidRPr="00015EC5">
        <w:rPr>
          <w:rFonts w:ascii="Times New Roman" w:hAnsi="Times New Roman" w:cs="Times New Roman"/>
          <w:color w:val="auto"/>
        </w:rPr>
        <w:t>, and Wood 1997). While a minority acknowledged that the relationship with the sponsoring department was akin to that of an ALB, others used terms such as ‘autocratic’</w:t>
      </w:r>
      <w:r w:rsidR="00B77C07" w:rsidRPr="00015EC5">
        <w:rPr>
          <w:rFonts w:ascii="Times New Roman" w:hAnsi="Times New Roman" w:cs="Times New Roman"/>
          <w:color w:val="auto"/>
        </w:rPr>
        <w:t xml:space="preserve"> (I11)</w:t>
      </w:r>
      <w:r w:rsidRPr="00015EC5">
        <w:rPr>
          <w:rFonts w:ascii="Times New Roman" w:hAnsi="Times New Roman" w:cs="Times New Roman"/>
          <w:color w:val="auto"/>
        </w:rPr>
        <w:t>, ‘micromanagement’</w:t>
      </w:r>
      <w:r w:rsidR="00D13784" w:rsidRPr="00015EC5">
        <w:rPr>
          <w:rFonts w:ascii="Times New Roman" w:hAnsi="Times New Roman" w:cs="Times New Roman"/>
          <w:color w:val="auto"/>
        </w:rPr>
        <w:t xml:space="preserve"> (I15)</w:t>
      </w:r>
      <w:r w:rsidRPr="00015EC5">
        <w:rPr>
          <w:rFonts w:ascii="Times New Roman" w:hAnsi="Times New Roman" w:cs="Times New Roman"/>
          <w:color w:val="auto"/>
        </w:rPr>
        <w:t xml:space="preserve"> and ‘disproportionate scrutiny’ </w:t>
      </w:r>
      <w:r w:rsidR="00D13784" w:rsidRPr="00015EC5">
        <w:rPr>
          <w:rFonts w:ascii="Times New Roman" w:hAnsi="Times New Roman" w:cs="Times New Roman"/>
          <w:color w:val="auto"/>
        </w:rPr>
        <w:t xml:space="preserve">(I3) </w:t>
      </w:r>
      <w:r w:rsidRPr="00015EC5">
        <w:rPr>
          <w:rFonts w:ascii="Times New Roman" w:hAnsi="Times New Roman" w:cs="Times New Roman"/>
          <w:color w:val="auto"/>
        </w:rPr>
        <w:t>to describe the relationship, especially in situations where the NDPB was relatively small in comparison to the sponsoring department. Furthermore, it was reported that because of a tendency for civil servants to be risk averse, departments continually requested information from their NDPBs, which hampered their day-to-day activities. The relationship between NDPBs and their sponsoring department is discussed further below in the context of governance delegation, independence and risk management.</w:t>
      </w:r>
    </w:p>
    <w:p w14:paraId="2EA3F51A" w14:textId="439B3EB5" w:rsidR="00D76E12" w:rsidRPr="008B6361" w:rsidRDefault="00D76E12" w:rsidP="008B6361">
      <w:pPr>
        <w:pStyle w:val="Default"/>
        <w:spacing w:line="360" w:lineRule="auto"/>
        <w:jc w:val="both"/>
        <w:rPr>
          <w:rFonts w:ascii="Times New Roman" w:hAnsi="Times New Roman" w:cs="Times New Roman"/>
          <w:color w:val="auto"/>
        </w:rPr>
      </w:pPr>
      <w:r w:rsidRPr="008B6361">
        <w:rPr>
          <w:rFonts w:ascii="Times New Roman" w:hAnsi="Times New Roman" w:cs="Times New Roman"/>
          <w:color w:val="auto"/>
        </w:rPr>
        <w:lastRenderedPageBreak/>
        <w:t>Governance delegation</w:t>
      </w:r>
    </w:p>
    <w:p w14:paraId="62FEA5D5" w14:textId="37E34DDE" w:rsidR="00D76E12" w:rsidRPr="00015EC5" w:rsidRDefault="00D76E12" w:rsidP="00015EC5">
      <w:pPr>
        <w:pStyle w:val="Default"/>
        <w:spacing w:line="360" w:lineRule="auto"/>
        <w:jc w:val="both"/>
        <w:rPr>
          <w:rFonts w:ascii="Times New Roman" w:hAnsi="Times New Roman" w:cs="Times New Roman"/>
          <w:color w:val="auto"/>
        </w:rPr>
      </w:pPr>
      <w:r w:rsidRPr="00015EC5">
        <w:rPr>
          <w:rFonts w:ascii="Times New Roman" w:hAnsi="Times New Roman" w:cs="Times New Roman"/>
          <w:color w:val="auto"/>
        </w:rPr>
        <w:t xml:space="preserve">Governance delegation relates to the assigning of responsibility, with </w:t>
      </w:r>
      <w:r w:rsidR="00A70012" w:rsidRPr="00015EC5">
        <w:rPr>
          <w:rFonts w:ascii="Times New Roman" w:hAnsi="Times New Roman" w:cs="Times New Roman"/>
          <w:color w:val="auto"/>
        </w:rPr>
        <w:t>interviewee</w:t>
      </w:r>
      <w:r w:rsidRPr="00015EC5">
        <w:rPr>
          <w:rFonts w:ascii="Times New Roman" w:hAnsi="Times New Roman" w:cs="Times New Roman"/>
          <w:color w:val="auto"/>
        </w:rPr>
        <w:t xml:space="preserve"> responses ranging from ‘clearly defined’</w:t>
      </w:r>
      <w:r w:rsidR="00D13784" w:rsidRPr="00015EC5">
        <w:rPr>
          <w:rFonts w:ascii="Times New Roman" w:hAnsi="Times New Roman" w:cs="Times New Roman"/>
          <w:color w:val="auto"/>
        </w:rPr>
        <w:t xml:space="preserve"> (I8)</w:t>
      </w:r>
      <w:r w:rsidRPr="00015EC5">
        <w:rPr>
          <w:rFonts w:ascii="Times New Roman" w:hAnsi="Times New Roman" w:cs="Times New Roman"/>
          <w:color w:val="auto"/>
        </w:rPr>
        <w:t xml:space="preserve"> to ‘woeful’</w:t>
      </w:r>
      <w:r w:rsidR="00D13784" w:rsidRPr="00015EC5">
        <w:rPr>
          <w:rFonts w:ascii="Times New Roman" w:hAnsi="Times New Roman" w:cs="Times New Roman"/>
          <w:color w:val="auto"/>
        </w:rPr>
        <w:t xml:space="preserve"> (I11)</w:t>
      </w:r>
      <w:r w:rsidRPr="00015EC5">
        <w:rPr>
          <w:rFonts w:ascii="Times New Roman" w:hAnsi="Times New Roman" w:cs="Times New Roman"/>
          <w:color w:val="auto"/>
        </w:rPr>
        <w:t>, with a representative comment of the latter being:</w:t>
      </w:r>
    </w:p>
    <w:p w14:paraId="5E2CCFD8" w14:textId="77777777" w:rsidR="00D76E12" w:rsidRPr="00015EC5" w:rsidRDefault="00D76E12" w:rsidP="00015EC5">
      <w:pPr>
        <w:pStyle w:val="Default"/>
        <w:spacing w:line="360" w:lineRule="auto"/>
        <w:ind w:left="720"/>
        <w:jc w:val="both"/>
        <w:rPr>
          <w:rFonts w:ascii="Times New Roman" w:hAnsi="Times New Roman" w:cs="Times New Roman"/>
          <w:color w:val="auto"/>
        </w:rPr>
      </w:pPr>
      <w:r w:rsidRPr="00015EC5">
        <w:rPr>
          <w:rFonts w:ascii="Times New Roman" w:hAnsi="Times New Roman" w:cs="Times New Roman"/>
          <w:i/>
          <w:color w:val="auto"/>
        </w:rPr>
        <w:t>‘…delegations [are] quite narrow….[the] government doesn’t allow ALBs to do their business…doesn’t understand the nature of the business, [it is] not best placed to run the business’.</w:t>
      </w:r>
      <w:r w:rsidR="00D13784" w:rsidRPr="00015EC5">
        <w:rPr>
          <w:rFonts w:ascii="Times New Roman" w:hAnsi="Times New Roman" w:cs="Times New Roman"/>
          <w:color w:val="auto"/>
        </w:rPr>
        <w:t xml:space="preserve"> (I15)</w:t>
      </w:r>
    </w:p>
    <w:p w14:paraId="782E67C8" w14:textId="77777777" w:rsidR="00D76E12" w:rsidRPr="00015EC5" w:rsidRDefault="00D76E12" w:rsidP="00015EC5">
      <w:pPr>
        <w:autoSpaceDE w:val="0"/>
        <w:autoSpaceDN w:val="0"/>
        <w:adjustRightInd w:val="0"/>
        <w:spacing w:after="0" w:line="360" w:lineRule="auto"/>
        <w:jc w:val="both"/>
        <w:rPr>
          <w:rFonts w:ascii="Times New Roman" w:hAnsi="Times New Roman" w:cs="Times New Roman"/>
          <w:sz w:val="24"/>
          <w:szCs w:val="24"/>
        </w:rPr>
      </w:pPr>
      <w:r w:rsidRPr="00015EC5">
        <w:rPr>
          <w:rFonts w:ascii="Times New Roman" w:hAnsi="Times New Roman" w:cs="Times New Roman"/>
          <w:sz w:val="24"/>
          <w:szCs w:val="24"/>
        </w:rPr>
        <w:t>While delegation occurs, is clearly recognized and has improved, many contended that there was scope for further improvement. For example, a common concern was that the delegation of authority was overly complicated and could be simpler. Delegation issues were believed to arise from a number of factors. Firstly, it was suggested that too many individuals were involved in the delegation process (e.g. the Accounting Officer, the sponsoring department and the departmental minister, all of which had different perspectives). Secondly, scrutiny was considered disproportionate, with the preoccupation with process slowing down decision making; one interviewee referred to this as ‘wading through treacle’</w:t>
      </w:r>
      <w:r w:rsidR="00D13784" w:rsidRPr="00015EC5">
        <w:rPr>
          <w:rFonts w:ascii="Times New Roman" w:hAnsi="Times New Roman" w:cs="Times New Roman"/>
          <w:sz w:val="24"/>
          <w:szCs w:val="24"/>
        </w:rPr>
        <w:t xml:space="preserve"> (I9)</w:t>
      </w:r>
      <w:r w:rsidRPr="00015EC5">
        <w:rPr>
          <w:rFonts w:ascii="Times New Roman" w:hAnsi="Times New Roman" w:cs="Times New Roman"/>
          <w:sz w:val="24"/>
          <w:szCs w:val="24"/>
        </w:rPr>
        <w:t xml:space="preserve">. Thirdly, there was discontent with the perceived approach of the Northern Ireland Civil Service (NICS) to apportioning responsibility when something went wrong and the impact of this on the relationship between the NICS and public body. Typical phrases to describe this were ‘blame culture’ </w:t>
      </w:r>
      <w:r w:rsidR="00D13784" w:rsidRPr="00015EC5">
        <w:rPr>
          <w:rFonts w:ascii="Times New Roman" w:hAnsi="Times New Roman" w:cs="Times New Roman"/>
          <w:sz w:val="24"/>
          <w:szCs w:val="24"/>
        </w:rPr>
        <w:t xml:space="preserve">(I22) </w:t>
      </w:r>
      <w:r w:rsidRPr="00015EC5">
        <w:rPr>
          <w:rFonts w:ascii="Times New Roman" w:hAnsi="Times New Roman" w:cs="Times New Roman"/>
          <w:sz w:val="24"/>
          <w:szCs w:val="24"/>
        </w:rPr>
        <w:t>and the ‘insularity of the civil service’</w:t>
      </w:r>
      <w:r w:rsidR="00D13784" w:rsidRPr="00015EC5">
        <w:rPr>
          <w:rFonts w:ascii="Times New Roman" w:hAnsi="Times New Roman" w:cs="Times New Roman"/>
          <w:sz w:val="24"/>
          <w:szCs w:val="24"/>
        </w:rPr>
        <w:t xml:space="preserve"> (I24)</w:t>
      </w:r>
      <w:r w:rsidRPr="00015EC5">
        <w:rPr>
          <w:rFonts w:ascii="Times New Roman" w:hAnsi="Times New Roman" w:cs="Times New Roman"/>
          <w:sz w:val="24"/>
          <w:szCs w:val="24"/>
        </w:rPr>
        <w:t>. Fourthly, there was the cost and resource implications of compliance, particularly at a time when funding was being constantly reduced. Finally, the different roles that participants play in the board process were highlighted. For example, there was confusion over the responsibilities of the Accounting Officer and EDs in particular felt uncomfortable as they did not want to be seen as criticizing the CEO. This problem could be exacerbated by the fact that many board members to a certain degree ‘dipped in and out’</w:t>
      </w:r>
      <w:r w:rsidR="00D13784" w:rsidRPr="00015EC5">
        <w:rPr>
          <w:rFonts w:ascii="Times New Roman" w:hAnsi="Times New Roman" w:cs="Times New Roman"/>
          <w:sz w:val="24"/>
          <w:szCs w:val="24"/>
        </w:rPr>
        <w:t xml:space="preserve"> (I19)</w:t>
      </w:r>
      <w:r w:rsidRPr="00015EC5">
        <w:rPr>
          <w:rFonts w:ascii="Times New Roman" w:hAnsi="Times New Roman" w:cs="Times New Roman"/>
          <w:sz w:val="24"/>
          <w:szCs w:val="24"/>
        </w:rPr>
        <w:t xml:space="preserve">. </w:t>
      </w:r>
    </w:p>
    <w:p w14:paraId="27506D74" w14:textId="77777777" w:rsidR="00D76E12" w:rsidRPr="00015EC5" w:rsidRDefault="00D76E12" w:rsidP="00015EC5">
      <w:pPr>
        <w:pStyle w:val="Default"/>
        <w:spacing w:line="360" w:lineRule="auto"/>
        <w:ind w:firstLine="426"/>
        <w:jc w:val="both"/>
        <w:rPr>
          <w:rFonts w:ascii="Times New Roman" w:hAnsi="Times New Roman" w:cs="Times New Roman"/>
          <w:color w:val="auto"/>
        </w:rPr>
      </w:pPr>
      <w:r w:rsidRPr="00015EC5">
        <w:rPr>
          <w:rFonts w:ascii="Times New Roman" w:hAnsi="Times New Roman" w:cs="Times New Roman"/>
          <w:color w:val="auto"/>
        </w:rPr>
        <w:t>Suggestions were put forward by interviewees as to how governance delegations could be improved, one of which was examining the ED/NED relationship, with a common suggestion for improvement being that both parties meet outside of the boardroom in a more social setting. Indeed, there was a general feeling that it was important to invest time into building good relationships with all individuals involved in the governance process:</w:t>
      </w:r>
    </w:p>
    <w:p w14:paraId="5383B01D" w14:textId="77777777" w:rsidR="00D76E12" w:rsidRPr="00015EC5" w:rsidRDefault="00D76E12" w:rsidP="00015EC5">
      <w:pPr>
        <w:pStyle w:val="Default"/>
        <w:spacing w:line="360" w:lineRule="auto"/>
        <w:ind w:left="720"/>
        <w:jc w:val="both"/>
        <w:rPr>
          <w:rFonts w:ascii="Times New Roman" w:hAnsi="Times New Roman" w:cs="Times New Roman"/>
          <w:color w:val="auto"/>
        </w:rPr>
      </w:pPr>
      <w:r w:rsidRPr="00015EC5">
        <w:rPr>
          <w:rFonts w:ascii="Times New Roman" w:hAnsi="Times New Roman" w:cs="Times New Roman"/>
          <w:color w:val="auto"/>
        </w:rPr>
        <w:t>‘</w:t>
      </w:r>
      <w:r w:rsidRPr="00015EC5">
        <w:rPr>
          <w:rFonts w:ascii="Times New Roman" w:hAnsi="Times New Roman" w:cs="Times New Roman"/>
          <w:i/>
          <w:color w:val="auto"/>
        </w:rPr>
        <w:t>Relationships are key to making delegations work. Following policy blindly from the department is never good’.</w:t>
      </w:r>
      <w:r w:rsidR="00D13784" w:rsidRPr="00015EC5">
        <w:rPr>
          <w:rFonts w:ascii="Times New Roman" w:hAnsi="Times New Roman" w:cs="Times New Roman"/>
          <w:color w:val="auto"/>
        </w:rPr>
        <w:t xml:space="preserve"> (I8)</w:t>
      </w:r>
    </w:p>
    <w:p w14:paraId="7E08327B" w14:textId="77777777" w:rsidR="00D76E12" w:rsidRPr="00015EC5" w:rsidRDefault="00D76E12" w:rsidP="00015EC5">
      <w:pPr>
        <w:pStyle w:val="Default"/>
        <w:spacing w:line="360" w:lineRule="auto"/>
        <w:jc w:val="both"/>
        <w:rPr>
          <w:rFonts w:ascii="Times New Roman" w:hAnsi="Times New Roman" w:cs="Times New Roman"/>
          <w:color w:val="auto"/>
        </w:rPr>
      </w:pPr>
      <w:r w:rsidRPr="00015EC5">
        <w:rPr>
          <w:rFonts w:ascii="Times New Roman" w:hAnsi="Times New Roman" w:cs="Times New Roman"/>
          <w:color w:val="auto"/>
        </w:rPr>
        <w:t xml:space="preserve">Furthermore, it was suggested that there is a need to review governance terms of reference locally and the </w:t>
      </w:r>
      <w:r w:rsidRPr="00015EC5">
        <w:rPr>
          <w:rFonts w:ascii="Times New Roman" w:hAnsi="Times New Roman" w:cs="Times New Roman"/>
          <w:color w:val="auto"/>
          <w:lang w:val="en"/>
        </w:rPr>
        <w:t>Management Statement and Financial Memorandum (</w:t>
      </w:r>
      <w:r w:rsidRPr="00015EC5">
        <w:rPr>
          <w:rFonts w:ascii="Times New Roman" w:hAnsi="Times New Roman" w:cs="Times New Roman"/>
          <w:color w:val="auto"/>
        </w:rPr>
        <w:t>MSFM) at a system-</w:t>
      </w:r>
      <w:r w:rsidRPr="00015EC5">
        <w:rPr>
          <w:rFonts w:ascii="Times New Roman" w:hAnsi="Times New Roman" w:cs="Times New Roman"/>
          <w:color w:val="auto"/>
        </w:rPr>
        <w:lastRenderedPageBreak/>
        <w:t>wide level. The MSFM sets out the broad framework within which a public body operates and there was a belief that it needed to focus on issues pertinent to governance.</w:t>
      </w:r>
    </w:p>
    <w:p w14:paraId="6E5B58D0" w14:textId="77777777" w:rsidR="00D76E12" w:rsidRPr="00015EC5" w:rsidRDefault="00D76E12" w:rsidP="00015EC5">
      <w:pPr>
        <w:pStyle w:val="Default"/>
        <w:spacing w:line="360" w:lineRule="auto"/>
        <w:jc w:val="both"/>
        <w:rPr>
          <w:rFonts w:ascii="Times New Roman" w:hAnsi="Times New Roman" w:cs="Times New Roman"/>
          <w:color w:val="auto"/>
        </w:rPr>
      </w:pPr>
    </w:p>
    <w:p w14:paraId="416B22F1" w14:textId="77777777" w:rsidR="00D76E12" w:rsidRPr="00015EC5" w:rsidRDefault="00D76E12" w:rsidP="00015EC5">
      <w:pPr>
        <w:pStyle w:val="Default"/>
        <w:spacing w:line="360" w:lineRule="auto"/>
        <w:jc w:val="both"/>
        <w:rPr>
          <w:rFonts w:ascii="Times New Roman" w:hAnsi="Times New Roman" w:cs="Times New Roman"/>
          <w:color w:val="auto"/>
        </w:rPr>
      </w:pPr>
      <w:r w:rsidRPr="00015EC5">
        <w:rPr>
          <w:rFonts w:ascii="Times New Roman" w:hAnsi="Times New Roman" w:cs="Times New Roman"/>
          <w:color w:val="auto"/>
        </w:rPr>
        <w:t>Independence</w:t>
      </w:r>
    </w:p>
    <w:p w14:paraId="4628494C" w14:textId="4EC92950" w:rsidR="00D76E12" w:rsidRPr="00EB2D5F" w:rsidRDefault="00D76E12" w:rsidP="00015EC5">
      <w:pPr>
        <w:pStyle w:val="Default"/>
        <w:spacing w:line="360" w:lineRule="auto"/>
        <w:jc w:val="both"/>
        <w:rPr>
          <w:rFonts w:ascii="Times New Roman" w:hAnsi="Times New Roman" w:cs="Times New Roman"/>
          <w:color w:val="auto"/>
        </w:rPr>
      </w:pPr>
      <w:r w:rsidRPr="00015EC5">
        <w:rPr>
          <w:rFonts w:ascii="Times New Roman" w:hAnsi="Times New Roman" w:cs="Times New Roman"/>
          <w:color w:val="auto"/>
        </w:rPr>
        <w:t xml:space="preserve">With respect to NDPB independence, </w:t>
      </w:r>
      <w:r w:rsidR="0012042D">
        <w:rPr>
          <w:rFonts w:ascii="Times New Roman" w:hAnsi="Times New Roman" w:cs="Times New Roman"/>
          <w:color w:val="auto"/>
        </w:rPr>
        <w:t xml:space="preserve">which impacts on board decision making and effectiveness and consequently accountability, </w:t>
      </w:r>
      <w:r w:rsidRPr="0020584E">
        <w:rPr>
          <w:rFonts w:ascii="Times New Roman" w:hAnsi="Times New Roman" w:cs="Times New Roman"/>
          <w:color w:val="auto"/>
        </w:rPr>
        <w:t>there were calls for a greater understanding of the organization’s role, together with two related issues. Firstly, what type of body is the NDPB? This was seen as essential to understanding to whom the organizat</w:t>
      </w:r>
      <w:r w:rsidRPr="00EB2D5F">
        <w:rPr>
          <w:rFonts w:ascii="Times New Roman" w:hAnsi="Times New Roman" w:cs="Times New Roman"/>
          <w:color w:val="auto"/>
        </w:rPr>
        <w:t xml:space="preserve">ion is accountable and thus enabling the board to work within this context with the executive team. </w:t>
      </w:r>
    </w:p>
    <w:p w14:paraId="1290C8F8" w14:textId="77777777" w:rsidR="00D76E12" w:rsidRPr="008B6361" w:rsidRDefault="00D76E12" w:rsidP="00015EC5">
      <w:pPr>
        <w:pStyle w:val="Default"/>
        <w:spacing w:line="360" w:lineRule="auto"/>
        <w:ind w:left="720"/>
        <w:jc w:val="both"/>
        <w:rPr>
          <w:rFonts w:ascii="Times New Roman" w:hAnsi="Times New Roman" w:cs="Times New Roman"/>
          <w:color w:val="auto"/>
        </w:rPr>
      </w:pPr>
      <w:r w:rsidRPr="00FB74CA">
        <w:rPr>
          <w:rFonts w:ascii="Times New Roman" w:hAnsi="Times New Roman" w:cs="Times New Roman"/>
          <w:i/>
          <w:color w:val="auto"/>
        </w:rPr>
        <w:t>‘[It is necessary] to know you are not an independent body, but a body with a high degree of independence’.</w:t>
      </w:r>
      <w:r w:rsidR="00D13784" w:rsidRPr="008B6361">
        <w:rPr>
          <w:rFonts w:ascii="Times New Roman" w:hAnsi="Times New Roman" w:cs="Times New Roman"/>
          <w:color w:val="auto"/>
        </w:rPr>
        <w:t xml:space="preserve"> (I26)</w:t>
      </w:r>
    </w:p>
    <w:p w14:paraId="577A9C32" w14:textId="77777777" w:rsidR="00D76E12" w:rsidRPr="00015EC5" w:rsidRDefault="00D76E12" w:rsidP="00015EC5">
      <w:pPr>
        <w:pStyle w:val="Default"/>
        <w:spacing w:line="360" w:lineRule="auto"/>
        <w:jc w:val="both"/>
        <w:rPr>
          <w:rFonts w:ascii="Times New Roman" w:hAnsi="Times New Roman" w:cs="Times New Roman"/>
          <w:color w:val="auto"/>
        </w:rPr>
      </w:pPr>
      <w:r w:rsidRPr="00015EC5">
        <w:rPr>
          <w:rFonts w:ascii="Times New Roman" w:hAnsi="Times New Roman" w:cs="Times New Roman"/>
          <w:color w:val="auto"/>
        </w:rPr>
        <w:t xml:space="preserve">Secondly, there were calls for greater clarity on to whom the NDPB is accountable. While interviewees believed that an arm’s-length relationship could operate effectively for both parties, there was </w:t>
      </w:r>
      <w:r w:rsidR="00B77C07" w:rsidRPr="00015EC5">
        <w:rPr>
          <w:rFonts w:ascii="Times New Roman" w:hAnsi="Times New Roman" w:cs="Times New Roman"/>
          <w:color w:val="auto"/>
        </w:rPr>
        <w:t>‘</w:t>
      </w:r>
      <w:r w:rsidRPr="00015EC5">
        <w:rPr>
          <w:rFonts w:ascii="Times New Roman" w:hAnsi="Times New Roman" w:cs="Times New Roman"/>
          <w:color w:val="auto"/>
        </w:rPr>
        <w:t>frustration at the short arms</w:t>
      </w:r>
      <w:r w:rsidR="00B77C07" w:rsidRPr="00015EC5">
        <w:rPr>
          <w:rFonts w:ascii="Times New Roman" w:hAnsi="Times New Roman" w:cs="Times New Roman"/>
          <w:color w:val="auto"/>
        </w:rPr>
        <w:t>’ (I17)</w:t>
      </w:r>
      <w:r w:rsidRPr="00015EC5">
        <w:rPr>
          <w:rFonts w:ascii="Times New Roman" w:hAnsi="Times New Roman" w:cs="Times New Roman"/>
          <w:color w:val="auto"/>
        </w:rPr>
        <w:t xml:space="preserve"> of the NICS compared to other UK jurisdictions as ‘independence only goes so far as operable under the sponsoring department’s authority’</w:t>
      </w:r>
      <w:r w:rsidR="00D13784" w:rsidRPr="00015EC5">
        <w:rPr>
          <w:rFonts w:ascii="Times New Roman" w:hAnsi="Times New Roman" w:cs="Times New Roman"/>
          <w:color w:val="auto"/>
        </w:rPr>
        <w:t xml:space="preserve"> (I18)</w:t>
      </w:r>
      <w:r w:rsidRPr="00015EC5">
        <w:rPr>
          <w:rFonts w:ascii="Times New Roman" w:hAnsi="Times New Roman" w:cs="Times New Roman"/>
          <w:color w:val="auto"/>
        </w:rPr>
        <w:t>. It was contended that the particular form of government in NI resulted in continual renegotiation of issues at departmental level, which impacted upon NDPB business plans. There was consensus that board independence is linked to effectiveness, but close proximity to politicians in NI often negatively impacted upon this. Some politicians were perceived as being overly influential, meaning board members were reticent about voicing their opinion.</w:t>
      </w:r>
    </w:p>
    <w:p w14:paraId="15C71CA8" w14:textId="77777777" w:rsidR="00D76E12" w:rsidRPr="00015EC5" w:rsidRDefault="00D76E12" w:rsidP="00015EC5">
      <w:pPr>
        <w:pStyle w:val="Default"/>
        <w:spacing w:line="360" w:lineRule="auto"/>
        <w:jc w:val="both"/>
        <w:rPr>
          <w:rFonts w:ascii="Times New Roman" w:hAnsi="Times New Roman" w:cs="Times New Roman"/>
          <w:color w:val="auto"/>
        </w:rPr>
      </w:pPr>
    </w:p>
    <w:p w14:paraId="12A3217D" w14:textId="77777777" w:rsidR="00D76E12" w:rsidRPr="00015EC5" w:rsidRDefault="00D76E12" w:rsidP="00015EC5">
      <w:pPr>
        <w:pStyle w:val="Default"/>
        <w:spacing w:line="360" w:lineRule="auto"/>
        <w:jc w:val="both"/>
        <w:rPr>
          <w:rFonts w:ascii="Times New Roman" w:hAnsi="Times New Roman" w:cs="Times New Roman"/>
          <w:color w:val="auto"/>
        </w:rPr>
      </w:pPr>
      <w:r w:rsidRPr="00015EC5">
        <w:rPr>
          <w:rFonts w:ascii="Times New Roman" w:hAnsi="Times New Roman" w:cs="Times New Roman"/>
          <w:color w:val="auto"/>
        </w:rPr>
        <w:t>Risk management</w:t>
      </w:r>
    </w:p>
    <w:p w14:paraId="174884B1" w14:textId="33826D5F" w:rsidR="00D76E12" w:rsidRPr="00EB2D5F" w:rsidRDefault="00D76E12" w:rsidP="00015EC5">
      <w:pPr>
        <w:pStyle w:val="Default"/>
        <w:spacing w:line="360" w:lineRule="auto"/>
        <w:jc w:val="both"/>
        <w:rPr>
          <w:rFonts w:ascii="Times New Roman" w:hAnsi="Times New Roman" w:cs="Times New Roman"/>
          <w:color w:val="auto"/>
        </w:rPr>
      </w:pPr>
      <w:r w:rsidRPr="00015EC5">
        <w:rPr>
          <w:rFonts w:ascii="Times New Roman" w:hAnsi="Times New Roman" w:cs="Times New Roman"/>
          <w:color w:val="auto"/>
        </w:rPr>
        <w:t>Political influence was also seen as a factor that affected risk management in NDPBs</w:t>
      </w:r>
      <w:r w:rsidR="0012042D">
        <w:rPr>
          <w:rFonts w:ascii="Times New Roman" w:hAnsi="Times New Roman" w:cs="Times New Roman"/>
          <w:color w:val="auto"/>
        </w:rPr>
        <w:t>, with a consequential impact on board decision making</w:t>
      </w:r>
      <w:r w:rsidRPr="0020584E">
        <w:rPr>
          <w:rFonts w:ascii="Times New Roman" w:hAnsi="Times New Roman" w:cs="Times New Roman"/>
          <w:color w:val="auto"/>
        </w:rPr>
        <w:t xml:space="preserve">. Generally, while risk was seen as being better managed than it had been previously, it was an area identified as being particularly </w:t>
      </w:r>
      <w:r w:rsidRPr="00EB2D5F">
        <w:rPr>
          <w:rFonts w:ascii="Times New Roman" w:hAnsi="Times New Roman" w:cs="Times New Roman"/>
          <w:color w:val="auto"/>
        </w:rPr>
        <w:t>process heavy, often associated with ‘red tape’, box ticking and too much risk assessment. Interviewees commented that this area had become something of an industry in itself and one that was in need of review. A majority observed that the political system, and its functioning, impacted on how risk was managed at the NDPB level. For example:</w:t>
      </w:r>
    </w:p>
    <w:p w14:paraId="54172A54" w14:textId="77777777" w:rsidR="00D76E12" w:rsidRPr="00FB74CA" w:rsidRDefault="00D76E12" w:rsidP="00015EC5">
      <w:pPr>
        <w:pStyle w:val="Default"/>
        <w:spacing w:line="360" w:lineRule="auto"/>
        <w:ind w:left="720"/>
        <w:jc w:val="both"/>
        <w:rPr>
          <w:rFonts w:ascii="Times New Roman" w:hAnsi="Times New Roman" w:cs="Times New Roman"/>
          <w:color w:val="auto"/>
        </w:rPr>
      </w:pPr>
      <w:r w:rsidRPr="00EB2D5F">
        <w:rPr>
          <w:rFonts w:ascii="Times New Roman" w:hAnsi="Times New Roman" w:cs="Times New Roman"/>
          <w:i/>
          <w:color w:val="auto"/>
        </w:rPr>
        <w:t>‘The PAC [Public Account</w:t>
      </w:r>
      <w:r w:rsidR="00146CE1" w:rsidRPr="00E340E0">
        <w:rPr>
          <w:rFonts w:ascii="Times New Roman" w:hAnsi="Times New Roman" w:cs="Times New Roman"/>
          <w:i/>
          <w:color w:val="auto"/>
        </w:rPr>
        <w:t>s Committee] [is a] blood sport.</w:t>
      </w:r>
      <w:r w:rsidRPr="00E340E0">
        <w:rPr>
          <w:rFonts w:ascii="Times New Roman" w:hAnsi="Times New Roman" w:cs="Times New Roman"/>
          <w:i/>
          <w:color w:val="auto"/>
        </w:rPr>
        <w:t>..no issue with accountability, the issue becomes point scoring’.</w:t>
      </w:r>
      <w:r w:rsidR="00146CE1" w:rsidRPr="00FB74CA">
        <w:rPr>
          <w:rFonts w:ascii="Times New Roman" w:hAnsi="Times New Roman" w:cs="Times New Roman"/>
          <w:color w:val="auto"/>
        </w:rPr>
        <w:t xml:space="preserve"> (I3)</w:t>
      </w:r>
    </w:p>
    <w:p w14:paraId="17BFC2EB" w14:textId="77777777" w:rsidR="00D76E12" w:rsidRPr="008B6361" w:rsidRDefault="00D76E12" w:rsidP="00015EC5">
      <w:pPr>
        <w:pStyle w:val="Default"/>
        <w:spacing w:line="360" w:lineRule="auto"/>
        <w:ind w:left="720"/>
        <w:jc w:val="both"/>
        <w:rPr>
          <w:rFonts w:ascii="Times New Roman" w:hAnsi="Times New Roman" w:cs="Times New Roman"/>
          <w:color w:val="auto"/>
        </w:rPr>
      </w:pPr>
      <w:r w:rsidRPr="008B6361">
        <w:rPr>
          <w:rFonts w:ascii="Times New Roman" w:hAnsi="Times New Roman" w:cs="Times New Roman"/>
          <w:i/>
          <w:color w:val="auto"/>
        </w:rPr>
        <w:t>‘NICS risk aversion is exacerbated by the PAC and NI Audit Office’.</w:t>
      </w:r>
      <w:r w:rsidR="00146CE1" w:rsidRPr="008B6361">
        <w:rPr>
          <w:rFonts w:ascii="Times New Roman" w:hAnsi="Times New Roman" w:cs="Times New Roman"/>
          <w:color w:val="auto"/>
        </w:rPr>
        <w:t xml:space="preserve"> (I13)</w:t>
      </w:r>
    </w:p>
    <w:p w14:paraId="32A56227" w14:textId="77777777" w:rsidR="00D76E12" w:rsidRPr="00015EC5" w:rsidRDefault="00D76E12" w:rsidP="00015EC5">
      <w:pPr>
        <w:pStyle w:val="Default"/>
        <w:spacing w:line="360" w:lineRule="auto"/>
        <w:ind w:left="720"/>
        <w:jc w:val="both"/>
        <w:rPr>
          <w:rFonts w:ascii="Times New Roman" w:hAnsi="Times New Roman" w:cs="Times New Roman"/>
          <w:color w:val="auto"/>
        </w:rPr>
      </w:pPr>
      <w:r w:rsidRPr="00015EC5">
        <w:rPr>
          <w:rFonts w:ascii="Times New Roman" w:hAnsi="Times New Roman" w:cs="Times New Roman"/>
          <w:i/>
          <w:color w:val="auto"/>
        </w:rPr>
        <w:lastRenderedPageBreak/>
        <w:t>‘[The] risk aversion of the civil service…use of outside consultants to cover themselves and avoid the PAC’</w:t>
      </w:r>
      <w:r w:rsidR="00146CE1" w:rsidRPr="00015EC5">
        <w:rPr>
          <w:rFonts w:ascii="Times New Roman" w:hAnsi="Times New Roman" w:cs="Times New Roman"/>
          <w:i/>
          <w:color w:val="auto"/>
        </w:rPr>
        <w:t>.</w:t>
      </w:r>
      <w:r w:rsidR="00146CE1" w:rsidRPr="00015EC5">
        <w:rPr>
          <w:rFonts w:ascii="Times New Roman" w:hAnsi="Times New Roman" w:cs="Times New Roman"/>
          <w:color w:val="auto"/>
        </w:rPr>
        <w:t xml:space="preserve"> (I20)</w:t>
      </w:r>
    </w:p>
    <w:p w14:paraId="0DB32F2A" w14:textId="77777777" w:rsidR="00D76E12" w:rsidRPr="00015EC5" w:rsidRDefault="00D76E12" w:rsidP="00015EC5">
      <w:pPr>
        <w:pStyle w:val="Default"/>
        <w:spacing w:line="360" w:lineRule="auto"/>
        <w:jc w:val="both"/>
        <w:rPr>
          <w:rFonts w:ascii="Times New Roman" w:hAnsi="Times New Roman" w:cs="Times New Roman"/>
          <w:color w:val="auto"/>
        </w:rPr>
      </w:pPr>
      <w:r w:rsidRPr="00015EC5">
        <w:rPr>
          <w:rFonts w:ascii="Times New Roman" w:hAnsi="Times New Roman" w:cs="Times New Roman"/>
          <w:color w:val="auto"/>
        </w:rPr>
        <w:t xml:space="preserve">Overall, it was argued that a sensible approach to risk management was required and that public bodies could not simply apply private sector risk management practices. There was also a belief that the threat of the PAC was overplayed, but that this did affect how risk was managed at both the departmental and NDPB levels, with departments operating to scrutinize, rather than advise and assist. </w:t>
      </w:r>
    </w:p>
    <w:p w14:paraId="2E250C31" w14:textId="262F0F8C" w:rsidR="00D76E12" w:rsidRPr="00015EC5" w:rsidRDefault="00D76E12" w:rsidP="00015EC5">
      <w:pPr>
        <w:autoSpaceDE w:val="0"/>
        <w:autoSpaceDN w:val="0"/>
        <w:adjustRightInd w:val="0"/>
        <w:spacing w:after="0" w:line="360" w:lineRule="auto"/>
        <w:ind w:firstLine="426"/>
        <w:jc w:val="both"/>
        <w:rPr>
          <w:rFonts w:ascii="Times New Roman" w:hAnsi="Times New Roman" w:cs="Times New Roman"/>
          <w:sz w:val="24"/>
          <w:szCs w:val="24"/>
        </w:rPr>
      </w:pPr>
      <w:r w:rsidRPr="00015EC5">
        <w:rPr>
          <w:rFonts w:ascii="Times New Roman" w:hAnsi="Times New Roman" w:cs="Times New Roman"/>
          <w:sz w:val="24"/>
          <w:szCs w:val="24"/>
        </w:rPr>
        <w:t xml:space="preserve">Moreover, it was contended that </w:t>
      </w:r>
      <w:r w:rsidR="0012042D">
        <w:rPr>
          <w:rFonts w:ascii="Times New Roman" w:hAnsi="Times New Roman" w:cs="Times New Roman"/>
          <w:sz w:val="24"/>
          <w:szCs w:val="24"/>
        </w:rPr>
        <w:t>decision making</w:t>
      </w:r>
      <w:r w:rsidRPr="0020584E">
        <w:rPr>
          <w:rFonts w:ascii="Times New Roman" w:hAnsi="Times New Roman" w:cs="Times New Roman"/>
          <w:sz w:val="24"/>
          <w:szCs w:val="24"/>
        </w:rPr>
        <w:t xml:space="preserve"> was influenced by the ‘civil service way of doing things’</w:t>
      </w:r>
      <w:r w:rsidR="00146CE1" w:rsidRPr="00EB2D5F">
        <w:rPr>
          <w:rFonts w:ascii="Times New Roman" w:hAnsi="Times New Roman" w:cs="Times New Roman"/>
          <w:sz w:val="24"/>
          <w:szCs w:val="24"/>
        </w:rPr>
        <w:t xml:space="preserve"> (I13)</w:t>
      </w:r>
      <w:r w:rsidRPr="00EB2D5F">
        <w:rPr>
          <w:rFonts w:ascii="Times New Roman" w:hAnsi="Times New Roman" w:cs="Times New Roman"/>
          <w:sz w:val="24"/>
          <w:szCs w:val="24"/>
        </w:rPr>
        <w:t xml:space="preserve"> where there was no individual incentive to take risks due to the system penalising people for taking judgements ar</w:t>
      </w:r>
      <w:r w:rsidRPr="00FB74CA">
        <w:rPr>
          <w:rFonts w:ascii="Times New Roman" w:hAnsi="Times New Roman" w:cs="Times New Roman"/>
          <w:sz w:val="24"/>
          <w:szCs w:val="24"/>
        </w:rPr>
        <w:t xml:space="preserve">ound risk. Risk aversion was perceived to be part of the ‘NICS’s DNA’ </w:t>
      </w:r>
      <w:r w:rsidR="00146CE1" w:rsidRPr="008B6361">
        <w:rPr>
          <w:rFonts w:ascii="Times New Roman" w:hAnsi="Times New Roman" w:cs="Times New Roman"/>
          <w:sz w:val="24"/>
          <w:szCs w:val="24"/>
        </w:rPr>
        <w:t xml:space="preserve">(I20) </w:t>
      </w:r>
      <w:r w:rsidRPr="008B6361">
        <w:rPr>
          <w:rFonts w:ascii="Times New Roman" w:hAnsi="Times New Roman" w:cs="Times New Roman"/>
          <w:sz w:val="24"/>
          <w:szCs w:val="24"/>
        </w:rPr>
        <w:t xml:space="preserve">due to a </w:t>
      </w:r>
      <w:r w:rsidR="00593F5B" w:rsidRPr="008B6361">
        <w:rPr>
          <w:rFonts w:ascii="Times New Roman" w:hAnsi="Times New Roman" w:cs="Times New Roman"/>
          <w:sz w:val="24"/>
          <w:szCs w:val="24"/>
        </w:rPr>
        <w:t>disproportionate</w:t>
      </w:r>
      <w:r w:rsidRPr="008B6361">
        <w:rPr>
          <w:rFonts w:ascii="Times New Roman" w:hAnsi="Times New Roman" w:cs="Times New Roman"/>
          <w:sz w:val="24"/>
          <w:szCs w:val="24"/>
        </w:rPr>
        <w:t xml:space="preserve"> sensitivity to criticism, and it was felt that people ‘who don’t make mistakes get promoted’</w:t>
      </w:r>
      <w:r w:rsidR="00B77C07" w:rsidRPr="00015EC5">
        <w:rPr>
          <w:rFonts w:ascii="Times New Roman" w:hAnsi="Times New Roman" w:cs="Times New Roman"/>
          <w:sz w:val="24"/>
          <w:szCs w:val="24"/>
        </w:rPr>
        <w:t xml:space="preserve"> (I20)</w:t>
      </w:r>
      <w:r w:rsidRPr="00015EC5">
        <w:rPr>
          <w:rFonts w:ascii="Times New Roman" w:hAnsi="Times New Roman" w:cs="Times New Roman"/>
          <w:sz w:val="24"/>
          <w:szCs w:val="24"/>
        </w:rPr>
        <w:t>, which leads to the wrong type of behaviour. Therefore, public sector boards did not want to take risks, or took an inordinate period of time to reach a decision:</w:t>
      </w:r>
    </w:p>
    <w:p w14:paraId="5E51748A" w14:textId="77777777" w:rsidR="00D76E12" w:rsidRPr="00015EC5" w:rsidRDefault="00D76E12" w:rsidP="00015EC5">
      <w:pPr>
        <w:pStyle w:val="Default"/>
        <w:spacing w:line="360" w:lineRule="auto"/>
        <w:ind w:left="720"/>
        <w:jc w:val="both"/>
        <w:rPr>
          <w:rFonts w:ascii="Times New Roman" w:hAnsi="Times New Roman" w:cs="Times New Roman"/>
          <w:color w:val="auto"/>
        </w:rPr>
      </w:pPr>
      <w:r w:rsidRPr="00015EC5">
        <w:rPr>
          <w:rFonts w:ascii="Times New Roman" w:hAnsi="Times New Roman" w:cs="Times New Roman"/>
          <w:i/>
          <w:color w:val="auto"/>
        </w:rPr>
        <w:t>‘[The] willingness to stand up to be counted when the organization is unfairly criticized is impacted by a lack of belief and confidence that they are going to be supported…this makes people risk averse’.</w:t>
      </w:r>
      <w:r w:rsidR="00146CE1" w:rsidRPr="00015EC5">
        <w:rPr>
          <w:rFonts w:ascii="Times New Roman" w:hAnsi="Times New Roman" w:cs="Times New Roman"/>
          <w:color w:val="auto"/>
        </w:rPr>
        <w:t xml:space="preserve"> (I17)</w:t>
      </w:r>
    </w:p>
    <w:p w14:paraId="75F0A992" w14:textId="77777777" w:rsidR="00D76E12" w:rsidRPr="00015EC5" w:rsidRDefault="00D76E12" w:rsidP="00015EC5">
      <w:pPr>
        <w:autoSpaceDE w:val="0"/>
        <w:autoSpaceDN w:val="0"/>
        <w:adjustRightInd w:val="0"/>
        <w:spacing w:after="0" w:line="360" w:lineRule="auto"/>
        <w:jc w:val="both"/>
        <w:rPr>
          <w:rFonts w:ascii="Times New Roman" w:hAnsi="Times New Roman" w:cs="Times New Roman"/>
          <w:sz w:val="24"/>
          <w:szCs w:val="24"/>
        </w:rPr>
      </w:pPr>
      <w:r w:rsidRPr="00015EC5">
        <w:rPr>
          <w:rFonts w:ascii="Times New Roman" w:hAnsi="Times New Roman" w:cs="Times New Roman"/>
          <w:sz w:val="24"/>
          <w:szCs w:val="24"/>
        </w:rPr>
        <w:t xml:space="preserve">A further manifestation of NICS risk aversion was a culture of wanting to know everything, which led to demands from multiple sources for the same information which slowed down NDPB decision-making processes. Furthermore, it was acknowledged that longstanding board members had a habit of stifling newer members who might be more willing to take risks. </w:t>
      </w:r>
    </w:p>
    <w:p w14:paraId="2CA64545" w14:textId="77777777" w:rsidR="00D76E12" w:rsidRPr="00015EC5" w:rsidRDefault="00D76E12" w:rsidP="00287B5C">
      <w:pPr>
        <w:autoSpaceDE w:val="0"/>
        <w:autoSpaceDN w:val="0"/>
        <w:adjustRightInd w:val="0"/>
        <w:spacing w:after="0" w:line="360" w:lineRule="auto"/>
        <w:ind w:firstLine="426"/>
        <w:jc w:val="both"/>
        <w:rPr>
          <w:rFonts w:ascii="Times New Roman" w:hAnsi="Times New Roman" w:cs="Times New Roman"/>
          <w:sz w:val="24"/>
          <w:szCs w:val="24"/>
        </w:rPr>
      </w:pPr>
      <w:r w:rsidRPr="00015EC5">
        <w:rPr>
          <w:rFonts w:ascii="Times New Roman" w:hAnsi="Times New Roman" w:cs="Times New Roman"/>
          <w:sz w:val="24"/>
          <w:szCs w:val="24"/>
        </w:rPr>
        <w:t>Responding to how public bodies can more meaningfully engage with risk as a key corporate governance issue, interviewees advised that: there needed to be better compatibility between the department and NDPB risk register; it was necessary to ‘push the risk appetite’</w:t>
      </w:r>
      <w:r w:rsidR="00146CE1" w:rsidRPr="00015EC5">
        <w:rPr>
          <w:rFonts w:ascii="Times New Roman" w:hAnsi="Times New Roman" w:cs="Times New Roman"/>
          <w:sz w:val="24"/>
          <w:szCs w:val="24"/>
        </w:rPr>
        <w:t xml:space="preserve"> (I24)</w:t>
      </w:r>
      <w:r w:rsidRPr="00015EC5">
        <w:rPr>
          <w:rFonts w:ascii="Times New Roman" w:hAnsi="Times New Roman" w:cs="Times New Roman"/>
          <w:sz w:val="24"/>
          <w:szCs w:val="24"/>
        </w:rPr>
        <w:t xml:space="preserve">, particularly due to funding restrictions, as organizations were going to fundamentally change; risk management processes needed to be challenged in line with the priorities of a minister’s wishes; and with regard to risk registers, it was necessary to ensure that issues are captured in a ‘meaningful amount of pages’ </w:t>
      </w:r>
      <w:r w:rsidR="00146CE1" w:rsidRPr="00015EC5">
        <w:rPr>
          <w:rFonts w:ascii="Times New Roman" w:hAnsi="Times New Roman" w:cs="Times New Roman"/>
          <w:sz w:val="24"/>
          <w:szCs w:val="24"/>
        </w:rPr>
        <w:t xml:space="preserve">(I26) </w:t>
      </w:r>
      <w:r w:rsidRPr="00015EC5">
        <w:rPr>
          <w:rFonts w:ascii="Times New Roman" w:hAnsi="Times New Roman" w:cs="Times New Roman"/>
          <w:sz w:val="24"/>
          <w:szCs w:val="24"/>
        </w:rPr>
        <w:t>so that they become ‘dynamic documents’</w:t>
      </w:r>
      <w:r w:rsidR="00146CE1" w:rsidRPr="00015EC5">
        <w:rPr>
          <w:rFonts w:ascii="Times New Roman" w:hAnsi="Times New Roman" w:cs="Times New Roman"/>
          <w:sz w:val="24"/>
          <w:szCs w:val="24"/>
        </w:rPr>
        <w:t xml:space="preserve"> (I5)</w:t>
      </w:r>
      <w:r w:rsidRPr="00015EC5">
        <w:rPr>
          <w:rFonts w:ascii="Times New Roman" w:hAnsi="Times New Roman" w:cs="Times New Roman"/>
          <w:sz w:val="24"/>
          <w:szCs w:val="24"/>
        </w:rPr>
        <w:t xml:space="preserve">. It was suggested that the arm’s-length principle should be safeguarded, with the understanding that NDPBs would be severely penalised if they acted illegally. It was further highlighted that a more mature political environment was needed if the task of manging risk was to be less daunting. </w:t>
      </w:r>
    </w:p>
    <w:p w14:paraId="291412F8" w14:textId="77777777" w:rsidR="00287B5C" w:rsidRDefault="00287B5C" w:rsidP="00287B5C">
      <w:pPr>
        <w:spacing w:line="360" w:lineRule="auto"/>
        <w:rPr>
          <w:rFonts w:ascii="Times New Roman" w:hAnsi="Times New Roman" w:cs="Times New Roman"/>
          <w:b/>
          <w:sz w:val="24"/>
          <w:szCs w:val="24"/>
        </w:rPr>
      </w:pPr>
      <w:r>
        <w:rPr>
          <w:rFonts w:ascii="Times New Roman" w:hAnsi="Times New Roman" w:cs="Times New Roman"/>
          <w:b/>
          <w:sz w:val="24"/>
          <w:szCs w:val="24"/>
        </w:rPr>
        <w:br w:type="page"/>
      </w:r>
    </w:p>
    <w:p w14:paraId="2AF1D8B8" w14:textId="3298C040" w:rsidR="00D76E12" w:rsidRPr="00015EC5" w:rsidRDefault="00D76E12" w:rsidP="00015EC5">
      <w:pPr>
        <w:autoSpaceDE w:val="0"/>
        <w:autoSpaceDN w:val="0"/>
        <w:adjustRightInd w:val="0"/>
        <w:spacing w:after="0" w:line="360" w:lineRule="auto"/>
        <w:jc w:val="both"/>
        <w:rPr>
          <w:rFonts w:ascii="Times New Roman" w:hAnsi="Times New Roman" w:cs="Times New Roman"/>
          <w:sz w:val="24"/>
          <w:szCs w:val="24"/>
        </w:rPr>
      </w:pPr>
      <w:r w:rsidRPr="00015EC5">
        <w:rPr>
          <w:rFonts w:ascii="Times New Roman" w:hAnsi="Times New Roman" w:cs="Times New Roman"/>
          <w:b/>
          <w:sz w:val="24"/>
          <w:szCs w:val="24"/>
        </w:rPr>
        <w:lastRenderedPageBreak/>
        <w:t>The relationship with users</w:t>
      </w:r>
    </w:p>
    <w:p w14:paraId="1B13CBF6" w14:textId="77777777" w:rsidR="00D76E12" w:rsidRPr="00015EC5" w:rsidRDefault="00D76E12" w:rsidP="00015EC5">
      <w:pPr>
        <w:autoSpaceDE w:val="0"/>
        <w:autoSpaceDN w:val="0"/>
        <w:adjustRightInd w:val="0"/>
        <w:spacing w:after="0" w:line="360" w:lineRule="auto"/>
        <w:jc w:val="both"/>
        <w:rPr>
          <w:rFonts w:ascii="Times New Roman" w:hAnsi="Times New Roman" w:cs="Times New Roman"/>
          <w:sz w:val="24"/>
          <w:szCs w:val="24"/>
        </w:rPr>
      </w:pPr>
    </w:p>
    <w:p w14:paraId="618460ED" w14:textId="1F37A695" w:rsidR="00D76E12" w:rsidRPr="00FB74CA" w:rsidRDefault="00D76E12" w:rsidP="00D803FA">
      <w:pPr>
        <w:autoSpaceDE w:val="0"/>
        <w:autoSpaceDN w:val="0"/>
        <w:adjustRightInd w:val="0"/>
        <w:spacing w:after="0" w:line="360" w:lineRule="auto"/>
        <w:jc w:val="both"/>
        <w:rPr>
          <w:rFonts w:ascii="Times New Roman" w:hAnsi="Times New Roman" w:cs="Times New Roman"/>
          <w:sz w:val="24"/>
          <w:szCs w:val="24"/>
        </w:rPr>
      </w:pPr>
      <w:r w:rsidRPr="00015EC5">
        <w:rPr>
          <w:rFonts w:ascii="Times New Roman" w:hAnsi="Times New Roman" w:cs="Times New Roman"/>
          <w:sz w:val="24"/>
          <w:szCs w:val="24"/>
        </w:rPr>
        <w:t xml:space="preserve">According to Mitchell, </w:t>
      </w:r>
      <w:proofErr w:type="spellStart"/>
      <w:r w:rsidRPr="00015EC5">
        <w:rPr>
          <w:rFonts w:ascii="Times New Roman" w:hAnsi="Times New Roman" w:cs="Times New Roman"/>
          <w:sz w:val="24"/>
          <w:szCs w:val="24"/>
        </w:rPr>
        <w:t>Agle</w:t>
      </w:r>
      <w:proofErr w:type="spellEnd"/>
      <w:r w:rsidRPr="00015EC5">
        <w:rPr>
          <w:rFonts w:ascii="Times New Roman" w:hAnsi="Times New Roman" w:cs="Times New Roman"/>
          <w:sz w:val="24"/>
          <w:szCs w:val="24"/>
        </w:rPr>
        <w:t>, and Wood (1997), dependant stakeholders are those who have legitimate claims, but depend on the power of others to pursue them. In the parlance of Donaldson and Preston (1995), the relationship with the main users of NDPB services w</w:t>
      </w:r>
      <w:r w:rsidR="008D2EEA" w:rsidRPr="00015EC5">
        <w:rPr>
          <w:rFonts w:ascii="Times New Roman" w:hAnsi="Times New Roman" w:cs="Times New Roman"/>
          <w:sz w:val="24"/>
          <w:szCs w:val="24"/>
        </w:rPr>
        <w:t>as seen as normative in nature</w:t>
      </w:r>
      <w:r w:rsidR="00EF15F5" w:rsidRPr="00015EC5">
        <w:rPr>
          <w:rFonts w:ascii="Times New Roman" w:hAnsi="Times New Roman" w:cs="Times New Roman"/>
          <w:sz w:val="24"/>
          <w:szCs w:val="24"/>
        </w:rPr>
        <w:t xml:space="preserve">; and, given their position as service users (or consumers), </w:t>
      </w:r>
      <w:r w:rsidR="00593F5B" w:rsidRPr="00015EC5">
        <w:rPr>
          <w:rFonts w:ascii="Times New Roman" w:hAnsi="Times New Roman" w:cs="Times New Roman"/>
          <w:sz w:val="24"/>
          <w:szCs w:val="24"/>
        </w:rPr>
        <w:t>they</w:t>
      </w:r>
      <w:r w:rsidR="00EF15F5" w:rsidRPr="00015EC5">
        <w:rPr>
          <w:rFonts w:ascii="Times New Roman" w:hAnsi="Times New Roman" w:cs="Times New Roman"/>
          <w:sz w:val="24"/>
          <w:szCs w:val="24"/>
        </w:rPr>
        <w:t xml:space="preserve"> </w:t>
      </w:r>
      <w:r w:rsidR="00593F5B" w:rsidRPr="00015EC5">
        <w:rPr>
          <w:rFonts w:ascii="Times New Roman" w:hAnsi="Times New Roman" w:cs="Times New Roman"/>
          <w:sz w:val="24"/>
          <w:szCs w:val="24"/>
        </w:rPr>
        <w:t xml:space="preserve">can be categorized as </w:t>
      </w:r>
      <w:r w:rsidR="008D2EEA" w:rsidRPr="00015EC5">
        <w:rPr>
          <w:rFonts w:ascii="Times New Roman" w:hAnsi="Times New Roman" w:cs="Times New Roman"/>
          <w:sz w:val="24"/>
          <w:szCs w:val="24"/>
        </w:rPr>
        <w:t xml:space="preserve">‘primary stakeholders’ (Freeman 2010). </w:t>
      </w:r>
      <w:r w:rsidR="005F3608" w:rsidRPr="00015EC5">
        <w:rPr>
          <w:rFonts w:ascii="Times New Roman" w:hAnsi="Times New Roman" w:cs="Times New Roman"/>
          <w:sz w:val="24"/>
          <w:szCs w:val="24"/>
        </w:rPr>
        <w:t>Notwithstanding,</w:t>
      </w:r>
      <w:r w:rsidRPr="00015EC5">
        <w:rPr>
          <w:rFonts w:ascii="Times New Roman" w:hAnsi="Times New Roman" w:cs="Times New Roman"/>
          <w:sz w:val="24"/>
          <w:szCs w:val="24"/>
        </w:rPr>
        <w:t xml:space="preserve"> several </w:t>
      </w:r>
      <w:r w:rsidR="00A70012" w:rsidRPr="00D803FA">
        <w:rPr>
          <w:rFonts w:ascii="Times New Roman" w:hAnsi="Times New Roman" w:cs="Times New Roman"/>
          <w:sz w:val="24"/>
          <w:szCs w:val="24"/>
        </w:rPr>
        <w:t>interviewees</w:t>
      </w:r>
      <w:r w:rsidRPr="00D803FA">
        <w:rPr>
          <w:rFonts w:ascii="Times New Roman" w:hAnsi="Times New Roman" w:cs="Times New Roman"/>
          <w:sz w:val="24"/>
          <w:szCs w:val="24"/>
        </w:rPr>
        <w:t xml:space="preserve"> opined that their NDPBs were not engaging with service users in a meaningful way and that measures to increase awareness of their activities were perceived as ineffective. It was considered </w:t>
      </w:r>
      <w:r w:rsidRPr="00EB2D5F">
        <w:rPr>
          <w:rFonts w:ascii="Times New Roman" w:hAnsi="Times New Roman" w:cs="Times New Roman"/>
          <w:sz w:val="24"/>
          <w:szCs w:val="24"/>
        </w:rPr>
        <w:t>essential that NDPBs engaged with these stakeholders, despite such processes being particularly time and resource intensive. Therefore, the processes needed to be underpinned by an effective communication strategy linked to the organization’s values if the</w:t>
      </w:r>
      <w:r w:rsidRPr="00FB74CA">
        <w:rPr>
          <w:rFonts w:ascii="Times New Roman" w:hAnsi="Times New Roman" w:cs="Times New Roman"/>
          <w:sz w:val="24"/>
          <w:szCs w:val="24"/>
        </w:rPr>
        <w:t>y were to have traction, and the NDPB needed to be clear about its purpose. Moreover, engagement needed to be a continuous process in order to be sustainable. However, given the prevailing pressures on resources, this was not seen as an easy task:</w:t>
      </w:r>
    </w:p>
    <w:p w14:paraId="2E8745A8" w14:textId="77777777" w:rsidR="00D76E12" w:rsidRPr="00015EC5" w:rsidRDefault="00D76E12" w:rsidP="00D803FA">
      <w:pPr>
        <w:pStyle w:val="Default"/>
        <w:spacing w:line="360" w:lineRule="auto"/>
        <w:ind w:left="720"/>
        <w:jc w:val="both"/>
        <w:rPr>
          <w:rFonts w:ascii="Times New Roman" w:hAnsi="Times New Roman" w:cs="Times New Roman"/>
          <w:color w:val="auto"/>
        </w:rPr>
      </w:pPr>
      <w:r w:rsidRPr="008B6361">
        <w:rPr>
          <w:rFonts w:ascii="Times New Roman" w:hAnsi="Times New Roman" w:cs="Times New Roman"/>
          <w:i/>
          <w:color w:val="auto"/>
        </w:rPr>
        <w:t>‘[The]</w:t>
      </w:r>
      <w:r w:rsidRPr="008B6361">
        <w:rPr>
          <w:rFonts w:ascii="Times New Roman" w:hAnsi="Times New Roman" w:cs="Times New Roman"/>
          <w:color w:val="auto"/>
        </w:rPr>
        <w:t xml:space="preserve"> </w:t>
      </w:r>
      <w:r w:rsidRPr="008B6361">
        <w:rPr>
          <w:rFonts w:ascii="Times New Roman" w:hAnsi="Times New Roman" w:cs="Times New Roman"/>
          <w:i/>
          <w:color w:val="auto"/>
        </w:rPr>
        <w:t>problem with the public sector… stakeholder engagement is the first thing to go when you need it most…unfortunately time, money and energy is dissipated when dealing with a crisis’.</w:t>
      </w:r>
      <w:r w:rsidR="003B38BB" w:rsidRPr="00015EC5">
        <w:rPr>
          <w:rFonts w:ascii="Times New Roman" w:hAnsi="Times New Roman" w:cs="Times New Roman"/>
          <w:color w:val="auto"/>
        </w:rPr>
        <w:t xml:space="preserve"> (I9)</w:t>
      </w:r>
    </w:p>
    <w:p w14:paraId="1688048B" w14:textId="77777777" w:rsidR="00D76E12" w:rsidRPr="00015EC5" w:rsidRDefault="00D76E12" w:rsidP="00EB2D5F">
      <w:pPr>
        <w:pStyle w:val="Default"/>
        <w:spacing w:line="360" w:lineRule="auto"/>
        <w:jc w:val="both"/>
        <w:rPr>
          <w:rFonts w:ascii="Times New Roman" w:hAnsi="Times New Roman" w:cs="Times New Roman"/>
          <w:color w:val="auto"/>
        </w:rPr>
      </w:pPr>
      <w:r w:rsidRPr="00015EC5">
        <w:rPr>
          <w:rFonts w:ascii="Times New Roman" w:hAnsi="Times New Roman" w:cs="Times New Roman"/>
          <w:color w:val="auto"/>
        </w:rPr>
        <w:t>Interviewees also pointed out that it is difficult to secure effective engagement with the wider public unless the matter the NDPB is dealing with affects them directly; although public bodies have attempted to widen stakeholder engagement by using different venues for board meetings. This was seen as being important in presenting ‘a board that is not faceless’</w:t>
      </w:r>
      <w:r w:rsidR="00B77C07" w:rsidRPr="00015EC5">
        <w:rPr>
          <w:rFonts w:ascii="Times New Roman" w:hAnsi="Times New Roman" w:cs="Times New Roman"/>
          <w:color w:val="auto"/>
        </w:rPr>
        <w:t xml:space="preserve"> (I11)</w:t>
      </w:r>
      <w:r w:rsidRPr="00015EC5">
        <w:rPr>
          <w:rFonts w:ascii="Times New Roman" w:hAnsi="Times New Roman" w:cs="Times New Roman"/>
          <w:color w:val="auto"/>
        </w:rPr>
        <w:t xml:space="preserve">. While a small number of NDPBs had considered holding meetings externally to encourage greater attendance, there was concern about accusations of wasting taxpayers’ money as boardrooms are a sunk cost. Others had experimented with podcasting meetings and making these available on their websites, with this practice being considered successful based upon the number of ‘hits’. Notwithstanding, NI was thought to be a good location for developing such initiatives, given the proximity to the local populace. </w:t>
      </w:r>
    </w:p>
    <w:p w14:paraId="7B22F90C" w14:textId="34FE6125" w:rsidR="00D76E12" w:rsidRPr="00015EC5" w:rsidRDefault="00D76E12" w:rsidP="00D803FA">
      <w:pPr>
        <w:autoSpaceDE w:val="0"/>
        <w:autoSpaceDN w:val="0"/>
        <w:adjustRightInd w:val="0"/>
        <w:spacing w:after="0" w:line="360" w:lineRule="auto"/>
        <w:ind w:firstLine="426"/>
        <w:jc w:val="both"/>
        <w:rPr>
          <w:rFonts w:ascii="Times New Roman" w:hAnsi="Times New Roman" w:cs="Times New Roman"/>
          <w:sz w:val="24"/>
          <w:szCs w:val="24"/>
        </w:rPr>
      </w:pPr>
      <w:r w:rsidRPr="00D803FA">
        <w:rPr>
          <w:rFonts w:ascii="Times New Roman" w:hAnsi="Times New Roman" w:cs="Times New Roman"/>
          <w:sz w:val="24"/>
          <w:szCs w:val="24"/>
        </w:rPr>
        <w:t xml:space="preserve">With regard to how actual experiences relating to public engagement had been evidenced, </w:t>
      </w:r>
      <w:r w:rsidR="00A70012" w:rsidRPr="00D803FA">
        <w:rPr>
          <w:rFonts w:ascii="Times New Roman" w:hAnsi="Times New Roman" w:cs="Times New Roman"/>
          <w:sz w:val="24"/>
          <w:szCs w:val="24"/>
        </w:rPr>
        <w:t>interviewees</w:t>
      </w:r>
      <w:r w:rsidRPr="00D803FA">
        <w:rPr>
          <w:rFonts w:ascii="Times New Roman" w:hAnsi="Times New Roman" w:cs="Times New Roman"/>
          <w:sz w:val="24"/>
          <w:szCs w:val="24"/>
        </w:rPr>
        <w:t xml:space="preserve"> were generally positive with the feeling that ‘openness is appreciated by the public’</w:t>
      </w:r>
      <w:r w:rsidR="00B77C07" w:rsidRPr="00D803FA">
        <w:rPr>
          <w:rFonts w:ascii="Times New Roman" w:hAnsi="Times New Roman" w:cs="Times New Roman"/>
          <w:sz w:val="24"/>
          <w:szCs w:val="24"/>
        </w:rPr>
        <w:t xml:space="preserve"> (I8)</w:t>
      </w:r>
      <w:r w:rsidRPr="00D803FA">
        <w:rPr>
          <w:rFonts w:ascii="Times New Roman" w:hAnsi="Times New Roman" w:cs="Times New Roman"/>
          <w:sz w:val="24"/>
          <w:szCs w:val="24"/>
        </w:rPr>
        <w:t>; however, there were two main concerns about how these processes could be taken forward in the future. First, an uncertainty about the best time to do this, with interviewees stating it was ‘difficult to know when and how to do it’</w:t>
      </w:r>
      <w:r w:rsidR="00B77C07" w:rsidRPr="00EB2D5F">
        <w:rPr>
          <w:rFonts w:ascii="Times New Roman" w:hAnsi="Times New Roman" w:cs="Times New Roman"/>
          <w:sz w:val="24"/>
          <w:szCs w:val="24"/>
        </w:rPr>
        <w:t xml:space="preserve"> (I17)</w:t>
      </w:r>
      <w:r w:rsidRPr="00EB2D5F">
        <w:rPr>
          <w:rFonts w:ascii="Times New Roman" w:hAnsi="Times New Roman" w:cs="Times New Roman"/>
          <w:sz w:val="24"/>
          <w:szCs w:val="24"/>
        </w:rPr>
        <w:t xml:space="preserve"> and ‘public bodies are shy about </w:t>
      </w:r>
      <w:r w:rsidRPr="00FB74CA">
        <w:rPr>
          <w:rFonts w:ascii="Times New Roman" w:hAnsi="Times New Roman" w:cs="Times New Roman"/>
          <w:sz w:val="24"/>
          <w:szCs w:val="24"/>
        </w:rPr>
        <w:t>coming out to meet the public’</w:t>
      </w:r>
      <w:r w:rsidR="00B77C07" w:rsidRPr="008B6361">
        <w:rPr>
          <w:rFonts w:ascii="Times New Roman" w:hAnsi="Times New Roman" w:cs="Times New Roman"/>
          <w:sz w:val="24"/>
          <w:szCs w:val="24"/>
        </w:rPr>
        <w:t xml:space="preserve"> (I3)</w:t>
      </w:r>
      <w:r w:rsidRPr="008B6361">
        <w:rPr>
          <w:rFonts w:ascii="Times New Roman" w:hAnsi="Times New Roman" w:cs="Times New Roman"/>
          <w:sz w:val="24"/>
          <w:szCs w:val="24"/>
        </w:rPr>
        <w:t xml:space="preserve">. Second, resource constraints were </w:t>
      </w:r>
      <w:r w:rsidRPr="008B6361">
        <w:rPr>
          <w:rFonts w:ascii="Times New Roman" w:hAnsi="Times New Roman" w:cs="Times New Roman"/>
          <w:sz w:val="24"/>
          <w:szCs w:val="24"/>
        </w:rPr>
        <w:lastRenderedPageBreak/>
        <w:t>identified as being a factor that would potentially impact these activities, with social media being raised as a solution. However, it was emphasised that such communication needed to b</w:t>
      </w:r>
      <w:r w:rsidRPr="00015EC5">
        <w:rPr>
          <w:rFonts w:ascii="Times New Roman" w:hAnsi="Times New Roman" w:cs="Times New Roman"/>
          <w:sz w:val="24"/>
          <w:szCs w:val="24"/>
        </w:rPr>
        <w:t xml:space="preserve">e clear and effective and not trivialize the message. </w:t>
      </w:r>
    </w:p>
    <w:p w14:paraId="07B9362D" w14:textId="77777777" w:rsidR="00D76E12" w:rsidRPr="00015EC5" w:rsidRDefault="00D76E12" w:rsidP="00EB2D5F">
      <w:pPr>
        <w:autoSpaceDE w:val="0"/>
        <w:autoSpaceDN w:val="0"/>
        <w:adjustRightInd w:val="0"/>
        <w:spacing w:after="0" w:line="360" w:lineRule="auto"/>
        <w:jc w:val="both"/>
        <w:rPr>
          <w:rFonts w:ascii="Times New Roman" w:hAnsi="Times New Roman" w:cs="Times New Roman"/>
          <w:sz w:val="24"/>
          <w:szCs w:val="24"/>
        </w:rPr>
      </w:pPr>
    </w:p>
    <w:p w14:paraId="6C54576C" w14:textId="63406E9B" w:rsidR="00D76E12" w:rsidRPr="00015EC5" w:rsidRDefault="003D1CFA" w:rsidP="008B6361">
      <w:pPr>
        <w:spacing w:after="0" w:line="360" w:lineRule="auto"/>
        <w:jc w:val="both"/>
        <w:rPr>
          <w:rFonts w:ascii="Times New Roman" w:hAnsi="Times New Roman" w:cs="Times New Roman"/>
          <w:sz w:val="24"/>
          <w:szCs w:val="24"/>
        </w:rPr>
      </w:pPr>
      <w:r w:rsidRPr="00015EC5">
        <w:rPr>
          <w:rFonts w:ascii="Times New Roman" w:hAnsi="Times New Roman" w:cs="Times New Roman"/>
          <w:b/>
          <w:sz w:val="24"/>
          <w:szCs w:val="24"/>
        </w:rPr>
        <w:t>Public appointments</w:t>
      </w:r>
    </w:p>
    <w:p w14:paraId="57DF2336" w14:textId="77777777" w:rsidR="00287B5C" w:rsidRDefault="00287B5C" w:rsidP="00015EC5">
      <w:pPr>
        <w:spacing w:after="0" w:line="360" w:lineRule="auto"/>
        <w:jc w:val="both"/>
        <w:rPr>
          <w:rFonts w:ascii="Times New Roman" w:hAnsi="Times New Roman" w:cs="Times New Roman"/>
          <w:sz w:val="24"/>
          <w:szCs w:val="24"/>
        </w:rPr>
      </w:pPr>
    </w:p>
    <w:p w14:paraId="7AAACE7B" w14:textId="475D0D97" w:rsidR="00D76E12" w:rsidRPr="00015EC5" w:rsidRDefault="00BE5937" w:rsidP="00015EC5">
      <w:pPr>
        <w:spacing w:after="0" w:line="360" w:lineRule="auto"/>
        <w:jc w:val="both"/>
        <w:rPr>
          <w:rFonts w:ascii="Times New Roman" w:hAnsi="Times New Roman" w:cs="Times New Roman"/>
          <w:sz w:val="24"/>
          <w:szCs w:val="24"/>
        </w:rPr>
      </w:pPr>
      <w:bookmarkStart w:id="3" w:name="_Hlk482260448"/>
      <w:r w:rsidRPr="00015EC5">
        <w:rPr>
          <w:rFonts w:ascii="Times New Roman" w:hAnsi="Times New Roman" w:cs="Times New Roman"/>
          <w:sz w:val="24"/>
          <w:szCs w:val="24"/>
        </w:rPr>
        <w:t xml:space="preserve">The </w:t>
      </w:r>
      <w:r w:rsidRPr="00D803FA">
        <w:rPr>
          <w:rFonts w:ascii="Times New Roman" w:hAnsi="Times New Roman" w:cs="Times New Roman"/>
          <w:sz w:val="24"/>
          <w:szCs w:val="24"/>
        </w:rPr>
        <w:t xml:space="preserve">Independent Commission on Good Governance in Public Services </w:t>
      </w:r>
      <w:r w:rsidRPr="0020584E">
        <w:rPr>
          <w:rFonts w:ascii="Times New Roman" w:hAnsi="Times New Roman" w:cs="Times New Roman"/>
          <w:sz w:val="24"/>
          <w:szCs w:val="24"/>
        </w:rPr>
        <w:t>(</w:t>
      </w:r>
      <w:r w:rsidRPr="00D803FA">
        <w:rPr>
          <w:rFonts w:ascii="Times New Roman" w:hAnsi="Times New Roman" w:cs="Times New Roman"/>
          <w:sz w:val="24"/>
          <w:szCs w:val="24"/>
        </w:rPr>
        <w:t>2004</w:t>
      </w:r>
      <w:r w:rsidRPr="0020584E">
        <w:rPr>
          <w:rFonts w:ascii="Times New Roman" w:hAnsi="Times New Roman" w:cs="Times New Roman"/>
          <w:sz w:val="24"/>
          <w:szCs w:val="24"/>
        </w:rPr>
        <w:t>),</w:t>
      </w:r>
      <w:r w:rsidRPr="00D803FA">
        <w:rPr>
          <w:rFonts w:ascii="Times New Roman" w:hAnsi="Times New Roman" w:cs="Times New Roman"/>
          <w:sz w:val="24"/>
          <w:szCs w:val="24"/>
        </w:rPr>
        <w:t xml:space="preserve"> </w:t>
      </w:r>
      <w:proofErr w:type="spellStart"/>
      <w:r w:rsidRPr="00D803FA">
        <w:rPr>
          <w:rFonts w:ascii="Times New Roman" w:hAnsi="Times New Roman" w:cs="Times New Roman"/>
          <w:sz w:val="24"/>
          <w:szCs w:val="24"/>
        </w:rPr>
        <w:t>Skelcher</w:t>
      </w:r>
      <w:proofErr w:type="spellEnd"/>
      <w:r w:rsidRPr="00D803FA">
        <w:rPr>
          <w:rFonts w:ascii="Times New Roman" w:hAnsi="Times New Roman" w:cs="Times New Roman"/>
          <w:sz w:val="24"/>
          <w:szCs w:val="24"/>
        </w:rPr>
        <w:t xml:space="preserve"> et al. </w:t>
      </w:r>
      <w:r w:rsidRPr="0020584E">
        <w:rPr>
          <w:rFonts w:ascii="Times New Roman" w:hAnsi="Times New Roman" w:cs="Times New Roman"/>
          <w:sz w:val="24"/>
          <w:szCs w:val="24"/>
        </w:rPr>
        <w:t>(</w:t>
      </w:r>
      <w:r w:rsidRPr="00D803FA">
        <w:rPr>
          <w:rFonts w:ascii="Times New Roman" w:hAnsi="Times New Roman" w:cs="Times New Roman"/>
          <w:sz w:val="24"/>
          <w:szCs w:val="24"/>
        </w:rPr>
        <w:t>2013</w:t>
      </w:r>
      <w:r w:rsidRPr="0020584E">
        <w:rPr>
          <w:rFonts w:ascii="Times New Roman" w:hAnsi="Times New Roman" w:cs="Times New Roman"/>
          <w:sz w:val="24"/>
          <w:szCs w:val="24"/>
        </w:rPr>
        <w:t>)</w:t>
      </w:r>
      <w:r w:rsidRPr="00D803FA">
        <w:rPr>
          <w:rFonts w:ascii="Times New Roman" w:hAnsi="Times New Roman" w:cs="Times New Roman"/>
          <w:sz w:val="24"/>
          <w:szCs w:val="24"/>
        </w:rPr>
        <w:t xml:space="preserve"> </w:t>
      </w:r>
      <w:r w:rsidRPr="0020584E">
        <w:rPr>
          <w:rFonts w:ascii="Times New Roman" w:hAnsi="Times New Roman" w:cs="Times New Roman"/>
          <w:sz w:val="24"/>
          <w:szCs w:val="24"/>
        </w:rPr>
        <w:t xml:space="preserve">and </w:t>
      </w:r>
      <w:proofErr w:type="spellStart"/>
      <w:r w:rsidR="00D76E12" w:rsidRPr="0020584E">
        <w:rPr>
          <w:rFonts w:ascii="Times New Roman" w:hAnsi="Times New Roman" w:cs="Times New Roman"/>
          <w:sz w:val="24"/>
          <w:szCs w:val="24"/>
        </w:rPr>
        <w:t>HoCPASC</w:t>
      </w:r>
      <w:proofErr w:type="spellEnd"/>
      <w:r w:rsidR="00D76E12" w:rsidRPr="0020584E">
        <w:rPr>
          <w:rFonts w:ascii="Times New Roman" w:hAnsi="Times New Roman" w:cs="Times New Roman"/>
          <w:sz w:val="24"/>
          <w:szCs w:val="24"/>
        </w:rPr>
        <w:t xml:space="preserve"> (2014) </w:t>
      </w:r>
      <w:r w:rsidRPr="0020584E">
        <w:rPr>
          <w:rFonts w:ascii="Times New Roman" w:hAnsi="Times New Roman" w:cs="Times New Roman"/>
          <w:sz w:val="24"/>
          <w:szCs w:val="24"/>
        </w:rPr>
        <w:t xml:space="preserve">highlight </w:t>
      </w:r>
      <w:r w:rsidRPr="00D803FA">
        <w:rPr>
          <w:rFonts w:ascii="Times New Roman" w:hAnsi="Times New Roman" w:cs="Times New Roman"/>
          <w:sz w:val="24"/>
          <w:szCs w:val="24"/>
        </w:rPr>
        <w:t>the importance of</w:t>
      </w:r>
      <w:r w:rsidR="00D76E12" w:rsidRPr="00D803FA">
        <w:rPr>
          <w:rFonts w:ascii="Times New Roman" w:hAnsi="Times New Roman" w:cs="Times New Roman"/>
          <w:sz w:val="24"/>
          <w:szCs w:val="24"/>
        </w:rPr>
        <w:t xml:space="preserve"> </w:t>
      </w:r>
      <w:r w:rsidRPr="00EB2D5F">
        <w:rPr>
          <w:rFonts w:ascii="Times New Roman" w:hAnsi="Times New Roman" w:cs="Times New Roman"/>
          <w:sz w:val="24"/>
          <w:szCs w:val="24"/>
        </w:rPr>
        <w:t xml:space="preserve">transparent </w:t>
      </w:r>
      <w:r w:rsidR="00D76E12" w:rsidRPr="00EB2D5F">
        <w:rPr>
          <w:rFonts w:ascii="Times New Roman" w:hAnsi="Times New Roman" w:cs="Times New Roman"/>
          <w:sz w:val="24"/>
          <w:szCs w:val="24"/>
        </w:rPr>
        <w:t>public appointments</w:t>
      </w:r>
      <w:r w:rsidRPr="00EB2D5F">
        <w:rPr>
          <w:rFonts w:ascii="Times New Roman" w:hAnsi="Times New Roman" w:cs="Times New Roman"/>
          <w:sz w:val="24"/>
          <w:szCs w:val="24"/>
        </w:rPr>
        <w:t xml:space="preserve"> in the context of good governance, with succession planning being </w:t>
      </w:r>
      <w:r w:rsidRPr="00FB74CA">
        <w:rPr>
          <w:rFonts w:ascii="Times New Roman" w:hAnsi="Times New Roman" w:cs="Times New Roman"/>
          <w:sz w:val="24"/>
          <w:szCs w:val="24"/>
        </w:rPr>
        <w:t>a component of this (</w:t>
      </w:r>
      <w:r w:rsidRPr="008B6361">
        <w:rPr>
          <w:rFonts w:ascii="Times New Roman" w:hAnsi="Times New Roman" w:cs="Times New Roman"/>
          <w:sz w:val="24"/>
          <w:szCs w:val="24"/>
        </w:rPr>
        <w:t>Public Sector Commission 201</w:t>
      </w:r>
      <w:r w:rsidR="00243E65" w:rsidRPr="008B6361">
        <w:rPr>
          <w:rFonts w:ascii="Times New Roman" w:hAnsi="Times New Roman" w:cs="Times New Roman"/>
          <w:sz w:val="24"/>
          <w:szCs w:val="24"/>
        </w:rPr>
        <w:t>6</w:t>
      </w:r>
      <w:r w:rsidRPr="008B6361">
        <w:rPr>
          <w:rFonts w:ascii="Times New Roman" w:hAnsi="Times New Roman" w:cs="Times New Roman"/>
          <w:sz w:val="24"/>
          <w:szCs w:val="24"/>
        </w:rPr>
        <w:t>). T</w:t>
      </w:r>
      <w:r w:rsidR="00D76E12" w:rsidRPr="008B6361">
        <w:rPr>
          <w:rFonts w:ascii="Times New Roman" w:hAnsi="Times New Roman" w:cs="Times New Roman"/>
          <w:sz w:val="24"/>
          <w:szCs w:val="24"/>
        </w:rPr>
        <w:t xml:space="preserve">he </w:t>
      </w:r>
      <w:r w:rsidRPr="00015EC5">
        <w:rPr>
          <w:rFonts w:ascii="Times New Roman" w:hAnsi="Times New Roman" w:cs="Times New Roman"/>
          <w:sz w:val="24"/>
          <w:szCs w:val="24"/>
        </w:rPr>
        <w:t xml:space="preserve">questionnaire </w:t>
      </w:r>
      <w:r w:rsidR="00D76E12" w:rsidRPr="00015EC5">
        <w:rPr>
          <w:rFonts w:ascii="Times New Roman" w:hAnsi="Times New Roman" w:cs="Times New Roman"/>
          <w:sz w:val="24"/>
          <w:szCs w:val="24"/>
        </w:rPr>
        <w:t>results confirm</w:t>
      </w:r>
      <w:r w:rsidRPr="00015EC5">
        <w:rPr>
          <w:rFonts w:ascii="Times New Roman" w:hAnsi="Times New Roman" w:cs="Times New Roman"/>
          <w:sz w:val="24"/>
          <w:szCs w:val="24"/>
        </w:rPr>
        <w:t>ed</w:t>
      </w:r>
      <w:r w:rsidR="00D76E12" w:rsidRPr="00015EC5">
        <w:rPr>
          <w:rFonts w:ascii="Times New Roman" w:hAnsi="Times New Roman" w:cs="Times New Roman"/>
          <w:sz w:val="24"/>
          <w:szCs w:val="24"/>
        </w:rPr>
        <w:t xml:space="preserve"> that succession planning </w:t>
      </w:r>
      <w:r w:rsidRPr="00015EC5">
        <w:rPr>
          <w:rFonts w:ascii="Times New Roman" w:hAnsi="Times New Roman" w:cs="Times New Roman"/>
          <w:sz w:val="24"/>
          <w:szCs w:val="24"/>
        </w:rPr>
        <w:t>wa</w:t>
      </w:r>
      <w:r w:rsidR="00D76E12" w:rsidRPr="00015EC5">
        <w:rPr>
          <w:rFonts w:ascii="Times New Roman" w:hAnsi="Times New Roman" w:cs="Times New Roman"/>
          <w:sz w:val="24"/>
          <w:szCs w:val="24"/>
        </w:rPr>
        <w:t xml:space="preserve">s seen as one of the least effective board behaviours, possibly due to the nature of the role and low, or non-existent, remuneration. </w:t>
      </w:r>
      <w:bookmarkEnd w:id="3"/>
      <w:r w:rsidR="00D76E12" w:rsidRPr="00015EC5">
        <w:rPr>
          <w:rFonts w:ascii="Times New Roman" w:hAnsi="Times New Roman" w:cs="Times New Roman"/>
          <w:sz w:val="24"/>
          <w:szCs w:val="24"/>
        </w:rPr>
        <w:t>Moreover, given the time commitment required, vacancies tend to attract a certain type of applicant, mainly semi-retired, professional males. This also led to similar individuals sitting on multiple boards, which could result in conflicts of interest. However, whilst several interviewees would like to see younger board members, such people needed the appropriate skills and competences to fulfil the role (e.g. dealing with multi-million pound budgets). One interviewee referred to this as ‘diversity within reason’</w:t>
      </w:r>
      <w:r w:rsidR="00146CE1" w:rsidRPr="00015EC5">
        <w:rPr>
          <w:rFonts w:ascii="Times New Roman" w:hAnsi="Times New Roman" w:cs="Times New Roman"/>
          <w:sz w:val="24"/>
          <w:szCs w:val="24"/>
        </w:rPr>
        <w:t xml:space="preserve"> (I6)</w:t>
      </w:r>
      <w:r w:rsidR="00D76E12" w:rsidRPr="00015EC5">
        <w:rPr>
          <w:rFonts w:ascii="Times New Roman" w:hAnsi="Times New Roman" w:cs="Times New Roman"/>
          <w:sz w:val="24"/>
          <w:szCs w:val="24"/>
        </w:rPr>
        <w:t>. Another factor that could be deterring potential candidates is the media scrutiny that public sector officials can attract, possibly due to local broadcasters and newspapers having a fairly narrow scope for material. Additionally, the public appointments system was seen as process heavy and lacking transparency, with NDPBs preferring to:</w:t>
      </w:r>
    </w:p>
    <w:p w14:paraId="05C03574" w14:textId="77777777" w:rsidR="00D76E12" w:rsidRPr="00015EC5" w:rsidRDefault="00D76E12" w:rsidP="00015EC5">
      <w:pPr>
        <w:pStyle w:val="Default"/>
        <w:spacing w:line="360" w:lineRule="auto"/>
        <w:ind w:left="720"/>
        <w:jc w:val="both"/>
        <w:rPr>
          <w:rFonts w:ascii="Times New Roman" w:hAnsi="Times New Roman" w:cs="Times New Roman"/>
          <w:color w:val="auto"/>
        </w:rPr>
      </w:pPr>
      <w:r w:rsidRPr="00015EC5">
        <w:rPr>
          <w:rFonts w:ascii="Times New Roman" w:hAnsi="Times New Roman" w:cs="Times New Roman"/>
          <w:i/>
          <w:color w:val="auto"/>
        </w:rPr>
        <w:t>‘appoint the wrong person with the right process than the right person with the wrong process’.</w:t>
      </w:r>
      <w:r w:rsidR="00146CE1" w:rsidRPr="00015EC5">
        <w:rPr>
          <w:rFonts w:ascii="Times New Roman" w:hAnsi="Times New Roman" w:cs="Times New Roman"/>
          <w:color w:val="auto"/>
        </w:rPr>
        <w:t xml:space="preserve"> (I13)</w:t>
      </w:r>
    </w:p>
    <w:p w14:paraId="39CF64DA" w14:textId="60AF3EDA" w:rsidR="00D76E12" w:rsidRPr="00015EC5" w:rsidRDefault="00D76E12" w:rsidP="00D803FA">
      <w:pPr>
        <w:spacing w:after="0" w:line="360" w:lineRule="auto"/>
        <w:jc w:val="both"/>
        <w:rPr>
          <w:rFonts w:ascii="Times New Roman" w:hAnsi="Times New Roman" w:cs="Times New Roman"/>
          <w:sz w:val="24"/>
          <w:szCs w:val="24"/>
        </w:rPr>
      </w:pPr>
      <w:r w:rsidRPr="00D803FA">
        <w:rPr>
          <w:rFonts w:ascii="Times New Roman" w:hAnsi="Times New Roman" w:cs="Times New Roman"/>
          <w:sz w:val="24"/>
          <w:szCs w:val="24"/>
        </w:rPr>
        <w:t xml:space="preserve">Therefore, </w:t>
      </w:r>
      <w:r w:rsidR="00A70012" w:rsidRPr="00D803FA">
        <w:rPr>
          <w:rFonts w:ascii="Times New Roman" w:hAnsi="Times New Roman" w:cs="Times New Roman"/>
          <w:sz w:val="24"/>
          <w:szCs w:val="24"/>
        </w:rPr>
        <w:t>in</w:t>
      </w:r>
      <w:r w:rsidR="00D803FA">
        <w:rPr>
          <w:rFonts w:ascii="Times New Roman" w:hAnsi="Times New Roman" w:cs="Times New Roman"/>
          <w:sz w:val="24"/>
          <w:szCs w:val="24"/>
        </w:rPr>
        <w:t>t</w:t>
      </w:r>
      <w:r w:rsidR="00A70012" w:rsidRPr="00D803FA">
        <w:rPr>
          <w:rFonts w:ascii="Times New Roman" w:hAnsi="Times New Roman" w:cs="Times New Roman"/>
          <w:sz w:val="24"/>
          <w:szCs w:val="24"/>
        </w:rPr>
        <w:t>erviewees</w:t>
      </w:r>
      <w:r w:rsidRPr="00D803FA">
        <w:rPr>
          <w:rFonts w:ascii="Times New Roman" w:hAnsi="Times New Roman" w:cs="Times New Roman"/>
          <w:sz w:val="24"/>
          <w:szCs w:val="24"/>
        </w:rPr>
        <w:t xml:space="preserve"> believed that it was necessary to expand both the diversity and skill sets of board members and streamline the public appointments system. C</w:t>
      </w:r>
      <w:r w:rsidRPr="00EB2D5F">
        <w:rPr>
          <w:rFonts w:ascii="Times New Roman" w:hAnsi="Times New Roman" w:cs="Times New Roman"/>
          <w:sz w:val="24"/>
          <w:szCs w:val="24"/>
        </w:rPr>
        <w:t xml:space="preserve">onsequently, the concerns of </w:t>
      </w:r>
      <w:proofErr w:type="spellStart"/>
      <w:r w:rsidRPr="00EB2D5F">
        <w:rPr>
          <w:rFonts w:ascii="Times New Roman" w:hAnsi="Times New Roman" w:cs="Times New Roman"/>
          <w:sz w:val="24"/>
          <w:szCs w:val="24"/>
        </w:rPr>
        <w:t>HoCPASC</w:t>
      </w:r>
      <w:proofErr w:type="spellEnd"/>
      <w:r w:rsidRPr="00EB2D5F">
        <w:rPr>
          <w:rFonts w:ascii="Times New Roman" w:hAnsi="Times New Roman" w:cs="Times New Roman"/>
          <w:sz w:val="24"/>
          <w:szCs w:val="24"/>
        </w:rPr>
        <w:t xml:space="preserve"> (2014) that public appointments are not sufficiently transparent, representative or accountable appear justified. In April 2016, the NI Executive agreed targets for the equal representation of men and women on NDPB boar</w:t>
      </w:r>
      <w:r w:rsidRPr="00FB74CA">
        <w:rPr>
          <w:rFonts w:ascii="Times New Roman" w:hAnsi="Times New Roman" w:cs="Times New Roman"/>
          <w:sz w:val="24"/>
          <w:szCs w:val="24"/>
        </w:rPr>
        <w:t xml:space="preserve">ds, with an equal number of women as </w:t>
      </w:r>
      <w:r w:rsidR="00EA353A" w:rsidRPr="008B6361">
        <w:rPr>
          <w:rFonts w:ascii="Times New Roman" w:hAnsi="Times New Roman" w:cs="Times New Roman"/>
          <w:sz w:val="24"/>
          <w:szCs w:val="24"/>
        </w:rPr>
        <w:t>C</w:t>
      </w:r>
      <w:r w:rsidRPr="008B6361">
        <w:rPr>
          <w:rFonts w:ascii="Times New Roman" w:hAnsi="Times New Roman" w:cs="Times New Roman"/>
          <w:sz w:val="24"/>
          <w:szCs w:val="24"/>
        </w:rPr>
        <w:t>hairs by 2020/21 (Commissioner for Public Appointments Northern Ireland 2016). Thus, in some areas of social diversity there are encouraging signs; however it was acknowledged that more work needs to be done to make po</w:t>
      </w:r>
      <w:r w:rsidRPr="00015EC5">
        <w:rPr>
          <w:rFonts w:ascii="Times New Roman" w:hAnsi="Times New Roman" w:cs="Times New Roman"/>
          <w:sz w:val="24"/>
          <w:szCs w:val="24"/>
        </w:rPr>
        <w:t xml:space="preserve">sts more attractive to all members of society and remove redundant or superfluous processes from application procedures. The use of informal leaders to smooth the process of strategic succession planning on the board was proposed (e.g. a Deputy Chair or another individual supportive of the group as a whole), </w:t>
      </w:r>
      <w:r w:rsidRPr="00015EC5">
        <w:rPr>
          <w:rFonts w:ascii="Times New Roman" w:hAnsi="Times New Roman" w:cs="Times New Roman"/>
          <w:sz w:val="24"/>
          <w:szCs w:val="24"/>
        </w:rPr>
        <w:lastRenderedPageBreak/>
        <w:t xml:space="preserve">with staggered, and longer, terms of appointment also being seen as ways of improving the current system. </w:t>
      </w:r>
    </w:p>
    <w:p w14:paraId="645CE47F" w14:textId="77777777" w:rsidR="00D76E12" w:rsidRPr="00015EC5" w:rsidRDefault="00D76E12" w:rsidP="00EB2D5F">
      <w:pPr>
        <w:autoSpaceDE w:val="0"/>
        <w:autoSpaceDN w:val="0"/>
        <w:adjustRightInd w:val="0"/>
        <w:spacing w:after="0" w:line="360" w:lineRule="auto"/>
        <w:jc w:val="both"/>
        <w:rPr>
          <w:rFonts w:ascii="Times New Roman" w:hAnsi="Times New Roman" w:cs="Times New Roman"/>
          <w:sz w:val="24"/>
          <w:szCs w:val="24"/>
        </w:rPr>
      </w:pPr>
      <w:r w:rsidRPr="00015EC5">
        <w:rPr>
          <w:rFonts w:ascii="Times New Roman" w:hAnsi="Times New Roman" w:cs="Times New Roman"/>
          <w:sz w:val="24"/>
          <w:szCs w:val="24"/>
        </w:rPr>
        <w:t xml:space="preserve"> </w:t>
      </w:r>
    </w:p>
    <w:p w14:paraId="5AB6CC27" w14:textId="77777777" w:rsidR="00D76E12" w:rsidRPr="00015EC5" w:rsidRDefault="00D76E12" w:rsidP="00FB74CA">
      <w:pPr>
        <w:spacing w:after="0" w:line="360" w:lineRule="auto"/>
        <w:jc w:val="both"/>
        <w:rPr>
          <w:rFonts w:ascii="Times New Roman" w:hAnsi="Times New Roman" w:cs="Times New Roman"/>
          <w:b/>
          <w:sz w:val="24"/>
          <w:szCs w:val="24"/>
        </w:rPr>
      </w:pPr>
      <w:r w:rsidRPr="00015EC5">
        <w:rPr>
          <w:rFonts w:ascii="Times New Roman" w:hAnsi="Times New Roman" w:cs="Times New Roman"/>
          <w:b/>
          <w:sz w:val="24"/>
          <w:szCs w:val="24"/>
        </w:rPr>
        <w:t>DISCUSSION AND CONCLUSIONS</w:t>
      </w:r>
    </w:p>
    <w:p w14:paraId="31C2E336" w14:textId="77777777" w:rsidR="00D76E12" w:rsidRPr="00015EC5" w:rsidRDefault="00D76E12" w:rsidP="008B6361">
      <w:pPr>
        <w:spacing w:after="0" w:line="360" w:lineRule="auto"/>
        <w:jc w:val="both"/>
        <w:rPr>
          <w:rFonts w:ascii="Times New Roman" w:hAnsi="Times New Roman" w:cs="Times New Roman"/>
          <w:sz w:val="24"/>
          <w:szCs w:val="24"/>
        </w:rPr>
      </w:pPr>
    </w:p>
    <w:p w14:paraId="1C936FCD" w14:textId="16446662" w:rsidR="00D76E12" w:rsidRPr="00015EC5" w:rsidRDefault="00D76E12" w:rsidP="00015EC5">
      <w:pPr>
        <w:spacing w:after="0" w:line="360" w:lineRule="auto"/>
        <w:jc w:val="both"/>
        <w:rPr>
          <w:rFonts w:ascii="Times New Roman" w:hAnsi="Times New Roman" w:cs="Times New Roman"/>
          <w:sz w:val="24"/>
          <w:szCs w:val="24"/>
        </w:rPr>
      </w:pPr>
      <w:r w:rsidRPr="00015EC5">
        <w:rPr>
          <w:rFonts w:ascii="Times New Roman" w:hAnsi="Times New Roman" w:cs="Times New Roman"/>
          <w:sz w:val="24"/>
          <w:szCs w:val="24"/>
        </w:rPr>
        <w:t xml:space="preserve">This paper presents the results of a survey of, and interviews with, members of NI NDPB boards. Overall, the findings indicate that although there was a general belief that these bodies are effective in discharging their accountability duties, there remain areas where this could be enhanced. These include: balancing compliance with outcomes; relationships with sponsoring departments and service users; and </w:t>
      </w:r>
      <w:r w:rsidR="003D1CFA" w:rsidRPr="00015EC5">
        <w:rPr>
          <w:rFonts w:ascii="Times New Roman" w:hAnsi="Times New Roman" w:cs="Times New Roman"/>
          <w:sz w:val="24"/>
          <w:szCs w:val="24"/>
        </w:rPr>
        <w:t>public appointments</w:t>
      </w:r>
      <w:r w:rsidRPr="00015EC5">
        <w:rPr>
          <w:rFonts w:ascii="Times New Roman" w:hAnsi="Times New Roman" w:cs="Times New Roman"/>
          <w:sz w:val="24"/>
          <w:szCs w:val="24"/>
        </w:rPr>
        <w:t>.</w:t>
      </w:r>
    </w:p>
    <w:p w14:paraId="5F34D580" w14:textId="77777777" w:rsidR="00D76E12" w:rsidRPr="00015EC5" w:rsidRDefault="00D76E12" w:rsidP="00015EC5">
      <w:pPr>
        <w:spacing w:after="0" w:line="360" w:lineRule="auto"/>
        <w:ind w:firstLine="426"/>
        <w:jc w:val="both"/>
        <w:rPr>
          <w:rFonts w:ascii="Times New Roman" w:hAnsi="Times New Roman" w:cs="Times New Roman"/>
          <w:sz w:val="24"/>
          <w:szCs w:val="24"/>
        </w:rPr>
      </w:pPr>
      <w:r w:rsidRPr="00015EC5">
        <w:rPr>
          <w:rFonts w:ascii="Times New Roman" w:hAnsi="Times New Roman" w:cs="Times New Roman"/>
          <w:sz w:val="24"/>
          <w:szCs w:val="24"/>
        </w:rPr>
        <w:t xml:space="preserve">The governance system was viewed as process-heavy and following a process was perceived as being more important than the outcome. Therefore, it is recommended that boards embrace modes of working that go beyond simple compliance issues, as is arguably the case with much governance guidance. For example, the Professional Accountants in Business Committee (2004) promotes a holistic view of governance that considers two dimensions: conformance, encompassing what would be commonly recognised as governance issues; and performance, to help the board make strategic decisions and understand its risk appetite and key performance drivers. It is contended that this approach will facilitate boards in becoming less embroiled in process. </w:t>
      </w:r>
    </w:p>
    <w:p w14:paraId="08EF7B07" w14:textId="77777777" w:rsidR="00D76E12" w:rsidRPr="00015EC5" w:rsidRDefault="00D76E12" w:rsidP="00015EC5">
      <w:pPr>
        <w:spacing w:after="0" w:line="360" w:lineRule="auto"/>
        <w:ind w:firstLine="426"/>
        <w:jc w:val="both"/>
        <w:rPr>
          <w:rFonts w:ascii="Times New Roman" w:hAnsi="Times New Roman" w:cs="Times New Roman"/>
          <w:sz w:val="24"/>
          <w:szCs w:val="24"/>
        </w:rPr>
      </w:pPr>
      <w:r w:rsidRPr="00015EC5">
        <w:rPr>
          <w:rFonts w:ascii="Times New Roman" w:hAnsi="Times New Roman" w:cs="Times New Roman"/>
          <w:sz w:val="24"/>
          <w:szCs w:val="24"/>
        </w:rPr>
        <w:t xml:space="preserve">With respect to relationships with sponsoring departments and service users, which Broadbent, Dietrich, and Laughlin (1996) refer to as upward and downward stakeholders respectively, NDPBs should have an externally-focussed notion of accountability towards the former and a felt responsibility towards the latter (Fry 1995; Gregory 1995). Although, according to Fry (1995) balancing both stances has the potential to create tension. The impression gained from the survey and interviews was a sense of frustration at how these relationships operated in practice. With the sponsoring departments this frustration was due to what was typically referred to as a lack of an arm’s-length relationship, whilst with users it arose from not being able to engage as effectively as desired. Indeed, there was no suggestion of strategically utilizing a discourse, self-promotion or impression management (Chen </w:t>
      </w:r>
      <w:r w:rsidRPr="00015EC5">
        <w:rPr>
          <w:rFonts w:ascii="Times New Roman" w:hAnsi="Times New Roman" w:cs="Times New Roman"/>
          <w:iCs/>
          <w:sz w:val="24"/>
          <w:szCs w:val="24"/>
        </w:rPr>
        <w:t xml:space="preserve">and Roberts 2010; </w:t>
      </w:r>
      <w:proofErr w:type="spellStart"/>
      <w:r w:rsidRPr="00015EC5">
        <w:rPr>
          <w:rFonts w:ascii="Times New Roman" w:hAnsi="Times New Roman" w:cs="Times New Roman"/>
          <w:iCs/>
          <w:sz w:val="24"/>
          <w:szCs w:val="24"/>
        </w:rPr>
        <w:t>Beelitz</w:t>
      </w:r>
      <w:proofErr w:type="spellEnd"/>
      <w:r w:rsidRPr="00015EC5">
        <w:rPr>
          <w:rFonts w:ascii="Times New Roman" w:hAnsi="Times New Roman" w:cs="Times New Roman"/>
          <w:iCs/>
          <w:sz w:val="24"/>
          <w:szCs w:val="24"/>
        </w:rPr>
        <w:t xml:space="preserve"> and </w:t>
      </w:r>
      <w:proofErr w:type="spellStart"/>
      <w:r w:rsidRPr="00015EC5">
        <w:rPr>
          <w:rFonts w:ascii="Times New Roman" w:hAnsi="Times New Roman" w:cs="Times New Roman"/>
          <w:iCs/>
          <w:sz w:val="24"/>
          <w:szCs w:val="24"/>
        </w:rPr>
        <w:t>Merkl</w:t>
      </w:r>
      <w:proofErr w:type="spellEnd"/>
      <w:r w:rsidRPr="00015EC5">
        <w:rPr>
          <w:rFonts w:ascii="Times New Roman" w:hAnsi="Times New Roman" w:cs="Times New Roman"/>
          <w:iCs/>
          <w:sz w:val="24"/>
          <w:szCs w:val="24"/>
        </w:rPr>
        <w:t>-Davies 2012)</w:t>
      </w:r>
      <w:r w:rsidRPr="00015EC5">
        <w:rPr>
          <w:rFonts w:ascii="Times New Roman" w:hAnsi="Times New Roman" w:cs="Times New Roman"/>
          <w:sz w:val="24"/>
          <w:szCs w:val="24"/>
        </w:rPr>
        <w:t xml:space="preserve">. Therefore, although NDPBs were keen to increase their transparency there was a feeling that communication with users could be improved. One way of enhancing the relationship with the sponsoring department would be for the NICS to undertake a review of engagement processes to ensure consistency. Moreover, communication processes between the NICS and public bodies need to be </w:t>
      </w:r>
      <w:r w:rsidRPr="00015EC5">
        <w:rPr>
          <w:rFonts w:ascii="Times New Roman" w:hAnsi="Times New Roman" w:cs="Times New Roman"/>
          <w:sz w:val="24"/>
          <w:szCs w:val="24"/>
        </w:rPr>
        <w:lastRenderedPageBreak/>
        <w:t xml:space="preserve">enhanced, particularly with regard to excessive information requests, so that the ability of the NDBP to fulfil its role is unhindered. Thus, a move away from what Roberts (1991) refers to as a hierarchical form of accountability to one more akin to socialising could free board members to devote more time to their core activities. As NI government departments have recently been restructured and reduced from twelve to nine, this provides an opportunity for a more consistent approach to their relationships with their NDPBs in order that the latter are treated more like ALBs. With regard to improving communication and thereby relationships with users, particularly in a time of austerity, greater use of social media and other interactive web-based tools could assist, without being seen as a waste of resources. This could lead to more consultation and user involvement in decision-making processes, which according to Laughlin (1996) is a form of communal accountability. </w:t>
      </w:r>
    </w:p>
    <w:p w14:paraId="664F61C1" w14:textId="1F67927C" w:rsidR="00D76E12" w:rsidRPr="00015EC5" w:rsidRDefault="00D76E12" w:rsidP="00015EC5">
      <w:pPr>
        <w:spacing w:after="0" w:line="360" w:lineRule="auto"/>
        <w:ind w:firstLine="426"/>
        <w:jc w:val="both"/>
        <w:rPr>
          <w:rFonts w:ascii="Times New Roman" w:hAnsi="Times New Roman" w:cs="Times New Roman"/>
          <w:sz w:val="24"/>
          <w:szCs w:val="24"/>
        </w:rPr>
      </w:pPr>
      <w:r w:rsidRPr="00015EC5">
        <w:rPr>
          <w:rFonts w:ascii="Times New Roman" w:hAnsi="Times New Roman" w:cs="Times New Roman"/>
          <w:sz w:val="24"/>
          <w:szCs w:val="24"/>
        </w:rPr>
        <w:t xml:space="preserve">Finally, with regard to </w:t>
      </w:r>
      <w:r w:rsidR="003D1CFA" w:rsidRPr="00015EC5">
        <w:rPr>
          <w:rFonts w:ascii="Times New Roman" w:hAnsi="Times New Roman" w:cs="Times New Roman"/>
          <w:sz w:val="24"/>
          <w:szCs w:val="24"/>
        </w:rPr>
        <w:t>public appointments</w:t>
      </w:r>
      <w:r w:rsidRPr="00015EC5">
        <w:rPr>
          <w:rFonts w:ascii="Times New Roman" w:hAnsi="Times New Roman" w:cs="Times New Roman"/>
          <w:sz w:val="24"/>
          <w:szCs w:val="24"/>
        </w:rPr>
        <w:t>, the recently announced targets for female appoint</w:t>
      </w:r>
      <w:r w:rsidR="005F2EB0">
        <w:rPr>
          <w:rFonts w:ascii="Times New Roman" w:hAnsi="Times New Roman" w:cs="Times New Roman"/>
          <w:sz w:val="24"/>
          <w:szCs w:val="24"/>
        </w:rPr>
        <w:t>ee</w:t>
      </w:r>
      <w:r w:rsidRPr="00015EC5">
        <w:rPr>
          <w:rFonts w:ascii="Times New Roman" w:hAnsi="Times New Roman" w:cs="Times New Roman"/>
          <w:sz w:val="24"/>
          <w:szCs w:val="24"/>
        </w:rPr>
        <w:t>s will address some of the social diversity issues of NDPB boards; however other barriers still need to be overcome to make the process fully transparent and seen as open to a wider pool of applicants.</w:t>
      </w:r>
    </w:p>
    <w:p w14:paraId="0E661B62" w14:textId="641B4474" w:rsidR="00D76E12" w:rsidRPr="00015EC5" w:rsidRDefault="00D76E12" w:rsidP="00015EC5">
      <w:pPr>
        <w:spacing w:after="0" w:line="360" w:lineRule="auto"/>
        <w:ind w:firstLine="426"/>
        <w:jc w:val="both"/>
        <w:rPr>
          <w:rFonts w:ascii="Times New Roman" w:hAnsi="Times New Roman" w:cs="Times New Roman"/>
          <w:sz w:val="24"/>
          <w:szCs w:val="24"/>
        </w:rPr>
      </w:pPr>
      <w:r w:rsidRPr="00015EC5">
        <w:rPr>
          <w:rFonts w:ascii="Times New Roman" w:hAnsi="Times New Roman" w:cs="Times New Roman"/>
          <w:sz w:val="24"/>
          <w:szCs w:val="24"/>
        </w:rPr>
        <w:t>The austerity that continues to impinge on the budgets of NDPBs has clearly had an adverse impact on their activities; however, there is much that could still be done to enhance their accountability. In this regard, research that compares the board practices of NDPBs in NI with those of other UK jurisdictions could lead to more sharing of best practice, as would a move away from the silo mentality that often beleaguers public sector organizations. As this paper only focusses on two stakeholders</w:t>
      </w:r>
      <w:r w:rsidR="00CF6777" w:rsidRPr="00015EC5">
        <w:rPr>
          <w:rFonts w:ascii="Times New Roman" w:hAnsi="Times New Roman" w:cs="Times New Roman"/>
          <w:sz w:val="24"/>
          <w:szCs w:val="24"/>
        </w:rPr>
        <w:t xml:space="preserve"> from the NDPB’s perspective</w:t>
      </w:r>
      <w:r w:rsidRPr="00015EC5">
        <w:rPr>
          <w:rFonts w:ascii="Times New Roman" w:hAnsi="Times New Roman" w:cs="Times New Roman"/>
          <w:sz w:val="24"/>
          <w:szCs w:val="24"/>
        </w:rPr>
        <w:t xml:space="preserve">, the sponsoring department and the user, future research could consider a wider range and ascertain whether, as suggested by Mitchell, </w:t>
      </w:r>
      <w:proofErr w:type="spellStart"/>
      <w:r w:rsidRPr="00015EC5">
        <w:rPr>
          <w:rFonts w:ascii="Times New Roman" w:hAnsi="Times New Roman" w:cs="Times New Roman"/>
          <w:sz w:val="24"/>
          <w:szCs w:val="24"/>
        </w:rPr>
        <w:t>Agle</w:t>
      </w:r>
      <w:proofErr w:type="spellEnd"/>
      <w:r w:rsidRPr="00015EC5">
        <w:rPr>
          <w:rFonts w:ascii="Times New Roman" w:hAnsi="Times New Roman" w:cs="Times New Roman"/>
          <w:sz w:val="24"/>
          <w:szCs w:val="24"/>
        </w:rPr>
        <w:t xml:space="preserve"> and Wood (1997), a ranking of competing s</w:t>
      </w:r>
      <w:r w:rsidR="00372E77" w:rsidRPr="00015EC5">
        <w:rPr>
          <w:rFonts w:ascii="Times New Roman" w:hAnsi="Times New Roman" w:cs="Times New Roman"/>
          <w:sz w:val="24"/>
          <w:szCs w:val="24"/>
        </w:rPr>
        <w:t>takeholder claims is conducted. Therefore, such research could address which groups or individuals are considered stakeholders, what taxonomies, if any, NDPBs use to categorize these stakeholders, how do senior management deal with competing stakeholder demands and how is the dynamic nature of stakeholders dealt with, i.e. do senior management take a proactive or reactive approach?</w:t>
      </w:r>
      <w:r w:rsidR="00CF6777" w:rsidRPr="00015EC5">
        <w:rPr>
          <w:rFonts w:ascii="Times New Roman" w:hAnsi="Times New Roman" w:cs="Times New Roman"/>
          <w:sz w:val="24"/>
          <w:szCs w:val="24"/>
        </w:rPr>
        <w:t xml:space="preserve"> Moreover, the views of the sponsoring department and users could also be sought in order to ascertain if they concur with the assessment provided by NDPBs regarding the latter’s discharge of accountability. </w:t>
      </w:r>
    </w:p>
    <w:p w14:paraId="2FFB85F3" w14:textId="77777777" w:rsidR="008902D7" w:rsidRPr="00015EC5" w:rsidRDefault="008902D7" w:rsidP="00015EC5">
      <w:pPr>
        <w:spacing w:after="0" w:line="360" w:lineRule="auto"/>
        <w:rPr>
          <w:rFonts w:ascii="Times New Roman" w:hAnsi="Times New Roman" w:cs="Times New Roman"/>
          <w:b/>
          <w:sz w:val="24"/>
          <w:szCs w:val="24"/>
        </w:rPr>
      </w:pPr>
      <w:r w:rsidRPr="00015EC5">
        <w:rPr>
          <w:rFonts w:ascii="Times New Roman" w:hAnsi="Times New Roman" w:cs="Times New Roman"/>
          <w:b/>
          <w:sz w:val="24"/>
          <w:szCs w:val="24"/>
        </w:rPr>
        <w:br w:type="page"/>
      </w:r>
    </w:p>
    <w:p w14:paraId="59D1DACF" w14:textId="282BB640" w:rsidR="00D76E12" w:rsidRPr="00015EC5" w:rsidRDefault="00D76E12" w:rsidP="00015EC5">
      <w:pPr>
        <w:spacing w:after="0" w:line="360" w:lineRule="auto"/>
        <w:jc w:val="both"/>
        <w:rPr>
          <w:rFonts w:ascii="Times New Roman" w:hAnsi="Times New Roman" w:cs="Times New Roman"/>
          <w:b/>
          <w:sz w:val="24"/>
          <w:szCs w:val="24"/>
        </w:rPr>
      </w:pPr>
      <w:r w:rsidRPr="00015EC5">
        <w:rPr>
          <w:rFonts w:ascii="Times New Roman" w:hAnsi="Times New Roman" w:cs="Times New Roman"/>
          <w:b/>
          <w:sz w:val="24"/>
          <w:szCs w:val="24"/>
        </w:rPr>
        <w:lastRenderedPageBreak/>
        <w:t>REFERENCES</w:t>
      </w:r>
    </w:p>
    <w:p w14:paraId="62C40C8A" w14:textId="77777777" w:rsidR="00D76E12" w:rsidRPr="00015EC5" w:rsidRDefault="00D76E12" w:rsidP="00015EC5">
      <w:pPr>
        <w:spacing w:after="0" w:line="360" w:lineRule="auto"/>
        <w:jc w:val="both"/>
        <w:rPr>
          <w:rFonts w:ascii="Times New Roman" w:hAnsi="Times New Roman" w:cs="Times New Roman"/>
          <w:sz w:val="24"/>
          <w:szCs w:val="24"/>
        </w:rPr>
      </w:pPr>
    </w:p>
    <w:p w14:paraId="16220611" w14:textId="77777777" w:rsidR="00D76E12" w:rsidRPr="00015EC5" w:rsidRDefault="00D76E12" w:rsidP="00015EC5">
      <w:pPr>
        <w:spacing w:after="0" w:line="360" w:lineRule="auto"/>
        <w:ind w:left="426" w:hanging="426"/>
        <w:jc w:val="both"/>
        <w:rPr>
          <w:rFonts w:ascii="Times New Roman" w:hAnsi="Times New Roman" w:cs="Times New Roman"/>
          <w:sz w:val="24"/>
          <w:szCs w:val="24"/>
        </w:rPr>
      </w:pPr>
      <w:r w:rsidRPr="00015EC5">
        <w:rPr>
          <w:rFonts w:ascii="Times New Roman" w:hAnsi="Times New Roman" w:cs="Times New Roman"/>
          <w:sz w:val="24"/>
          <w:szCs w:val="24"/>
        </w:rPr>
        <w:t xml:space="preserve">Ashworth, R. E., Boyne, G. A., and R. M. Walker. 2001. “Reducing the Democratic Deficit? Devolution and the Accountability of Public Organisations in Wales.” </w:t>
      </w:r>
      <w:r w:rsidRPr="00015EC5">
        <w:rPr>
          <w:rFonts w:ascii="Times New Roman" w:hAnsi="Times New Roman" w:cs="Times New Roman"/>
          <w:i/>
          <w:sz w:val="24"/>
          <w:szCs w:val="24"/>
        </w:rPr>
        <w:t>Public Policy and Administration</w:t>
      </w:r>
      <w:r w:rsidRPr="00015EC5">
        <w:rPr>
          <w:rFonts w:ascii="Times New Roman" w:hAnsi="Times New Roman" w:cs="Times New Roman"/>
          <w:sz w:val="24"/>
          <w:szCs w:val="24"/>
        </w:rPr>
        <w:t xml:space="preserve"> 16 (1): 1-17.</w:t>
      </w:r>
    </w:p>
    <w:p w14:paraId="324F7E49" w14:textId="77777777" w:rsidR="00D76E12" w:rsidRPr="00015EC5" w:rsidRDefault="00D76E12" w:rsidP="00015EC5">
      <w:pPr>
        <w:shd w:val="clear" w:color="auto" w:fill="FFFFFF"/>
        <w:spacing w:after="0" w:line="360" w:lineRule="auto"/>
        <w:ind w:left="426" w:hanging="426"/>
        <w:jc w:val="both"/>
        <w:rPr>
          <w:rStyle w:val="titleauthoretcsmall"/>
          <w:rFonts w:ascii="Times New Roman" w:hAnsi="Times New Roman" w:cs="Times New Roman"/>
          <w:sz w:val="24"/>
          <w:szCs w:val="24"/>
          <w:lang w:val="en"/>
        </w:rPr>
      </w:pPr>
      <w:proofErr w:type="spellStart"/>
      <w:r w:rsidRPr="00015EC5">
        <w:rPr>
          <w:rStyle w:val="titleauthoretcsmall"/>
          <w:rFonts w:ascii="Times New Roman" w:hAnsi="Times New Roman" w:cs="Times New Roman"/>
          <w:sz w:val="24"/>
          <w:szCs w:val="24"/>
        </w:rPr>
        <w:t>Beelitz</w:t>
      </w:r>
      <w:proofErr w:type="spellEnd"/>
      <w:r w:rsidRPr="00015EC5">
        <w:rPr>
          <w:rStyle w:val="titleauthoretcsmall"/>
          <w:rFonts w:ascii="Times New Roman" w:hAnsi="Times New Roman" w:cs="Times New Roman"/>
          <w:sz w:val="24"/>
          <w:szCs w:val="24"/>
        </w:rPr>
        <w:t xml:space="preserve">, A., and D. </w:t>
      </w:r>
      <w:proofErr w:type="spellStart"/>
      <w:r w:rsidRPr="00015EC5">
        <w:rPr>
          <w:rStyle w:val="titleauthoretcsmall"/>
          <w:rFonts w:ascii="Times New Roman" w:hAnsi="Times New Roman" w:cs="Times New Roman"/>
          <w:sz w:val="24"/>
          <w:szCs w:val="24"/>
        </w:rPr>
        <w:t>Merkl</w:t>
      </w:r>
      <w:proofErr w:type="spellEnd"/>
      <w:r w:rsidRPr="00015EC5">
        <w:rPr>
          <w:rStyle w:val="titleauthoretcsmall"/>
          <w:rFonts w:ascii="Times New Roman" w:hAnsi="Times New Roman" w:cs="Times New Roman"/>
          <w:sz w:val="24"/>
          <w:szCs w:val="24"/>
        </w:rPr>
        <w:t>-Davies. 2012. “</w:t>
      </w:r>
      <w:r w:rsidRPr="00015EC5">
        <w:rPr>
          <w:rFonts w:ascii="Times New Roman" w:hAnsi="Times New Roman" w:cs="Times New Roman"/>
          <w:sz w:val="24"/>
          <w:szCs w:val="24"/>
          <w:lang w:val="en"/>
        </w:rPr>
        <w:t xml:space="preserve">Using Discourse to Restore </w:t>
      </w:r>
      <w:proofErr w:type="spellStart"/>
      <w:r w:rsidRPr="00015EC5">
        <w:rPr>
          <w:rFonts w:ascii="Times New Roman" w:hAnsi="Times New Roman" w:cs="Times New Roman"/>
          <w:sz w:val="24"/>
          <w:szCs w:val="24"/>
          <w:lang w:val="en"/>
        </w:rPr>
        <w:t>Organisational</w:t>
      </w:r>
      <w:proofErr w:type="spellEnd"/>
      <w:r w:rsidRPr="00015EC5">
        <w:rPr>
          <w:rFonts w:ascii="Times New Roman" w:hAnsi="Times New Roman" w:cs="Times New Roman"/>
          <w:sz w:val="24"/>
          <w:szCs w:val="24"/>
          <w:lang w:val="en"/>
        </w:rPr>
        <w:t xml:space="preserve"> Legitimacy: ‘CEO-Speak’ after an Incident in a German Nuclear Power Plant”. </w:t>
      </w:r>
      <w:r w:rsidRPr="00015EC5">
        <w:rPr>
          <w:rStyle w:val="titleauthoretcsmall"/>
          <w:rFonts w:ascii="Times New Roman" w:hAnsi="Times New Roman" w:cs="Times New Roman"/>
          <w:i/>
          <w:sz w:val="24"/>
          <w:szCs w:val="24"/>
          <w:lang w:val="en"/>
        </w:rPr>
        <w:t>J</w:t>
      </w:r>
      <w:r w:rsidRPr="00015EC5">
        <w:rPr>
          <w:rStyle w:val="Strong"/>
          <w:rFonts w:ascii="Times New Roman" w:hAnsi="Times New Roman" w:cs="Times New Roman"/>
          <w:b w:val="0"/>
          <w:i/>
          <w:sz w:val="24"/>
          <w:szCs w:val="24"/>
          <w:lang w:val="en"/>
        </w:rPr>
        <w:t>ournal of Business Ethics</w:t>
      </w:r>
      <w:r w:rsidRPr="00015EC5">
        <w:rPr>
          <w:rStyle w:val="titleauthoretcsmall"/>
          <w:rFonts w:ascii="Times New Roman" w:hAnsi="Times New Roman" w:cs="Times New Roman"/>
          <w:sz w:val="24"/>
          <w:szCs w:val="24"/>
          <w:lang w:val="en"/>
        </w:rPr>
        <w:t xml:space="preserve"> 108 (1): 101-120. </w:t>
      </w:r>
    </w:p>
    <w:p w14:paraId="4D5FE6CB" w14:textId="77777777" w:rsidR="00E71798" w:rsidRPr="00015EC5" w:rsidRDefault="00E71798" w:rsidP="00015EC5">
      <w:pPr>
        <w:spacing w:after="0" w:line="360" w:lineRule="auto"/>
        <w:jc w:val="both"/>
        <w:rPr>
          <w:rFonts w:ascii="Times New Roman" w:eastAsia="Times New Roman" w:hAnsi="Times New Roman" w:cs="Times New Roman"/>
          <w:sz w:val="24"/>
          <w:szCs w:val="24"/>
          <w:lang w:eastAsia="en-GB"/>
        </w:rPr>
      </w:pPr>
      <w:proofErr w:type="spellStart"/>
      <w:r w:rsidRPr="00015EC5">
        <w:rPr>
          <w:rFonts w:ascii="Times New Roman" w:eastAsia="Times New Roman" w:hAnsi="Times New Roman" w:cs="Times New Roman"/>
          <w:sz w:val="24"/>
          <w:szCs w:val="24"/>
          <w:lang w:eastAsia="en-GB"/>
        </w:rPr>
        <w:t>Bogdanor</w:t>
      </w:r>
      <w:proofErr w:type="spellEnd"/>
      <w:r w:rsidRPr="00015EC5">
        <w:rPr>
          <w:rFonts w:ascii="Times New Roman" w:eastAsia="Times New Roman" w:hAnsi="Times New Roman" w:cs="Times New Roman"/>
          <w:sz w:val="24"/>
          <w:szCs w:val="24"/>
          <w:lang w:eastAsia="en-GB"/>
        </w:rPr>
        <w:t xml:space="preserve">, V. 2001. </w:t>
      </w:r>
      <w:r w:rsidRPr="00015EC5">
        <w:rPr>
          <w:rFonts w:ascii="Times New Roman" w:eastAsia="Times New Roman" w:hAnsi="Times New Roman" w:cs="Times New Roman"/>
          <w:i/>
          <w:sz w:val="24"/>
          <w:szCs w:val="24"/>
          <w:lang w:eastAsia="en-GB"/>
        </w:rPr>
        <w:t>Devolution in the United Kingdom</w:t>
      </w:r>
      <w:r w:rsidRPr="00015EC5">
        <w:rPr>
          <w:rFonts w:ascii="Times New Roman" w:eastAsia="Times New Roman" w:hAnsi="Times New Roman" w:cs="Times New Roman"/>
          <w:sz w:val="24"/>
          <w:szCs w:val="24"/>
          <w:lang w:eastAsia="en-GB"/>
        </w:rPr>
        <w:t>. Oxford: Oxford University Press.</w:t>
      </w:r>
    </w:p>
    <w:p w14:paraId="2EAC94A1" w14:textId="77777777" w:rsidR="00D76E12" w:rsidRPr="00015EC5" w:rsidRDefault="00D76E12" w:rsidP="00015EC5">
      <w:pPr>
        <w:spacing w:after="0" w:line="360" w:lineRule="auto"/>
        <w:ind w:left="426" w:hanging="426"/>
        <w:jc w:val="both"/>
        <w:rPr>
          <w:rFonts w:ascii="Times New Roman" w:hAnsi="Times New Roman" w:cs="Times New Roman"/>
          <w:sz w:val="24"/>
          <w:szCs w:val="24"/>
        </w:rPr>
      </w:pPr>
      <w:r w:rsidRPr="00015EC5">
        <w:rPr>
          <w:rFonts w:ascii="Times New Roman" w:hAnsi="Times New Roman" w:cs="Times New Roman"/>
          <w:sz w:val="24"/>
          <w:szCs w:val="24"/>
        </w:rPr>
        <w:t xml:space="preserve">Boyne, G., and J. Law. 1991. “Accountability and Local Authority Annual Reports: The Case of Welsh District Councils.” </w:t>
      </w:r>
      <w:r w:rsidRPr="00015EC5">
        <w:rPr>
          <w:rFonts w:ascii="Times New Roman" w:hAnsi="Times New Roman" w:cs="Times New Roman"/>
          <w:i/>
          <w:sz w:val="24"/>
          <w:szCs w:val="24"/>
        </w:rPr>
        <w:t>Financial Accountability &amp; Management</w:t>
      </w:r>
      <w:r w:rsidRPr="00015EC5">
        <w:rPr>
          <w:rFonts w:ascii="Times New Roman" w:hAnsi="Times New Roman" w:cs="Times New Roman"/>
          <w:sz w:val="24"/>
          <w:szCs w:val="24"/>
        </w:rPr>
        <w:t xml:space="preserve"> 7 (9): 179-194. </w:t>
      </w:r>
    </w:p>
    <w:p w14:paraId="2DCEC3B9" w14:textId="77777777" w:rsidR="00D76E12" w:rsidRPr="00015EC5" w:rsidRDefault="00D76E12" w:rsidP="00015EC5">
      <w:pPr>
        <w:autoSpaceDE w:val="0"/>
        <w:autoSpaceDN w:val="0"/>
        <w:adjustRightInd w:val="0"/>
        <w:spacing w:after="0" w:line="360" w:lineRule="auto"/>
        <w:ind w:left="426" w:hanging="426"/>
        <w:jc w:val="both"/>
        <w:rPr>
          <w:rFonts w:ascii="Times New Roman" w:hAnsi="Times New Roman" w:cs="Times New Roman"/>
          <w:sz w:val="24"/>
          <w:szCs w:val="24"/>
        </w:rPr>
      </w:pPr>
      <w:r w:rsidRPr="00015EC5">
        <w:rPr>
          <w:rFonts w:ascii="Times New Roman" w:hAnsi="Times New Roman" w:cs="Times New Roman"/>
          <w:sz w:val="24"/>
          <w:szCs w:val="24"/>
        </w:rPr>
        <w:t xml:space="preserve">Broadbent, J., Dietrich, M., and R. Laughlin. 1996. “The Development of Principal Agent, Contracting and Accountability Relationships in the Public Sector: Conceptual and Cultural Problems.” </w:t>
      </w:r>
      <w:r w:rsidRPr="00015EC5">
        <w:rPr>
          <w:rFonts w:ascii="Times New Roman" w:hAnsi="Times New Roman" w:cs="Times New Roman"/>
          <w:i/>
          <w:iCs/>
          <w:sz w:val="24"/>
          <w:szCs w:val="24"/>
        </w:rPr>
        <w:t>Critical Perspectives on Accounting</w:t>
      </w:r>
      <w:r w:rsidRPr="00015EC5">
        <w:rPr>
          <w:rFonts w:ascii="Times New Roman" w:hAnsi="Times New Roman" w:cs="Times New Roman"/>
          <w:iCs/>
          <w:sz w:val="24"/>
          <w:szCs w:val="24"/>
        </w:rPr>
        <w:t xml:space="preserve"> </w:t>
      </w:r>
      <w:r w:rsidRPr="00015EC5">
        <w:rPr>
          <w:rFonts w:ascii="Times New Roman" w:hAnsi="Times New Roman" w:cs="Times New Roman"/>
          <w:sz w:val="24"/>
          <w:szCs w:val="24"/>
        </w:rPr>
        <w:t xml:space="preserve">7 (3): 259-284. </w:t>
      </w:r>
    </w:p>
    <w:p w14:paraId="703764E0" w14:textId="77777777" w:rsidR="00D76E12" w:rsidRPr="00015EC5" w:rsidRDefault="00D76E12" w:rsidP="00015EC5">
      <w:pPr>
        <w:spacing w:after="0" w:line="360" w:lineRule="auto"/>
        <w:jc w:val="both"/>
        <w:rPr>
          <w:rFonts w:ascii="Times New Roman" w:hAnsi="Times New Roman" w:cs="Times New Roman"/>
          <w:sz w:val="24"/>
          <w:szCs w:val="24"/>
        </w:rPr>
      </w:pPr>
      <w:r w:rsidRPr="00015EC5">
        <w:rPr>
          <w:rFonts w:ascii="Times New Roman" w:hAnsi="Times New Roman" w:cs="Times New Roman"/>
          <w:sz w:val="24"/>
          <w:szCs w:val="24"/>
        </w:rPr>
        <w:t xml:space="preserve">Cabinet Office. 2015. </w:t>
      </w:r>
      <w:r w:rsidRPr="00015EC5">
        <w:rPr>
          <w:rFonts w:ascii="Times New Roman" w:hAnsi="Times New Roman" w:cs="Times New Roman"/>
          <w:i/>
          <w:sz w:val="24"/>
          <w:szCs w:val="24"/>
        </w:rPr>
        <w:t>Public Bodies 2015</w:t>
      </w:r>
      <w:r w:rsidRPr="00015EC5">
        <w:rPr>
          <w:rFonts w:ascii="Times New Roman" w:hAnsi="Times New Roman" w:cs="Times New Roman"/>
          <w:sz w:val="24"/>
          <w:szCs w:val="24"/>
        </w:rPr>
        <w:t>. London: Cabinet Office.</w:t>
      </w:r>
    </w:p>
    <w:p w14:paraId="1825C8F5" w14:textId="77777777" w:rsidR="00D76E12" w:rsidRPr="00015EC5" w:rsidRDefault="00D76E12" w:rsidP="00015EC5">
      <w:pPr>
        <w:shd w:val="clear" w:color="auto" w:fill="FFFFFF"/>
        <w:spacing w:after="0" w:line="360" w:lineRule="auto"/>
        <w:ind w:left="426" w:hanging="426"/>
        <w:jc w:val="both"/>
        <w:rPr>
          <w:rStyle w:val="titleauthoretcsmall"/>
          <w:rFonts w:ascii="Times New Roman" w:hAnsi="Times New Roman" w:cs="Times New Roman"/>
          <w:sz w:val="24"/>
          <w:szCs w:val="24"/>
          <w:lang w:val="en"/>
        </w:rPr>
      </w:pPr>
      <w:r w:rsidRPr="00015EC5">
        <w:rPr>
          <w:rStyle w:val="titleauthoretcsmall"/>
          <w:rFonts w:ascii="Times New Roman" w:hAnsi="Times New Roman" w:cs="Times New Roman"/>
          <w:sz w:val="24"/>
          <w:szCs w:val="24"/>
          <w:lang w:val="en"/>
        </w:rPr>
        <w:t>Chen, J., and R. Roberts. 2010. “</w:t>
      </w:r>
      <w:r w:rsidRPr="00015EC5">
        <w:rPr>
          <w:rFonts w:ascii="Times New Roman" w:hAnsi="Times New Roman" w:cs="Times New Roman"/>
          <w:sz w:val="24"/>
          <w:szCs w:val="24"/>
          <w:lang w:val="en"/>
        </w:rPr>
        <w:t xml:space="preserve">Toward a More Coherent Understanding of the Organization-society Relationship: A Theoretical Consideration for Social and Environmental Accounting Research.” </w:t>
      </w:r>
      <w:r w:rsidRPr="00015EC5">
        <w:rPr>
          <w:rStyle w:val="Strong"/>
          <w:rFonts w:ascii="Times New Roman" w:hAnsi="Times New Roman" w:cs="Times New Roman"/>
          <w:b w:val="0"/>
          <w:i/>
          <w:sz w:val="24"/>
          <w:szCs w:val="24"/>
          <w:lang w:val="en"/>
        </w:rPr>
        <w:t>Journal of Business Ethics</w:t>
      </w:r>
      <w:r w:rsidRPr="00015EC5">
        <w:rPr>
          <w:rStyle w:val="Strong"/>
          <w:rFonts w:ascii="Times New Roman" w:hAnsi="Times New Roman" w:cs="Times New Roman"/>
          <w:b w:val="0"/>
          <w:sz w:val="24"/>
          <w:szCs w:val="24"/>
          <w:lang w:val="en"/>
        </w:rPr>
        <w:t xml:space="preserve"> </w:t>
      </w:r>
      <w:r w:rsidRPr="00015EC5">
        <w:rPr>
          <w:rStyle w:val="titleauthoretcsmall"/>
          <w:rFonts w:ascii="Times New Roman" w:hAnsi="Times New Roman" w:cs="Times New Roman"/>
          <w:sz w:val="24"/>
          <w:szCs w:val="24"/>
          <w:lang w:val="en"/>
        </w:rPr>
        <w:t xml:space="preserve">97 (4): 651-665. </w:t>
      </w:r>
    </w:p>
    <w:p w14:paraId="7C9B21E9" w14:textId="77777777" w:rsidR="00D76E12" w:rsidRPr="00015EC5" w:rsidRDefault="00D76E12" w:rsidP="00015EC5">
      <w:pPr>
        <w:autoSpaceDE w:val="0"/>
        <w:autoSpaceDN w:val="0"/>
        <w:adjustRightInd w:val="0"/>
        <w:spacing w:after="0" w:line="360" w:lineRule="auto"/>
        <w:ind w:left="426" w:hanging="426"/>
        <w:jc w:val="both"/>
        <w:rPr>
          <w:rFonts w:ascii="Times New Roman" w:hAnsi="Times New Roman" w:cs="Times New Roman"/>
          <w:sz w:val="24"/>
          <w:szCs w:val="24"/>
        </w:rPr>
      </w:pPr>
      <w:r w:rsidRPr="00015EC5">
        <w:rPr>
          <w:rFonts w:ascii="Times New Roman" w:hAnsi="Times New Roman" w:cs="Times New Roman"/>
          <w:sz w:val="24"/>
          <w:szCs w:val="24"/>
        </w:rPr>
        <w:t xml:space="preserve">Commissioner for </w:t>
      </w:r>
      <w:bookmarkStart w:id="4" w:name="_GoBack"/>
      <w:r w:rsidRPr="00015EC5">
        <w:rPr>
          <w:rFonts w:ascii="Times New Roman" w:hAnsi="Times New Roman" w:cs="Times New Roman"/>
          <w:sz w:val="24"/>
          <w:szCs w:val="24"/>
        </w:rPr>
        <w:t>Public Appointment</w:t>
      </w:r>
      <w:bookmarkEnd w:id="4"/>
      <w:r w:rsidRPr="00015EC5">
        <w:rPr>
          <w:rFonts w:ascii="Times New Roman" w:hAnsi="Times New Roman" w:cs="Times New Roman"/>
          <w:sz w:val="24"/>
          <w:szCs w:val="24"/>
        </w:rPr>
        <w:t xml:space="preserve">s Northern Ireland. 2016. </w:t>
      </w:r>
      <w:r w:rsidRPr="00015EC5">
        <w:rPr>
          <w:rFonts w:ascii="Times New Roman" w:hAnsi="Times New Roman" w:cs="Times New Roman"/>
          <w:i/>
          <w:sz w:val="24"/>
          <w:szCs w:val="24"/>
        </w:rPr>
        <w:t>Ministers Agree Ground Breaking Targets for Achieving Gender Equality on Public Body Boards.</w:t>
      </w:r>
      <w:r w:rsidRPr="00015EC5">
        <w:rPr>
          <w:rFonts w:ascii="Times New Roman" w:hAnsi="Times New Roman" w:cs="Times New Roman"/>
          <w:sz w:val="24"/>
          <w:szCs w:val="24"/>
        </w:rPr>
        <w:t xml:space="preserve"> https://www.publicappointmentsni.org/diversity.</w:t>
      </w:r>
    </w:p>
    <w:p w14:paraId="6670EFB6" w14:textId="77777777" w:rsidR="00D76E12" w:rsidRPr="00015EC5" w:rsidRDefault="00D76E12" w:rsidP="00015EC5">
      <w:pPr>
        <w:spacing w:after="0" w:line="360" w:lineRule="auto"/>
        <w:ind w:left="426" w:hanging="426"/>
        <w:jc w:val="both"/>
        <w:rPr>
          <w:rFonts w:ascii="Times New Roman" w:hAnsi="Times New Roman" w:cs="Times New Roman"/>
          <w:sz w:val="24"/>
          <w:szCs w:val="24"/>
        </w:rPr>
      </w:pPr>
      <w:r w:rsidRPr="00015EC5">
        <w:rPr>
          <w:rFonts w:ascii="Times New Roman" w:hAnsi="Times New Roman" w:cs="Times New Roman"/>
          <w:sz w:val="24"/>
          <w:szCs w:val="24"/>
        </w:rPr>
        <w:t xml:space="preserve">Committee on Standards in Public Life. 1995. </w:t>
      </w:r>
      <w:r w:rsidRPr="00015EC5">
        <w:rPr>
          <w:rFonts w:ascii="Times New Roman" w:hAnsi="Times New Roman" w:cs="Times New Roman"/>
          <w:i/>
          <w:sz w:val="24"/>
          <w:szCs w:val="24"/>
        </w:rPr>
        <w:t>The Seven Principles of Public Life</w:t>
      </w:r>
      <w:r w:rsidRPr="00015EC5">
        <w:rPr>
          <w:rFonts w:ascii="Times New Roman" w:hAnsi="Times New Roman" w:cs="Times New Roman"/>
          <w:sz w:val="24"/>
          <w:szCs w:val="24"/>
        </w:rPr>
        <w:t>. London: Her Majesty’s Stationery Office.</w:t>
      </w:r>
    </w:p>
    <w:p w14:paraId="15A913ED" w14:textId="77777777" w:rsidR="00D76E12" w:rsidRPr="00015EC5" w:rsidRDefault="00D76E12" w:rsidP="00015EC5">
      <w:pPr>
        <w:pStyle w:val="NormalWeb"/>
        <w:spacing w:before="0" w:beforeAutospacing="0" w:after="0" w:afterAutospacing="0" w:line="360" w:lineRule="auto"/>
        <w:ind w:left="426" w:hanging="426"/>
        <w:jc w:val="both"/>
        <w:rPr>
          <w:color w:val="auto"/>
          <w:lang w:val="en-IE"/>
        </w:rPr>
      </w:pPr>
      <w:r w:rsidRPr="00015EC5">
        <w:rPr>
          <w:color w:val="auto"/>
        </w:rPr>
        <w:t xml:space="preserve">Cooper, S., and D. Owen. 2007. “Corporate Social Reporting and Stakeholder Accountability: The Missing Link.” </w:t>
      </w:r>
      <w:r w:rsidRPr="00015EC5">
        <w:rPr>
          <w:i/>
          <w:color w:val="auto"/>
        </w:rPr>
        <w:t>Accounting, Organisations and Society</w:t>
      </w:r>
      <w:r w:rsidRPr="00015EC5">
        <w:rPr>
          <w:color w:val="auto"/>
        </w:rPr>
        <w:t xml:space="preserve"> 32 (7-8): 649-667.</w:t>
      </w:r>
    </w:p>
    <w:p w14:paraId="126E39C7" w14:textId="77777777" w:rsidR="00D76E12" w:rsidRPr="00015EC5" w:rsidRDefault="00D76E12" w:rsidP="00015EC5">
      <w:pPr>
        <w:spacing w:after="0" w:line="360" w:lineRule="auto"/>
        <w:ind w:left="426" w:hanging="426"/>
        <w:jc w:val="both"/>
        <w:rPr>
          <w:rFonts w:ascii="Times New Roman" w:hAnsi="Times New Roman" w:cs="Times New Roman"/>
          <w:sz w:val="24"/>
          <w:szCs w:val="24"/>
        </w:rPr>
      </w:pPr>
      <w:r w:rsidRPr="00015EC5">
        <w:rPr>
          <w:rFonts w:ascii="Times New Roman" w:hAnsi="Times New Roman" w:cs="Times New Roman"/>
          <w:sz w:val="24"/>
          <w:szCs w:val="24"/>
        </w:rPr>
        <w:t xml:space="preserve">Cornforth, C. 2003. “The Changing Context of Governance – Emerging Issues and Paradoxes.” In </w:t>
      </w:r>
      <w:r w:rsidRPr="00015EC5">
        <w:rPr>
          <w:rFonts w:ascii="Times New Roman" w:hAnsi="Times New Roman" w:cs="Times New Roman"/>
          <w:i/>
          <w:sz w:val="24"/>
          <w:szCs w:val="24"/>
        </w:rPr>
        <w:t>The Governance of Public and Non-Profit Organizations: What do boards do?</w:t>
      </w:r>
      <w:r w:rsidRPr="00015EC5">
        <w:rPr>
          <w:rFonts w:ascii="Times New Roman" w:hAnsi="Times New Roman" w:cs="Times New Roman"/>
          <w:sz w:val="24"/>
          <w:szCs w:val="24"/>
        </w:rPr>
        <w:t>,</w:t>
      </w:r>
      <w:r w:rsidRPr="00015EC5">
        <w:rPr>
          <w:rFonts w:ascii="Times New Roman" w:hAnsi="Times New Roman" w:cs="Times New Roman"/>
          <w:i/>
          <w:sz w:val="24"/>
          <w:szCs w:val="24"/>
        </w:rPr>
        <w:t xml:space="preserve"> </w:t>
      </w:r>
      <w:r w:rsidRPr="00015EC5">
        <w:rPr>
          <w:rFonts w:ascii="Times New Roman" w:hAnsi="Times New Roman" w:cs="Times New Roman"/>
          <w:sz w:val="24"/>
          <w:szCs w:val="24"/>
        </w:rPr>
        <w:t>edited by C. Cornforth. Oxford: Routledge.</w:t>
      </w:r>
    </w:p>
    <w:p w14:paraId="29AB3021" w14:textId="77777777" w:rsidR="00D76E12" w:rsidRPr="00015EC5" w:rsidRDefault="00D76E12" w:rsidP="00015EC5">
      <w:pPr>
        <w:spacing w:after="0" w:line="360" w:lineRule="auto"/>
        <w:ind w:left="426" w:hanging="426"/>
        <w:jc w:val="both"/>
        <w:rPr>
          <w:rFonts w:ascii="Times New Roman" w:hAnsi="Times New Roman" w:cs="Times New Roman"/>
          <w:sz w:val="24"/>
          <w:szCs w:val="24"/>
        </w:rPr>
      </w:pPr>
      <w:r w:rsidRPr="00015EC5">
        <w:rPr>
          <w:rFonts w:ascii="Times New Roman" w:hAnsi="Times New Roman" w:cs="Times New Roman"/>
          <w:sz w:val="24"/>
          <w:szCs w:val="24"/>
        </w:rPr>
        <w:t xml:space="preserve">Coy, D., Fischer, M., and T. Gordon. 2001. “Public Accountability: A New Paradigm for College and University Annual Reports.” </w:t>
      </w:r>
      <w:r w:rsidRPr="00015EC5">
        <w:rPr>
          <w:rFonts w:ascii="Times New Roman" w:hAnsi="Times New Roman" w:cs="Times New Roman"/>
          <w:i/>
          <w:sz w:val="24"/>
          <w:szCs w:val="24"/>
        </w:rPr>
        <w:t>Critical Perspectives in Accounting</w:t>
      </w:r>
      <w:r w:rsidRPr="00015EC5">
        <w:rPr>
          <w:rFonts w:ascii="Times New Roman" w:hAnsi="Times New Roman" w:cs="Times New Roman"/>
          <w:sz w:val="24"/>
          <w:szCs w:val="24"/>
        </w:rPr>
        <w:t xml:space="preserve"> 12 (1): 1-31. </w:t>
      </w:r>
    </w:p>
    <w:p w14:paraId="27623B9B" w14:textId="77777777" w:rsidR="00D76E12" w:rsidRPr="00015EC5" w:rsidRDefault="00D76E12" w:rsidP="00015EC5">
      <w:pPr>
        <w:autoSpaceDE w:val="0"/>
        <w:autoSpaceDN w:val="0"/>
        <w:adjustRightInd w:val="0"/>
        <w:spacing w:after="0" w:line="360" w:lineRule="auto"/>
        <w:ind w:left="426" w:hanging="426"/>
        <w:jc w:val="both"/>
        <w:rPr>
          <w:rFonts w:ascii="Times New Roman" w:hAnsi="Times New Roman" w:cs="Times New Roman"/>
          <w:sz w:val="24"/>
          <w:szCs w:val="24"/>
        </w:rPr>
      </w:pPr>
      <w:r w:rsidRPr="00015EC5">
        <w:rPr>
          <w:rFonts w:ascii="Times New Roman" w:hAnsi="Times New Roman" w:cs="Times New Roman"/>
          <w:sz w:val="24"/>
          <w:szCs w:val="24"/>
        </w:rPr>
        <w:t xml:space="preserve">Donaldson, T., and L. E. Preston. 1995. “The Stakeholder Theory of the Corporation: Concepts, Evidence, and Implications.” </w:t>
      </w:r>
      <w:r w:rsidRPr="00015EC5">
        <w:rPr>
          <w:rFonts w:ascii="Times New Roman" w:hAnsi="Times New Roman" w:cs="Times New Roman"/>
          <w:i/>
          <w:sz w:val="24"/>
          <w:szCs w:val="24"/>
        </w:rPr>
        <w:t>Academy of Management Review</w:t>
      </w:r>
      <w:r w:rsidRPr="00015EC5">
        <w:rPr>
          <w:rFonts w:ascii="Times New Roman" w:hAnsi="Times New Roman" w:cs="Times New Roman"/>
          <w:sz w:val="24"/>
          <w:szCs w:val="24"/>
        </w:rPr>
        <w:t xml:space="preserve"> 20 (1): 65-91.</w:t>
      </w:r>
    </w:p>
    <w:p w14:paraId="7E956612" w14:textId="77777777" w:rsidR="00D76E12" w:rsidRPr="00015EC5" w:rsidRDefault="00D76E12" w:rsidP="00015EC5">
      <w:pPr>
        <w:autoSpaceDE w:val="0"/>
        <w:autoSpaceDN w:val="0"/>
        <w:adjustRightInd w:val="0"/>
        <w:spacing w:after="0" w:line="360" w:lineRule="auto"/>
        <w:ind w:left="426" w:hanging="426"/>
        <w:jc w:val="both"/>
        <w:rPr>
          <w:rFonts w:ascii="Times New Roman" w:hAnsi="Times New Roman" w:cs="Times New Roman"/>
          <w:sz w:val="24"/>
          <w:szCs w:val="24"/>
        </w:rPr>
      </w:pPr>
      <w:r w:rsidRPr="00015EC5">
        <w:rPr>
          <w:rFonts w:ascii="Times New Roman" w:hAnsi="Times New Roman" w:cs="Times New Roman"/>
          <w:sz w:val="24"/>
          <w:szCs w:val="24"/>
        </w:rPr>
        <w:lastRenderedPageBreak/>
        <w:t xml:space="preserve">Drucker, P. 1973. </w:t>
      </w:r>
      <w:r w:rsidRPr="00015EC5">
        <w:rPr>
          <w:rFonts w:ascii="Times New Roman" w:hAnsi="Times New Roman" w:cs="Times New Roman"/>
          <w:i/>
          <w:sz w:val="24"/>
          <w:szCs w:val="24"/>
        </w:rPr>
        <w:t>Management: Tasks, Responsibilities and Practices.</w:t>
      </w:r>
      <w:r w:rsidRPr="00015EC5">
        <w:rPr>
          <w:rFonts w:ascii="Times New Roman" w:hAnsi="Times New Roman" w:cs="Times New Roman"/>
          <w:sz w:val="24"/>
          <w:szCs w:val="24"/>
        </w:rPr>
        <w:t xml:space="preserve"> New York: Harper and Row.</w:t>
      </w:r>
    </w:p>
    <w:p w14:paraId="4479CCA8" w14:textId="77777777" w:rsidR="00D76E12" w:rsidRPr="00015EC5" w:rsidRDefault="00D76E12" w:rsidP="00015EC5">
      <w:pPr>
        <w:spacing w:after="0" w:line="360" w:lineRule="auto"/>
        <w:ind w:left="426" w:hanging="426"/>
        <w:jc w:val="both"/>
        <w:rPr>
          <w:rFonts w:ascii="Times New Roman" w:hAnsi="Times New Roman" w:cs="Times New Roman"/>
          <w:sz w:val="24"/>
          <w:szCs w:val="24"/>
        </w:rPr>
      </w:pPr>
      <w:proofErr w:type="spellStart"/>
      <w:r w:rsidRPr="00015EC5">
        <w:rPr>
          <w:rFonts w:ascii="Times New Roman" w:hAnsi="Times New Roman" w:cs="Times New Roman"/>
          <w:sz w:val="24"/>
          <w:szCs w:val="24"/>
        </w:rPr>
        <w:t>Dubnick</w:t>
      </w:r>
      <w:proofErr w:type="spellEnd"/>
      <w:r w:rsidRPr="00015EC5">
        <w:rPr>
          <w:rFonts w:ascii="Times New Roman" w:hAnsi="Times New Roman" w:cs="Times New Roman"/>
          <w:sz w:val="24"/>
          <w:szCs w:val="24"/>
        </w:rPr>
        <w:t xml:space="preserve">, M. 1998. “Clarifying Accountability: An Ethical Theory Framework.” In </w:t>
      </w:r>
      <w:r w:rsidRPr="00015EC5">
        <w:rPr>
          <w:rFonts w:ascii="Times New Roman" w:hAnsi="Times New Roman" w:cs="Times New Roman"/>
          <w:i/>
          <w:sz w:val="24"/>
          <w:szCs w:val="24"/>
        </w:rPr>
        <w:t>Public Sector Ethics: Finding and Implementing Values</w:t>
      </w:r>
      <w:r w:rsidRPr="00015EC5">
        <w:rPr>
          <w:rFonts w:ascii="Times New Roman" w:hAnsi="Times New Roman" w:cs="Times New Roman"/>
          <w:sz w:val="24"/>
          <w:szCs w:val="24"/>
        </w:rPr>
        <w:t xml:space="preserve">, edited by N. P. </w:t>
      </w:r>
      <w:proofErr w:type="spellStart"/>
      <w:r w:rsidRPr="00015EC5">
        <w:rPr>
          <w:rFonts w:ascii="Times New Roman" w:hAnsi="Times New Roman" w:cs="Times New Roman"/>
          <w:sz w:val="24"/>
          <w:szCs w:val="24"/>
        </w:rPr>
        <w:t>Sampford</w:t>
      </w:r>
      <w:proofErr w:type="spellEnd"/>
      <w:r w:rsidRPr="00015EC5">
        <w:rPr>
          <w:rFonts w:ascii="Times New Roman" w:hAnsi="Times New Roman" w:cs="Times New Roman"/>
          <w:sz w:val="24"/>
          <w:szCs w:val="24"/>
        </w:rPr>
        <w:t xml:space="preserve"> and C-A. B. </w:t>
      </w:r>
      <w:proofErr w:type="spellStart"/>
      <w:r w:rsidRPr="00015EC5">
        <w:rPr>
          <w:rFonts w:ascii="Times New Roman" w:hAnsi="Times New Roman" w:cs="Times New Roman"/>
          <w:sz w:val="24"/>
          <w:szCs w:val="24"/>
        </w:rPr>
        <w:t>Leichhardt</w:t>
      </w:r>
      <w:proofErr w:type="spellEnd"/>
      <w:r w:rsidRPr="00015EC5">
        <w:rPr>
          <w:rFonts w:ascii="Times New Roman" w:hAnsi="Times New Roman" w:cs="Times New Roman"/>
          <w:sz w:val="24"/>
          <w:szCs w:val="24"/>
        </w:rPr>
        <w:t>. London: The Federation Press/Routledge.</w:t>
      </w:r>
    </w:p>
    <w:p w14:paraId="0FAD1649" w14:textId="77777777" w:rsidR="00D76E12" w:rsidRPr="00015EC5" w:rsidRDefault="00D76E12" w:rsidP="00015EC5">
      <w:pPr>
        <w:spacing w:after="0" w:line="360" w:lineRule="auto"/>
        <w:ind w:left="426" w:hanging="426"/>
        <w:jc w:val="both"/>
        <w:rPr>
          <w:rFonts w:ascii="Times New Roman" w:hAnsi="Times New Roman" w:cs="Times New Roman"/>
          <w:sz w:val="24"/>
          <w:szCs w:val="24"/>
        </w:rPr>
      </w:pPr>
      <w:proofErr w:type="spellStart"/>
      <w:r w:rsidRPr="00015EC5">
        <w:rPr>
          <w:rFonts w:ascii="Times New Roman" w:hAnsi="Times New Roman" w:cs="Times New Roman"/>
          <w:sz w:val="24"/>
          <w:szCs w:val="24"/>
        </w:rPr>
        <w:t>Ebrahim</w:t>
      </w:r>
      <w:proofErr w:type="spellEnd"/>
      <w:r w:rsidRPr="00015EC5">
        <w:rPr>
          <w:rFonts w:ascii="Times New Roman" w:hAnsi="Times New Roman" w:cs="Times New Roman"/>
          <w:sz w:val="24"/>
          <w:szCs w:val="24"/>
        </w:rPr>
        <w:t>, A. 2003a. “Accountability in Practice: Mechanisms for NGOs.”</w:t>
      </w:r>
      <w:r w:rsidRPr="00015EC5">
        <w:rPr>
          <w:rFonts w:ascii="Times New Roman" w:hAnsi="Times New Roman" w:cs="Times New Roman"/>
          <w:iCs/>
          <w:sz w:val="24"/>
          <w:szCs w:val="24"/>
        </w:rPr>
        <w:t xml:space="preserve"> </w:t>
      </w:r>
      <w:r w:rsidRPr="00015EC5">
        <w:rPr>
          <w:rFonts w:ascii="Times New Roman" w:hAnsi="Times New Roman" w:cs="Times New Roman"/>
          <w:i/>
          <w:sz w:val="24"/>
          <w:szCs w:val="24"/>
        </w:rPr>
        <w:t>World Development</w:t>
      </w:r>
      <w:r w:rsidRPr="00015EC5">
        <w:rPr>
          <w:rFonts w:ascii="Times New Roman" w:hAnsi="Times New Roman" w:cs="Times New Roman"/>
          <w:sz w:val="24"/>
          <w:szCs w:val="24"/>
        </w:rPr>
        <w:t xml:space="preserve"> 31(5): 813-829. </w:t>
      </w:r>
    </w:p>
    <w:p w14:paraId="7E3CAC68" w14:textId="77777777" w:rsidR="00D76E12" w:rsidRPr="00015EC5" w:rsidRDefault="00D76E12" w:rsidP="00015EC5">
      <w:pPr>
        <w:spacing w:after="0" w:line="360" w:lineRule="auto"/>
        <w:ind w:left="426" w:hanging="426"/>
        <w:jc w:val="both"/>
        <w:rPr>
          <w:rFonts w:ascii="Times New Roman" w:hAnsi="Times New Roman" w:cs="Times New Roman"/>
          <w:sz w:val="24"/>
          <w:szCs w:val="24"/>
        </w:rPr>
      </w:pPr>
      <w:proofErr w:type="spellStart"/>
      <w:r w:rsidRPr="00015EC5">
        <w:rPr>
          <w:rFonts w:ascii="Times New Roman" w:hAnsi="Times New Roman" w:cs="Times New Roman"/>
          <w:sz w:val="24"/>
          <w:szCs w:val="24"/>
        </w:rPr>
        <w:t>Ebrahim</w:t>
      </w:r>
      <w:proofErr w:type="spellEnd"/>
      <w:r w:rsidRPr="00015EC5">
        <w:rPr>
          <w:rFonts w:ascii="Times New Roman" w:hAnsi="Times New Roman" w:cs="Times New Roman"/>
          <w:sz w:val="24"/>
          <w:szCs w:val="24"/>
        </w:rPr>
        <w:t>, A. 2003b. “</w:t>
      </w:r>
      <w:r w:rsidRPr="00015EC5">
        <w:rPr>
          <w:rFonts w:ascii="Times New Roman" w:hAnsi="Times New Roman" w:cs="Times New Roman"/>
          <w:bCs/>
          <w:sz w:val="24"/>
          <w:szCs w:val="24"/>
        </w:rPr>
        <w:t xml:space="preserve">Making Sense of Accountability: Conceptual Perspectives for Northern and Southern </w:t>
      </w:r>
      <w:proofErr w:type="spellStart"/>
      <w:r w:rsidRPr="00015EC5">
        <w:rPr>
          <w:rFonts w:ascii="Times New Roman" w:hAnsi="Times New Roman" w:cs="Times New Roman"/>
          <w:bCs/>
          <w:sz w:val="24"/>
          <w:szCs w:val="24"/>
        </w:rPr>
        <w:t>Nonprofits</w:t>
      </w:r>
      <w:proofErr w:type="spellEnd"/>
      <w:r w:rsidRPr="00015EC5">
        <w:rPr>
          <w:rFonts w:ascii="Times New Roman" w:hAnsi="Times New Roman" w:cs="Times New Roman"/>
          <w:bCs/>
          <w:sz w:val="24"/>
          <w:szCs w:val="24"/>
        </w:rPr>
        <w:t>,”</w:t>
      </w:r>
      <w:r w:rsidRPr="00015EC5">
        <w:rPr>
          <w:rFonts w:ascii="Times New Roman" w:hAnsi="Times New Roman" w:cs="Times New Roman"/>
          <w:sz w:val="24"/>
          <w:szCs w:val="24"/>
        </w:rPr>
        <w:t xml:space="preserve"> </w:t>
      </w:r>
      <w:r w:rsidRPr="00015EC5">
        <w:rPr>
          <w:rFonts w:ascii="Times New Roman" w:hAnsi="Times New Roman" w:cs="Times New Roman"/>
          <w:bCs/>
          <w:i/>
          <w:sz w:val="24"/>
          <w:szCs w:val="24"/>
        </w:rPr>
        <w:t>Nonprofit Management and Leadership</w:t>
      </w:r>
      <w:r w:rsidRPr="00015EC5">
        <w:rPr>
          <w:rFonts w:ascii="Times New Roman" w:hAnsi="Times New Roman" w:cs="Times New Roman"/>
          <w:bCs/>
          <w:sz w:val="24"/>
          <w:szCs w:val="24"/>
        </w:rPr>
        <w:t xml:space="preserve"> 14 (2): </w:t>
      </w:r>
      <w:r w:rsidRPr="00015EC5">
        <w:rPr>
          <w:rFonts w:ascii="Times New Roman" w:hAnsi="Times New Roman" w:cs="Times New Roman"/>
          <w:sz w:val="24"/>
          <w:szCs w:val="24"/>
        </w:rPr>
        <w:t xml:space="preserve">191-212. </w:t>
      </w:r>
    </w:p>
    <w:p w14:paraId="78AF1354" w14:textId="77777777" w:rsidR="00D76E12" w:rsidRPr="00015EC5" w:rsidRDefault="00D76E12" w:rsidP="00015EC5">
      <w:pPr>
        <w:spacing w:after="0" w:line="360" w:lineRule="auto"/>
        <w:ind w:left="426" w:hanging="426"/>
        <w:jc w:val="both"/>
        <w:rPr>
          <w:rFonts w:ascii="Times New Roman" w:hAnsi="Times New Roman" w:cs="Times New Roman"/>
          <w:sz w:val="24"/>
          <w:szCs w:val="24"/>
        </w:rPr>
      </w:pPr>
      <w:proofErr w:type="spellStart"/>
      <w:r w:rsidRPr="00015EC5">
        <w:rPr>
          <w:rStyle w:val="italic1"/>
          <w:rFonts w:ascii="Times New Roman" w:hAnsi="Times New Roman" w:cs="Times New Roman"/>
          <w:i w:val="0"/>
          <w:sz w:val="24"/>
          <w:szCs w:val="24"/>
        </w:rPr>
        <w:t>Ezzamel</w:t>
      </w:r>
      <w:proofErr w:type="spellEnd"/>
      <w:r w:rsidRPr="00015EC5">
        <w:rPr>
          <w:rStyle w:val="italic1"/>
          <w:rFonts w:ascii="Times New Roman" w:hAnsi="Times New Roman" w:cs="Times New Roman"/>
          <w:i w:val="0"/>
          <w:sz w:val="24"/>
          <w:szCs w:val="24"/>
        </w:rPr>
        <w:t>, M., Robson, K., Stapleton, P., and C. McLean. 2007. “</w:t>
      </w:r>
      <w:r w:rsidRPr="00015EC5">
        <w:rPr>
          <w:rFonts w:ascii="Times New Roman" w:hAnsi="Times New Roman" w:cs="Times New Roman"/>
          <w:bCs/>
          <w:sz w:val="24"/>
          <w:szCs w:val="24"/>
        </w:rPr>
        <w:t>Discourse and Institutional Change: ‘Giving Accounts’ and Accountability.”</w:t>
      </w:r>
      <w:r w:rsidRPr="00015EC5">
        <w:rPr>
          <w:rFonts w:ascii="Times New Roman" w:hAnsi="Times New Roman" w:cs="Times New Roman"/>
          <w:sz w:val="24"/>
          <w:szCs w:val="24"/>
        </w:rPr>
        <w:t xml:space="preserve"> </w:t>
      </w:r>
      <w:r w:rsidRPr="00015EC5">
        <w:rPr>
          <w:rFonts w:ascii="Times New Roman" w:hAnsi="Times New Roman" w:cs="Times New Roman"/>
          <w:i/>
          <w:sz w:val="24"/>
          <w:szCs w:val="24"/>
        </w:rPr>
        <w:t>Ma</w:t>
      </w:r>
      <w:r w:rsidRPr="00015EC5">
        <w:rPr>
          <w:rStyle w:val="bold1"/>
          <w:rFonts w:ascii="Times New Roman" w:hAnsi="Times New Roman" w:cs="Times New Roman"/>
          <w:b w:val="0"/>
          <w:i/>
          <w:sz w:val="24"/>
          <w:szCs w:val="24"/>
        </w:rPr>
        <w:t>nagement Accounting Research</w:t>
      </w:r>
      <w:r w:rsidRPr="00015EC5">
        <w:rPr>
          <w:rFonts w:ascii="Times New Roman" w:hAnsi="Times New Roman" w:cs="Times New Roman"/>
          <w:sz w:val="24"/>
          <w:szCs w:val="24"/>
        </w:rPr>
        <w:t xml:space="preserve"> 18 (2): 150-171.</w:t>
      </w:r>
    </w:p>
    <w:p w14:paraId="6F857FF7" w14:textId="77777777" w:rsidR="00D76E12" w:rsidRPr="00015EC5" w:rsidRDefault="00D76E12" w:rsidP="00015EC5">
      <w:pPr>
        <w:autoSpaceDE w:val="0"/>
        <w:autoSpaceDN w:val="0"/>
        <w:adjustRightInd w:val="0"/>
        <w:spacing w:after="0" w:line="360" w:lineRule="auto"/>
        <w:ind w:left="426" w:hanging="426"/>
        <w:jc w:val="both"/>
        <w:rPr>
          <w:rFonts w:ascii="Times New Roman" w:hAnsi="Times New Roman" w:cs="Times New Roman"/>
          <w:sz w:val="24"/>
          <w:szCs w:val="24"/>
        </w:rPr>
      </w:pPr>
      <w:r w:rsidRPr="00015EC5">
        <w:rPr>
          <w:rFonts w:ascii="Times New Roman" w:hAnsi="Times New Roman" w:cs="Times New Roman"/>
          <w:sz w:val="24"/>
          <w:szCs w:val="24"/>
        </w:rPr>
        <w:t xml:space="preserve">Foucault, M. 1979. </w:t>
      </w:r>
      <w:r w:rsidRPr="00015EC5">
        <w:rPr>
          <w:rFonts w:ascii="Times New Roman" w:hAnsi="Times New Roman" w:cs="Times New Roman"/>
          <w:i/>
          <w:sz w:val="24"/>
          <w:szCs w:val="24"/>
        </w:rPr>
        <w:t>Discipline and Punish: The Birth of the Prison</w:t>
      </w:r>
      <w:r w:rsidRPr="00015EC5">
        <w:rPr>
          <w:rFonts w:ascii="Times New Roman" w:hAnsi="Times New Roman" w:cs="Times New Roman"/>
          <w:sz w:val="24"/>
          <w:szCs w:val="24"/>
        </w:rPr>
        <w:t xml:space="preserve">. Translated by A. Sheridan. New York: Vintage Books. </w:t>
      </w:r>
    </w:p>
    <w:p w14:paraId="6F8B09B5" w14:textId="77777777" w:rsidR="00D76E12" w:rsidRPr="00015EC5" w:rsidRDefault="00D76E12" w:rsidP="00015EC5">
      <w:pPr>
        <w:spacing w:after="0" w:line="360" w:lineRule="auto"/>
        <w:ind w:left="426" w:hanging="426"/>
        <w:jc w:val="both"/>
        <w:rPr>
          <w:rFonts w:ascii="Times New Roman" w:hAnsi="Times New Roman" w:cs="Times New Roman"/>
          <w:sz w:val="24"/>
          <w:szCs w:val="24"/>
        </w:rPr>
      </w:pPr>
      <w:r w:rsidRPr="00015EC5">
        <w:rPr>
          <w:rFonts w:ascii="Times New Roman" w:hAnsi="Times New Roman" w:cs="Times New Roman"/>
          <w:sz w:val="24"/>
          <w:szCs w:val="24"/>
          <w:shd w:val="clear" w:color="auto" w:fill="FFFFFF"/>
        </w:rPr>
        <w:t xml:space="preserve">Freeman, R. E. 2010. </w:t>
      </w:r>
      <w:r w:rsidRPr="00015EC5">
        <w:rPr>
          <w:rFonts w:ascii="Times New Roman" w:hAnsi="Times New Roman" w:cs="Times New Roman"/>
          <w:i/>
          <w:iCs/>
          <w:sz w:val="24"/>
          <w:szCs w:val="24"/>
        </w:rPr>
        <w:t>Strategic Management: A Stakeholder Approach</w:t>
      </w:r>
      <w:r w:rsidRPr="00015EC5">
        <w:rPr>
          <w:rFonts w:ascii="Times New Roman" w:hAnsi="Times New Roman" w:cs="Times New Roman"/>
          <w:iCs/>
          <w:sz w:val="24"/>
          <w:szCs w:val="24"/>
        </w:rPr>
        <w:t xml:space="preserve">, </w:t>
      </w:r>
      <w:r w:rsidRPr="00015EC5">
        <w:rPr>
          <w:rFonts w:ascii="Times New Roman" w:hAnsi="Times New Roman" w:cs="Times New Roman"/>
          <w:sz w:val="24"/>
          <w:szCs w:val="24"/>
        </w:rPr>
        <w:t>Cambridge, UK: Cambridge University Press.</w:t>
      </w:r>
    </w:p>
    <w:p w14:paraId="44006302" w14:textId="77777777" w:rsidR="00D76E12" w:rsidRPr="00015EC5" w:rsidRDefault="00D76E12" w:rsidP="00015EC5">
      <w:pPr>
        <w:spacing w:after="0" w:line="360" w:lineRule="auto"/>
        <w:ind w:left="426" w:hanging="426"/>
        <w:jc w:val="both"/>
        <w:rPr>
          <w:rFonts w:ascii="Times New Roman" w:hAnsi="Times New Roman" w:cs="Times New Roman"/>
          <w:sz w:val="24"/>
          <w:szCs w:val="24"/>
        </w:rPr>
      </w:pPr>
      <w:r w:rsidRPr="00015EC5">
        <w:rPr>
          <w:rFonts w:ascii="Times New Roman" w:hAnsi="Times New Roman" w:cs="Times New Roman"/>
          <w:sz w:val="24"/>
          <w:szCs w:val="24"/>
          <w:lang w:val="en-US"/>
        </w:rPr>
        <w:t xml:space="preserve">Fry, R. 1995. “Accountability in Organizational Life: Problem or Opportunity for Nonprofits?” </w:t>
      </w:r>
      <w:r w:rsidRPr="00015EC5">
        <w:rPr>
          <w:rFonts w:ascii="Times New Roman" w:hAnsi="Times New Roman" w:cs="Times New Roman"/>
          <w:i/>
          <w:sz w:val="24"/>
          <w:szCs w:val="24"/>
          <w:lang w:val="en-US"/>
        </w:rPr>
        <w:t>Nonprofit Management and Leadership</w:t>
      </w:r>
      <w:r w:rsidRPr="00015EC5">
        <w:rPr>
          <w:rFonts w:ascii="Times New Roman" w:hAnsi="Times New Roman" w:cs="Times New Roman"/>
          <w:sz w:val="24"/>
          <w:szCs w:val="24"/>
          <w:lang w:val="en-US"/>
        </w:rPr>
        <w:t xml:space="preserve"> 6 (2): 181-195. </w:t>
      </w:r>
    </w:p>
    <w:p w14:paraId="5DE3201D" w14:textId="77777777" w:rsidR="00D76E12" w:rsidRPr="00015EC5" w:rsidRDefault="00D76E12" w:rsidP="00015EC5">
      <w:pPr>
        <w:spacing w:after="0" w:line="360" w:lineRule="auto"/>
        <w:ind w:left="426" w:hanging="426"/>
        <w:jc w:val="both"/>
        <w:rPr>
          <w:rFonts w:ascii="Times New Roman" w:hAnsi="Times New Roman" w:cs="Times New Roman"/>
          <w:sz w:val="24"/>
          <w:szCs w:val="24"/>
        </w:rPr>
      </w:pPr>
      <w:r w:rsidRPr="00015EC5">
        <w:rPr>
          <w:rStyle w:val="bodytext1"/>
          <w:rFonts w:ascii="Times New Roman" w:hAnsi="Times New Roman" w:cs="Times New Roman"/>
          <w:bCs/>
          <w:color w:val="auto"/>
          <w:sz w:val="24"/>
          <w:szCs w:val="24"/>
        </w:rPr>
        <w:t xml:space="preserve">Gray, R., </w:t>
      </w:r>
      <w:proofErr w:type="spellStart"/>
      <w:r w:rsidRPr="00015EC5">
        <w:rPr>
          <w:rStyle w:val="bodytext1"/>
          <w:rFonts w:ascii="Times New Roman" w:hAnsi="Times New Roman" w:cs="Times New Roman"/>
          <w:bCs/>
          <w:color w:val="auto"/>
          <w:sz w:val="24"/>
          <w:szCs w:val="24"/>
        </w:rPr>
        <w:t>Bebbington</w:t>
      </w:r>
      <w:proofErr w:type="spellEnd"/>
      <w:r w:rsidRPr="00015EC5">
        <w:rPr>
          <w:rStyle w:val="bodytext1"/>
          <w:rFonts w:ascii="Times New Roman" w:hAnsi="Times New Roman" w:cs="Times New Roman"/>
          <w:bCs/>
          <w:color w:val="auto"/>
          <w:sz w:val="24"/>
          <w:szCs w:val="24"/>
        </w:rPr>
        <w:t>, J., and D. Collison. 2006. “NGOs, Civil Society and Accountability: Making the People Accountable to Capital.”</w:t>
      </w:r>
      <w:r w:rsidRPr="00015EC5">
        <w:rPr>
          <w:rFonts w:ascii="Times New Roman" w:hAnsi="Times New Roman" w:cs="Times New Roman"/>
          <w:sz w:val="24"/>
          <w:szCs w:val="24"/>
        </w:rPr>
        <w:t xml:space="preserve"> </w:t>
      </w:r>
      <w:r w:rsidRPr="00015EC5">
        <w:rPr>
          <w:rFonts w:ascii="Times New Roman" w:hAnsi="Times New Roman" w:cs="Times New Roman"/>
          <w:i/>
          <w:sz w:val="24"/>
          <w:szCs w:val="24"/>
        </w:rPr>
        <w:t>Accounting, Auditing &amp; Accountability Journal</w:t>
      </w:r>
      <w:r w:rsidRPr="00015EC5">
        <w:rPr>
          <w:rFonts w:ascii="Times New Roman" w:hAnsi="Times New Roman" w:cs="Times New Roman"/>
          <w:sz w:val="24"/>
          <w:szCs w:val="24"/>
        </w:rPr>
        <w:t xml:space="preserve"> 19 (3): 319-348. </w:t>
      </w:r>
    </w:p>
    <w:p w14:paraId="6D53D0F3" w14:textId="77777777" w:rsidR="00D76E12" w:rsidRPr="00015EC5" w:rsidRDefault="00D76E12" w:rsidP="00015EC5">
      <w:pPr>
        <w:spacing w:after="0" w:line="360" w:lineRule="auto"/>
        <w:ind w:left="426" w:hanging="426"/>
        <w:jc w:val="both"/>
        <w:rPr>
          <w:rFonts w:ascii="Times New Roman" w:hAnsi="Times New Roman" w:cs="Times New Roman"/>
          <w:sz w:val="24"/>
          <w:szCs w:val="24"/>
        </w:rPr>
      </w:pPr>
      <w:r w:rsidRPr="00015EC5">
        <w:rPr>
          <w:rFonts w:ascii="Times New Roman" w:hAnsi="Times New Roman" w:cs="Times New Roman"/>
          <w:sz w:val="24"/>
          <w:szCs w:val="24"/>
        </w:rPr>
        <w:t xml:space="preserve">Gray, R., Owen, D., and C. Adams. 1996. </w:t>
      </w:r>
      <w:r w:rsidRPr="00015EC5">
        <w:rPr>
          <w:rFonts w:ascii="Times New Roman" w:hAnsi="Times New Roman" w:cs="Times New Roman"/>
          <w:i/>
          <w:sz w:val="24"/>
          <w:szCs w:val="24"/>
        </w:rPr>
        <w:t>Accounting and Accountability: Changes and Challenges in Corporate Social and Environmental Reporting</w:t>
      </w:r>
      <w:r w:rsidRPr="00015EC5">
        <w:rPr>
          <w:rFonts w:ascii="Times New Roman" w:hAnsi="Times New Roman" w:cs="Times New Roman"/>
          <w:sz w:val="24"/>
          <w:szCs w:val="24"/>
        </w:rPr>
        <w:t>. London: Prentice Hall.</w:t>
      </w:r>
    </w:p>
    <w:p w14:paraId="4383E101" w14:textId="77777777" w:rsidR="00D76E12" w:rsidRPr="00015EC5" w:rsidRDefault="00D76E12" w:rsidP="00015EC5">
      <w:pPr>
        <w:spacing w:after="0" w:line="360" w:lineRule="auto"/>
        <w:ind w:left="426" w:hanging="426"/>
        <w:jc w:val="both"/>
        <w:rPr>
          <w:rFonts w:ascii="Times New Roman" w:hAnsi="Times New Roman" w:cs="Times New Roman"/>
          <w:sz w:val="24"/>
          <w:szCs w:val="24"/>
        </w:rPr>
      </w:pPr>
      <w:r w:rsidRPr="00015EC5">
        <w:rPr>
          <w:rFonts w:ascii="Times New Roman" w:hAnsi="Times New Roman" w:cs="Times New Roman"/>
          <w:sz w:val="24"/>
          <w:szCs w:val="24"/>
        </w:rPr>
        <w:t xml:space="preserve">Gregory, R. 1995. “Accountability, Responsibility and Corruption: Managing the ‘Public Production Process.” In </w:t>
      </w:r>
      <w:r w:rsidRPr="00015EC5">
        <w:rPr>
          <w:rFonts w:ascii="Times New Roman" w:hAnsi="Times New Roman" w:cs="Times New Roman"/>
          <w:i/>
          <w:sz w:val="24"/>
          <w:szCs w:val="24"/>
        </w:rPr>
        <w:t>The State Under Contract</w:t>
      </w:r>
      <w:r w:rsidRPr="00015EC5">
        <w:rPr>
          <w:rFonts w:ascii="Times New Roman" w:hAnsi="Times New Roman" w:cs="Times New Roman"/>
          <w:sz w:val="24"/>
          <w:szCs w:val="24"/>
        </w:rPr>
        <w:t xml:space="preserve">, edited by J. Boston. Wellington: Bridget Williams Books. </w:t>
      </w:r>
    </w:p>
    <w:p w14:paraId="355BBE67" w14:textId="77777777" w:rsidR="00D76E12" w:rsidRPr="00015EC5" w:rsidRDefault="00D76E12" w:rsidP="00015EC5">
      <w:pPr>
        <w:spacing w:after="0" w:line="360" w:lineRule="auto"/>
        <w:ind w:left="426" w:hanging="426"/>
        <w:jc w:val="both"/>
        <w:rPr>
          <w:rFonts w:ascii="Times New Roman" w:hAnsi="Times New Roman" w:cs="Times New Roman"/>
          <w:bCs/>
          <w:sz w:val="24"/>
          <w:szCs w:val="24"/>
        </w:rPr>
      </w:pPr>
      <w:r w:rsidRPr="00015EC5">
        <w:rPr>
          <w:rFonts w:ascii="Times New Roman" w:hAnsi="Times New Roman" w:cs="Times New Roman"/>
          <w:sz w:val="24"/>
          <w:szCs w:val="24"/>
        </w:rPr>
        <w:t xml:space="preserve">House of Commons Public Administration Select Committee. 2014. </w:t>
      </w:r>
      <w:r w:rsidRPr="00015EC5">
        <w:rPr>
          <w:rFonts w:ascii="Times New Roman" w:hAnsi="Times New Roman" w:cs="Times New Roman"/>
          <w:bCs/>
          <w:i/>
          <w:sz w:val="24"/>
          <w:szCs w:val="24"/>
        </w:rPr>
        <w:t>Who’s Accountable? Relationships between Government and Arm’s-Length Bodies</w:t>
      </w:r>
      <w:r w:rsidRPr="00015EC5">
        <w:rPr>
          <w:rFonts w:ascii="Times New Roman" w:hAnsi="Times New Roman" w:cs="Times New Roman"/>
          <w:bCs/>
          <w:sz w:val="24"/>
          <w:szCs w:val="24"/>
        </w:rPr>
        <w:t>. London: House of Commons.</w:t>
      </w:r>
    </w:p>
    <w:p w14:paraId="1BA4437F" w14:textId="77777777" w:rsidR="00D76E12" w:rsidRPr="00015EC5" w:rsidRDefault="00D76E12" w:rsidP="00015EC5">
      <w:pPr>
        <w:pStyle w:val="Default"/>
        <w:spacing w:line="360" w:lineRule="auto"/>
        <w:ind w:left="426" w:hanging="426"/>
        <w:jc w:val="both"/>
        <w:rPr>
          <w:rFonts w:ascii="Times New Roman" w:hAnsi="Times New Roman" w:cs="Times New Roman"/>
          <w:color w:val="auto"/>
        </w:rPr>
      </w:pPr>
      <w:r w:rsidRPr="00015EC5">
        <w:rPr>
          <w:rFonts w:ascii="Times New Roman" w:hAnsi="Times New Roman" w:cs="Times New Roman"/>
          <w:color w:val="auto"/>
        </w:rPr>
        <w:t xml:space="preserve">Independent Commission on Good Governance in Public Services. 2004. </w:t>
      </w:r>
      <w:r w:rsidRPr="00015EC5">
        <w:rPr>
          <w:rFonts w:ascii="Times New Roman" w:hAnsi="Times New Roman" w:cs="Times New Roman"/>
          <w:i/>
          <w:color w:val="auto"/>
        </w:rPr>
        <w:t>The Good Governance Standard for Public Services.</w:t>
      </w:r>
      <w:r w:rsidRPr="00015EC5">
        <w:rPr>
          <w:rFonts w:ascii="Times New Roman" w:hAnsi="Times New Roman" w:cs="Times New Roman"/>
          <w:color w:val="auto"/>
        </w:rPr>
        <w:t xml:space="preserve"> London: Chartered Institute of Public Finance and Accountancy/Office for Public Management. </w:t>
      </w:r>
    </w:p>
    <w:p w14:paraId="07BE1CF5" w14:textId="77777777" w:rsidR="00D76E12" w:rsidRPr="00015EC5" w:rsidRDefault="00D76E12" w:rsidP="00015EC5">
      <w:pPr>
        <w:pStyle w:val="Default"/>
        <w:spacing w:line="360" w:lineRule="auto"/>
        <w:ind w:left="426" w:hanging="426"/>
        <w:jc w:val="both"/>
        <w:rPr>
          <w:rFonts w:ascii="Times New Roman" w:hAnsi="Times New Roman" w:cs="Times New Roman"/>
          <w:color w:val="auto"/>
        </w:rPr>
      </w:pPr>
      <w:proofErr w:type="spellStart"/>
      <w:r w:rsidRPr="00015EC5">
        <w:rPr>
          <w:rFonts w:ascii="Times New Roman" w:hAnsi="Times New Roman" w:cs="Times New Roman"/>
          <w:color w:val="auto"/>
          <w:lang w:val="en"/>
        </w:rPr>
        <w:lastRenderedPageBreak/>
        <w:t>Ingley</w:t>
      </w:r>
      <w:proofErr w:type="spellEnd"/>
      <w:r w:rsidRPr="00015EC5">
        <w:rPr>
          <w:rFonts w:ascii="Times New Roman" w:hAnsi="Times New Roman" w:cs="Times New Roman"/>
          <w:color w:val="auto"/>
          <w:lang w:val="en"/>
        </w:rPr>
        <w:t xml:space="preserve">, C. B., and N. T. Van der Walt. 2001. “The Strategic Board: The Changing Role of Directors in Developing and Maintaining Corporate Capability.” </w:t>
      </w:r>
      <w:r w:rsidRPr="00015EC5">
        <w:rPr>
          <w:rStyle w:val="Strong"/>
          <w:rFonts w:ascii="Times New Roman" w:hAnsi="Times New Roman" w:cs="Times New Roman"/>
          <w:b w:val="0"/>
          <w:i/>
          <w:color w:val="auto"/>
          <w:lang w:val="en"/>
        </w:rPr>
        <w:t>Corporate Governance: An International Review</w:t>
      </w:r>
      <w:r w:rsidRPr="00015EC5">
        <w:rPr>
          <w:rFonts w:ascii="Times New Roman" w:hAnsi="Times New Roman" w:cs="Times New Roman"/>
          <w:color w:val="auto"/>
          <w:lang w:val="en"/>
        </w:rPr>
        <w:t xml:space="preserve"> 9 (3): 174-185.</w:t>
      </w:r>
    </w:p>
    <w:p w14:paraId="37D07EAA" w14:textId="77777777" w:rsidR="00A2081E" w:rsidRPr="00015EC5" w:rsidRDefault="00D76E12" w:rsidP="00015EC5">
      <w:pPr>
        <w:autoSpaceDE w:val="0"/>
        <w:autoSpaceDN w:val="0"/>
        <w:adjustRightInd w:val="0"/>
        <w:spacing w:after="0" w:line="360" w:lineRule="auto"/>
        <w:ind w:left="426" w:hanging="426"/>
        <w:jc w:val="both"/>
        <w:rPr>
          <w:rFonts w:ascii="Times New Roman" w:hAnsi="Times New Roman" w:cs="Times New Roman"/>
          <w:sz w:val="24"/>
          <w:szCs w:val="24"/>
        </w:rPr>
      </w:pPr>
      <w:r w:rsidRPr="00015EC5">
        <w:rPr>
          <w:rFonts w:ascii="Times New Roman" w:hAnsi="Times New Roman" w:cs="Times New Roman"/>
          <w:sz w:val="24"/>
          <w:szCs w:val="24"/>
        </w:rPr>
        <w:t xml:space="preserve">International Federation of Accountants (IFAC)/Chartered Institute of Public Finance and Accountancy. 2014. </w:t>
      </w:r>
      <w:r w:rsidRPr="00015EC5">
        <w:rPr>
          <w:rFonts w:ascii="Times New Roman" w:hAnsi="Times New Roman" w:cs="Times New Roman"/>
          <w:i/>
          <w:sz w:val="24"/>
          <w:szCs w:val="24"/>
        </w:rPr>
        <w:t>International Framework: Good Governance in the Public Sector.</w:t>
      </w:r>
      <w:r w:rsidRPr="00015EC5">
        <w:rPr>
          <w:rFonts w:ascii="Times New Roman" w:hAnsi="Times New Roman" w:cs="Times New Roman"/>
          <w:sz w:val="24"/>
          <w:szCs w:val="24"/>
        </w:rPr>
        <w:t xml:space="preserve"> New York: IFAC. </w:t>
      </w:r>
    </w:p>
    <w:p w14:paraId="256BF64E" w14:textId="686E8785" w:rsidR="00A2081E" w:rsidRPr="00015EC5" w:rsidRDefault="00A2081E" w:rsidP="00015EC5">
      <w:pPr>
        <w:autoSpaceDE w:val="0"/>
        <w:autoSpaceDN w:val="0"/>
        <w:adjustRightInd w:val="0"/>
        <w:spacing w:after="0" w:line="360" w:lineRule="auto"/>
        <w:ind w:left="426" w:hanging="426"/>
        <w:jc w:val="both"/>
        <w:rPr>
          <w:rFonts w:ascii="Times New Roman" w:hAnsi="Times New Roman" w:cs="Times New Roman"/>
          <w:sz w:val="24"/>
          <w:szCs w:val="24"/>
        </w:rPr>
      </w:pPr>
      <w:r w:rsidRPr="00015EC5">
        <w:rPr>
          <w:rFonts w:ascii="Times New Roman" w:hAnsi="Times New Roman" w:cs="Times New Roman"/>
          <w:sz w:val="24"/>
          <w:szCs w:val="24"/>
        </w:rPr>
        <w:t xml:space="preserve">Jones, T., and A. Wicks. 1999. “Convergent Stakeholder Theory.” </w:t>
      </w:r>
      <w:r w:rsidRPr="00015EC5">
        <w:rPr>
          <w:rFonts w:ascii="Times New Roman" w:hAnsi="Times New Roman" w:cs="Times New Roman"/>
          <w:i/>
          <w:sz w:val="24"/>
          <w:szCs w:val="24"/>
        </w:rPr>
        <w:t>Academy of Management Review</w:t>
      </w:r>
      <w:r w:rsidRPr="00015EC5">
        <w:rPr>
          <w:rFonts w:ascii="Times New Roman" w:hAnsi="Times New Roman" w:cs="Times New Roman"/>
          <w:sz w:val="24"/>
          <w:szCs w:val="24"/>
        </w:rPr>
        <w:t xml:space="preserve"> 24 (2): 206-221.</w:t>
      </w:r>
    </w:p>
    <w:p w14:paraId="23E7280F" w14:textId="77777777" w:rsidR="00D76E12" w:rsidRPr="00015EC5" w:rsidRDefault="00D76E12" w:rsidP="00015EC5">
      <w:pPr>
        <w:autoSpaceDE w:val="0"/>
        <w:autoSpaceDN w:val="0"/>
        <w:adjustRightInd w:val="0"/>
        <w:spacing w:after="0" w:line="360" w:lineRule="auto"/>
        <w:ind w:left="426" w:hanging="426"/>
        <w:jc w:val="both"/>
        <w:rPr>
          <w:rFonts w:ascii="Times New Roman" w:hAnsi="Times New Roman" w:cs="Times New Roman"/>
          <w:sz w:val="24"/>
          <w:szCs w:val="24"/>
        </w:rPr>
      </w:pPr>
      <w:r w:rsidRPr="00015EC5">
        <w:rPr>
          <w:rFonts w:ascii="Times New Roman" w:hAnsi="Times New Roman" w:cs="Times New Roman"/>
          <w:sz w:val="24"/>
          <w:szCs w:val="24"/>
        </w:rPr>
        <w:t xml:space="preserve">Laughlin, R. 1996. “Principals and Higher Principals: Accounting for Accountability in the Caring profession.” In </w:t>
      </w:r>
      <w:r w:rsidRPr="00015EC5">
        <w:rPr>
          <w:rFonts w:ascii="Times New Roman" w:hAnsi="Times New Roman" w:cs="Times New Roman"/>
          <w:i/>
          <w:iCs/>
          <w:sz w:val="24"/>
          <w:szCs w:val="24"/>
        </w:rPr>
        <w:t>Accountability: Power, Ethos and the Technologies of Managing</w:t>
      </w:r>
      <w:r w:rsidRPr="00015EC5">
        <w:rPr>
          <w:rFonts w:ascii="Times New Roman" w:hAnsi="Times New Roman" w:cs="Times New Roman"/>
          <w:iCs/>
          <w:sz w:val="24"/>
          <w:szCs w:val="24"/>
        </w:rPr>
        <w:t xml:space="preserve">, edited by </w:t>
      </w:r>
      <w:r w:rsidRPr="00015EC5">
        <w:rPr>
          <w:rFonts w:ascii="Times New Roman" w:hAnsi="Times New Roman" w:cs="Times New Roman"/>
          <w:sz w:val="24"/>
          <w:szCs w:val="24"/>
        </w:rPr>
        <w:t xml:space="preserve">R. Munro and J. </w:t>
      </w:r>
      <w:proofErr w:type="spellStart"/>
      <w:r w:rsidRPr="00015EC5">
        <w:rPr>
          <w:rFonts w:ascii="Times New Roman" w:hAnsi="Times New Roman" w:cs="Times New Roman"/>
          <w:sz w:val="24"/>
          <w:szCs w:val="24"/>
        </w:rPr>
        <w:t>Mouritsen</w:t>
      </w:r>
      <w:proofErr w:type="spellEnd"/>
      <w:r w:rsidRPr="00015EC5">
        <w:rPr>
          <w:rFonts w:ascii="Times New Roman" w:hAnsi="Times New Roman" w:cs="Times New Roman"/>
          <w:sz w:val="24"/>
          <w:szCs w:val="24"/>
        </w:rPr>
        <w:t xml:space="preserve">. London: International Thomson Business Press. </w:t>
      </w:r>
    </w:p>
    <w:p w14:paraId="75F87CA5" w14:textId="77777777" w:rsidR="00D76E12" w:rsidRPr="00015EC5" w:rsidRDefault="00D76E12" w:rsidP="00015EC5">
      <w:pPr>
        <w:spacing w:after="0" w:line="360" w:lineRule="auto"/>
        <w:ind w:left="426" w:hanging="426"/>
        <w:jc w:val="both"/>
        <w:rPr>
          <w:rFonts w:ascii="Times New Roman" w:hAnsi="Times New Roman" w:cs="Times New Roman"/>
          <w:sz w:val="24"/>
          <w:szCs w:val="24"/>
        </w:rPr>
      </w:pPr>
      <w:proofErr w:type="spellStart"/>
      <w:r w:rsidRPr="00015EC5">
        <w:rPr>
          <w:rStyle w:val="italic1"/>
          <w:rFonts w:ascii="Times New Roman" w:hAnsi="Times New Roman" w:cs="Times New Roman"/>
          <w:i w:val="0"/>
          <w:sz w:val="24"/>
          <w:szCs w:val="24"/>
        </w:rPr>
        <w:t>Mäkelä</w:t>
      </w:r>
      <w:proofErr w:type="spellEnd"/>
      <w:r w:rsidRPr="00015EC5">
        <w:rPr>
          <w:rStyle w:val="italic1"/>
          <w:rFonts w:ascii="Times New Roman" w:hAnsi="Times New Roman" w:cs="Times New Roman"/>
          <w:i w:val="0"/>
          <w:sz w:val="24"/>
          <w:szCs w:val="24"/>
        </w:rPr>
        <w:t xml:space="preserve">, H., and S. </w:t>
      </w:r>
      <w:proofErr w:type="spellStart"/>
      <w:r w:rsidRPr="00015EC5">
        <w:rPr>
          <w:rStyle w:val="italic1"/>
          <w:rFonts w:ascii="Times New Roman" w:hAnsi="Times New Roman" w:cs="Times New Roman"/>
          <w:i w:val="0"/>
          <w:sz w:val="24"/>
          <w:szCs w:val="24"/>
        </w:rPr>
        <w:t>Näsi</w:t>
      </w:r>
      <w:proofErr w:type="spellEnd"/>
      <w:r w:rsidRPr="00015EC5">
        <w:rPr>
          <w:rStyle w:val="italic1"/>
          <w:rFonts w:ascii="Times New Roman" w:hAnsi="Times New Roman" w:cs="Times New Roman"/>
          <w:i w:val="0"/>
          <w:sz w:val="24"/>
          <w:szCs w:val="24"/>
        </w:rPr>
        <w:t>. 2010. “</w:t>
      </w:r>
      <w:r w:rsidRPr="00015EC5">
        <w:rPr>
          <w:rFonts w:ascii="Times New Roman" w:hAnsi="Times New Roman" w:cs="Times New Roman"/>
          <w:bCs/>
          <w:sz w:val="24"/>
          <w:szCs w:val="24"/>
        </w:rPr>
        <w:t xml:space="preserve">Social Responsibilities of MNCs in Downsizing Operations: A Finnish Forest Sector Case </w:t>
      </w:r>
      <w:proofErr w:type="spellStart"/>
      <w:r w:rsidRPr="00015EC5">
        <w:rPr>
          <w:rFonts w:ascii="Times New Roman" w:hAnsi="Times New Roman" w:cs="Times New Roman"/>
          <w:bCs/>
          <w:sz w:val="24"/>
          <w:szCs w:val="24"/>
        </w:rPr>
        <w:t>Analyzed</w:t>
      </w:r>
      <w:proofErr w:type="spellEnd"/>
      <w:r w:rsidRPr="00015EC5">
        <w:rPr>
          <w:rFonts w:ascii="Times New Roman" w:hAnsi="Times New Roman" w:cs="Times New Roman"/>
          <w:bCs/>
          <w:sz w:val="24"/>
          <w:szCs w:val="24"/>
        </w:rPr>
        <w:t xml:space="preserve"> from the Stakeholder, Social Contract and Legitimacy Theory Point of View.”</w:t>
      </w:r>
      <w:r w:rsidRPr="00015EC5">
        <w:rPr>
          <w:rFonts w:ascii="Times New Roman" w:hAnsi="Times New Roman" w:cs="Times New Roman"/>
          <w:sz w:val="24"/>
          <w:szCs w:val="24"/>
        </w:rPr>
        <w:t xml:space="preserve"> </w:t>
      </w:r>
      <w:r w:rsidRPr="00015EC5">
        <w:rPr>
          <w:rStyle w:val="bold1"/>
          <w:rFonts w:ascii="Times New Roman" w:hAnsi="Times New Roman" w:cs="Times New Roman"/>
          <w:b w:val="0"/>
          <w:i/>
          <w:sz w:val="24"/>
          <w:szCs w:val="24"/>
        </w:rPr>
        <w:t xml:space="preserve">Accounting, Auditing &amp; Accountability Journal </w:t>
      </w:r>
      <w:r w:rsidRPr="00015EC5">
        <w:rPr>
          <w:rFonts w:ascii="Times New Roman" w:hAnsi="Times New Roman" w:cs="Times New Roman"/>
          <w:sz w:val="24"/>
          <w:szCs w:val="24"/>
        </w:rPr>
        <w:t xml:space="preserve">23 (2): 149-174. </w:t>
      </w:r>
    </w:p>
    <w:p w14:paraId="58D2C4CB" w14:textId="77777777" w:rsidR="00D76E12" w:rsidRPr="00015EC5" w:rsidRDefault="00D76E12" w:rsidP="00015EC5">
      <w:pPr>
        <w:spacing w:after="0" w:line="360" w:lineRule="auto"/>
        <w:ind w:left="426" w:hanging="426"/>
        <w:jc w:val="both"/>
        <w:rPr>
          <w:rFonts w:ascii="Times New Roman" w:hAnsi="Times New Roman" w:cs="Times New Roman"/>
          <w:sz w:val="24"/>
          <w:szCs w:val="24"/>
        </w:rPr>
      </w:pPr>
      <w:r w:rsidRPr="00015EC5">
        <w:rPr>
          <w:rFonts w:ascii="Times New Roman" w:hAnsi="Times New Roman" w:cs="Times New Roman"/>
          <w:sz w:val="24"/>
          <w:szCs w:val="24"/>
        </w:rPr>
        <w:t xml:space="preserve">Mitchell, R. K, </w:t>
      </w:r>
      <w:proofErr w:type="spellStart"/>
      <w:r w:rsidRPr="00015EC5">
        <w:rPr>
          <w:rFonts w:ascii="Times New Roman" w:hAnsi="Times New Roman" w:cs="Times New Roman"/>
          <w:sz w:val="24"/>
          <w:szCs w:val="24"/>
        </w:rPr>
        <w:t>Agle</w:t>
      </w:r>
      <w:proofErr w:type="spellEnd"/>
      <w:r w:rsidRPr="00015EC5">
        <w:rPr>
          <w:rFonts w:ascii="Times New Roman" w:hAnsi="Times New Roman" w:cs="Times New Roman"/>
          <w:sz w:val="24"/>
          <w:szCs w:val="24"/>
        </w:rPr>
        <w:t xml:space="preserve">, B. R., and D. J. Wood. 1997. “Toward a Theory of Stakeholder Identification and Salience: Defining the Principle of Who and What Really Counts.” </w:t>
      </w:r>
      <w:r w:rsidRPr="00015EC5">
        <w:rPr>
          <w:rFonts w:ascii="Times New Roman" w:hAnsi="Times New Roman" w:cs="Times New Roman"/>
          <w:i/>
          <w:sz w:val="24"/>
          <w:szCs w:val="24"/>
        </w:rPr>
        <w:t>Academy of Management Review</w:t>
      </w:r>
      <w:r w:rsidRPr="00015EC5">
        <w:rPr>
          <w:rFonts w:ascii="Times New Roman" w:hAnsi="Times New Roman" w:cs="Times New Roman"/>
          <w:sz w:val="24"/>
          <w:szCs w:val="24"/>
        </w:rPr>
        <w:t xml:space="preserve"> 22 (4): 853-886. </w:t>
      </w:r>
    </w:p>
    <w:p w14:paraId="28D48D85" w14:textId="5A8AACF7" w:rsidR="00D76E12" w:rsidRPr="00015EC5" w:rsidRDefault="00D76E12" w:rsidP="00015EC5">
      <w:pPr>
        <w:autoSpaceDE w:val="0"/>
        <w:autoSpaceDN w:val="0"/>
        <w:adjustRightInd w:val="0"/>
        <w:spacing w:after="0" w:line="360" w:lineRule="auto"/>
        <w:ind w:left="426" w:hanging="426"/>
        <w:jc w:val="both"/>
        <w:rPr>
          <w:rFonts w:ascii="Times New Roman" w:hAnsi="Times New Roman" w:cs="Times New Roman"/>
          <w:sz w:val="24"/>
          <w:szCs w:val="24"/>
        </w:rPr>
      </w:pPr>
      <w:proofErr w:type="spellStart"/>
      <w:r w:rsidRPr="00015EC5">
        <w:rPr>
          <w:rFonts w:ascii="Times New Roman" w:hAnsi="Times New Roman" w:cs="Times New Roman"/>
          <w:sz w:val="24"/>
          <w:szCs w:val="24"/>
        </w:rPr>
        <w:t>O’Dwyer</w:t>
      </w:r>
      <w:proofErr w:type="spellEnd"/>
      <w:r w:rsidRPr="00015EC5">
        <w:rPr>
          <w:rFonts w:ascii="Times New Roman" w:hAnsi="Times New Roman" w:cs="Times New Roman"/>
          <w:sz w:val="24"/>
          <w:szCs w:val="24"/>
        </w:rPr>
        <w:t xml:space="preserve">, B., and J. </w:t>
      </w:r>
      <w:proofErr w:type="spellStart"/>
      <w:r w:rsidRPr="00015EC5">
        <w:rPr>
          <w:rFonts w:ascii="Times New Roman" w:hAnsi="Times New Roman" w:cs="Times New Roman"/>
          <w:sz w:val="24"/>
          <w:szCs w:val="24"/>
        </w:rPr>
        <w:t>Unerman</w:t>
      </w:r>
      <w:proofErr w:type="spellEnd"/>
      <w:r w:rsidRPr="00015EC5">
        <w:rPr>
          <w:rFonts w:ascii="Times New Roman" w:hAnsi="Times New Roman" w:cs="Times New Roman"/>
          <w:sz w:val="24"/>
          <w:szCs w:val="24"/>
        </w:rPr>
        <w:t xml:space="preserve">. 2007. </w:t>
      </w:r>
      <w:r w:rsidR="003B05DF" w:rsidRPr="00015EC5">
        <w:rPr>
          <w:rFonts w:ascii="Times New Roman" w:hAnsi="Times New Roman" w:cs="Times New Roman"/>
          <w:sz w:val="24"/>
          <w:szCs w:val="24"/>
        </w:rPr>
        <w:t>“</w:t>
      </w:r>
      <w:r w:rsidRPr="00015EC5">
        <w:rPr>
          <w:rFonts w:ascii="Times New Roman" w:hAnsi="Times New Roman" w:cs="Times New Roman"/>
          <w:sz w:val="24"/>
          <w:szCs w:val="24"/>
        </w:rPr>
        <w:t xml:space="preserve">From Functional to Social Accountability: Transforming the Accountability Relationship between Funders and Non-governmental Development Organisations.” </w:t>
      </w:r>
      <w:r w:rsidRPr="00015EC5">
        <w:rPr>
          <w:rFonts w:ascii="Times New Roman" w:hAnsi="Times New Roman" w:cs="Times New Roman"/>
          <w:i/>
          <w:iCs/>
          <w:sz w:val="24"/>
          <w:szCs w:val="24"/>
        </w:rPr>
        <w:t>Accounting, Auditing &amp; Accountability Journal</w:t>
      </w:r>
      <w:r w:rsidR="00287B5C">
        <w:rPr>
          <w:rFonts w:ascii="Times New Roman" w:hAnsi="Times New Roman" w:cs="Times New Roman"/>
          <w:sz w:val="24"/>
          <w:szCs w:val="24"/>
        </w:rPr>
        <w:t xml:space="preserve"> </w:t>
      </w:r>
      <w:r w:rsidRPr="00015EC5">
        <w:rPr>
          <w:rFonts w:ascii="Times New Roman" w:hAnsi="Times New Roman" w:cs="Times New Roman"/>
          <w:sz w:val="24"/>
          <w:szCs w:val="24"/>
        </w:rPr>
        <w:t xml:space="preserve">20 (3): 446-471. </w:t>
      </w:r>
    </w:p>
    <w:p w14:paraId="7D45DEC3" w14:textId="77777777" w:rsidR="00D76E12" w:rsidRPr="00015EC5" w:rsidRDefault="00D76E12" w:rsidP="00015EC5">
      <w:pPr>
        <w:pStyle w:val="Default"/>
        <w:spacing w:line="360" w:lineRule="auto"/>
        <w:ind w:left="426" w:hanging="426"/>
        <w:jc w:val="both"/>
        <w:rPr>
          <w:rFonts w:ascii="Times New Roman" w:hAnsi="Times New Roman" w:cs="Times New Roman"/>
          <w:i/>
          <w:color w:val="auto"/>
        </w:rPr>
      </w:pPr>
      <w:r w:rsidRPr="00015EC5">
        <w:rPr>
          <w:rFonts w:ascii="Times New Roman" w:hAnsi="Times New Roman" w:cs="Times New Roman"/>
          <w:color w:val="auto"/>
        </w:rPr>
        <w:t xml:space="preserve">Office of the First Minister and Deputy First Minister (OFMDFM). 2014. </w:t>
      </w:r>
      <w:r w:rsidRPr="00015EC5">
        <w:rPr>
          <w:rFonts w:ascii="Times New Roman" w:hAnsi="Times New Roman" w:cs="Times New Roman"/>
          <w:i/>
          <w:color w:val="auto"/>
        </w:rPr>
        <w:t xml:space="preserve">Public Bodies and Public Appointments: Annual Report 2013/14. </w:t>
      </w:r>
      <w:r w:rsidRPr="00015EC5">
        <w:rPr>
          <w:rFonts w:ascii="Times New Roman" w:hAnsi="Times New Roman" w:cs="Times New Roman"/>
          <w:color w:val="auto"/>
        </w:rPr>
        <w:t>Belfast: OFMDFM.</w:t>
      </w:r>
      <w:r w:rsidRPr="00015EC5">
        <w:rPr>
          <w:rFonts w:ascii="Times New Roman" w:hAnsi="Times New Roman" w:cs="Times New Roman"/>
          <w:i/>
          <w:color w:val="auto"/>
        </w:rPr>
        <w:t xml:space="preserve"> </w:t>
      </w:r>
    </w:p>
    <w:p w14:paraId="7C7FC88F" w14:textId="77777777" w:rsidR="00D76E12" w:rsidRPr="00015EC5" w:rsidRDefault="00D76E12" w:rsidP="00015EC5">
      <w:pPr>
        <w:spacing w:after="0" w:line="360" w:lineRule="auto"/>
        <w:ind w:left="426" w:hanging="426"/>
        <w:jc w:val="both"/>
        <w:rPr>
          <w:rFonts w:ascii="Times New Roman" w:hAnsi="Times New Roman" w:cs="Times New Roman"/>
          <w:sz w:val="24"/>
          <w:szCs w:val="24"/>
          <w:lang w:eastAsia="en-GB"/>
        </w:rPr>
      </w:pPr>
      <w:r w:rsidRPr="00015EC5">
        <w:rPr>
          <w:rFonts w:ascii="Times New Roman" w:hAnsi="Times New Roman" w:cs="Times New Roman"/>
          <w:sz w:val="24"/>
          <w:szCs w:val="24"/>
        </w:rPr>
        <w:t xml:space="preserve">Overman, S., and S. van </w:t>
      </w:r>
      <w:proofErr w:type="spellStart"/>
      <w:r w:rsidRPr="00015EC5">
        <w:rPr>
          <w:rFonts w:ascii="Times New Roman" w:hAnsi="Times New Roman" w:cs="Times New Roman"/>
          <w:sz w:val="24"/>
          <w:szCs w:val="24"/>
        </w:rPr>
        <w:t>Thiel</w:t>
      </w:r>
      <w:proofErr w:type="spellEnd"/>
      <w:r w:rsidRPr="00015EC5">
        <w:rPr>
          <w:rFonts w:ascii="Times New Roman" w:hAnsi="Times New Roman" w:cs="Times New Roman"/>
          <w:sz w:val="24"/>
          <w:szCs w:val="24"/>
        </w:rPr>
        <w:t xml:space="preserve">. 2016. “Agencification and Public Sector Performance: A Systematic Comparison in 20 Countries.” </w:t>
      </w:r>
      <w:r w:rsidRPr="00015EC5">
        <w:rPr>
          <w:rFonts w:ascii="Times New Roman" w:hAnsi="Times New Roman" w:cs="Times New Roman"/>
          <w:i/>
          <w:sz w:val="24"/>
          <w:szCs w:val="24"/>
        </w:rPr>
        <w:t>Public Management Review</w:t>
      </w:r>
      <w:r w:rsidRPr="00015EC5">
        <w:rPr>
          <w:rFonts w:ascii="Times New Roman" w:hAnsi="Times New Roman" w:cs="Times New Roman"/>
          <w:sz w:val="24"/>
          <w:szCs w:val="24"/>
        </w:rPr>
        <w:t xml:space="preserve"> 18 (4): 611-635.</w:t>
      </w:r>
    </w:p>
    <w:p w14:paraId="4D3E218A" w14:textId="77777777" w:rsidR="00D76E12" w:rsidRPr="00015EC5" w:rsidRDefault="00D76E12" w:rsidP="00015EC5">
      <w:pPr>
        <w:pStyle w:val="BodyTextIndent"/>
        <w:spacing w:after="0" w:line="360" w:lineRule="auto"/>
        <w:ind w:left="426" w:hanging="426"/>
        <w:jc w:val="both"/>
        <w:rPr>
          <w:rFonts w:ascii="Times New Roman" w:hAnsi="Times New Roman" w:cs="Times New Roman"/>
          <w:sz w:val="24"/>
          <w:szCs w:val="24"/>
        </w:rPr>
      </w:pPr>
      <w:r w:rsidRPr="00015EC5">
        <w:rPr>
          <w:rFonts w:ascii="Times New Roman" w:hAnsi="Times New Roman" w:cs="Times New Roman"/>
          <w:sz w:val="24"/>
          <w:szCs w:val="24"/>
        </w:rPr>
        <w:t xml:space="preserve">Patton, J. M. 1992. “Accountability and Governmental Financial Reporting.” </w:t>
      </w:r>
      <w:r w:rsidRPr="00015EC5">
        <w:rPr>
          <w:rFonts w:ascii="Times New Roman" w:hAnsi="Times New Roman" w:cs="Times New Roman"/>
          <w:i/>
          <w:sz w:val="24"/>
          <w:szCs w:val="24"/>
        </w:rPr>
        <w:t>Financial Accountability &amp; Management</w:t>
      </w:r>
      <w:r w:rsidRPr="00015EC5">
        <w:rPr>
          <w:rFonts w:ascii="Times New Roman" w:hAnsi="Times New Roman" w:cs="Times New Roman"/>
          <w:sz w:val="24"/>
          <w:szCs w:val="24"/>
        </w:rPr>
        <w:t xml:space="preserve"> 8 (3): 165-180. </w:t>
      </w:r>
    </w:p>
    <w:p w14:paraId="63999441" w14:textId="77777777" w:rsidR="00D76E12" w:rsidRPr="00015EC5" w:rsidRDefault="00D76E12" w:rsidP="00015EC5">
      <w:pPr>
        <w:pStyle w:val="BodyTextIndent"/>
        <w:spacing w:after="0" w:line="360" w:lineRule="auto"/>
        <w:ind w:left="426" w:hanging="426"/>
        <w:jc w:val="both"/>
        <w:rPr>
          <w:rFonts w:ascii="Times New Roman" w:hAnsi="Times New Roman" w:cs="Times New Roman"/>
          <w:sz w:val="24"/>
          <w:szCs w:val="24"/>
        </w:rPr>
      </w:pPr>
      <w:r w:rsidRPr="00015EC5">
        <w:rPr>
          <w:rFonts w:ascii="Times New Roman" w:hAnsi="Times New Roman" w:cs="Times New Roman"/>
          <w:sz w:val="24"/>
          <w:szCs w:val="24"/>
        </w:rPr>
        <w:t xml:space="preserve">Pollitt, C., Bathgate, K., Caulfield, J., </w:t>
      </w:r>
      <w:proofErr w:type="spellStart"/>
      <w:r w:rsidRPr="00015EC5">
        <w:rPr>
          <w:rFonts w:ascii="Times New Roman" w:hAnsi="Times New Roman" w:cs="Times New Roman"/>
          <w:sz w:val="24"/>
          <w:szCs w:val="24"/>
        </w:rPr>
        <w:t>Smullen</w:t>
      </w:r>
      <w:proofErr w:type="spellEnd"/>
      <w:r w:rsidRPr="00015EC5">
        <w:rPr>
          <w:rFonts w:ascii="Times New Roman" w:hAnsi="Times New Roman" w:cs="Times New Roman"/>
          <w:sz w:val="24"/>
          <w:szCs w:val="24"/>
        </w:rPr>
        <w:t xml:space="preserve">, A., and C. Talbot. 2001. </w:t>
      </w:r>
      <w:r w:rsidRPr="00015EC5">
        <w:rPr>
          <w:rFonts w:ascii="Times New Roman" w:eastAsia="AdvOTc3272e35+20" w:hAnsi="Times New Roman" w:cs="Times New Roman"/>
          <w:sz w:val="24"/>
          <w:szCs w:val="24"/>
        </w:rPr>
        <w:t>“</w:t>
      </w:r>
      <w:r w:rsidRPr="00015EC5">
        <w:rPr>
          <w:rFonts w:ascii="Times New Roman" w:hAnsi="Times New Roman" w:cs="Times New Roman"/>
          <w:sz w:val="24"/>
          <w:szCs w:val="24"/>
        </w:rPr>
        <w:t>Agency Fever? Analysis of an International Policy Fashion.</w:t>
      </w:r>
      <w:r w:rsidRPr="00015EC5">
        <w:rPr>
          <w:rFonts w:ascii="Times New Roman" w:eastAsia="AdvOTc3272e35+20" w:hAnsi="Times New Roman" w:cs="Times New Roman"/>
          <w:sz w:val="24"/>
          <w:szCs w:val="24"/>
        </w:rPr>
        <w:t xml:space="preserve">” </w:t>
      </w:r>
      <w:r w:rsidRPr="00015EC5">
        <w:rPr>
          <w:rFonts w:ascii="Times New Roman" w:hAnsi="Times New Roman" w:cs="Times New Roman"/>
          <w:i/>
          <w:sz w:val="24"/>
          <w:szCs w:val="24"/>
        </w:rPr>
        <w:t>Journal of Comparative Policy Analysis: Research and Practice</w:t>
      </w:r>
      <w:r w:rsidRPr="00015EC5">
        <w:rPr>
          <w:rFonts w:ascii="Times New Roman" w:hAnsi="Times New Roman" w:cs="Times New Roman"/>
          <w:sz w:val="24"/>
          <w:szCs w:val="24"/>
        </w:rPr>
        <w:t xml:space="preserve"> 3 (3): 271</w:t>
      </w:r>
      <w:r w:rsidRPr="00015EC5">
        <w:rPr>
          <w:rFonts w:ascii="Times New Roman" w:eastAsia="AdvOTc3272e35+20" w:hAnsi="Times New Roman" w:cs="Times New Roman"/>
          <w:sz w:val="24"/>
          <w:szCs w:val="24"/>
        </w:rPr>
        <w:t>-</w:t>
      </w:r>
      <w:r w:rsidRPr="00015EC5">
        <w:rPr>
          <w:rFonts w:ascii="Times New Roman" w:hAnsi="Times New Roman" w:cs="Times New Roman"/>
          <w:sz w:val="24"/>
          <w:szCs w:val="24"/>
        </w:rPr>
        <w:t>290.</w:t>
      </w:r>
    </w:p>
    <w:p w14:paraId="15D97BC0" w14:textId="77777777" w:rsidR="00D76E12" w:rsidRPr="00015EC5" w:rsidRDefault="00D76E12" w:rsidP="00015EC5">
      <w:pPr>
        <w:pStyle w:val="BodyTextIndent"/>
        <w:spacing w:after="0" w:line="360" w:lineRule="auto"/>
        <w:ind w:left="426" w:hanging="426"/>
        <w:jc w:val="both"/>
        <w:rPr>
          <w:rFonts w:ascii="Times New Roman" w:hAnsi="Times New Roman" w:cs="Times New Roman"/>
          <w:sz w:val="24"/>
          <w:szCs w:val="24"/>
        </w:rPr>
      </w:pPr>
      <w:r w:rsidRPr="00015EC5">
        <w:rPr>
          <w:rFonts w:ascii="Times New Roman" w:hAnsi="Times New Roman" w:cs="Times New Roman"/>
          <w:sz w:val="24"/>
          <w:szCs w:val="24"/>
        </w:rPr>
        <w:t xml:space="preserve">Power, M. 1997. </w:t>
      </w:r>
      <w:r w:rsidRPr="00015EC5">
        <w:rPr>
          <w:rFonts w:ascii="Times New Roman" w:hAnsi="Times New Roman" w:cs="Times New Roman"/>
          <w:i/>
          <w:sz w:val="24"/>
          <w:szCs w:val="24"/>
        </w:rPr>
        <w:t>The Audit Society</w:t>
      </w:r>
      <w:r w:rsidRPr="00015EC5">
        <w:rPr>
          <w:rFonts w:ascii="Times New Roman" w:hAnsi="Times New Roman" w:cs="Times New Roman"/>
          <w:sz w:val="24"/>
          <w:szCs w:val="24"/>
        </w:rPr>
        <w:t>. Oxford: Oxford University Press.</w:t>
      </w:r>
    </w:p>
    <w:p w14:paraId="536D2B12" w14:textId="5C1394D8" w:rsidR="00D76E12" w:rsidRPr="0020584E" w:rsidRDefault="00D76E12" w:rsidP="00D803FA">
      <w:pPr>
        <w:pStyle w:val="BodyTextIndent"/>
        <w:spacing w:after="0" w:line="360" w:lineRule="auto"/>
        <w:ind w:left="426" w:hanging="426"/>
        <w:jc w:val="both"/>
        <w:rPr>
          <w:rFonts w:ascii="Times New Roman" w:hAnsi="Times New Roman" w:cs="Times New Roman"/>
          <w:sz w:val="24"/>
          <w:szCs w:val="24"/>
        </w:rPr>
      </w:pPr>
      <w:r w:rsidRPr="00D803FA">
        <w:rPr>
          <w:rFonts w:ascii="Times New Roman" w:hAnsi="Times New Roman" w:cs="Times New Roman"/>
          <w:sz w:val="24"/>
          <w:szCs w:val="24"/>
        </w:rPr>
        <w:lastRenderedPageBreak/>
        <w:t xml:space="preserve">Professional Accountants in Business Committee. 2004. </w:t>
      </w:r>
      <w:r w:rsidRPr="00D803FA">
        <w:rPr>
          <w:rFonts w:ascii="Times New Roman" w:hAnsi="Times New Roman" w:cs="Times New Roman"/>
          <w:i/>
          <w:sz w:val="24"/>
          <w:szCs w:val="24"/>
        </w:rPr>
        <w:t>Enterprise Governance: Getting the Balance Right</w:t>
      </w:r>
      <w:r w:rsidRPr="00D803FA">
        <w:rPr>
          <w:rFonts w:ascii="Times New Roman" w:hAnsi="Times New Roman" w:cs="Times New Roman"/>
          <w:sz w:val="24"/>
          <w:szCs w:val="24"/>
        </w:rPr>
        <w:t xml:space="preserve">. </w:t>
      </w:r>
      <w:r w:rsidR="00243E65" w:rsidRPr="00D803FA">
        <w:rPr>
          <w:rFonts w:ascii="Times New Roman" w:hAnsi="Times New Roman" w:cs="Times New Roman"/>
          <w:sz w:val="24"/>
          <w:szCs w:val="24"/>
        </w:rPr>
        <w:t>https://www.ifac.org/publications-resources/enterprise-governance-getting-balance-right</w:t>
      </w:r>
      <w:r w:rsidR="00243E65" w:rsidRPr="0020584E">
        <w:rPr>
          <w:rFonts w:ascii="Times New Roman" w:hAnsi="Times New Roman" w:cs="Times New Roman"/>
          <w:sz w:val="24"/>
          <w:szCs w:val="24"/>
        </w:rPr>
        <w:t>.</w:t>
      </w:r>
    </w:p>
    <w:p w14:paraId="73ABCD01" w14:textId="2E347129" w:rsidR="00243E65" w:rsidRPr="0020584E" w:rsidRDefault="00243E65" w:rsidP="00D803FA">
      <w:pPr>
        <w:pStyle w:val="BodyTextIndent"/>
        <w:spacing w:after="0" w:line="360" w:lineRule="auto"/>
        <w:ind w:left="426" w:hanging="426"/>
        <w:jc w:val="both"/>
        <w:rPr>
          <w:rFonts w:ascii="Times New Roman" w:hAnsi="Times New Roman" w:cs="Times New Roman"/>
          <w:sz w:val="24"/>
          <w:szCs w:val="24"/>
        </w:rPr>
      </w:pPr>
      <w:r w:rsidRPr="0020584E">
        <w:rPr>
          <w:rFonts w:ascii="Times New Roman" w:hAnsi="Times New Roman" w:cs="Times New Roman"/>
          <w:sz w:val="24"/>
          <w:szCs w:val="24"/>
        </w:rPr>
        <w:t>Public Sector Commission. 2016</w:t>
      </w:r>
      <w:r w:rsidRPr="00D803FA">
        <w:rPr>
          <w:rFonts w:ascii="Times New Roman" w:hAnsi="Times New Roman" w:cs="Times New Roman"/>
          <w:sz w:val="24"/>
          <w:szCs w:val="24"/>
        </w:rPr>
        <w:t xml:space="preserve">. </w:t>
      </w:r>
      <w:r w:rsidRPr="00D803FA">
        <w:rPr>
          <w:rFonts w:ascii="Times New Roman" w:hAnsi="Times New Roman" w:cs="Times New Roman"/>
          <w:i/>
          <w:sz w:val="24"/>
          <w:szCs w:val="24"/>
        </w:rPr>
        <w:t>Good Governance Principles for Western Australian Boards and Committees: Succession Planning.</w:t>
      </w:r>
      <w:r w:rsidRPr="0020584E">
        <w:rPr>
          <w:rFonts w:ascii="Times New Roman" w:hAnsi="Times New Roman" w:cs="Times New Roman"/>
          <w:i/>
          <w:sz w:val="24"/>
          <w:szCs w:val="24"/>
        </w:rPr>
        <w:t xml:space="preserve"> </w:t>
      </w:r>
      <w:r w:rsidRPr="00D803FA">
        <w:rPr>
          <w:rFonts w:ascii="Times New Roman" w:hAnsi="Times New Roman" w:cs="Times New Roman"/>
          <w:sz w:val="24"/>
          <w:szCs w:val="24"/>
        </w:rPr>
        <w:t>https://publicsector.wa.gov.au/public-administration/public-sector-governance/good-governance-wa-boards-and-committees/resources/succession-planning</w:t>
      </w:r>
      <w:r w:rsidRPr="0020584E">
        <w:rPr>
          <w:rFonts w:ascii="Times New Roman" w:hAnsi="Times New Roman" w:cs="Times New Roman"/>
          <w:sz w:val="24"/>
          <w:szCs w:val="24"/>
        </w:rPr>
        <w:t>.</w:t>
      </w:r>
    </w:p>
    <w:p w14:paraId="1E1A45D5" w14:textId="77777777" w:rsidR="00D76E12" w:rsidRPr="00E340E0" w:rsidRDefault="00D76E12" w:rsidP="00D803FA">
      <w:pPr>
        <w:autoSpaceDE w:val="0"/>
        <w:autoSpaceDN w:val="0"/>
        <w:adjustRightInd w:val="0"/>
        <w:spacing w:after="0" w:line="360" w:lineRule="auto"/>
        <w:ind w:left="426" w:hanging="426"/>
        <w:jc w:val="both"/>
        <w:rPr>
          <w:rFonts w:ascii="Times New Roman" w:hAnsi="Times New Roman" w:cs="Times New Roman"/>
          <w:sz w:val="24"/>
          <w:szCs w:val="24"/>
        </w:rPr>
      </w:pPr>
      <w:r w:rsidRPr="00D803FA">
        <w:rPr>
          <w:rFonts w:ascii="Times New Roman" w:hAnsi="Times New Roman" w:cs="Times New Roman"/>
          <w:sz w:val="24"/>
          <w:szCs w:val="24"/>
        </w:rPr>
        <w:t xml:space="preserve">Reynolds, M., and K. </w:t>
      </w:r>
      <w:proofErr w:type="spellStart"/>
      <w:r w:rsidRPr="00D803FA">
        <w:rPr>
          <w:rFonts w:ascii="Times New Roman" w:hAnsi="Times New Roman" w:cs="Times New Roman"/>
          <w:sz w:val="24"/>
          <w:szCs w:val="24"/>
        </w:rPr>
        <w:t>Yuthas</w:t>
      </w:r>
      <w:proofErr w:type="spellEnd"/>
      <w:r w:rsidRPr="00D803FA">
        <w:rPr>
          <w:rFonts w:ascii="Times New Roman" w:hAnsi="Times New Roman" w:cs="Times New Roman"/>
          <w:sz w:val="24"/>
          <w:szCs w:val="24"/>
        </w:rPr>
        <w:t xml:space="preserve">. 2008. “Moral Discourse and Corporate Social Responsibility Reporting.” </w:t>
      </w:r>
      <w:r w:rsidRPr="00EB2D5F">
        <w:rPr>
          <w:rFonts w:ascii="Times New Roman" w:hAnsi="Times New Roman" w:cs="Times New Roman"/>
          <w:i/>
          <w:sz w:val="24"/>
          <w:szCs w:val="24"/>
        </w:rPr>
        <w:t>Journal of Business Ethics</w:t>
      </w:r>
      <w:r w:rsidRPr="00E340E0">
        <w:rPr>
          <w:rFonts w:ascii="Times New Roman" w:hAnsi="Times New Roman" w:cs="Times New Roman"/>
          <w:sz w:val="24"/>
          <w:szCs w:val="24"/>
        </w:rPr>
        <w:t xml:space="preserve"> 78 (1): 47-64. </w:t>
      </w:r>
    </w:p>
    <w:p w14:paraId="70F5AC41" w14:textId="77777777" w:rsidR="00D76E12" w:rsidRPr="00FB74CA" w:rsidRDefault="00D76E12" w:rsidP="00EB2D5F">
      <w:pPr>
        <w:pStyle w:val="body-paragraph"/>
        <w:shd w:val="clear" w:color="auto" w:fill="FFFFFF"/>
        <w:spacing w:after="0" w:line="360" w:lineRule="auto"/>
        <w:ind w:left="426" w:hanging="426"/>
        <w:jc w:val="both"/>
        <w:rPr>
          <w:sz w:val="24"/>
          <w:szCs w:val="24"/>
        </w:rPr>
      </w:pPr>
      <w:r w:rsidRPr="00E340E0">
        <w:rPr>
          <w:sz w:val="24"/>
          <w:szCs w:val="24"/>
        </w:rPr>
        <w:t xml:space="preserve">Roberts, J. 1991. “The Possibilities of Accountability.” </w:t>
      </w:r>
      <w:r w:rsidRPr="00E340E0">
        <w:rPr>
          <w:i/>
          <w:sz w:val="24"/>
          <w:szCs w:val="24"/>
        </w:rPr>
        <w:t>Accounting, Organizations and Society</w:t>
      </w:r>
      <w:r w:rsidRPr="00FB74CA">
        <w:rPr>
          <w:sz w:val="24"/>
          <w:szCs w:val="24"/>
        </w:rPr>
        <w:t xml:space="preserve"> 16 (4): 355-368. </w:t>
      </w:r>
    </w:p>
    <w:p w14:paraId="1BDE3C71" w14:textId="77777777" w:rsidR="00D76E12" w:rsidRPr="00015EC5" w:rsidRDefault="00D76E12" w:rsidP="00FB74CA">
      <w:pPr>
        <w:spacing w:after="0" w:line="360" w:lineRule="auto"/>
        <w:ind w:left="426" w:hanging="426"/>
        <w:jc w:val="both"/>
        <w:rPr>
          <w:rFonts w:ascii="Times New Roman" w:hAnsi="Times New Roman" w:cs="Times New Roman"/>
          <w:sz w:val="24"/>
          <w:szCs w:val="24"/>
        </w:rPr>
      </w:pPr>
      <w:proofErr w:type="spellStart"/>
      <w:r w:rsidRPr="008B6361">
        <w:rPr>
          <w:rFonts w:ascii="Times New Roman" w:hAnsi="Times New Roman" w:cs="Times New Roman"/>
          <w:sz w:val="24"/>
          <w:szCs w:val="24"/>
        </w:rPr>
        <w:t>S</w:t>
      </w:r>
      <w:r w:rsidRPr="008B6361">
        <w:rPr>
          <w:rStyle w:val="italic1"/>
          <w:rFonts w:ascii="Times New Roman" w:hAnsi="Times New Roman" w:cs="Times New Roman"/>
          <w:i w:val="0"/>
          <w:sz w:val="24"/>
          <w:szCs w:val="24"/>
        </w:rPr>
        <w:t>amkin</w:t>
      </w:r>
      <w:proofErr w:type="spellEnd"/>
      <w:r w:rsidRPr="008B6361">
        <w:rPr>
          <w:rStyle w:val="italic1"/>
          <w:rFonts w:ascii="Times New Roman" w:hAnsi="Times New Roman" w:cs="Times New Roman"/>
          <w:i w:val="0"/>
          <w:sz w:val="24"/>
          <w:szCs w:val="24"/>
        </w:rPr>
        <w:t>, G., and A. Schneider. 2010. “</w:t>
      </w:r>
      <w:r w:rsidRPr="008B6361">
        <w:rPr>
          <w:rFonts w:ascii="Times New Roman" w:hAnsi="Times New Roman" w:cs="Times New Roman"/>
          <w:bCs/>
          <w:sz w:val="24"/>
          <w:szCs w:val="24"/>
        </w:rPr>
        <w:t>Accountability, Narrative Reporting and Legitimation: The Case of a New Zealand Public Benefit Entity.”</w:t>
      </w:r>
      <w:r w:rsidRPr="00015EC5">
        <w:rPr>
          <w:rFonts w:ascii="Times New Roman" w:hAnsi="Times New Roman" w:cs="Times New Roman"/>
          <w:sz w:val="24"/>
          <w:szCs w:val="24"/>
        </w:rPr>
        <w:t xml:space="preserve"> </w:t>
      </w:r>
      <w:r w:rsidRPr="00015EC5">
        <w:rPr>
          <w:rStyle w:val="bold1"/>
          <w:rFonts w:ascii="Times New Roman" w:hAnsi="Times New Roman" w:cs="Times New Roman"/>
          <w:b w:val="0"/>
          <w:i/>
          <w:sz w:val="24"/>
          <w:szCs w:val="24"/>
        </w:rPr>
        <w:t>Accounting, Auditing &amp; Accountability Journal</w:t>
      </w:r>
      <w:r w:rsidRPr="00015EC5">
        <w:rPr>
          <w:rStyle w:val="bold1"/>
          <w:rFonts w:ascii="Times New Roman" w:hAnsi="Times New Roman" w:cs="Times New Roman"/>
          <w:b w:val="0"/>
          <w:sz w:val="24"/>
          <w:szCs w:val="24"/>
        </w:rPr>
        <w:t xml:space="preserve"> </w:t>
      </w:r>
      <w:r w:rsidRPr="00015EC5">
        <w:rPr>
          <w:rFonts w:ascii="Times New Roman" w:hAnsi="Times New Roman" w:cs="Times New Roman"/>
          <w:sz w:val="24"/>
          <w:szCs w:val="24"/>
        </w:rPr>
        <w:t xml:space="preserve">23 (2): 256-289. </w:t>
      </w:r>
    </w:p>
    <w:p w14:paraId="37C17439" w14:textId="77777777" w:rsidR="00D76E12" w:rsidRPr="00015EC5" w:rsidRDefault="00D76E12" w:rsidP="008B6361">
      <w:pPr>
        <w:pStyle w:val="body-paragraph"/>
        <w:shd w:val="clear" w:color="auto" w:fill="FFFFFF"/>
        <w:spacing w:after="0" w:line="360" w:lineRule="auto"/>
        <w:ind w:left="426" w:hanging="426"/>
        <w:jc w:val="both"/>
        <w:rPr>
          <w:sz w:val="24"/>
          <w:szCs w:val="24"/>
        </w:rPr>
      </w:pPr>
      <w:r w:rsidRPr="00015EC5">
        <w:rPr>
          <w:sz w:val="24"/>
          <w:szCs w:val="24"/>
        </w:rPr>
        <w:t xml:space="preserve">Sinclair, A. 1995. “The Chameleon of Accountability: Forms and Discourses.” </w:t>
      </w:r>
      <w:r w:rsidRPr="00015EC5">
        <w:rPr>
          <w:i/>
          <w:sz w:val="24"/>
          <w:szCs w:val="24"/>
        </w:rPr>
        <w:t>Accounting, Organizations and Society</w:t>
      </w:r>
      <w:r w:rsidRPr="00015EC5">
        <w:rPr>
          <w:sz w:val="24"/>
          <w:szCs w:val="24"/>
        </w:rPr>
        <w:t xml:space="preserve"> 20 (2-3): 219-237.</w:t>
      </w:r>
    </w:p>
    <w:p w14:paraId="139478E4" w14:textId="77777777" w:rsidR="00D76E12" w:rsidRPr="00015EC5" w:rsidRDefault="00D76E12" w:rsidP="00015EC5">
      <w:pPr>
        <w:pStyle w:val="body-paragraph"/>
        <w:shd w:val="clear" w:color="auto" w:fill="FFFFFF"/>
        <w:spacing w:after="0" w:line="360" w:lineRule="auto"/>
        <w:ind w:left="426" w:hanging="426"/>
        <w:jc w:val="both"/>
        <w:rPr>
          <w:sz w:val="24"/>
          <w:szCs w:val="24"/>
        </w:rPr>
      </w:pPr>
      <w:proofErr w:type="spellStart"/>
      <w:r w:rsidRPr="00015EC5">
        <w:rPr>
          <w:sz w:val="24"/>
          <w:szCs w:val="24"/>
        </w:rPr>
        <w:t>Skelcher</w:t>
      </w:r>
      <w:proofErr w:type="spellEnd"/>
      <w:r w:rsidRPr="00015EC5">
        <w:rPr>
          <w:sz w:val="24"/>
          <w:szCs w:val="24"/>
        </w:rPr>
        <w:t xml:space="preserve">, C., Flinders, M., </w:t>
      </w:r>
      <w:proofErr w:type="spellStart"/>
      <w:r w:rsidRPr="00015EC5">
        <w:rPr>
          <w:sz w:val="24"/>
          <w:szCs w:val="24"/>
        </w:rPr>
        <w:t>Tonkiss</w:t>
      </w:r>
      <w:proofErr w:type="spellEnd"/>
      <w:r w:rsidRPr="00015EC5">
        <w:rPr>
          <w:sz w:val="24"/>
          <w:szCs w:val="24"/>
        </w:rPr>
        <w:t xml:space="preserve">, K., and K. </w:t>
      </w:r>
      <w:proofErr w:type="spellStart"/>
      <w:r w:rsidRPr="00015EC5">
        <w:rPr>
          <w:sz w:val="24"/>
          <w:szCs w:val="24"/>
        </w:rPr>
        <w:t>Dommett</w:t>
      </w:r>
      <w:proofErr w:type="spellEnd"/>
      <w:r w:rsidRPr="00015EC5">
        <w:rPr>
          <w:sz w:val="24"/>
          <w:szCs w:val="24"/>
        </w:rPr>
        <w:t xml:space="preserve">. 2013. </w:t>
      </w:r>
      <w:r w:rsidRPr="00015EC5">
        <w:rPr>
          <w:i/>
          <w:sz w:val="24"/>
          <w:szCs w:val="24"/>
        </w:rPr>
        <w:t>Public Bodies Reform by the UK Government 2010-2013: Initial Findings – Shrinking the State Research Paper 1</w:t>
      </w:r>
      <w:r w:rsidRPr="00015EC5">
        <w:rPr>
          <w:sz w:val="24"/>
          <w:szCs w:val="24"/>
        </w:rPr>
        <w:t>. London: Economic and Social Research Council.</w:t>
      </w:r>
    </w:p>
    <w:p w14:paraId="41EE6F8F" w14:textId="77777777" w:rsidR="00D76E12" w:rsidRPr="00015EC5" w:rsidRDefault="00D76E12" w:rsidP="00015EC5">
      <w:pPr>
        <w:spacing w:after="0" w:line="360" w:lineRule="auto"/>
        <w:ind w:left="426" w:hanging="426"/>
        <w:jc w:val="both"/>
        <w:rPr>
          <w:rFonts w:ascii="Times New Roman" w:hAnsi="Times New Roman" w:cs="Times New Roman"/>
          <w:bCs/>
          <w:sz w:val="24"/>
          <w:szCs w:val="24"/>
        </w:rPr>
      </w:pPr>
      <w:proofErr w:type="spellStart"/>
      <w:r w:rsidRPr="00015EC5">
        <w:rPr>
          <w:rFonts w:ascii="Times New Roman" w:hAnsi="Times New Roman" w:cs="Times New Roman"/>
          <w:bCs/>
          <w:sz w:val="24"/>
          <w:szCs w:val="24"/>
        </w:rPr>
        <w:t>Steccolini</w:t>
      </w:r>
      <w:proofErr w:type="spellEnd"/>
      <w:r w:rsidRPr="00015EC5">
        <w:rPr>
          <w:rFonts w:ascii="Times New Roman" w:hAnsi="Times New Roman" w:cs="Times New Roman"/>
          <w:bCs/>
          <w:sz w:val="24"/>
          <w:szCs w:val="24"/>
        </w:rPr>
        <w:t xml:space="preserve">, I. 2004. “Is the Annual Report an Accountability Medium? An Empirical Investigation into Italian Local Governments.” </w:t>
      </w:r>
      <w:r w:rsidRPr="00015EC5">
        <w:rPr>
          <w:rFonts w:ascii="Times New Roman" w:hAnsi="Times New Roman" w:cs="Times New Roman"/>
          <w:bCs/>
          <w:i/>
          <w:sz w:val="24"/>
          <w:szCs w:val="24"/>
        </w:rPr>
        <w:t>Financial Accountability &amp; Management</w:t>
      </w:r>
      <w:r w:rsidRPr="00015EC5">
        <w:rPr>
          <w:rFonts w:ascii="Times New Roman" w:hAnsi="Times New Roman" w:cs="Times New Roman"/>
          <w:bCs/>
          <w:sz w:val="24"/>
          <w:szCs w:val="24"/>
        </w:rPr>
        <w:t xml:space="preserve"> 20 (3): 327-350. </w:t>
      </w:r>
    </w:p>
    <w:p w14:paraId="733AABA5" w14:textId="77777777" w:rsidR="00D76E12" w:rsidRPr="00015EC5" w:rsidRDefault="00D76E12" w:rsidP="00015EC5">
      <w:pPr>
        <w:spacing w:after="0" w:line="360" w:lineRule="auto"/>
        <w:ind w:left="426" w:hanging="426"/>
        <w:jc w:val="both"/>
        <w:rPr>
          <w:rFonts w:ascii="Times New Roman" w:hAnsi="Times New Roman" w:cs="Times New Roman"/>
          <w:sz w:val="24"/>
          <w:szCs w:val="24"/>
        </w:rPr>
      </w:pPr>
      <w:proofErr w:type="spellStart"/>
      <w:r w:rsidRPr="00015EC5">
        <w:rPr>
          <w:rFonts w:ascii="Times New Roman" w:hAnsi="Times New Roman" w:cs="Times New Roman"/>
          <w:sz w:val="24"/>
          <w:szCs w:val="24"/>
        </w:rPr>
        <w:t>Tonkiss</w:t>
      </w:r>
      <w:proofErr w:type="spellEnd"/>
      <w:r w:rsidRPr="00015EC5">
        <w:rPr>
          <w:rFonts w:ascii="Times New Roman" w:hAnsi="Times New Roman" w:cs="Times New Roman"/>
          <w:sz w:val="24"/>
          <w:szCs w:val="24"/>
        </w:rPr>
        <w:t xml:space="preserve">, K. 2016. “Delegation in Hard Times: The Financial Management of Arm’s Length Bodies in the UK.” </w:t>
      </w:r>
      <w:r w:rsidRPr="00015EC5">
        <w:rPr>
          <w:rFonts w:ascii="Times New Roman" w:hAnsi="Times New Roman" w:cs="Times New Roman"/>
          <w:i/>
          <w:sz w:val="24"/>
          <w:szCs w:val="24"/>
        </w:rPr>
        <w:t>Financial Accountability &amp; Management</w:t>
      </w:r>
      <w:r w:rsidRPr="00015EC5">
        <w:rPr>
          <w:rFonts w:ascii="Times New Roman" w:hAnsi="Times New Roman" w:cs="Times New Roman"/>
          <w:sz w:val="24"/>
          <w:szCs w:val="24"/>
        </w:rPr>
        <w:t xml:space="preserve"> 32 (3): 362-378.</w:t>
      </w:r>
    </w:p>
    <w:p w14:paraId="2CD7CBF5" w14:textId="77777777" w:rsidR="00D76E12" w:rsidRPr="00015EC5" w:rsidRDefault="00D76E12" w:rsidP="00015EC5">
      <w:pPr>
        <w:spacing w:after="0" w:line="360" w:lineRule="auto"/>
        <w:ind w:left="426" w:hanging="426"/>
        <w:jc w:val="both"/>
        <w:rPr>
          <w:rFonts w:ascii="Times New Roman" w:hAnsi="Times New Roman" w:cs="Times New Roman"/>
          <w:sz w:val="24"/>
          <w:szCs w:val="24"/>
        </w:rPr>
      </w:pPr>
      <w:proofErr w:type="spellStart"/>
      <w:r w:rsidRPr="00015EC5">
        <w:rPr>
          <w:rFonts w:ascii="Times New Roman" w:hAnsi="Times New Roman" w:cs="Times New Roman"/>
          <w:sz w:val="24"/>
          <w:szCs w:val="24"/>
        </w:rPr>
        <w:t>Verhoest</w:t>
      </w:r>
      <w:proofErr w:type="spellEnd"/>
      <w:r w:rsidRPr="00015EC5">
        <w:rPr>
          <w:rFonts w:ascii="Times New Roman" w:hAnsi="Times New Roman" w:cs="Times New Roman"/>
          <w:sz w:val="24"/>
          <w:szCs w:val="24"/>
        </w:rPr>
        <w:t xml:space="preserve">, K., van </w:t>
      </w:r>
      <w:proofErr w:type="spellStart"/>
      <w:r w:rsidRPr="00015EC5">
        <w:rPr>
          <w:rFonts w:ascii="Times New Roman" w:hAnsi="Times New Roman" w:cs="Times New Roman"/>
          <w:sz w:val="24"/>
          <w:szCs w:val="24"/>
        </w:rPr>
        <w:t>Thiel</w:t>
      </w:r>
      <w:proofErr w:type="spellEnd"/>
      <w:r w:rsidRPr="00015EC5">
        <w:rPr>
          <w:rFonts w:ascii="Times New Roman" w:hAnsi="Times New Roman" w:cs="Times New Roman"/>
          <w:sz w:val="24"/>
          <w:szCs w:val="24"/>
        </w:rPr>
        <w:t xml:space="preserve">, S., </w:t>
      </w:r>
      <w:proofErr w:type="spellStart"/>
      <w:r w:rsidRPr="00015EC5">
        <w:rPr>
          <w:rFonts w:ascii="Times New Roman" w:hAnsi="Times New Roman" w:cs="Times New Roman"/>
          <w:sz w:val="24"/>
          <w:szCs w:val="24"/>
        </w:rPr>
        <w:t>Bouckaert</w:t>
      </w:r>
      <w:proofErr w:type="spellEnd"/>
      <w:r w:rsidRPr="00015EC5">
        <w:rPr>
          <w:rFonts w:ascii="Times New Roman" w:hAnsi="Times New Roman" w:cs="Times New Roman"/>
          <w:sz w:val="24"/>
          <w:szCs w:val="24"/>
        </w:rPr>
        <w:t xml:space="preserve">, G., and P. </w:t>
      </w:r>
      <w:proofErr w:type="spellStart"/>
      <w:r w:rsidRPr="00015EC5">
        <w:rPr>
          <w:rFonts w:ascii="Times New Roman" w:hAnsi="Times New Roman" w:cs="Times New Roman"/>
          <w:sz w:val="24"/>
          <w:szCs w:val="24"/>
        </w:rPr>
        <w:t>Lægreid</w:t>
      </w:r>
      <w:proofErr w:type="spellEnd"/>
      <w:r w:rsidRPr="00015EC5">
        <w:rPr>
          <w:rFonts w:ascii="Times New Roman" w:hAnsi="Times New Roman" w:cs="Times New Roman"/>
          <w:sz w:val="24"/>
          <w:szCs w:val="24"/>
        </w:rPr>
        <w:t xml:space="preserve">. 2012. </w:t>
      </w:r>
      <w:r w:rsidRPr="00015EC5">
        <w:rPr>
          <w:rFonts w:ascii="Times New Roman" w:hAnsi="Times New Roman" w:cs="Times New Roman"/>
          <w:i/>
          <w:sz w:val="24"/>
          <w:szCs w:val="24"/>
        </w:rPr>
        <w:t>Government Agencies: Practices and Lessons from 30 Countries</w:t>
      </w:r>
      <w:r w:rsidRPr="00015EC5">
        <w:rPr>
          <w:rFonts w:ascii="Times New Roman" w:hAnsi="Times New Roman" w:cs="Times New Roman"/>
          <w:sz w:val="24"/>
          <w:szCs w:val="24"/>
        </w:rPr>
        <w:t>. New York: Palgrave Macmillan.</w:t>
      </w:r>
    </w:p>
    <w:p w14:paraId="6DB848F2" w14:textId="77777777" w:rsidR="00D76E12" w:rsidRPr="00015EC5" w:rsidRDefault="00D76E12" w:rsidP="00015EC5">
      <w:pPr>
        <w:spacing w:after="0" w:line="360" w:lineRule="auto"/>
        <w:ind w:left="426" w:hanging="426"/>
        <w:jc w:val="both"/>
        <w:rPr>
          <w:rFonts w:ascii="Times New Roman" w:hAnsi="Times New Roman" w:cs="Times New Roman"/>
          <w:sz w:val="24"/>
          <w:szCs w:val="24"/>
        </w:rPr>
      </w:pPr>
      <w:proofErr w:type="spellStart"/>
      <w:r w:rsidRPr="00015EC5">
        <w:rPr>
          <w:rFonts w:ascii="Times New Roman" w:hAnsi="Times New Roman" w:cs="Times New Roman"/>
          <w:sz w:val="24"/>
          <w:szCs w:val="24"/>
        </w:rPr>
        <w:t>Wettenhall</w:t>
      </w:r>
      <w:proofErr w:type="spellEnd"/>
      <w:r w:rsidRPr="00015EC5">
        <w:rPr>
          <w:rFonts w:ascii="Times New Roman" w:hAnsi="Times New Roman" w:cs="Times New Roman"/>
          <w:sz w:val="24"/>
          <w:szCs w:val="24"/>
        </w:rPr>
        <w:t xml:space="preserve">, R. 2005. “Agencies and Non-departmental Public Bodies.” </w:t>
      </w:r>
      <w:r w:rsidRPr="00015EC5">
        <w:rPr>
          <w:rFonts w:ascii="Times New Roman" w:hAnsi="Times New Roman" w:cs="Times New Roman"/>
          <w:i/>
          <w:sz w:val="24"/>
          <w:szCs w:val="24"/>
        </w:rPr>
        <w:t>Public Management Review</w:t>
      </w:r>
      <w:r w:rsidRPr="00015EC5">
        <w:rPr>
          <w:rFonts w:ascii="Times New Roman" w:hAnsi="Times New Roman" w:cs="Times New Roman"/>
          <w:sz w:val="24"/>
          <w:szCs w:val="24"/>
        </w:rPr>
        <w:t xml:space="preserve"> 7 (4): 615-635</w:t>
      </w:r>
    </w:p>
    <w:p w14:paraId="51D36F0A" w14:textId="77777777" w:rsidR="00D76E12" w:rsidRPr="00015EC5" w:rsidRDefault="00D76E12" w:rsidP="00015EC5">
      <w:pPr>
        <w:shd w:val="clear" w:color="auto" w:fill="FFFFFF"/>
        <w:spacing w:after="0" w:line="360" w:lineRule="auto"/>
        <w:ind w:left="426" w:hanging="426"/>
        <w:jc w:val="both"/>
        <w:rPr>
          <w:rFonts w:ascii="Times New Roman" w:hAnsi="Times New Roman" w:cs="Times New Roman"/>
          <w:sz w:val="24"/>
          <w:szCs w:val="24"/>
          <w:lang w:val="en"/>
        </w:rPr>
      </w:pPr>
      <w:proofErr w:type="spellStart"/>
      <w:r w:rsidRPr="00015EC5">
        <w:rPr>
          <w:rStyle w:val="hiddentext1"/>
          <w:rFonts w:ascii="Times New Roman" w:hAnsi="Times New Roman" w:cs="Times New Roman"/>
          <w:sz w:val="24"/>
          <w:szCs w:val="24"/>
          <w:lang w:val="en"/>
          <w:specVanish w:val="0"/>
        </w:rPr>
        <w:t>Yuthas</w:t>
      </w:r>
      <w:proofErr w:type="spellEnd"/>
      <w:r w:rsidRPr="00015EC5">
        <w:rPr>
          <w:rStyle w:val="hiddentext1"/>
          <w:rFonts w:ascii="Times New Roman" w:hAnsi="Times New Roman" w:cs="Times New Roman"/>
          <w:sz w:val="24"/>
          <w:szCs w:val="24"/>
          <w:lang w:val="en"/>
          <w:specVanish w:val="0"/>
        </w:rPr>
        <w:t>, K., Rogers R., and J. Dillard. 2002. “</w:t>
      </w:r>
      <w:r w:rsidRPr="00015EC5">
        <w:rPr>
          <w:rFonts w:ascii="Times New Roman" w:hAnsi="Times New Roman" w:cs="Times New Roman"/>
          <w:sz w:val="24"/>
          <w:szCs w:val="24"/>
          <w:lang w:val="en"/>
        </w:rPr>
        <w:t xml:space="preserve">Communicative Action and Corporate Annual Reports.” </w:t>
      </w:r>
      <w:r w:rsidRPr="00015EC5">
        <w:rPr>
          <w:rStyle w:val="titleauthoretcsmallrtlfloatnone"/>
          <w:rFonts w:ascii="Times New Roman" w:hAnsi="Times New Roman" w:cs="Times New Roman"/>
          <w:i/>
          <w:sz w:val="24"/>
          <w:szCs w:val="24"/>
          <w:lang w:val="en"/>
        </w:rPr>
        <w:t>Journal of Business Ethics</w:t>
      </w:r>
      <w:r w:rsidRPr="00015EC5">
        <w:rPr>
          <w:rFonts w:ascii="Times New Roman" w:hAnsi="Times New Roman" w:cs="Times New Roman"/>
          <w:sz w:val="24"/>
          <w:szCs w:val="24"/>
          <w:lang w:val="en"/>
        </w:rPr>
        <w:t xml:space="preserve"> </w:t>
      </w:r>
      <w:r w:rsidRPr="00015EC5">
        <w:rPr>
          <w:rStyle w:val="titleauthoretcsmallrtlfloatnone"/>
          <w:rFonts w:ascii="Times New Roman" w:hAnsi="Times New Roman" w:cs="Times New Roman"/>
          <w:sz w:val="24"/>
          <w:szCs w:val="24"/>
          <w:lang w:val="en"/>
        </w:rPr>
        <w:t xml:space="preserve">41(1): 141-157. </w:t>
      </w:r>
      <w:r w:rsidRPr="00015EC5">
        <w:rPr>
          <w:rFonts w:ascii="Times New Roman" w:hAnsi="Times New Roman" w:cs="Times New Roman"/>
          <w:vanish/>
          <w:sz w:val="24"/>
          <w:szCs w:val="24"/>
          <w:lang w:val="en"/>
        </w:rPr>
        <w:t xml:space="preserve"> </w:t>
      </w:r>
    </w:p>
    <w:p w14:paraId="3757A7AD" w14:textId="77777777" w:rsidR="00CE1D01" w:rsidRPr="00015EC5" w:rsidRDefault="00CE1D01" w:rsidP="00015EC5">
      <w:pPr>
        <w:spacing w:after="0" w:line="360" w:lineRule="auto"/>
        <w:rPr>
          <w:rFonts w:ascii="Times New Roman" w:hAnsi="Times New Roman" w:cs="Times New Roman"/>
          <w:sz w:val="24"/>
          <w:szCs w:val="24"/>
        </w:rPr>
      </w:pPr>
    </w:p>
    <w:sectPr w:rsidR="00CE1D01" w:rsidRPr="00015EC5" w:rsidSect="009F6625">
      <w:footerReference w:type="default" r:id="rId9"/>
      <w:endnotePr>
        <w:numFmt w:val="decimal"/>
      </w:endnotePr>
      <w:pgSz w:w="11906" w:h="16838" w:code="9"/>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D744B3" w14:textId="77777777" w:rsidR="000E6200" w:rsidRDefault="000E6200" w:rsidP="00D76E12">
      <w:pPr>
        <w:spacing w:after="0" w:line="240" w:lineRule="auto"/>
      </w:pPr>
      <w:r>
        <w:separator/>
      </w:r>
    </w:p>
  </w:endnote>
  <w:endnote w:type="continuationSeparator" w:id="0">
    <w:p w14:paraId="237CA69A" w14:textId="77777777" w:rsidR="000E6200" w:rsidRDefault="000E6200" w:rsidP="00D76E12">
      <w:pPr>
        <w:spacing w:after="0" w:line="240" w:lineRule="auto"/>
      </w:pPr>
      <w:r>
        <w:continuationSeparator/>
      </w:r>
    </w:p>
  </w:endnote>
  <w:endnote w:id="1">
    <w:p w14:paraId="7DFE9CFA" w14:textId="77777777" w:rsidR="009F6625" w:rsidRPr="009F6625" w:rsidRDefault="009F6625" w:rsidP="009F6625">
      <w:pPr>
        <w:pStyle w:val="EndnoteText"/>
        <w:jc w:val="both"/>
        <w:rPr>
          <w:sz w:val="20"/>
          <w:szCs w:val="20"/>
          <w:lang w:val="en-GB"/>
        </w:rPr>
      </w:pPr>
      <w:r w:rsidRPr="009F6625">
        <w:rPr>
          <w:rStyle w:val="EndnoteReference"/>
          <w:sz w:val="20"/>
          <w:szCs w:val="20"/>
        </w:rPr>
        <w:endnoteRef/>
      </w:r>
      <w:r w:rsidRPr="009F6625">
        <w:rPr>
          <w:sz w:val="20"/>
          <w:szCs w:val="20"/>
        </w:rPr>
        <w:t xml:space="preserve"> The term annual report here refers to documents which comprise </w:t>
      </w:r>
      <w:r w:rsidRPr="009F6625">
        <w:rPr>
          <w:sz w:val="20"/>
          <w:szCs w:val="20"/>
          <w:lang w:val="en-GB"/>
        </w:rPr>
        <w:t xml:space="preserve">an </w:t>
      </w:r>
      <w:r w:rsidRPr="009F6625">
        <w:rPr>
          <w:sz w:val="20"/>
          <w:szCs w:val="20"/>
        </w:rPr>
        <w:t>organization</w:t>
      </w:r>
      <w:r w:rsidRPr="009F6625">
        <w:rPr>
          <w:sz w:val="20"/>
          <w:szCs w:val="20"/>
          <w:lang w:val="en-GB"/>
        </w:rPr>
        <w:t xml:space="preserve">’s </w:t>
      </w:r>
      <w:r w:rsidRPr="009F6625">
        <w:rPr>
          <w:sz w:val="20"/>
          <w:szCs w:val="20"/>
        </w:rPr>
        <w:t>annual financial statements as well as narrative reports by management</w:t>
      </w:r>
      <w:r w:rsidRPr="009F6625">
        <w:rPr>
          <w:sz w:val="20"/>
          <w:szCs w:val="20"/>
          <w:lang w:val="en-GB"/>
        </w:rPr>
        <w:t xml:space="preserve"> (e.g. directors’ or trustees’ reports)</w:t>
      </w:r>
      <w:r w:rsidRPr="009F6625">
        <w:rPr>
          <w:sz w:val="20"/>
          <w:szCs w:val="20"/>
        </w:rPr>
        <w:t>.</w:t>
      </w:r>
    </w:p>
  </w:endnote>
  <w:endnote w:id="2">
    <w:p w14:paraId="1E47E4D6" w14:textId="1D94F41E" w:rsidR="009F6625" w:rsidRPr="00D803FA" w:rsidRDefault="009F6625" w:rsidP="00D803FA">
      <w:pPr>
        <w:pStyle w:val="EndnoteText"/>
        <w:jc w:val="both"/>
        <w:rPr>
          <w:sz w:val="20"/>
          <w:szCs w:val="20"/>
          <w:lang w:val="en-GB"/>
        </w:rPr>
      </w:pPr>
      <w:r w:rsidRPr="00D803FA">
        <w:rPr>
          <w:rStyle w:val="EndnoteReference"/>
          <w:sz w:val="20"/>
          <w:szCs w:val="20"/>
        </w:rPr>
        <w:endnoteRef/>
      </w:r>
      <w:r w:rsidRPr="00D803FA">
        <w:rPr>
          <w:sz w:val="20"/>
          <w:szCs w:val="20"/>
        </w:rPr>
        <w:t xml:space="preserve"> </w:t>
      </w:r>
      <w:r w:rsidRPr="00D803FA">
        <w:rPr>
          <w:sz w:val="20"/>
          <w:szCs w:val="20"/>
          <w:lang w:val="en-GB"/>
        </w:rPr>
        <w:t>The responses to all questions in Table 1 are not discussed in the paper.</w:t>
      </w:r>
    </w:p>
  </w:endnote>
  <w:endnote w:id="3">
    <w:p w14:paraId="2BD91709" w14:textId="2ECE2500" w:rsidR="009F6625" w:rsidRPr="00015EC5" w:rsidRDefault="009F6625" w:rsidP="0020584E">
      <w:pPr>
        <w:pStyle w:val="EndnoteText"/>
        <w:jc w:val="both"/>
        <w:rPr>
          <w:sz w:val="20"/>
          <w:szCs w:val="20"/>
          <w:lang w:val="en-GB"/>
        </w:rPr>
      </w:pPr>
      <w:r w:rsidRPr="0020584E">
        <w:rPr>
          <w:rStyle w:val="EndnoteReference"/>
          <w:sz w:val="20"/>
          <w:szCs w:val="20"/>
        </w:rPr>
        <w:endnoteRef/>
      </w:r>
      <w:r w:rsidRPr="0020584E">
        <w:rPr>
          <w:sz w:val="20"/>
          <w:szCs w:val="20"/>
        </w:rPr>
        <w:t xml:space="preserve"> </w:t>
      </w:r>
      <w:r w:rsidRPr="0020584E">
        <w:rPr>
          <w:sz w:val="20"/>
          <w:szCs w:val="20"/>
          <w:lang w:val="en-GB"/>
        </w:rPr>
        <w:t xml:space="preserve">Whilst NI offers unique access to key public sector decision makers </w:t>
      </w:r>
      <w:r w:rsidRPr="00D803FA">
        <w:rPr>
          <w:sz w:val="20"/>
          <w:szCs w:val="20"/>
          <w:lang w:val="en-GB"/>
        </w:rPr>
        <w:t xml:space="preserve">and a subsequent richness of data, the provincial nature of the country makes these people </w:t>
      </w:r>
      <w:r w:rsidRPr="00EB2D5F">
        <w:rPr>
          <w:sz w:val="20"/>
          <w:szCs w:val="20"/>
          <w:lang w:val="en-GB"/>
        </w:rPr>
        <w:t xml:space="preserve">more easily identifiable than they might </w:t>
      </w:r>
      <w:r w:rsidRPr="00E340E0">
        <w:rPr>
          <w:sz w:val="20"/>
          <w:szCs w:val="20"/>
          <w:lang w:val="en-GB"/>
        </w:rPr>
        <w:t xml:space="preserve">be in other parts of the UK. Therefore the researchers </w:t>
      </w:r>
      <w:r w:rsidRPr="00FB74CA">
        <w:rPr>
          <w:sz w:val="20"/>
          <w:szCs w:val="20"/>
          <w:lang w:val="en-GB"/>
        </w:rPr>
        <w:t>were constrained ethically with regards to the extent to which interv</w:t>
      </w:r>
      <w:r w:rsidRPr="008B6361">
        <w:rPr>
          <w:sz w:val="20"/>
          <w:szCs w:val="20"/>
          <w:lang w:val="en-GB"/>
        </w:rPr>
        <w:t>iewees could be identified</w:t>
      </w:r>
      <w:r w:rsidRPr="00015EC5">
        <w:rPr>
          <w:sz w:val="20"/>
          <w:szCs w:val="20"/>
          <w:lang w:val="en-GB"/>
        </w:rPr>
        <w:t>. All interviewees only agreed to participate on the condition of complete anonymity as attaching a label such as ‘ED Health’ could lead to that person being identified.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vOTc3272e35+20">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380019298"/>
      <w:docPartObj>
        <w:docPartGallery w:val="Page Numbers (Bottom of Page)"/>
        <w:docPartUnique/>
      </w:docPartObj>
    </w:sdtPr>
    <w:sdtEndPr>
      <w:rPr>
        <w:noProof/>
      </w:rPr>
    </w:sdtEndPr>
    <w:sdtContent>
      <w:p w14:paraId="266C1731" w14:textId="63FD8436" w:rsidR="009F6625" w:rsidRPr="007116FE" w:rsidRDefault="009F6625">
        <w:pPr>
          <w:pStyle w:val="Footer"/>
          <w:jc w:val="right"/>
          <w:rPr>
            <w:rFonts w:ascii="Times New Roman" w:hAnsi="Times New Roman" w:cs="Times New Roman"/>
            <w:sz w:val="20"/>
            <w:szCs w:val="20"/>
          </w:rPr>
        </w:pPr>
        <w:r w:rsidRPr="007116FE">
          <w:rPr>
            <w:rFonts w:ascii="Times New Roman" w:hAnsi="Times New Roman" w:cs="Times New Roman"/>
            <w:sz w:val="20"/>
            <w:szCs w:val="20"/>
          </w:rPr>
          <w:fldChar w:fldCharType="begin"/>
        </w:r>
        <w:r w:rsidRPr="007116FE">
          <w:rPr>
            <w:rFonts w:ascii="Times New Roman" w:hAnsi="Times New Roman" w:cs="Times New Roman"/>
            <w:sz w:val="20"/>
            <w:szCs w:val="20"/>
          </w:rPr>
          <w:instrText xml:space="preserve"> PAGE   \* MERGEFORMAT </w:instrText>
        </w:r>
        <w:r w:rsidRPr="007116FE">
          <w:rPr>
            <w:rFonts w:ascii="Times New Roman" w:hAnsi="Times New Roman" w:cs="Times New Roman"/>
            <w:sz w:val="20"/>
            <w:szCs w:val="20"/>
          </w:rPr>
          <w:fldChar w:fldCharType="separate"/>
        </w:r>
        <w:r w:rsidR="005F2EB0">
          <w:rPr>
            <w:rFonts w:ascii="Times New Roman" w:hAnsi="Times New Roman" w:cs="Times New Roman"/>
            <w:noProof/>
            <w:sz w:val="20"/>
            <w:szCs w:val="20"/>
          </w:rPr>
          <w:t>25</w:t>
        </w:r>
        <w:r w:rsidRPr="007116FE">
          <w:rPr>
            <w:rFonts w:ascii="Times New Roman" w:hAnsi="Times New Roman" w:cs="Times New Roman"/>
            <w:noProof/>
            <w:sz w:val="20"/>
            <w:szCs w:val="20"/>
          </w:rPr>
          <w:fldChar w:fldCharType="end"/>
        </w:r>
      </w:p>
    </w:sdtContent>
  </w:sdt>
  <w:p w14:paraId="1BC26D3F" w14:textId="77777777" w:rsidR="009F6625" w:rsidRDefault="009F66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40D91" w14:textId="77777777" w:rsidR="000E6200" w:rsidRDefault="000E6200" w:rsidP="00D76E12">
      <w:pPr>
        <w:spacing w:after="0" w:line="240" w:lineRule="auto"/>
      </w:pPr>
      <w:r>
        <w:separator/>
      </w:r>
    </w:p>
  </w:footnote>
  <w:footnote w:type="continuationSeparator" w:id="0">
    <w:p w14:paraId="6FC903CF" w14:textId="77777777" w:rsidR="000E6200" w:rsidRDefault="000E6200" w:rsidP="00D76E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100C9"/>
    <w:multiLevelType w:val="hybridMultilevel"/>
    <w:tmpl w:val="B18E4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E72939"/>
    <w:multiLevelType w:val="hybridMultilevel"/>
    <w:tmpl w:val="017E87E2"/>
    <w:lvl w:ilvl="0" w:tplc="5E9613C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736094"/>
    <w:multiLevelType w:val="hybridMultilevel"/>
    <w:tmpl w:val="A328B2A2"/>
    <w:lvl w:ilvl="0" w:tplc="8730D0B4">
      <w:start w:val="1"/>
      <w:numFmt w:val="bullet"/>
      <w:lvlText w:val="•"/>
      <w:lvlJc w:val="left"/>
      <w:pPr>
        <w:tabs>
          <w:tab w:val="num" w:pos="720"/>
        </w:tabs>
        <w:ind w:left="720" w:hanging="360"/>
      </w:pPr>
      <w:rPr>
        <w:rFonts w:ascii="Arial" w:hAnsi="Arial" w:hint="default"/>
      </w:rPr>
    </w:lvl>
    <w:lvl w:ilvl="1" w:tplc="2D84AAC4" w:tentative="1">
      <w:start w:val="1"/>
      <w:numFmt w:val="bullet"/>
      <w:lvlText w:val="•"/>
      <w:lvlJc w:val="left"/>
      <w:pPr>
        <w:tabs>
          <w:tab w:val="num" w:pos="1440"/>
        </w:tabs>
        <w:ind w:left="1440" w:hanging="360"/>
      </w:pPr>
      <w:rPr>
        <w:rFonts w:ascii="Arial" w:hAnsi="Arial" w:hint="default"/>
      </w:rPr>
    </w:lvl>
    <w:lvl w:ilvl="2" w:tplc="A6E88DFC">
      <w:start w:val="1"/>
      <w:numFmt w:val="bullet"/>
      <w:lvlText w:val="•"/>
      <w:lvlJc w:val="left"/>
      <w:pPr>
        <w:tabs>
          <w:tab w:val="num" w:pos="2160"/>
        </w:tabs>
        <w:ind w:left="2160" w:hanging="360"/>
      </w:pPr>
      <w:rPr>
        <w:rFonts w:ascii="Arial" w:hAnsi="Arial" w:hint="default"/>
      </w:rPr>
    </w:lvl>
    <w:lvl w:ilvl="3" w:tplc="89667590" w:tentative="1">
      <w:start w:val="1"/>
      <w:numFmt w:val="bullet"/>
      <w:lvlText w:val="•"/>
      <w:lvlJc w:val="left"/>
      <w:pPr>
        <w:tabs>
          <w:tab w:val="num" w:pos="2880"/>
        </w:tabs>
        <w:ind w:left="2880" w:hanging="360"/>
      </w:pPr>
      <w:rPr>
        <w:rFonts w:ascii="Arial" w:hAnsi="Arial" w:hint="default"/>
      </w:rPr>
    </w:lvl>
    <w:lvl w:ilvl="4" w:tplc="9BEAF4A8" w:tentative="1">
      <w:start w:val="1"/>
      <w:numFmt w:val="bullet"/>
      <w:lvlText w:val="•"/>
      <w:lvlJc w:val="left"/>
      <w:pPr>
        <w:tabs>
          <w:tab w:val="num" w:pos="3600"/>
        </w:tabs>
        <w:ind w:left="3600" w:hanging="360"/>
      </w:pPr>
      <w:rPr>
        <w:rFonts w:ascii="Arial" w:hAnsi="Arial" w:hint="default"/>
      </w:rPr>
    </w:lvl>
    <w:lvl w:ilvl="5" w:tplc="805A93E2" w:tentative="1">
      <w:start w:val="1"/>
      <w:numFmt w:val="bullet"/>
      <w:lvlText w:val="•"/>
      <w:lvlJc w:val="left"/>
      <w:pPr>
        <w:tabs>
          <w:tab w:val="num" w:pos="4320"/>
        </w:tabs>
        <w:ind w:left="4320" w:hanging="360"/>
      </w:pPr>
      <w:rPr>
        <w:rFonts w:ascii="Arial" w:hAnsi="Arial" w:hint="default"/>
      </w:rPr>
    </w:lvl>
    <w:lvl w:ilvl="6" w:tplc="E5824458" w:tentative="1">
      <w:start w:val="1"/>
      <w:numFmt w:val="bullet"/>
      <w:lvlText w:val="•"/>
      <w:lvlJc w:val="left"/>
      <w:pPr>
        <w:tabs>
          <w:tab w:val="num" w:pos="5040"/>
        </w:tabs>
        <w:ind w:left="5040" w:hanging="360"/>
      </w:pPr>
      <w:rPr>
        <w:rFonts w:ascii="Arial" w:hAnsi="Arial" w:hint="default"/>
      </w:rPr>
    </w:lvl>
    <w:lvl w:ilvl="7" w:tplc="39E2E100" w:tentative="1">
      <w:start w:val="1"/>
      <w:numFmt w:val="bullet"/>
      <w:lvlText w:val="•"/>
      <w:lvlJc w:val="left"/>
      <w:pPr>
        <w:tabs>
          <w:tab w:val="num" w:pos="5760"/>
        </w:tabs>
        <w:ind w:left="5760" w:hanging="360"/>
      </w:pPr>
      <w:rPr>
        <w:rFonts w:ascii="Arial" w:hAnsi="Arial" w:hint="default"/>
      </w:rPr>
    </w:lvl>
    <w:lvl w:ilvl="8" w:tplc="4588088A" w:tentative="1">
      <w:start w:val="1"/>
      <w:numFmt w:val="bullet"/>
      <w:lvlText w:val="•"/>
      <w:lvlJc w:val="left"/>
      <w:pPr>
        <w:tabs>
          <w:tab w:val="num" w:pos="6480"/>
        </w:tabs>
        <w:ind w:left="6480" w:hanging="360"/>
      </w:pPr>
      <w:rPr>
        <w:rFonts w:ascii="Arial" w:hAnsi="Arial" w:hint="default"/>
      </w:rPr>
    </w:lvl>
  </w:abstractNum>
  <w:abstractNum w:abstractNumId="3">
    <w:nsid w:val="5EF40E49"/>
    <w:multiLevelType w:val="hybridMultilevel"/>
    <w:tmpl w:val="732016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F3A5EF0"/>
    <w:multiLevelType w:val="hybridMultilevel"/>
    <w:tmpl w:val="BA0E374C"/>
    <w:lvl w:ilvl="0" w:tplc="5E9613CE">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70F951B6"/>
    <w:multiLevelType w:val="hybridMultilevel"/>
    <w:tmpl w:val="F2683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A3F02EA"/>
    <w:multiLevelType w:val="hybridMultilevel"/>
    <w:tmpl w:val="0EE6CA7E"/>
    <w:lvl w:ilvl="0" w:tplc="E55A5046">
      <w:start w:val="1"/>
      <w:numFmt w:val="bullet"/>
      <w:lvlText w:val="•"/>
      <w:lvlJc w:val="left"/>
      <w:pPr>
        <w:tabs>
          <w:tab w:val="num" w:pos="720"/>
        </w:tabs>
        <w:ind w:left="720" w:hanging="360"/>
      </w:pPr>
      <w:rPr>
        <w:rFonts w:ascii="Arial" w:hAnsi="Arial" w:hint="default"/>
      </w:rPr>
    </w:lvl>
    <w:lvl w:ilvl="1" w:tplc="E3CA4DF6" w:tentative="1">
      <w:start w:val="1"/>
      <w:numFmt w:val="bullet"/>
      <w:lvlText w:val="•"/>
      <w:lvlJc w:val="left"/>
      <w:pPr>
        <w:tabs>
          <w:tab w:val="num" w:pos="1440"/>
        </w:tabs>
        <w:ind w:left="1440" w:hanging="360"/>
      </w:pPr>
      <w:rPr>
        <w:rFonts w:ascii="Arial" w:hAnsi="Arial" w:hint="default"/>
      </w:rPr>
    </w:lvl>
    <w:lvl w:ilvl="2" w:tplc="664017E2">
      <w:start w:val="1"/>
      <w:numFmt w:val="bullet"/>
      <w:lvlText w:val="•"/>
      <w:lvlJc w:val="left"/>
      <w:pPr>
        <w:tabs>
          <w:tab w:val="num" w:pos="2160"/>
        </w:tabs>
        <w:ind w:left="2160" w:hanging="360"/>
      </w:pPr>
      <w:rPr>
        <w:rFonts w:ascii="Arial" w:hAnsi="Arial" w:hint="default"/>
      </w:rPr>
    </w:lvl>
    <w:lvl w:ilvl="3" w:tplc="77DE04DC" w:tentative="1">
      <w:start w:val="1"/>
      <w:numFmt w:val="bullet"/>
      <w:lvlText w:val="•"/>
      <w:lvlJc w:val="left"/>
      <w:pPr>
        <w:tabs>
          <w:tab w:val="num" w:pos="2880"/>
        </w:tabs>
        <w:ind w:left="2880" w:hanging="360"/>
      </w:pPr>
      <w:rPr>
        <w:rFonts w:ascii="Arial" w:hAnsi="Arial" w:hint="default"/>
      </w:rPr>
    </w:lvl>
    <w:lvl w:ilvl="4" w:tplc="C4E283A8" w:tentative="1">
      <w:start w:val="1"/>
      <w:numFmt w:val="bullet"/>
      <w:lvlText w:val="•"/>
      <w:lvlJc w:val="left"/>
      <w:pPr>
        <w:tabs>
          <w:tab w:val="num" w:pos="3600"/>
        </w:tabs>
        <w:ind w:left="3600" w:hanging="360"/>
      </w:pPr>
      <w:rPr>
        <w:rFonts w:ascii="Arial" w:hAnsi="Arial" w:hint="default"/>
      </w:rPr>
    </w:lvl>
    <w:lvl w:ilvl="5" w:tplc="64544FC0" w:tentative="1">
      <w:start w:val="1"/>
      <w:numFmt w:val="bullet"/>
      <w:lvlText w:val="•"/>
      <w:lvlJc w:val="left"/>
      <w:pPr>
        <w:tabs>
          <w:tab w:val="num" w:pos="4320"/>
        </w:tabs>
        <w:ind w:left="4320" w:hanging="360"/>
      </w:pPr>
      <w:rPr>
        <w:rFonts w:ascii="Arial" w:hAnsi="Arial" w:hint="default"/>
      </w:rPr>
    </w:lvl>
    <w:lvl w:ilvl="6" w:tplc="F9827352" w:tentative="1">
      <w:start w:val="1"/>
      <w:numFmt w:val="bullet"/>
      <w:lvlText w:val="•"/>
      <w:lvlJc w:val="left"/>
      <w:pPr>
        <w:tabs>
          <w:tab w:val="num" w:pos="5040"/>
        </w:tabs>
        <w:ind w:left="5040" w:hanging="360"/>
      </w:pPr>
      <w:rPr>
        <w:rFonts w:ascii="Arial" w:hAnsi="Arial" w:hint="default"/>
      </w:rPr>
    </w:lvl>
    <w:lvl w:ilvl="7" w:tplc="8B84D428" w:tentative="1">
      <w:start w:val="1"/>
      <w:numFmt w:val="bullet"/>
      <w:lvlText w:val="•"/>
      <w:lvlJc w:val="left"/>
      <w:pPr>
        <w:tabs>
          <w:tab w:val="num" w:pos="5760"/>
        </w:tabs>
        <w:ind w:left="5760" w:hanging="360"/>
      </w:pPr>
      <w:rPr>
        <w:rFonts w:ascii="Arial" w:hAnsi="Arial" w:hint="default"/>
      </w:rPr>
    </w:lvl>
    <w:lvl w:ilvl="8" w:tplc="BFB05EE8"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2"/>
  </w:num>
  <w:num w:numId="3">
    <w:abstractNumId w:val="5"/>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E12"/>
    <w:rsid w:val="00007F21"/>
    <w:rsid w:val="00015EC5"/>
    <w:rsid w:val="000B21E0"/>
    <w:rsid w:val="000E6200"/>
    <w:rsid w:val="000E7453"/>
    <w:rsid w:val="0010136B"/>
    <w:rsid w:val="0011172A"/>
    <w:rsid w:val="0012042D"/>
    <w:rsid w:val="00146CE1"/>
    <w:rsid w:val="001543C1"/>
    <w:rsid w:val="00184DFB"/>
    <w:rsid w:val="001D6936"/>
    <w:rsid w:val="0020584E"/>
    <w:rsid w:val="002158B2"/>
    <w:rsid w:val="002241BB"/>
    <w:rsid w:val="00243E65"/>
    <w:rsid w:val="00287B5C"/>
    <w:rsid w:val="00295A04"/>
    <w:rsid w:val="002B6646"/>
    <w:rsid w:val="002C6524"/>
    <w:rsid w:val="00306594"/>
    <w:rsid w:val="0036216F"/>
    <w:rsid w:val="00362BA8"/>
    <w:rsid w:val="00372E77"/>
    <w:rsid w:val="0038784E"/>
    <w:rsid w:val="003B05DF"/>
    <w:rsid w:val="003B38BB"/>
    <w:rsid w:val="003D1CFA"/>
    <w:rsid w:val="00422ABE"/>
    <w:rsid w:val="004356BA"/>
    <w:rsid w:val="004813C3"/>
    <w:rsid w:val="004B19D8"/>
    <w:rsid w:val="004C5217"/>
    <w:rsid w:val="005238BE"/>
    <w:rsid w:val="00583802"/>
    <w:rsid w:val="005939A8"/>
    <w:rsid w:val="00593F5B"/>
    <w:rsid w:val="00595E68"/>
    <w:rsid w:val="005A1DA8"/>
    <w:rsid w:val="005B5DD9"/>
    <w:rsid w:val="005D53AB"/>
    <w:rsid w:val="005F2EB0"/>
    <w:rsid w:val="005F3608"/>
    <w:rsid w:val="00611CF0"/>
    <w:rsid w:val="00625D19"/>
    <w:rsid w:val="006D7D1A"/>
    <w:rsid w:val="007133C6"/>
    <w:rsid w:val="00767DD0"/>
    <w:rsid w:val="007943F0"/>
    <w:rsid w:val="007E7879"/>
    <w:rsid w:val="007F2F94"/>
    <w:rsid w:val="007F402D"/>
    <w:rsid w:val="00803368"/>
    <w:rsid w:val="00886547"/>
    <w:rsid w:val="008902D7"/>
    <w:rsid w:val="008A77A3"/>
    <w:rsid w:val="008B6361"/>
    <w:rsid w:val="008D2EEA"/>
    <w:rsid w:val="008D3CC3"/>
    <w:rsid w:val="008F69C6"/>
    <w:rsid w:val="0090484B"/>
    <w:rsid w:val="00921B4D"/>
    <w:rsid w:val="00980094"/>
    <w:rsid w:val="009D2D08"/>
    <w:rsid w:val="009F6625"/>
    <w:rsid w:val="00A1616B"/>
    <w:rsid w:val="00A2081E"/>
    <w:rsid w:val="00A33079"/>
    <w:rsid w:val="00A70012"/>
    <w:rsid w:val="00AC565E"/>
    <w:rsid w:val="00AE0442"/>
    <w:rsid w:val="00AE0BE9"/>
    <w:rsid w:val="00B0627A"/>
    <w:rsid w:val="00B70B7E"/>
    <w:rsid w:val="00B77C07"/>
    <w:rsid w:val="00B84622"/>
    <w:rsid w:val="00BC03C6"/>
    <w:rsid w:val="00BE5937"/>
    <w:rsid w:val="00BF6C8F"/>
    <w:rsid w:val="00C2150D"/>
    <w:rsid w:val="00C31A18"/>
    <w:rsid w:val="00C92D45"/>
    <w:rsid w:val="00CE1D01"/>
    <w:rsid w:val="00CE357A"/>
    <w:rsid w:val="00CF6777"/>
    <w:rsid w:val="00D0581B"/>
    <w:rsid w:val="00D13784"/>
    <w:rsid w:val="00D73735"/>
    <w:rsid w:val="00D76288"/>
    <w:rsid w:val="00D76702"/>
    <w:rsid w:val="00D76E12"/>
    <w:rsid w:val="00D803FA"/>
    <w:rsid w:val="00E20617"/>
    <w:rsid w:val="00E340E0"/>
    <w:rsid w:val="00E60710"/>
    <w:rsid w:val="00E71798"/>
    <w:rsid w:val="00EA353A"/>
    <w:rsid w:val="00EA3F13"/>
    <w:rsid w:val="00EB2D5F"/>
    <w:rsid w:val="00EC55EF"/>
    <w:rsid w:val="00EC7717"/>
    <w:rsid w:val="00ED5B67"/>
    <w:rsid w:val="00EE259D"/>
    <w:rsid w:val="00EE2C22"/>
    <w:rsid w:val="00EF15F5"/>
    <w:rsid w:val="00FB74CA"/>
    <w:rsid w:val="00FC44BE"/>
    <w:rsid w:val="00FE7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96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Cite"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E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6E1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76E12"/>
    <w:rPr>
      <w:color w:val="0000FF" w:themeColor="hyperlink"/>
      <w:u w:val="single"/>
    </w:rPr>
  </w:style>
  <w:style w:type="table" w:styleId="TableGrid">
    <w:name w:val="Table Grid"/>
    <w:basedOn w:val="TableNormal"/>
    <w:uiPriority w:val="59"/>
    <w:rsid w:val="00D7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76E12"/>
    <w:rPr>
      <w:b/>
      <w:bCs/>
    </w:rPr>
  </w:style>
  <w:style w:type="paragraph" w:styleId="BodyTextIndent2">
    <w:name w:val="Body Text Indent 2"/>
    <w:basedOn w:val="Normal"/>
    <w:link w:val="BodyTextIndent2Char"/>
    <w:rsid w:val="00D76E12"/>
    <w:pPr>
      <w:widowControl w:val="0"/>
      <w:tabs>
        <w:tab w:val="left" w:pos="-1080"/>
        <w:tab w:val="left" w:pos="-720"/>
        <w:tab w:val="left" w:pos="0"/>
        <w:tab w:val="left" w:pos="720"/>
        <w:tab w:val="left" w:pos="1440"/>
        <w:tab w:val="left" w:pos="2340"/>
      </w:tabs>
      <w:spacing w:after="0" w:line="240" w:lineRule="auto"/>
      <w:ind w:left="1440" w:hanging="720"/>
      <w:jc w:val="both"/>
    </w:pPr>
    <w:rPr>
      <w:rFonts w:ascii="Courier" w:eastAsia="Times New Roman" w:hAnsi="Courier" w:cs="Times New Roman"/>
      <w:snapToGrid w:val="0"/>
      <w:sz w:val="24"/>
      <w:szCs w:val="20"/>
    </w:rPr>
  </w:style>
  <w:style w:type="character" w:customStyle="1" w:styleId="BodyTextIndent2Char">
    <w:name w:val="Body Text Indent 2 Char"/>
    <w:basedOn w:val="DefaultParagraphFont"/>
    <w:link w:val="BodyTextIndent2"/>
    <w:rsid w:val="00D76E12"/>
    <w:rPr>
      <w:rFonts w:ascii="Courier" w:eastAsia="Times New Roman" w:hAnsi="Courier" w:cs="Times New Roman"/>
      <w:snapToGrid w:val="0"/>
      <w:sz w:val="24"/>
      <w:szCs w:val="20"/>
    </w:rPr>
  </w:style>
  <w:style w:type="paragraph" w:styleId="Header">
    <w:name w:val="header"/>
    <w:basedOn w:val="Normal"/>
    <w:link w:val="HeaderChar"/>
    <w:uiPriority w:val="99"/>
    <w:unhideWhenUsed/>
    <w:rsid w:val="00D76E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E12"/>
  </w:style>
  <w:style w:type="paragraph" w:styleId="Footer">
    <w:name w:val="footer"/>
    <w:basedOn w:val="Normal"/>
    <w:link w:val="FooterChar"/>
    <w:uiPriority w:val="99"/>
    <w:unhideWhenUsed/>
    <w:rsid w:val="00D76E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E12"/>
  </w:style>
  <w:style w:type="paragraph" w:styleId="ListParagraph">
    <w:name w:val="List Paragraph"/>
    <w:basedOn w:val="Normal"/>
    <w:uiPriority w:val="34"/>
    <w:qFormat/>
    <w:rsid w:val="00D76E12"/>
    <w:pPr>
      <w:ind w:left="720"/>
      <w:contextualSpacing/>
    </w:pPr>
  </w:style>
  <w:style w:type="paragraph" w:styleId="BodyText">
    <w:name w:val="Body Text"/>
    <w:basedOn w:val="Normal"/>
    <w:link w:val="BodyTextChar"/>
    <w:uiPriority w:val="99"/>
    <w:unhideWhenUsed/>
    <w:rsid w:val="00D76E12"/>
    <w:pPr>
      <w:spacing w:after="120"/>
    </w:pPr>
  </w:style>
  <w:style w:type="character" w:customStyle="1" w:styleId="BodyTextChar">
    <w:name w:val="Body Text Char"/>
    <w:basedOn w:val="DefaultParagraphFont"/>
    <w:link w:val="BodyText"/>
    <w:uiPriority w:val="99"/>
    <w:rsid w:val="00D76E12"/>
  </w:style>
  <w:style w:type="paragraph" w:styleId="FootnoteText">
    <w:name w:val="footnote text"/>
    <w:basedOn w:val="Normal"/>
    <w:link w:val="FootnoteTextChar"/>
    <w:rsid w:val="00D76E12"/>
    <w:pPr>
      <w:spacing w:after="0" w:line="240" w:lineRule="auto"/>
    </w:pPr>
    <w:rPr>
      <w:rFonts w:ascii="Times New Roman" w:eastAsia="Times New Roman" w:hAnsi="Times New Roman" w:cs="Times New Roman"/>
      <w:sz w:val="20"/>
      <w:szCs w:val="20"/>
      <w:lang w:val="en-AU" w:eastAsia="x-none"/>
    </w:rPr>
  </w:style>
  <w:style w:type="character" w:customStyle="1" w:styleId="FootnoteTextChar">
    <w:name w:val="Footnote Text Char"/>
    <w:basedOn w:val="DefaultParagraphFont"/>
    <w:link w:val="FootnoteText"/>
    <w:rsid w:val="00D76E12"/>
    <w:rPr>
      <w:rFonts w:ascii="Times New Roman" w:eastAsia="Times New Roman" w:hAnsi="Times New Roman" w:cs="Times New Roman"/>
      <w:sz w:val="20"/>
      <w:szCs w:val="20"/>
      <w:lang w:val="en-AU" w:eastAsia="x-none"/>
    </w:rPr>
  </w:style>
  <w:style w:type="paragraph" w:styleId="BodyText3">
    <w:name w:val="Body Text 3"/>
    <w:basedOn w:val="Normal"/>
    <w:link w:val="BodyText3Char"/>
    <w:uiPriority w:val="99"/>
    <w:unhideWhenUsed/>
    <w:rsid w:val="00D76E12"/>
    <w:pPr>
      <w:spacing w:after="120" w:line="240" w:lineRule="auto"/>
      <w:ind w:left="578"/>
      <w:jc w:val="both"/>
    </w:pPr>
    <w:rPr>
      <w:rFonts w:ascii="Calibri" w:eastAsia="Calibri" w:hAnsi="Calibri" w:cs="Times New Roman"/>
      <w:sz w:val="16"/>
      <w:szCs w:val="16"/>
      <w:lang w:val="x-none"/>
    </w:rPr>
  </w:style>
  <w:style w:type="character" w:customStyle="1" w:styleId="BodyText3Char">
    <w:name w:val="Body Text 3 Char"/>
    <w:basedOn w:val="DefaultParagraphFont"/>
    <w:link w:val="BodyText3"/>
    <w:uiPriority w:val="99"/>
    <w:rsid w:val="00D76E12"/>
    <w:rPr>
      <w:rFonts w:ascii="Calibri" w:eastAsia="Calibri" w:hAnsi="Calibri" w:cs="Times New Roman"/>
      <w:sz w:val="16"/>
      <w:szCs w:val="16"/>
      <w:lang w:val="x-none"/>
    </w:rPr>
  </w:style>
  <w:style w:type="character" w:customStyle="1" w:styleId="italic1">
    <w:name w:val="italic1"/>
    <w:rsid w:val="00D76E12"/>
    <w:rPr>
      <w:i/>
      <w:iCs/>
    </w:rPr>
  </w:style>
  <w:style w:type="paragraph" w:styleId="EndnoteText">
    <w:name w:val="endnote text"/>
    <w:basedOn w:val="Normal"/>
    <w:link w:val="EndnoteTextChar"/>
    <w:semiHidden/>
    <w:rsid w:val="00D76E12"/>
    <w:pPr>
      <w:spacing w:after="0" w:line="240" w:lineRule="auto"/>
    </w:pPr>
    <w:rPr>
      <w:rFonts w:ascii="Times New Roman" w:eastAsia="Times New Roman" w:hAnsi="Times New Roman" w:cs="Times New Roman"/>
      <w:sz w:val="24"/>
      <w:szCs w:val="24"/>
      <w:lang w:val="x-none" w:eastAsia="x-none"/>
    </w:rPr>
  </w:style>
  <w:style w:type="character" w:customStyle="1" w:styleId="EndnoteTextChar">
    <w:name w:val="Endnote Text Char"/>
    <w:basedOn w:val="DefaultParagraphFont"/>
    <w:link w:val="EndnoteText"/>
    <w:semiHidden/>
    <w:rsid w:val="00D76E12"/>
    <w:rPr>
      <w:rFonts w:ascii="Times New Roman" w:eastAsia="Times New Roman" w:hAnsi="Times New Roman" w:cs="Times New Roman"/>
      <w:sz w:val="24"/>
      <w:szCs w:val="24"/>
      <w:lang w:val="x-none" w:eastAsia="x-none"/>
    </w:rPr>
  </w:style>
  <w:style w:type="character" w:styleId="EndnoteReference">
    <w:name w:val="endnote reference"/>
    <w:uiPriority w:val="99"/>
    <w:rsid w:val="00D76E12"/>
    <w:rPr>
      <w:vertAlign w:val="superscript"/>
    </w:rPr>
  </w:style>
  <w:style w:type="character" w:styleId="FootnoteReference">
    <w:name w:val="footnote reference"/>
    <w:basedOn w:val="DefaultParagraphFont"/>
    <w:uiPriority w:val="99"/>
    <w:semiHidden/>
    <w:unhideWhenUsed/>
    <w:rsid w:val="00D76E12"/>
    <w:rPr>
      <w:vertAlign w:val="superscript"/>
    </w:rPr>
  </w:style>
  <w:style w:type="paragraph" w:styleId="BodyTextIndent">
    <w:name w:val="Body Text Indent"/>
    <w:basedOn w:val="Normal"/>
    <w:link w:val="BodyTextIndentChar"/>
    <w:uiPriority w:val="99"/>
    <w:unhideWhenUsed/>
    <w:rsid w:val="00D76E12"/>
    <w:pPr>
      <w:spacing w:after="120"/>
      <w:ind w:left="283"/>
    </w:pPr>
  </w:style>
  <w:style w:type="character" w:customStyle="1" w:styleId="BodyTextIndentChar">
    <w:name w:val="Body Text Indent Char"/>
    <w:basedOn w:val="DefaultParagraphFont"/>
    <w:link w:val="BodyTextIndent"/>
    <w:uiPriority w:val="99"/>
    <w:rsid w:val="00D76E12"/>
  </w:style>
  <w:style w:type="paragraph" w:styleId="NormalWeb">
    <w:name w:val="Normal (Web)"/>
    <w:basedOn w:val="Normal"/>
    <w:uiPriority w:val="99"/>
    <w:unhideWhenUsed/>
    <w:rsid w:val="00D76E12"/>
    <w:pPr>
      <w:spacing w:before="100" w:beforeAutospacing="1" w:after="100" w:afterAutospacing="1" w:line="240" w:lineRule="auto"/>
    </w:pPr>
    <w:rPr>
      <w:rFonts w:ascii="Times New Roman" w:eastAsia="Times New Roman" w:hAnsi="Times New Roman" w:cs="Times New Roman"/>
      <w:color w:val="000080"/>
      <w:sz w:val="24"/>
      <w:szCs w:val="24"/>
      <w:lang w:eastAsia="en-GB"/>
    </w:rPr>
  </w:style>
  <w:style w:type="character" w:customStyle="1" w:styleId="bodytext1">
    <w:name w:val="bodytext1"/>
    <w:rsid w:val="00D76E12"/>
    <w:rPr>
      <w:rFonts w:ascii="Verdana" w:hAnsi="Verdana" w:hint="default"/>
      <w:b w:val="0"/>
      <w:bCs w:val="0"/>
      <w:i w:val="0"/>
      <w:iCs w:val="0"/>
      <w:strike w:val="0"/>
      <w:dstrike w:val="0"/>
      <w:color w:val="000000"/>
      <w:sz w:val="20"/>
      <w:szCs w:val="20"/>
      <w:u w:val="none"/>
      <w:effect w:val="none"/>
    </w:rPr>
  </w:style>
  <w:style w:type="character" w:styleId="HTMLCite">
    <w:name w:val="HTML Cite"/>
    <w:rsid w:val="00D76E12"/>
    <w:rPr>
      <w:i w:val="0"/>
      <w:iCs w:val="0"/>
      <w:color w:val="008000"/>
    </w:rPr>
  </w:style>
  <w:style w:type="paragraph" w:customStyle="1" w:styleId="body-paragraph">
    <w:name w:val="body-paragraph"/>
    <w:basedOn w:val="Normal"/>
    <w:rsid w:val="00D76E12"/>
    <w:pPr>
      <w:spacing w:after="299" w:line="240" w:lineRule="auto"/>
    </w:pPr>
    <w:rPr>
      <w:rFonts w:ascii="Times New Roman" w:eastAsia="Times New Roman" w:hAnsi="Times New Roman" w:cs="Times New Roman"/>
      <w:sz w:val="19"/>
      <w:szCs w:val="19"/>
      <w:lang w:val="en-US" w:eastAsia="en-GB"/>
    </w:rPr>
  </w:style>
  <w:style w:type="character" w:customStyle="1" w:styleId="bold1">
    <w:name w:val="bold1"/>
    <w:rsid w:val="00D76E12"/>
    <w:rPr>
      <w:b/>
      <w:bCs/>
    </w:rPr>
  </w:style>
  <w:style w:type="character" w:customStyle="1" w:styleId="titleauthoretcsmallrtlfloatnone">
    <w:name w:val="titleauthoretc small rtl_float_none"/>
    <w:basedOn w:val="DefaultParagraphFont"/>
    <w:rsid w:val="00D76E12"/>
  </w:style>
  <w:style w:type="character" w:customStyle="1" w:styleId="titleauthoretcsmall">
    <w:name w:val="titleauthoretc small"/>
    <w:basedOn w:val="DefaultParagraphFont"/>
    <w:rsid w:val="00D76E12"/>
  </w:style>
  <w:style w:type="character" w:customStyle="1" w:styleId="hiddentext1">
    <w:name w:val="hiddentext1"/>
    <w:rsid w:val="00D76E12"/>
    <w:rPr>
      <w:vanish w:val="0"/>
      <w:webHidden w:val="0"/>
      <w:specVanish w:val="0"/>
    </w:rPr>
  </w:style>
  <w:style w:type="character" w:customStyle="1" w:styleId="bold">
    <w:name w:val="bold"/>
    <w:basedOn w:val="DefaultParagraphFont"/>
    <w:rsid w:val="00D76E12"/>
  </w:style>
  <w:style w:type="paragraph" w:customStyle="1" w:styleId="BodyText21">
    <w:name w:val="Body Text 21"/>
    <w:basedOn w:val="Normal"/>
    <w:rsid w:val="00D76E12"/>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76E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E12"/>
    <w:rPr>
      <w:rFonts w:ascii="Tahoma" w:hAnsi="Tahoma" w:cs="Tahoma"/>
      <w:sz w:val="16"/>
      <w:szCs w:val="16"/>
    </w:rPr>
  </w:style>
  <w:style w:type="character" w:styleId="CommentReference">
    <w:name w:val="annotation reference"/>
    <w:basedOn w:val="DefaultParagraphFont"/>
    <w:uiPriority w:val="99"/>
    <w:semiHidden/>
    <w:unhideWhenUsed/>
    <w:rsid w:val="00D76E12"/>
    <w:rPr>
      <w:sz w:val="16"/>
      <w:szCs w:val="16"/>
    </w:rPr>
  </w:style>
  <w:style w:type="paragraph" w:styleId="CommentText">
    <w:name w:val="annotation text"/>
    <w:basedOn w:val="Normal"/>
    <w:link w:val="CommentTextChar"/>
    <w:uiPriority w:val="99"/>
    <w:semiHidden/>
    <w:unhideWhenUsed/>
    <w:rsid w:val="00D76E12"/>
    <w:pPr>
      <w:spacing w:line="240" w:lineRule="auto"/>
    </w:pPr>
    <w:rPr>
      <w:sz w:val="20"/>
      <w:szCs w:val="20"/>
    </w:rPr>
  </w:style>
  <w:style w:type="character" w:customStyle="1" w:styleId="CommentTextChar">
    <w:name w:val="Comment Text Char"/>
    <w:basedOn w:val="DefaultParagraphFont"/>
    <w:link w:val="CommentText"/>
    <w:uiPriority w:val="99"/>
    <w:semiHidden/>
    <w:rsid w:val="00D76E12"/>
    <w:rPr>
      <w:sz w:val="20"/>
      <w:szCs w:val="20"/>
    </w:rPr>
  </w:style>
  <w:style w:type="paragraph" w:styleId="CommentSubject">
    <w:name w:val="annotation subject"/>
    <w:basedOn w:val="CommentText"/>
    <w:next w:val="CommentText"/>
    <w:link w:val="CommentSubjectChar"/>
    <w:uiPriority w:val="99"/>
    <w:semiHidden/>
    <w:unhideWhenUsed/>
    <w:rsid w:val="00D76E12"/>
    <w:rPr>
      <w:b/>
      <w:bCs/>
    </w:rPr>
  </w:style>
  <w:style w:type="character" w:customStyle="1" w:styleId="CommentSubjectChar">
    <w:name w:val="Comment Subject Char"/>
    <w:basedOn w:val="CommentTextChar"/>
    <w:link w:val="CommentSubject"/>
    <w:uiPriority w:val="99"/>
    <w:semiHidden/>
    <w:rsid w:val="00D76E12"/>
    <w:rPr>
      <w:b/>
      <w:bCs/>
      <w:sz w:val="20"/>
      <w:szCs w:val="20"/>
    </w:rPr>
  </w:style>
  <w:style w:type="paragraph" w:styleId="Revision">
    <w:name w:val="Revision"/>
    <w:hidden/>
    <w:uiPriority w:val="99"/>
    <w:semiHidden/>
    <w:rsid w:val="00D76E12"/>
    <w:pPr>
      <w:spacing w:after="0" w:line="240" w:lineRule="auto"/>
    </w:pPr>
  </w:style>
  <w:style w:type="paragraph" w:styleId="PlainText">
    <w:name w:val="Plain Text"/>
    <w:basedOn w:val="Normal"/>
    <w:link w:val="PlainTextChar"/>
    <w:uiPriority w:val="99"/>
    <w:unhideWhenUsed/>
    <w:rsid w:val="0080336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03368"/>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Cite"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E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6E1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76E12"/>
    <w:rPr>
      <w:color w:val="0000FF" w:themeColor="hyperlink"/>
      <w:u w:val="single"/>
    </w:rPr>
  </w:style>
  <w:style w:type="table" w:styleId="TableGrid">
    <w:name w:val="Table Grid"/>
    <w:basedOn w:val="TableNormal"/>
    <w:uiPriority w:val="59"/>
    <w:rsid w:val="00D7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76E12"/>
    <w:rPr>
      <w:b/>
      <w:bCs/>
    </w:rPr>
  </w:style>
  <w:style w:type="paragraph" w:styleId="BodyTextIndent2">
    <w:name w:val="Body Text Indent 2"/>
    <w:basedOn w:val="Normal"/>
    <w:link w:val="BodyTextIndent2Char"/>
    <w:rsid w:val="00D76E12"/>
    <w:pPr>
      <w:widowControl w:val="0"/>
      <w:tabs>
        <w:tab w:val="left" w:pos="-1080"/>
        <w:tab w:val="left" w:pos="-720"/>
        <w:tab w:val="left" w:pos="0"/>
        <w:tab w:val="left" w:pos="720"/>
        <w:tab w:val="left" w:pos="1440"/>
        <w:tab w:val="left" w:pos="2340"/>
      </w:tabs>
      <w:spacing w:after="0" w:line="240" w:lineRule="auto"/>
      <w:ind w:left="1440" w:hanging="720"/>
      <w:jc w:val="both"/>
    </w:pPr>
    <w:rPr>
      <w:rFonts w:ascii="Courier" w:eastAsia="Times New Roman" w:hAnsi="Courier" w:cs="Times New Roman"/>
      <w:snapToGrid w:val="0"/>
      <w:sz w:val="24"/>
      <w:szCs w:val="20"/>
    </w:rPr>
  </w:style>
  <w:style w:type="character" w:customStyle="1" w:styleId="BodyTextIndent2Char">
    <w:name w:val="Body Text Indent 2 Char"/>
    <w:basedOn w:val="DefaultParagraphFont"/>
    <w:link w:val="BodyTextIndent2"/>
    <w:rsid w:val="00D76E12"/>
    <w:rPr>
      <w:rFonts w:ascii="Courier" w:eastAsia="Times New Roman" w:hAnsi="Courier" w:cs="Times New Roman"/>
      <w:snapToGrid w:val="0"/>
      <w:sz w:val="24"/>
      <w:szCs w:val="20"/>
    </w:rPr>
  </w:style>
  <w:style w:type="paragraph" w:styleId="Header">
    <w:name w:val="header"/>
    <w:basedOn w:val="Normal"/>
    <w:link w:val="HeaderChar"/>
    <w:uiPriority w:val="99"/>
    <w:unhideWhenUsed/>
    <w:rsid w:val="00D76E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E12"/>
  </w:style>
  <w:style w:type="paragraph" w:styleId="Footer">
    <w:name w:val="footer"/>
    <w:basedOn w:val="Normal"/>
    <w:link w:val="FooterChar"/>
    <w:uiPriority w:val="99"/>
    <w:unhideWhenUsed/>
    <w:rsid w:val="00D76E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E12"/>
  </w:style>
  <w:style w:type="paragraph" w:styleId="ListParagraph">
    <w:name w:val="List Paragraph"/>
    <w:basedOn w:val="Normal"/>
    <w:uiPriority w:val="34"/>
    <w:qFormat/>
    <w:rsid w:val="00D76E12"/>
    <w:pPr>
      <w:ind w:left="720"/>
      <w:contextualSpacing/>
    </w:pPr>
  </w:style>
  <w:style w:type="paragraph" w:styleId="BodyText">
    <w:name w:val="Body Text"/>
    <w:basedOn w:val="Normal"/>
    <w:link w:val="BodyTextChar"/>
    <w:uiPriority w:val="99"/>
    <w:unhideWhenUsed/>
    <w:rsid w:val="00D76E12"/>
    <w:pPr>
      <w:spacing w:after="120"/>
    </w:pPr>
  </w:style>
  <w:style w:type="character" w:customStyle="1" w:styleId="BodyTextChar">
    <w:name w:val="Body Text Char"/>
    <w:basedOn w:val="DefaultParagraphFont"/>
    <w:link w:val="BodyText"/>
    <w:uiPriority w:val="99"/>
    <w:rsid w:val="00D76E12"/>
  </w:style>
  <w:style w:type="paragraph" w:styleId="FootnoteText">
    <w:name w:val="footnote text"/>
    <w:basedOn w:val="Normal"/>
    <w:link w:val="FootnoteTextChar"/>
    <w:rsid w:val="00D76E12"/>
    <w:pPr>
      <w:spacing w:after="0" w:line="240" w:lineRule="auto"/>
    </w:pPr>
    <w:rPr>
      <w:rFonts w:ascii="Times New Roman" w:eastAsia="Times New Roman" w:hAnsi="Times New Roman" w:cs="Times New Roman"/>
      <w:sz w:val="20"/>
      <w:szCs w:val="20"/>
      <w:lang w:val="en-AU" w:eastAsia="x-none"/>
    </w:rPr>
  </w:style>
  <w:style w:type="character" w:customStyle="1" w:styleId="FootnoteTextChar">
    <w:name w:val="Footnote Text Char"/>
    <w:basedOn w:val="DefaultParagraphFont"/>
    <w:link w:val="FootnoteText"/>
    <w:rsid w:val="00D76E12"/>
    <w:rPr>
      <w:rFonts w:ascii="Times New Roman" w:eastAsia="Times New Roman" w:hAnsi="Times New Roman" w:cs="Times New Roman"/>
      <w:sz w:val="20"/>
      <w:szCs w:val="20"/>
      <w:lang w:val="en-AU" w:eastAsia="x-none"/>
    </w:rPr>
  </w:style>
  <w:style w:type="paragraph" w:styleId="BodyText3">
    <w:name w:val="Body Text 3"/>
    <w:basedOn w:val="Normal"/>
    <w:link w:val="BodyText3Char"/>
    <w:uiPriority w:val="99"/>
    <w:unhideWhenUsed/>
    <w:rsid w:val="00D76E12"/>
    <w:pPr>
      <w:spacing w:after="120" w:line="240" w:lineRule="auto"/>
      <w:ind w:left="578"/>
      <w:jc w:val="both"/>
    </w:pPr>
    <w:rPr>
      <w:rFonts w:ascii="Calibri" w:eastAsia="Calibri" w:hAnsi="Calibri" w:cs="Times New Roman"/>
      <w:sz w:val="16"/>
      <w:szCs w:val="16"/>
      <w:lang w:val="x-none"/>
    </w:rPr>
  </w:style>
  <w:style w:type="character" w:customStyle="1" w:styleId="BodyText3Char">
    <w:name w:val="Body Text 3 Char"/>
    <w:basedOn w:val="DefaultParagraphFont"/>
    <w:link w:val="BodyText3"/>
    <w:uiPriority w:val="99"/>
    <w:rsid w:val="00D76E12"/>
    <w:rPr>
      <w:rFonts w:ascii="Calibri" w:eastAsia="Calibri" w:hAnsi="Calibri" w:cs="Times New Roman"/>
      <w:sz w:val="16"/>
      <w:szCs w:val="16"/>
      <w:lang w:val="x-none"/>
    </w:rPr>
  </w:style>
  <w:style w:type="character" w:customStyle="1" w:styleId="italic1">
    <w:name w:val="italic1"/>
    <w:rsid w:val="00D76E12"/>
    <w:rPr>
      <w:i/>
      <w:iCs/>
    </w:rPr>
  </w:style>
  <w:style w:type="paragraph" w:styleId="EndnoteText">
    <w:name w:val="endnote text"/>
    <w:basedOn w:val="Normal"/>
    <w:link w:val="EndnoteTextChar"/>
    <w:semiHidden/>
    <w:rsid w:val="00D76E12"/>
    <w:pPr>
      <w:spacing w:after="0" w:line="240" w:lineRule="auto"/>
    </w:pPr>
    <w:rPr>
      <w:rFonts w:ascii="Times New Roman" w:eastAsia="Times New Roman" w:hAnsi="Times New Roman" w:cs="Times New Roman"/>
      <w:sz w:val="24"/>
      <w:szCs w:val="24"/>
      <w:lang w:val="x-none" w:eastAsia="x-none"/>
    </w:rPr>
  </w:style>
  <w:style w:type="character" w:customStyle="1" w:styleId="EndnoteTextChar">
    <w:name w:val="Endnote Text Char"/>
    <w:basedOn w:val="DefaultParagraphFont"/>
    <w:link w:val="EndnoteText"/>
    <w:semiHidden/>
    <w:rsid w:val="00D76E12"/>
    <w:rPr>
      <w:rFonts w:ascii="Times New Roman" w:eastAsia="Times New Roman" w:hAnsi="Times New Roman" w:cs="Times New Roman"/>
      <w:sz w:val="24"/>
      <w:szCs w:val="24"/>
      <w:lang w:val="x-none" w:eastAsia="x-none"/>
    </w:rPr>
  </w:style>
  <w:style w:type="character" w:styleId="EndnoteReference">
    <w:name w:val="endnote reference"/>
    <w:uiPriority w:val="99"/>
    <w:rsid w:val="00D76E12"/>
    <w:rPr>
      <w:vertAlign w:val="superscript"/>
    </w:rPr>
  </w:style>
  <w:style w:type="character" w:styleId="FootnoteReference">
    <w:name w:val="footnote reference"/>
    <w:basedOn w:val="DefaultParagraphFont"/>
    <w:uiPriority w:val="99"/>
    <w:semiHidden/>
    <w:unhideWhenUsed/>
    <w:rsid w:val="00D76E12"/>
    <w:rPr>
      <w:vertAlign w:val="superscript"/>
    </w:rPr>
  </w:style>
  <w:style w:type="paragraph" w:styleId="BodyTextIndent">
    <w:name w:val="Body Text Indent"/>
    <w:basedOn w:val="Normal"/>
    <w:link w:val="BodyTextIndentChar"/>
    <w:uiPriority w:val="99"/>
    <w:unhideWhenUsed/>
    <w:rsid w:val="00D76E12"/>
    <w:pPr>
      <w:spacing w:after="120"/>
      <w:ind w:left="283"/>
    </w:pPr>
  </w:style>
  <w:style w:type="character" w:customStyle="1" w:styleId="BodyTextIndentChar">
    <w:name w:val="Body Text Indent Char"/>
    <w:basedOn w:val="DefaultParagraphFont"/>
    <w:link w:val="BodyTextIndent"/>
    <w:uiPriority w:val="99"/>
    <w:rsid w:val="00D76E12"/>
  </w:style>
  <w:style w:type="paragraph" w:styleId="NormalWeb">
    <w:name w:val="Normal (Web)"/>
    <w:basedOn w:val="Normal"/>
    <w:uiPriority w:val="99"/>
    <w:unhideWhenUsed/>
    <w:rsid w:val="00D76E12"/>
    <w:pPr>
      <w:spacing w:before="100" w:beforeAutospacing="1" w:after="100" w:afterAutospacing="1" w:line="240" w:lineRule="auto"/>
    </w:pPr>
    <w:rPr>
      <w:rFonts w:ascii="Times New Roman" w:eastAsia="Times New Roman" w:hAnsi="Times New Roman" w:cs="Times New Roman"/>
      <w:color w:val="000080"/>
      <w:sz w:val="24"/>
      <w:szCs w:val="24"/>
      <w:lang w:eastAsia="en-GB"/>
    </w:rPr>
  </w:style>
  <w:style w:type="character" w:customStyle="1" w:styleId="bodytext1">
    <w:name w:val="bodytext1"/>
    <w:rsid w:val="00D76E12"/>
    <w:rPr>
      <w:rFonts w:ascii="Verdana" w:hAnsi="Verdana" w:hint="default"/>
      <w:b w:val="0"/>
      <w:bCs w:val="0"/>
      <w:i w:val="0"/>
      <w:iCs w:val="0"/>
      <w:strike w:val="0"/>
      <w:dstrike w:val="0"/>
      <w:color w:val="000000"/>
      <w:sz w:val="20"/>
      <w:szCs w:val="20"/>
      <w:u w:val="none"/>
      <w:effect w:val="none"/>
    </w:rPr>
  </w:style>
  <w:style w:type="character" w:styleId="HTMLCite">
    <w:name w:val="HTML Cite"/>
    <w:rsid w:val="00D76E12"/>
    <w:rPr>
      <w:i w:val="0"/>
      <w:iCs w:val="0"/>
      <w:color w:val="008000"/>
    </w:rPr>
  </w:style>
  <w:style w:type="paragraph" w:customStyle="1" w:styleId="body-paragraph">
    <w:name w:val="body-paragraph"/>
    <w:basedOn w:val="Normal"/>
    <w:rsid w:val="00D76E12"/>
    <w:pPr>
      <w:spacing w:after="299" w:line="240" w:lineRule="auto"/>
    </w:pPr>
    <w:rPr>
      <w:rFonts w:ascii="Times New Roman" w:eastAsia="Times New Roman" w:hAnsi="Times New Roman" w:cs="Times New Roman"/>
      <w:sz w:val="19"/>
      <w:szCs w:val="19"/>
      <w:lang w:val="en-US" w:eastAsia="en-GB"/>
    </w:rPr>
  </w:style>
  <w:style w:type="character" w:customStyle="1" w:styleId="bold1">
    <w:name w:val="bold1"/>
    <w:rsid w:val="00D76E12"/>
    <w:rPr>
      <w:b/>
      <w:bCs/>
    </w:rPr>
  </w:style>
  <w:style w:type="character" w:customStyle="1" w:styleId="titleauthoretcsmallrtlfloatnone">
    <w:name w:val="titleauthoretc small rtl_float_none"/>
    <w:basedOn w:val="DefaultParagraphFont"/>
    <w:rsid w:val="00D76E12"/>
  </w:style>
  <w:style w:type="character" w:customStyle="1" w:styleId="titleauthoretcsmall">
    <w:name w:val="titleauthoretc small"/>
    <w:basedOn w:val="DefaultParagraphFont"/>
    <w:rsid w:val="00D76E12"/>
  </w:style>
  <w:style w:type="character" w:customStyle="1" w:styleId="hiddentext1">
    <w:name w:val="hiddentext1"/>
    <w:rsid w:val="00D76E12"/>
    <w:rPr>
      <w:vanish w:val="0"/>
      <w:webHidden w:val="0"/>
      <w:specVanish w:val="0"/>
    </w:rPr>
  </w:style>
  <w:style w:type="character" w:customStyle="1" w:styleId="bold">
    <w:name w:val="bold"/>
    <w:basedOn w:val="DefaultParagraphFont"/>
    <w:rsid w:val="00D76E12"/>
  </w:style>
  <w:style w:type="paragraph" w:customStyle="1" w:styleId="BodyText21">
    <w:name w:val="Body Text 21"/>
    <w:basedOn w:val="Normal"/>
    <w:rsid w:val="00D76E12"/>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76E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E12"/>
    <w:rPr>
      <w:rFonts w:ascii="Tahoma" w:hAnsi="Tahoma" w:cs="Tahoma"/>
      <w:sz w:val="16"/>
      <w:szCs w:val="16"/>
    </w:rPr>
  </w:style>
  <w:style w:type="character" w:styleId="CommentReference">
    <w:name w:val="annotation reference"/>
    <w:basedOn w:val="DefaultParagraphFont"/>
    <w:uiPriority w:val="99"/>
    <w:semiHidden/>
    <w:unhideWhenUsed/>
    <w:rsid w:val="00D76E12"/>
    <w:rPr>
      <w:sz w:val="16"/>
      <w:szCs w:val="16"/>
    </w:rPr>
  </w:style>
  <w:style w:type="paragraph" w:styleId="CommentText">
    <w:name w:val="annotation text"/>
    <w:basedOn w:val="Normal"/>
    <w:link w:val="CommentTextChar"/>
    <w:uiPriority w:val="99"/>
    <w:semiHidden/>
    <w:unhideWhenUsed/>
    <w:rsid w:val="00D76E12"/>
    <w:pPr>
      <w:spacing w:line="240" w:lineRule="auto"/>
    </w:pPr>
    <w:rPr>
      <w:sz w:val="20"/>
      <w:szCs w:val="20"/>
    </w:rPr>
  </w:style>
  <w:style w:type="character" w:customStyle="1" w:styleId="CommentTextChar">
    <w:name w:val="Comment Text Char"/>
    <w:basedOn w:val="DefaultParagraphFont"/>
    <w:link w:val="CommentText"/>
    <w:uiPriority w:val="99"/>
    <w:semiHidden/>
    <w:rsid w:val="00D76E12"/>
    <w:rPr>
      <w:sz w:val="20"/>
      <w:szCs w:val="20"/>
    </w:rPr>
  </w:style>
  <w:style w:type="paragraph" w:styleId="CommentSubject">
    <w:name w:val="annotation subject"/>
    <w:basedOn w:val="CommentText"/>
    <w:next w:val="CommentText"/>
    <w:link w:val="CommentSubjectChar"/>
    <w:uiPriority w:val="99"/>
    <w:semiHidden/>
    <w:unhideWhenUsed/>
    <w:rsid w:val="00D76E12"/>
    <w:rPr>
      <w:b/>
      <w:bCs/>
    </w:rPr>
  </w:style>
  <w:style w:type="character" w:customStyle="1" w:styleId="CommentSubjectChar">
    <w:name w:val="Comment Subject Char"/>
    <w:basedOn w:val="CommentTextChar"/>
    <w:link w:val="CommentSubject"/>
    <w:uiPriority w:val="99"/>
    <w:semiHidden/>
    <w:rsid w:val="00D76E12"/>
    <w:rPr>
      <w:b/>
      <w:bCs/>
      <w:sz w:val="20"/>
      <w:szCs w:val="20"/>
    </w:rPr>
  </w:style>
  <w:style w:type="paragraph" w:styleId="Revision">
    <w:name w:val="Revision"/>
    <w:hidden/>
    <w:uiPriority w:val="99"/>
    <w:semiHidden/>
    <w:rsid w:val="00D76E12"/>
    <w:pPr>
      <w:spacing w:after="0" w:line="240" w:lineRule="auto"/>
    </w:pPr>
  </w:style>
  <w:style w:type="paragraph" w:styleId="PlainText">
    <w:name w:val="Plain Text"/>
    <w:basedOn w:val="Normal"/>
    <w:link w:val="PlainTextChar"/>
    <w:uiPriority w:val="99"/>
    <w:unhideWhenUsed/>
    <w:rsid w:val="0080336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0336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E08F2-A28E-4E3F-820B-0B68A4421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29</Pages>
  <Words>10844</Words>
  <Characters>61811</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dc:creator>
  <cp:lastModifiedBy>Tony</cp:lastModifiedBy>
  <cp:revision>19</cp:revision>
  <dcterms:created xsi:type="dcterms:W3CDTF">2017-05-09T12:03:00Z</dcterms:created>
  <dcterms:modified xsi:type="dcterms:W3CDTF">2017-05-16T06:17:00Z</dcterms:modified>
</cp:coreProperties>
</file>