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CCC13" w14:textId="72D2D1C2" w:rsidR="00AF5A81" w:rsidRDefault="00AF5A81" w:rsidP="00CD1C27">
      <w:pPr>
        <w:spacing w:line="276" w:lineRule="auto"/>
        <w:jc w:val="both"/>
        <w:rPr>
          <w:b/>
          <w:bCs/>
          <w:i/>
          <w:iCs/>
        </w:rPr>
      </w:pPr>
      <w:r>
        <w:rPr>
          <w:b/>
          <w:bCs/>
          <w:i/>
          <w:iCs/>
        </w:rPr>
        <w:t xml:space="preserve">Submission: JHEC (2020/1(2) - special issue) on “sexual terrorism”: the nexus between terrorism, human trafficking, and conflict-related sexual violence. </w:t>
      </w:r>
    </w:p>
    <w:p w14:paraId="73F6C5CB" w14:textId="77777777" w:rsidR="0099263A" w:rsidRDefault="0099263A" w:rsidP="00CD1C27">
      <w:pPr>
        <w:spacing w:line="276" w:lineRule="auto"/>
        <w:jc w:val="both"/>
        <w:rPr>
          <w:b/>
          <w:bCs/>
          <w:i/>
          <w:iCs/>
        </w:rPr>
      </w:pPr>
    </w:p>
    <w:p w14:paraId="4EB7A54F" w14:textId="00E8D5FA" w:rsidR="0099263A" w:rsidRDefault="0099263A" w:rsidP="00CD1C27">
      <w:pPr>
        <w:spacing w:line="276" w:lineRule="auto"/>
        <w:jc w:val="both"/>
        <w:rPr>
          <w:b/>
          <w:bCs/>
          <w:i/>
          <w:iCs/>
        </w:rPr>
      </w:pPr>
      <w:r>
        <w:rPr>
          <w:b/>
          <w:bCs/>
          <w:i/>
          <w:iCs/>
        </w:rPr>
        <w:t>Title page:</w:t>
      </w:r>
    </w:p>
    <w:p w14:paraId="313AB959" w14:textId="7F380504" w:rsidR="0099263A" w:rsidRPr="002F5904" w:rsidRDefault="0099263A" w:rsidP="00CD1C27">
      <w:pPr>
        <w:pStyle w:val="Prrafodelista"/>
        <w:numPr>
          <w:ilvl w:val="0"/>
          <w:numId w:val="24"/>
        </w:numPr>
        <w:spacing w:line="276" w:lineRule="auto"/>
        <w:jc w:val="both"/>
        <w:rPr>
          <w:b/>
          <w:bCs/>
        </w:rPr>
      </w:pPr>
      <w:r w:rsidRPr="002F5904">
        <w:rPr>
          <w:b/>
          <w:bCs/>
        </w:rPr>
        <w:t xml:space="preserve">Title: </w:t>
      </w:r>
      <w:r w:rsidRPr="002F5904">
        <w:rPr>
          <w:b/>
          <w:bCs/>
          <w:i/>
          <w:iCs/>
        </w:rPr>
        <w:t>Intersectionality: Explaining</w:t>
      </w:r>
      <w:r w:rsidR="00070466">
        <w:rPr>
          <w:b/>
          <w:bCs/>
          <w:i/>
          <w:iCs/>
        </w:rPr>
        <w:t xml:space="preserve"> SGBV Interlinked with Terrorism and Other</w:t>
      </w:r>
      <w:r w:rsidR="00793912">
        <w:rPr>
          <w:b/>
          <w:bCs/>
          <w:i/>
          <w:iCs/>
        </w:rPr>
        <w:t xml:space="preserve"> International</w:t>
      </w:r>
      <w:r w:rsidR="00070466">
        <w:rPr>
          <w:b/>
          <w:bCs/>
          <w:i/>
          <w:iCs/>
        </w:rPr>
        <w:t xml:space="preserve"> Crimes</w:t>
      </w:r>
      <w:r w:rsidRPr="002F5904">
        <w:rPr>
          <w:b/>
          <w:bCs/>
          <w:i/>
          <w:iCs/>
        </w:rPr>
        <w:t xml:space="preserve"> </w:t>
      </w:r>
    </w:p>
    <w:p w14:paraId="5CB7EE27" w14:textId="0D2961F2" w:rsidR="0099263A" w:rsidRPr="0099263A" w:rsidRDefault="0099263A" w:rsidP="00CD1C27">
      <w:pPr>
        <w:pStyle w:val="Prrafodelista"/>
        <w:numPr>
          <w:ilvl w:val="0"/>
          <w:numId w:val="24"/>
        </w:numPr>
        <w:spacing w:line="276" w:lineRule="auto"/>
        <w:jc w:val="both"/>
        <w:rPr>
          <w:b/>
          <w:bCs/>
        </w:rPr>
      </w:pPr>
      <w:r w:rsidRPr="0099263A">
        <w:rPr>
          <w:b/>
          <w:bCs/>
        </w:rPr>
        <w:t>Author name and</w:t>
      </w:r>
      <w:r w:rsidRPr="0099263A">
        <w:rPr>
          <w:rFonts w:cstheme="minorHAnsi"/>
          <w:b/>
          <w:bCs/>
          <w:color w:val="000000"/>
        </w:rPr>
        <w:t xml:space="preserve"> institutional affiliation</w:t>
      </w:r>
      <w:r>
        <w:rPr>
          <w:rFonts w:cstheme="minorHAnsi"/>
          <w:b/>
          <w:bCs/>
          <w:color w:val="000000"/>
        </w:rPr>
        <w:t xml:space="preserve">: Ana Martin, </w:t>
      </w:r>
      <w:r w:rsidR="00D913D6">
        <w:rPr>
          <w:rFonts w:cstheme="minorHAnsi"/>
          <w:b/>
          <w:bCs/>
          <w:color w:val="000000"/>
        </w:rPr>
        <w:t xml:space="preserve">PhD Researcher at </w:t>
      </w:r>
      <w:r>
        <w:rPr>
          <w:rFonts w:cstheme="minorHAnsi"/>
          <w:b/>
          <w:bCs/>
          <w:color w:val="000000"/>
        </w:rPr>
        <w:t>Transitional Justice Institute, Ulster University</w:t>
      </w:r>
    </w:p>
    <w:p w14:paraId="1738411C" w14:textId="04065E79" w:rsidR="0099263A" w:rsidRPr="0099263A" w:rsidRDefault="0099263A" w:rsidP="00CD1C27">
      <w:pPr>
        <w:pStyle w:val="Prrafodelista"/>
        <w:numPr>
          <w:ilvl w:val="0"/>
          <w:numId w:val="24"/>
        </w:numPr>
        <w:spacing w:line="276" w:lineRule="auto"/>
        <w:jc w:val="both"/>
        <w:rPr>
          <w:b/>
          <w:bCs/>
        </w:rPr>
      </w:pPr>
      <w:r>
        <w:rPr>
          <w:rFonts w:cstheme="minorHAnsi"/>
          <w:b/>
          <w:bCs/>
          <w:color w:val="000000"/>
        </w:rPr>
        <w:t>D</w:t>
      </w:r>
      <w:r w:rsidRPr="0099263A">
        <w:rPr>
          <w:rFonts w:cstheme="minorHAnsi"/>
          <w:b/>
          <w:bCs/>
          <w:color w:val="000000"/>
        </w:rPr>
        <w:t>epartment</w:t>
      </w:r>
      <w:r>
        <w:rPr>
          <w:rFonts w:cstheme="minorHAnsi"/>
          <w:b/>
          <w:bCs/>
          <w:color w:val="000000"/>
        </w:rPr>
        <w:t xml:space="preserve"> </w:t>
      </w:r>
      <w:r w:rsidRPr="0099263A">
        <w:rPr>
          <w:rFonts w:cstheme="minorHAnsi"/>
          <w:b/>
          <w:bCs/>
          <w:color w:val="000000"/>
        </w:rPr>
        <w:t>and institution</w:t>
      </w:r>
      <w:r>
        <w:rPr>
          <w:rFonts w:cstheme="minorHAnsi"/>
          <w:b/>
          <w:bCs/>
          <w:color w:val="000000"/>
        </w:rPr>
        <w:t xml:space="preserve"> </w:t>
      </w:r>
      <w:r w:rsidRPr="0099263A">
        <w:rPr>
          <w:rFonts w:cstheme="minorHAnsi"/>
          <w:b/>
          <w:bCs/>
          <w:color w:val="000000"/>
        </w:rPr>
        <w:t>to which the work should be attributed</w:t>
      </w:r>
      <w:r>
        <w:rPr>
          <w:rFonts w:cstheme="minorHAnsi"/>
          <w:b/>
          <w:bCs/>
          <w:color w:val="000000"/>
        </w:rPr>
        <w:t xml:space="preserve">: </w:t>
      </w:r>
      <w:r w:rsidR="00791F34">
        <w:rPr>
          <w:rFonts w:cstheme="minorHAnsi"/>
          <w:b/>
          <w:bCs/>
          <w:color w:val="000000"/>
        </w:rPr>
        <w:t xml:space="preserve">Transitional Justice Institute, </w:t>
      </w:r>
      <w:r>
        <w:rPr>
          <w:rFonts w:cstheme="minorHAnsi"/>
          <w:b/>
          <w:bCs/>
          <w:color w:val="000000"/>
        </w:rPr>
        <w:t>School of Law, Ulster University</w:t>
      </w:r>
      <w:r w:rsidR="002F5904" w:rsidRPr="002F5904">
        <w:rPr>
          <w:rFonts w:cstheme="minorHAnsi"/>
          <w:b/>
          <w:bCs/>
          <w:color w:val="000000"/>
        </w:rPr>
        <w:t xml:space="preserve">, </w:t>
      </w:r>
      <w:r w:rsidR="002F5904" w:rsidRPr="002F5904">
        <w:rPr>
          <w:rFonts w:ascii="Calibri" w:hAnsi="Calibri" w:cs="Calibri"/>
          <w:b/>
          <w:bCs/>
          <w:color w:val="000000"/>
          <w:shd w:val="clear" w:color="auto" w:fill="FFFFFF"/>
        </w:rPr>
        <w:t>Jordanstown BT37 0QB</w:t>
      </w:r>
      <w:r w:rsidR="002F5904">
        <w:rPr>
          <w:rFonts w:ascii="Calibri" w:hAnsi="Calibri" w:cs="Calibri"/>
          <w:b/>
          <w:bCs/>
          <w:color w:val="000000"/>
          <w:shd w:val="clear" w:color="auto" w:fill="FFFFFF"/>
        </w:rPr>
        <w:t>, Northern Ireland</w:t>
      </w:r>
    </w:p>
    <w:p w14:paraId="64269B13" w14:textId="3C56E73C" w:rsidR="0099263A" w:rsidRPr="0099263A" w:rsidRDefault="0099263A" w:rsidP="00CD1C27">
      <w:pPr>
        <w:pStyle w:val="Prrafodelista"/>
        <w:numPr>
          <w:ilvl w:val="0"/>
          <w:numId w:val="24"/>
        </w:numPr>
        <w:autoSpaceDE w:val="0"/>
        <w:autoSpaceDN w:val="0"/>
        <w:adjustRightInd w:val="0"/>
        <w:spacing w:after="0" w:line="276" w:lineRule="auto"/>
        <w:rPr>
          <w:rFonts w:cstheme="minorHAnsi"/>
          <w:b/>
          <w:bCs/>
          <w:color w:val="000000"/>
        </w:rPr>
      </w:pPr>
      <w:r w:rsidRPr="0099263A">
        <w:rPr>
          <w:rFonts w:cstheme="minorHAnsi"/>
          <w:b/>
          <w:bCs/>
          <w:color w:val="000000"/>
        </w:rPr>
        <w:t>Contact information for corresponding authors</w:t>
      </w:r>
      <w:r w:rsidR="00791F34">
        <w:rPr>
          <w:rFonts w:cstheme="minorHAnsi"/>
          <w:b/>
          <w:bCs/>
          <w:color w:val="000000"/>
        </w:rPr>
        <w:t xml:space="preserve">: </w:t>
      </w:r>
      <w:hyperlink r:id="rId8" w:history="1">
        <w:r w:rsidR="00791F34" w:rsidRPr="005B017F">
          <w:rPr>
            <w:rStyle w:val="Hipervnculo"/>
            <w:rFonts w:cstheme="minorHAnsi"/>
            <w:b/>
            <w:bCs/>
          </w:rPr>
          <w:t>martin-a1@ulster.ac.uk</w:t>
        </w:r>
      </w:hyperlink>
      <w:r w:rsidR="00791F34">
        <w:rPr>
          <w:rFonts w:cstheme="minorHAnsi"/>
          <w:b/>
          <w:bCs/>
          <w:color w:val="000000"/>
        </w:rPr>
        <w:t xml:space="preserve"> </w:t>
      </w:r>
    </w:p>
    <w:p w14:paraId="381801D1" w14:textId="3FC01C57" w:rsidR="0099263A" w:rsidRPr="0099263A" w:rsidRDefault="0099263A" w:rsidP="00CD1C27">
      <w:pPr>
        <w:pStyle w:val="Prrafodelista"/>
        <w:numPr>
          <w:ilvl w:val="0"/>
          <w:numId w:val="24"/>
        </w:numPr>
        <w:autoSpaceDE w:val="0"/>
        <w:autoSpaceDN w:val="0"/>
        <w:adjustRightInd w:val="0"/>
        <w:spacing w:after="0" w:line="276" w:lineRule="auto"/>
        <w:rPr>
          <w:rFonts w:cstheme="minorHAnsi"/>
          <w:b/>
          <w:bCs/>
          <w:color w:val="000000"/>
        </w:rPr>
      </w:pPr>
      <w:r w:rsidRPr="0099263A">
        <w:rPr>
          <w:rFonts w:cstheme="minorHAnsi"/>
          <w:b/>
          <w:bCs/>
          <w:color w:val="000000"/>
          <w:sz w:val="23"/>
          <w:szCs w:val="23"/>
        </w:rPr>
        <w:t>Details of all funding sources for the work</w:t>
      </w:r>
      <w:r w:rsidR="00791F34">
        <w:rPr>
          <w:rFonts w:cstheme="minorHAnsi"/>
          <w:b/>
          <w:bCs/>
          <w:color w:val="000000"/>
        </w:rPr>
        <w:t>: Vice-Chancellor´s Research Scholarship (VCRS), on behalf of Ulster University, Belfast,</w:t>
      </w:r>
      <w:r w:rsidR="002F5904">
        <w:rPr>
          <w:rFonts w:cstheme="minorHAnsi"/>
          <w:b/>
          <w:bCs/>
          <w:color w:val="000000"/>
        </w:rPr>
        <w:t xml:space="preserve"> Northern Ireland</w:t>
      </w:r>
      <w:r w:rsidR="00791F34">
        <w:rPr>
          <w:rFonts w:cstheme="minorHAnsi"/>
          <w:b/>
          <w:bCs/>
          <w:color w:val="000000"/>
        </w:rPr>
        <w:t xml:space="preserve">. </w:t>
      </w:r>
      <w:r w:rsidR="00791F34" w:rsidRPr="002F5904">
        <w:rPr>
          <w:rFonts w:cstheme="minorHAnsi"/>
          <w:b/>
          <w:bCs/>
          <w:color w:val="000000"/>
        </w:rPr>
        <w:t>This is the scholarship that finances my PhD</w:t>
      </w:r>
      <w:r w:rsidR="00D00688">
        <w:rPr>
          <w:rFonts w:cstheme="minorHAnsi"/>
          <w:b/>
          <w:bCs/>
          <w:color w:val="000000"/>
        </w:rPr>
        <w:t xml:space="preserve"> </w:t>
      </w:r>
      <w:r w:rsidR="00791F34" w:rsidRPr="002F5904">
        <w:rPr>
          <w:rFonts w:cstheme="minorHAnsi"/>
          <w:b/>
          <w:bCs/>
          <w:color w:val="000000"/>
        </w:rPr>
        <w:t xml:space="preserve">during which </w:t>
      </w:r>
      <w:r w:rsidR="002F5904" w:rsidRPr="002F5904">
        <w:rPr>
          <w:rFonts w:cstheme="minorHAnsi"/>
          <w:b/>
          <w:bCs/>
          <w:color w:val="000000"/>
        </w:rPr>
        <w:t xml:space="preserve">time </w:t>
      </w:r>
      <w:r w:rsidR="00791F34" w:rsidRPr="002F5904">
        <w:rPr>
          <w:rFonts w:cstheme="minorHAnsi"/>
          <w:b/>
          <w:bCs/>
          <w:color w:val="000000"/>
        </w:rPr>
        <w:t xml:space="preserve">this article </w:t>
      </w:r>
      <w:r w:rsidR="002F5904" w:rsidRPr="002F5904">
        <w:rPr>
          <w:rFonts w:cstheme="minorHAnsi"/>
          <w:b/>
          <w:bCs/>
          <w:color w:val="000000"/>
        </w:rPr>
        <w:t>has been written.</w:t>
      </w:r>
    </w:p>
    <w:p w14:paraId="0C0A8792" w14:textId="3F5D70F6" w:rsidR="0099263A" w:rsidRPr="007A6CED" w:rsidRDefault="0099263A" w:rsidP="00CD1C27">
      <w:pPr>
        <w:pStyle w:val="Prrafodelista"/>
        <w:numPr>
          <w:ilvl w:val="0"/>
          <w:numId w:val="24"/>
        </w:numPr>
        <w:autoSpaceDE w:val="0"/>
        <w:autoSpaceDN w:val="0"/>
        <w:adjustRightInd w:val="0"/>
        <w:spacing w:after="0" w:line="276" w:lineRule="auto"/>
        <w:rPr>
          <w:rFonts w:cstheme="minorHAnsi"/>
          <w:b/>
          <w:bCs/>
          <w:color w:val="000000" w:themeColor="text1"/>
        </w:rPr>
      </w:pPr>
      <w:r w:rsidRPr="007A6CED">
        <w:rPr>
          <w:rFonts w:cstheme="minorHAnsi"/>
          <w:b/>
          <w:bCs/>
          <w:color w:val="000000" w:themeColor="text1"/>
        </w:rPr>
        <w:t>Word count</w:t>
      </w:r>
      <w:r w:rsidR="002F5904" w:rsidRPr="007A6CED">
        <w:rPr>
          <w:rFonts w:cstheme="minorHAnsi"/>
          <w:b/>
          <w:bCs/>
          <w:color w:val="000000" w:themeColor="text1"/>
        </w:rPr>
        <w:t>:</w:t>
      </w:r>
      <w:r w:rsidRPr="007A6CED">
        <w:rPr>
          <w:rFonts w:cstheme="minorHAnsi"/>
          <w:b/>
          <w:bCs/>
          <w:color w:val="000000" w:themeColor="text1"/>
        </w:rPr>
        <w:t xml:space="preserve"> </w:t>
      </w:r>
      <w:r w:rsidR="002F5904" w:rsidRPr="007A6CED">
        <w:rPr>
          <w:rFonts w:cstheme="minorHAnsi"/>
          <w:b/>
          <w:bCs/>
          <w:color w:val="000000" w:themeColor="text1"/>
        </w:rPr>
        <w:t xml:space="preserve"> Text, discounting references, </w:t>
      </w:r>
      <w:r w:rsidR="00A574C8">
        <w:rPr>
          <w:rFonts w:cstheme="minorHAnsi"/>
          <w:b/>
          <w:bCs/>
          <w:color w:val="000000" w:themeColor="text1"/>
        </w:rPr>
        <w:t>7,</w:t>
      </w:r>
      <w:r w:rsidR="002D52C1">
        <w:rPr>
          <w:rFonts w:cstheme="minorHAnsi"/>
          <w:b/>
          <w:bCs/>
          <w:color w:val="000000" w:themeColor="text1"/>
        </w:rPr>
        <w:t>81</w:t>
      </w:r>
      <w:r w:rsidR="003B1208">
        <w:rPr>
          <w:rFonts w:cstheme="minorHAnsi"/>
          <w:b/>
          <w:bCs/>
          <w:color w:val="000000" w:themeColor="text1"/>
        </w:rPr>
        <w:t>2</w:t>
      </w:r>
      <w:r w:rsidR="002F5904" w:rsidRPr="007A6CED">
        <w:rPr>
          <w:rFonts w:cstheme="minorHAnsi"/>
          <w:b/>
          <w:bCs/>
          <w:color w:val="000000" w:themeColor="text1"/>
        </w:rPr>
        <w:t xml:space="preserve"> words</w:t>
      </w:r>
    </w:p>
    <w:p w14:paraId="7683C4E3" w14:textId="77777777" w:rsidR="0099263A" w:rsidRDefault="0099263A" w:rsidP="00CD1C27">
      <w:pPr>
        <w:spacing w:line="276" w:lineRule="auto"/>
        <w:jc w:val="both"/>
        <w:rPr>
          <w:b/>
          <w:bCs/>
          <w:i/>
          <w:iCs/>
        </w:rPr>
      </w:pPr>
    </w:p>
    <w:p w14:paraId="6EE9FCA0" w14:textId="77777777" w:rsidR="002F5904" w:rsidRDefault="002F5904" w:rsidP="00CD1C27">
      <w:pPr>
        <w:spacing w:line="276" w:lineRule="auto"/>
        <w:rPr>
          <w:b/>
          <w:bCs/>
          <w:i/>
          <w:iCs/>
        </w:rPr>
      </w:pPr>
    </w:p>
    <w:p w14:paraId="4AE0536F" w14:textId="77777777" w:rsidR="002F5904" w:rsidRDefault="002F5904" w:rsidP="00CD1C27">
      <w:pPr>
        <w:spacing w:line="276" w:lineRule="auto"/>
        <w:rPr>
          <w:b/>
          <w:bCs/>
          <w:i/>
          <w:iCs/>
        </w:rPr>
      </w:pPr>
    </w:p>
    <w:p w14:paraId="2C98D167" w14:textId="77777777" w:rsidR="002F5904" w:rsidRDefault="002F5904" w:rsidP="00CD1C27">
      <w:pPr>
        <w:spacing w:line="276" w:lineRule="auto"/>
        <w:rPr>
          <w:b/>
          <w:bCs/>
          <w:i/>
          <w:iCs/>
        </w:rPr>
      </w:pPr>
    </w:p>
    <w:p w14:paraId="687FE18F" w14:textId="77777777" w:rsidR="002F5904" w:rsidRDefault="002F5904" w:rsidP="00CD1C27">
      <w:pPr>
        <w:spacing w:line="276" w:lineRule="auto"/>
        <w:rPr>
          <w:b/>
          <w:bCs/>
          <w:i/>
          <w:iCs/>
        </w:rPr>
      </w:pPr>
    </w:p>
    <w:p w14:paraId="626582C7" w14:textId="77777777" w:rsidR="002F5904" w:rsidRDefault="002F5904" w:rsidP="00CD1C27">
      <w:pPr>
        <w:spacing w:line="276" w:lineRule="auto"/>
        <w:rPr>
          <w:b/>
          <w:bCs/>
          <w:i/>
          <w:iCs/>
        </w:rPr>
      </w:pPr>
    </w:p>
    <w:p w14:paraId="006E3087" w14:textId="77777777" w:rsidR="002F5904" w:rsidRDefault="002F5904" w:rsidP="00CD1C27">
      <w:pPr>
        <w:spacing w:line="276" w:lineRule="auto"/>
        <w:rPr>
          <w:b/>
          <w:bCs/>
          <w:i/>
          <w:iCs/>
        </w:rPr>
      </w:pPr>
    </w:p>
    <w:p w14:paraId="57FA7606" w14:textId="77777777" w:rsidR="002F5904" w:rsidRDefault="002F5904" w:rsidP="00CD1C27">
      <w:pPr>
        <w:spacing w:line="276" w:lineRule="auto"/>
        <w:rPr>
          <w:b/>
          <w:bCs/>
          <w:i/>
          <w:iCs/>
        </w:rPr>
      </w:pPr>
    </w:p>
    <w:p w14:paraId="03D05F3F" w14:textId="77777777" w:rsidR="002F5904" w:rsidRDefault="002F5904" w:rsidP="00CD1C27">
      <w:pPr>
        <w:spacing w:line="276" w:lineRule="auto"/>
        <w:rPr>
          <w:b/>
          <w:bCs/>
          <w:i/>
          <w:iCs/>
        </w:rPr>
      </w:pPr>
    </w:p>
    <w:p w14:paraId="6F0805CD" w14:textId="77777777" w:rsidR="002F5904" w:rsidRDefault="002F5904" w:rsidP="00CD1C27">
      <w:pPr>
        <w:spacing w:line="276" w:lineRule="auto"/>
        <w:rPr>
          <w:b/>
          <w:bCs/>
          <w:i/>
          <w:iCs/>
        </w:rPr>
      </w:pPr>
    </w:p>
    <w:p w14:paraId="4B9A807D" w14:textId="77777777" w:rsidR="002F5904" w:rsidRDefault="002F5904" w:rsidP="00CD1C27">
      <w:pPr>
        <w:spacing w:line="276" w:lineRule="auto"/>
        <w:rPr>
          <w:b/>
          <w:bCs/>
          <w:i/>
          <w:iCs/>
        </w:rPr>
      </w:pPr>
    </w:p>
    <w:p w14:paraId="613B49D9" w14:textId="77777777" w:rsidR="00C8611A" w:rsidRDefault="00C8611A" w:rsidP="00CD1C27">
      <w:pPr>
        <w:spacing w:line="276" w:lineRule="auto"/>
        <w:rPr>
          <w:b/>
          <w:bCs/>
          <w:color w:val="FF0000"/>
        </w:rPr>
      </w:pPr>
    </w:p>
    <w:p w14:paraId="4CF82D46" w14:textId="77777777" w:rsidR="00C8611A" w:rsidRDefault="00C8611A" w:rsidP="00CD1C27">
      <w:pPr>
        <w:spacing w:line="276" w:lineRule="auto"/>
        <w:rPr>
          <w:b/>
          <w:bCs/>
          <w:color w:val="FF0000"/>
        </w:rPr>
      </w:pPr>
    </w:p>
    <w:p w14:paraId="23AA2316" w14:textId="77777777" w:rsidR="00C8611A" w:rsidRDefault="00C8611A" w:rsidP="00CD1C27">
      <w:pPr>
        <w:spacing w:line="276" w:lineRule="auto"/>
        <w:rPr>
          <w:b/>
          <w:bCs/>
          <w:color w:val="FF0000"/>
        </w:rPr>
      </w:pPr>
    </w:p>
    <w:p w14:paraId="0C8D84BB" w14:textId="77777777" w:rsidR="00C8611A" w:rsidRDefault="00C8611A" w:rsidP="00CD1C27">
      <w:pPr>
        <w:spacing w:line="276" w:lineRule="auto"/>
        <w:rPr>
          <w:b/>
          <w:bCs/>
          <w:color w:val="FF0000"/>
        </w:rPr>
      </w:pPr>
    </w:p>
    <w:p w14:paraId="55CBE85E" w14:textId="77777777" w:rsidR="00C8611A" w:rsidRDefault="00C8611A" w:rsidP="00CD1C27">
      <w:pPr>
        <w:spacing w:line="276" w:lineRule="auto"/>
        <w:rPr>
          <w:b/>
          <w:bCs/>
          <w:color w:val="FF0000"/>
        </w:rPr>
      </w:pPr>
    </w:p>
    <w:p w14:paraId="746EE437" w14:textId="77777777" w:rsidR="00C8611A" w:rsidRDefault="00C8611A" w:rsidP="00CD1C27">
      <w:pPr>
        <w:spacing w:line="276" w:lineRule="auto"/>
        <w:rPr>
          <w:b/>
          <w:bCs/>
          <w:color w:val="FF0000"/>
        </w:rPr>
      </w:pPr>
    </w:p>
    <w:p w14:paraId="6229D8C3" w14:textId="77777777" w:rsidR="00E6465F" w:rsidRDefault="00E6465F" w:rsidP="00CD1C27">
      <w:pPr>
        <w:spacing w:line="276" w:lineRule="auto"/>
        <w:rPr>
          <w:b/>
          <w:bCs/>
          <w:color w:val="FF0000"/>
        </w:rPr>
      </w:pPr>
    </w:p>
    <w:p w14:paraId="53890FE4" w14:textId="4854395F" w:rsidR="002F5904" w:rsidRDefault="002F5904" w:rsidP="00CD1C27">
      <w:pPr>
        <w:spacing w:line="276" w:lineRule="auto"/>
        <w:rPr>
          <w:b/>
          <w:bCs/>
          <w:i/>
          <w:iCs/>
        </w:rPr>
      </w:pPr>
      <w:r>
        <w:rPr>
          <w:b/>
          <w:bCs/>
          <w:i/>
          <w:iCs/>
        </w:rPr>
        <w:lastRenderedPageBreak/>
        <w:t>Abstract</w:t>
      </w:r>
    </w:p>
    <w:p w14:paraId="13F3FB70" w14:textId="201F4524" w:rsidR="00CD1C27" w:rsidRDefault="00E6465F" w:rsidP="00CD1C27">
      <w:pPr>
        <w:spacing w:line="276" w:lineRule="auto"/>
        <w:jc w:val="both"/>
      </w:pPr>
      <w:r>
        <w:rPr>
          <w:color w:val="FF0000"/>
        </w:rPr>
        <w:t xml:space="preserve">Sexual and gender-based violence (SGBV) is </w:t>
      </w:r>
      <w:r w:rsidR="00070466">
        <w:rPr>
          <w:color w:val="FF0000"/>
        </w:rPr>
        <w:t xml:space="preserve">often intertwined with and nested within other violations of </w:t>
      </w:r>
      <w:r w:rsidR="00DD50F0">
        <w:rPr>
          <w:color w:val="FF0000"/>
        </w:rPr>
        <w:t xml:space="preserve">international criminal law (ICL) </w:t>
      </w:r>
      <w:r w:rsidR="00070466">
        <w:rPr>
          <w:color w:val="FF0000"/>
        </w:rPr>
        <w:t xml:space="preserve">as part of a broader attack against a group. However, ICL is not giving enough visibility to this </w:t>
      </w:r>
      <w:r w:rsidR="00070466" w:rsidRPr="00070466">
        <w:rPr>
          <w:i/>
          <w:iCs/>
          <w:color w:val="FF0000"/>
        </w:rPr>
        <w:t xml:space="preserve">nexus </w:t>
      </w:r>
      <w:r w:rsidR="00070466">
        <w:rPr>
          <w:color w:val="FF0000"/>
        </w:rPr>
        <w:t xml:space="preserve">of crimes rooted in the </w:t>
      </w:r>
      <w:r w:rsidR="00070466" w:rsidRPr="00030FF6">
        <w:rPr>
          <w:i/>
          <w:iCs/>
          <w:color w:val="FF0000"/>
        </w:rPr>
        <w:t>intersection</w:t>
      </w:r>
      <w:r w:rsidR="00070466">
        <w:rPr>
          <w:color w:val="FF0000"/>
        </w:rPr>
        <w:t xml:space="preserve"> of identities and discrimination that underpins SGBV during conflict. </w:t>
      </w:r>
      <w:r w:rsidR="00070466" w:rsidRPr="008E35EB">
        <w:t xml:space="preserve">Intersectionality is </w:t>
      </w:r>
      <w:r w:rsidR="00070466">
        <w:t xml:space="preserve">a concept originated </w:t>
      </w:r>
      <w:r w:rsidR="00070466" w:rsidRPr="008E35EB">
        <w:t xml:space="preserve">in feminism and </w:t>
      </w:r>
      <w:r w:rsidR="00070466">
        <w:t xml:space="preserve">progressively </w:t>
      </w:r>
      <w:r w:rsidR="00070466" w:rsidRPr="008E35EB">
        <w:t>recognized by</w:t>
      </w:r>
      <w:r w:rsidR="00DD50F0">
        <w:t xml:space="preserve"> international human rights law (</w:t>
      </w:r>
      <w:r w:rsidR="00070466" w:rsidRPr="008E35EB">
        <w:t>IHRL</w:t>
      </w:r>
      <w:r w:rsidR="00DD50F0">
        <w:t>)</w:t>
      </w:r>
      <w:r w:rsidR="00070466">
        <w:t xml:space="preserve">. It </w:t>
      </w:r>
      <w:r w:rsidR="00070466" w:rsidRPr="00070466">
        <w:t xml:space="preserve">posits that SGBV is caused by gender ‘inextricably linked’ with other identities and factors that result in compounded discrimination and unique aggravated harms. </w:t>
      </w:r>
      <w:r w:rsidR="00E4021C">
        <w:rPr>
          <w:color w:val="FF0000"/>
        </w:rPr>
        <w:t>Based on case studies, t</w:t>
      </w:r>
      <w:r w:rsidR="00070466" w:rsidRPr="00070466">
        <w:rPr>
          <w:color w:val="FF0000"/>
        </w:rPr>
        <w:t xml:space="preserve">his paper argues that ICL should integrate an intersectional approach based on identity and discrimination to address the nexus between SGBV </w:t>
      </w:r>
      <w:r w:rsidR="00070466" w:rsidRPr="003E7BD9">
        <w:rPr>
          <w:color w:val="FF0000"/>
        </w:rPr>
        <w:t>and broader</w:t>
      </w:r>
      <w:r w:rsidR="00E4021C">
        <w:rPr>
          <w:color w:val="FF0000"/>
        </w:rPr>
        <w:t xml:space="preserve"> international crimes. Intersectionality </w:t>
      </w:r>
      <w:r w:rsidR="00070466">
        <w:rPr>
          <w:color w:val="FF0000"/>
        </w:rPr>
        <w:t>enables a better understanding of the causes, harms, and gravity of SGBV, and it provides consistency with an IHRL interpretation.</w:t>
      </w:r>
      <w:r w:rsidR="00CD1C27">
        <w:rPr>
          <w:color w:val="FF0000"/>
        </w:rPr>
        <w:t xml:space="preserve"> </w:t>
      </w:r>
      <w:r w:rsidR="00CD1C27">
        <w:t>The article begins setting out the</w:t>
      </w:r>
      <w:r w:rsidR="00CD1C27" w:rsidRPr="00491284">
        <w:t xml:space="preserve"> foundations of intersectionality in feminism and</w:t>
      </w:r>
      <w:r w:rsidR="00CD1C27">
        <w:t xml:space="preserve"> in </w:t>
      </w:r>
      <w:r w:rsidR="00CD1C27" w:rsidRPr="00491284">
        <w:t>IHRL</w:t>
      </w:r>
      <w:r w:rsidR="00CD1C27">
        <w:t xml:space="preserve">, </w:t>
      </w:r>
      <w:r w:rsidR="00CD1C27" w:rsidRPr="00CB51D9">
        <w:rPr>
          <w:color w:val="FF0000"/>
        </w:rPr>
        <w:t>and its applicability to ICL</w:t>
      </w:r>
      <w:r w:rsidR="00CD1C27">
        <w:rPr>
          <w:color w:val="FF0000"/>
        </w:rPr>
        <w:t xml:space="preserve">. It </w:t>
      </w:r>
      <w:r w:rsidR="00CD1C27" w:rsidRPr="00FE2824">
        <w:rPr>
          <w:color w:val="FF0000"/>
        </w:rPr>
        <w:t>then applies intersectionality to two case studies</w:t>
      </w:r>
      <w:r w:rsidR="00CD1C27">
        <w:rPr>
          <w:color w:val="FF0000"/>
        </w:rPr>
        <w:t xml:space="preserve"> that demonstrate the interlink of SGBV with broader violations of ICL: </w:t>
      </w:r>
      <w:r w:rsidR="00CD1C27" w:rsidRPr="00CD1C27">
        <w:rPr>
          <w:color w:val="000000" w:themeColor="text1"/>
        </w:rPr>
        <w:t>The</w:t>
      </w:r>
      <w:r w:rsidR="00CD1C27">
        <w:rPr>
          <w:color w:val="FF0000"/>
        </w:rPr>
        <w:t xml:space="preserve"> </w:t>
      </w:r>
      <w:r w:rsidR="00CD1C27" w:rsidRPr="00491284">
        <w:rPr>
          <w:i/>
          <w:iCs/>
        </w:rPr>
        <w:t>Revolutionary Front Case</w:t>
      </w:r>
      <w:r w:rsidR="00CD1C27" w:rsidRPr="00491284">
        <w:t xml:space="preserve"> </w:t>
      </w:r>
      <w:r w:rsidR="00CD1C27" w:rsidRPr="00491284">
        <w:rPr>
          <w:i/>
          <w:iCs/>
        </w:rPr>
        <w:t>(RUF</w:t>
      </w:r>
      <w:r w:rsidR="00CD1C27" w:rsidRPr="00491284">
        <w:t>)</w:t>
      </w:r>
      <w:r w:rsidR="00CD1C27">
        <w:t xml:space="preserve"> trial judgment of the Special Court for Sierra Leone (SCSL) concerning SGBV and</w:t>
      </w:r>
      <w:r w:rsidR="00E4021C">
        <w:t xml:space="preserve"> the war crime committing acts of</w:t>
      </w:r>
      <w:r w:rsidR="00CD1C27">
        <w:t xml:space="preserve"> terrorism</w:t>
      </w:r>
      <w:r w:rsidR="00DD50F0">
        <w:t>,</w:t>
      </w:r>
      <w:r w:rsidR="00CD1C27">
        <w:t xml:space="preserve"> and  </w:t>
      </w:r>
      <w:r w:rsidR="00CD1C27">
        <w:rPr>
          <w:i/>
          <w:iCs/>
        </w:rPr>
        <w:t>Al Hassan</w:t>
      </w:r>
      <w:r w:rsidR="00CD1C27">
        <w:t xml:space="preserve">, </w:t>
      </w:r>
      <w:r w:rsidR="00DD50F0">
        <w:t xml:space="preserve">prosecuted </w:t>
      </w:r>
      <w:r w:rsidR="00CD1C27">
        <w:t>at the International Criminal Court (ICC)</w:t>
      </w:r>
      <w:r w:rsidR="00DD50F0">
        <w:t>,</w:t>
      </w:r>
      <w:r w:rsidR="00CD1C27">
        <w:t xml:space="preserve"> concerning SGBV and </w:t>
      </w:r>
      <w:r w:rsidR="00E4021C">
        <w:t xml:space="preserve">the crime against humanity of </w:t>
      </w:r>
      <w:r w:rsidR="00CD1C27">
        <w:t>persecution. It conclude</w:t>
      </w:r>
      <w:r w:rsidR="00E4021C">
        <w:t>s</w:t>
      </w:r>
      <w:r w:rsidR="00CD1C27">
        <w:t xml:space="preserve"> with final remarks on why and how ICL would benefit from integrating an intersectional approach to SGBV. </w:t>
      </w:r>
    </w:p>
    <w:p w14:paraId="65736B74" w14:textId="77777777" w:rsidR="00FE3A73" w:rsidRDefault="00FE3A73" w:rsidP="00CD1C27">
      <w:pPr>
        <w:pStyle w:val="Prrafodelista"/>
        <w:spacing w:line="276" w:lineRule="auto"/>
        <w:ind w:left="0"/>
        <w:jc w:val="both"/>
      </w:pPr>
    </w:p>
    <w:p w14:paraId="6F046A07" w14:textId="456B0A7B" w:rsidR="00AF5A81" w:rsidRPr="001917DA" w:rsidRDefault="00AF5A81" w:rsidP="00CD1C27">
      <w:pPr>
        <w:pStyle w:val="Prrafodelista"/>
        <w:spacing w:line="276" w:lineRule="auto"/>
        <w:ind w:left="0"/>
        <w:jc w:val="both"/>
        <w:rPr>
          <w:i/>
          <w:iCs/>
        </w:rPr>
      </w:pPr>
      <w:r w:rsidRPr="001917DA">
        <w:rPr>
          <w:i/>
          <w:iCs/>
        </w:rPr>
        <w:t>Key words: sexual</w:t>
      </w:r>
      <w:r w:rsidR="007A6CED">
        <w:rPr>
          <w:i/>
          <w:iCs/>
        </w:rPr>
        <w:t xml:space="preserve"> and gender-based</w:t>
      </w:r>
      <w:r w:rsidRPr="001917DA">
        <w:rPr>
          <w:i/>
          <w:iCs/>
        </w:rPr>
        <w:t xml:space="preserve"> violence, intersectionality, </w:t>
      </w:r>
      <w:r w:rsidR="00CD1C27">
        <w:rPr>
          <w:i/>
          <w:iCs/>
        </w:rPr>
        <w:t xml:space="preserve">terrorism, </w:t>
      </w:r>
      <w:r w:rsidR="00347A57">
        <w:rPr>
          <w:i/>
          <w:iCs/>
        </w:rPr>
        <w:t xml:space="preserve">identity, </w:t>
      </w:r>
      <w:r w:rsidRPr="001917DA">
        <w:rPr>
          <w:i/>
          <w:iCs/>
        </w:rPr>
        <w:t xml:space="preserve">discrimination </w:t>
      </w:r>
    </w:p>
    <w:p w14:paraId="29103D17" w14:textId="77777777" w:rsidR="00AF5A81" w:rsidRDefault="00AF5A81" w:rsidP="00CD1C27">
      <w:pPr>
        <w:spacing w:line="276" w:lineRule="auto"/>
        <w:rPr>
          <w:b/>
          <w:bCs/>
          <w:i/>
          <w:iCs/>
        </w:rPr>
      </w:pPr>
    </w:p>
    <w:p w14:paraId="063852AA" w14:textId="264C2DE2" w:rsidR="0099263A" w:rsidRDefault="0099263A" w:rsidP="00CD1C27">
      <w:pPr>
        <w:spacing w:line="276" w:lineRule="auto"/>
        <w:rPr>
          <w:b/>
          <w:bCs/>
          <w:i/>
          <w:iCs/>
        </w:rPr>
      </w:pPr>
      <w:r>
        <w:rPr>
          <w:b/>
          <w:bCs/>
          <w:i/>
          <w:iCs/>
        </w:rPr>
        <w:br w:type="page"/>
      </w:r>
    </w:p>
    <w:p w14:paraId="6A07DCCF" w14:textId="4EC06930" w:rsidR="003A1BD1" w:rsidRPr="000859FE" w:rsidRDefault="003A1BD1" w:rsidP="00CD1C27">
      <w:pPr>
        <w:spacing w:line="276" w:lineRule="auto"/>
        <w:jc w:val="both"/>
        <w:rPr>
          <w:b/>
          <w:bCs/>
        </w:rPr>
      </w:pPr>
      <w:r w:rsidRPr="000859FE">
        <w:rPr>
          <w:b/>
          <w:bCs/>
        </w:rPr>
        <w:lastRenderedPageBreak/>
        <w:t>Introduction</w:t>
      </w:r>
      <w:r w:rsidR="003A7405" w:rsidRPr="000859FE">
        <w:rPr>
          <w:b/>
          <w:bCs/>
        </w:rPr>
        <w:t xml:space="preserve"> </w:t>
      </w:r>
    </w:p>
    <w:p w14:paraId="33AEF77E" w14:textId="0656986E" w:rsidR="00580209" w:rsidRPr="00327825" w:rsidRDefault="003E7BD9" w:rsidP="00CD1C27">
      <w:pPr>
        <w:spacing w:line="276" w:lineRule="auto"/>
        <w:jc w:val="both"/>
        <w:rPr>
          <w:color w:val="FF0000"/>
        </w:rPr>
      </w:pPr>
      <w:r>
        <w:rPr>
          <w:color w:val="FF0000"/>
        </w:rPr>
        <w:t xml:space="preserve">SGBV </w:t>
      </w:r>
      <w:r w:rsidR="00030FF6">
        <w:rPr>
          <w:color w:val="FF0000"/>
        </w:rPr>
        <w:t xml:space="preserve">crimes are </w:t>
      </w:r>
      <w:r>
        <w:rPr>
          <w:color w:val="FF0000"/>
        </w:rPr>
        <w:t xml:space="preserve">often intertwined with and nested within other violations of ICL as part of a broader attack against a group. </w:t>
      </w:r>
      <w:r w:rsidR="00CB51D9">
        <w:rPr>
          <w:color w:val="FF0000"/>
        </w:rPr>
        <w:t xml:space="preserve">However, </w:t>
      </w:r>
      <w:r>
        <w:rPr>
          <w:color w:val="FF0000"/>
        </w:rPr>
        <w:t xml:space="preserve">ICL is not giving enough visibility to this </w:t>
      </w:r>
      <w:r w:rsidRPr="00070466">
        <w:rPr>
          <w:i/>
          <w:iCs/>
          <w:color w:val="FF0000"/>
        </w:rPr>
        <w:t xml:space="preserve">nexus </w:t>
      </w:r>
      <w:r>
        <w:rPr>
          <w:color w:val="FF0000"/>
        </w:rPr>
        <w:t>of crim</w:t>
      </w:r>
      <w:r w:rsidR="00CB51D9">
        <w:rPr>
          <w:color w:val="FF0000"/>
        </w:rPr>
        <w:t>es</w:t>
      </w:r>
      <w:r>
        <w:rPr>
          <w:color w:val="FF0000"/>
        </w:rPr>
        <w:t xml:space="preserve"> </w:t>
      </w:r>
      <w:r w:rsidR="00070466">
        <w:rPr>
          <w:color w:val="FF0000"/>
        </w:rPr>
        <w:t xml:space="preserve">that is </w:t>
      </w:r>
      <w:r>
        <w:rPr>
          <w:color w:val="FF0000"/>
        </w:rPr>
        <w:t xml:space="preserve">rooted in the </w:t>
      </w:r>
      <w:r w:rsidRPr="00030FF6">
        <w:rPr>
          <w:i/>
          <w:iCs/>
          <w:color w:val="FF0000"/>
        </w:rPr>
        <w:t>intersection</w:t>
      </w:r>
      <w:r>
        <w:rPr>
          <w:color w:val="FF0000"/>
        </w:rPr>
        <w:t xml:space="preserve"> of identities and discrimination that</w:t>
      </w:r>
      <w:r w:rsidR="00030FF6">
        <w:rPr>
          <w:color w:val="FF0000"/>
        </w:rPr>
        <w:t xml:space="preserve"> </w:t>
      </w:r>
      <w:r>
        <w:rPr>
          <w:color w:val="FF0000"/>
        </w:rPr>
        <w:t>underpin</w:t>
      </w:r>
      <w:r w:rsidR="00CB51D9">
        <w:rPr>
          <w:color w:val="FF0000"/>
        </w:rPr>
        <w:t>s</w:t>
      </w:r>
      <w:r>
        <w:rPr>
          <w:color w:val="FF0000"/>
        </w:rPr>
        <w:t xml:space="preserve"> SGBV </w:t>
      </w:r>
      <w:r w:rsidR="00030FF6">
        <w:rPr>
          <w:color w:val="FF0000"/>
        </w:rPr>
        <w:t xml:space="preserve">during </w:t>
      </w:r>
      <w:r>
        <w:rPr>
          <w:color w:val="FF0000"/>
        </w:rPr>
        <w:t xml:space="preserve">conflict. </w:t>
      </w:r>
      <w:r w:rsidR="008E35EB" w:rsidRPr="008E35EB">
        <w:t xml:space="preserve">Intersectionality is </w:t>
      </w:r>
      <w:r w:rsidR="00CB51D9">
        <w:t xml:space="preserve">a concept originated </w:t>
      </w:r>
      <w:r w:rsidR="008E35EB" w:rsidRPr="008E35EB">
        <w:t xml:space="preserve">in feminism and </w:t>
      </w:r>
      <w:r w:rsidR="00CB51D9">
        <w:t xml:space="preserve">progressively </w:t>
      </w:r>
      <w:r w:rsidR="008E35EB" w:rsidRPr="008E35EB">
        <w:t>recognized by IHRL</w:t>
      </w:r>
      <w:r w:rsidR="00CB51D9">
        <w:t xml:space="preserve">. It </w:t>
      </w:r>
      <w:r w:rsidR="00CB51D9" w:rsidRPr="00070466">
        <w:t xml:space="preserve">posits </w:t>
      </w:r>
      <w:r w:rsidR="008E35EB" w:rsidRPr="00070466">
        <w:t>that SGBV is caused by gender ‘inextricably linked</w:t>
      </w:r>
      <w:r w:rsidR="00B508F8" w:rsidRPr="00070466">
        <w:t>’</w:t>
      </w:r>
      <w:r w:rsidR="008E35EB" w:rsidRPr="00070466">
        <w:t xml:space="preserve"> with other identities and </w:t>
      </w:r>
      <w:r w:rsidR="00CB51D9" w:rsidRPr="00070466">
        <w:t xml:space="preserve">factors </w:t>
      </w:r>
      <w:r w:rsidR="008E35EB" w:rsidRPr="00070466">
        <w:t>that result in compounded discrimination and unique</w:t>
      </w:r>
      <w:r w:rsidR="00B508F8" w:rsidRPr="00070466">
        <w:t xml:space="preserve"> </w:t>
      </w:r>
      <w:r w:rsidR="008E35EB" w:rsidRPr="00070466">
        <w:t xml:space="preserve">aggravated harms. </w:t>
      </w:r>
      <w:r w:rsidRPr="00070466">
        <w:rPr>
          <w:color w:val="FF0000"/>
        </w:rPr>
        <w:t xml:space="preserve">This paper argues </w:t>
      </w:r>
      <w:r w:rsidR="00B508F8" w:rsidRPr="00070466">
        <w:rPr>
          <w:color w:val="FF0000"/>
        </w:rPr>
        <w:t>that</w:t>
      </w:r>
      <w:r w:rsidRPr="00070466">
        <w:rPr>
          <w:color w:val="FF0000"/>
        </w:rPr>
        <w:t xml:space="preserve"> ICL should </w:t>
      </w:r>
      <w:r w:rsidR="00B508F8" w:rsidRPr="00070466">
        <w:rPr>
          <w:color w:val="FF0000"/>
        </w:rPr>
        <w:t xml:space="preserve">integrate an intersectional approach based on identity and discrimination to </w:t>
      </w:r>
      <w:r w:rsidRPr="00070466">
        <w:rPr>
          <w:color w:val="FF0000"/>
        </w:rPr>
        <w:t xml:space="preserve">address the nexus between SGBV </w:t>
      </w:r>
      <w:r w:rsidRPr="003E7BD9">
        <w:rPr>
          <w:color w:val="FF0000"/>
        </w:rPr>
        <w:t>and broader violations of ICL</w:t>
      </w:r>
      <w:r w:rsidR="00CB51D9">
        <w:rPr>
          <w:color w:val="FF0000"/>
        </w:rPr>
        <w:t>.</w:t>
      </w:r>
      <w:r w:rsidRPr="003E7BD9">
        <w:rPr>
          <w:color w:val="FF0000"/>
        </w:rPr>
        <w:t xml:space="preserve"> </w:t>
      </w:r>
      <w:r w:rsidR="00CB51D9">
        <w:rPr>
          <w:color w:val="FF0000"/>
        </w:rPr>
        <w:t xml:space="preserve">The thesis is </w:t>
      </w:r>
      <w:r w:rsidR="00030FF6">
        <w:rPr>
          <w:color w:val="FF0000"/>
        </w:rPr>
        <w:t>demonstrate</w:t>
      </w:r>
      <w:r w:rsidR="00CB51D9">
        <w:rPr>
          <w:color w:val="FF0000"/>
        </w:rPr>
        <w:t xml:space="preserve">d with </w:t>
      </w:r>
      <w:r w:rsidR="00030FF6">
        <w:rPr>
          <w:color w:val="FF0000"/>
        </w:rPr>
        <w:t xml:space="preserve">examples of </w:t>
      </w:r>
      <w:r w:rsidR="00CB51D9">
        <w:rPr>
          <w:color w:val="FF0000"/>
        </w:rPr>
        <w:t xml:space="preserve">the interlinkages of </w:t>
      </w:r>
      <w:r w:rsidR="00B508F8">
        <w:rPr>
          <w:color w:val="FF0000"/>
        </w:rPr>
        <w:t xml:space="preserve">SGBV </w:t>
      </w:r>
      <w:r w:rsidR="00CB51D9">
        <w:rPr>
          <w:color w:val="FF0000"/>
        </w:rPr>
        <w:t xml:space="preserve">with </w:t>
      </w:r>
      <w:r w:rsidR="00327825">
        <w:rPr>
          <w:color w:val="FF0000"/>
        </w:rPr>
        <w:t>the war crime committing act</w:t>
      </w:r>
      <w:r w:rsidR="00B508F8">
        <w:rPr>
          <w:color w:val="FF0000"/>
        </w:rPr>
        <w:t>s</w:t>
      </w:r>
      <w:r w:rsidR="00327825">
        <w:rPr>
          <w:color w:val="FF0000"/>
        </w:rPr>
        <w:t xml:space="preserve"> of terrorism and the crime against humanity of persecution. </w:t>
      </w:r>
      <w:r w:rsidR="00070466">
        <w:rPr>
          <w:color w:val="FF0000"/>
        </w:rPr>
        <w:t>A</w:t>
      </w:r>
      <w:r w:rsidR="00CB51D9">
        <w:rPr>
          <w:color w:val="FF0000"/>
        </w:rPr>
        <w:t xml:space="preserve">n intersectional approach enables a better understanding of the causes, harms, and gravity of SGBV, and it provides consistency with an IHRL interpretation. </w:t>
      </w:r>
      <w:r w:rsidR="00347A57">
        <w:rPr>
          <w:color w:val="FF0000"/>
        </w:rPr>
        <w:t>T</w:t>
      </w:r>
      <w:r w:rsidR="00B508F8">
        <w:rPr>
          <w:color w:val="FF0000"/>
        </w:rPr>
        <w:t>his</w:t>
      </w:r>
      <w:r w:rsidR="00030FF6">
        <w:rPr>
          <w:color w:val="FF0000"/>
        </w:rPr>
        <w:t xml:space="preserve"> </w:t>
      </w:r>
      <w:r w:rsidR="00B508F8">
        <w:rPr>
          <w:color w:val="FF0000"/>
        </w:rPr>
        <w:t xml:space="preserve">author </w:t>
      </w:r>
      <w:r w:rsidR="00327825">
        <w:rPr>
          <w:color w:val="FF0000"/>
        </w:rPr>
        <w:t>recogni</w:t>
      </w:r>
      <w:r w:rsidR="00030FF6">
        <w:rPr>
          <w:color w:val="FF0000"/>
        </w:rPr>
        <w:t>zes</w:t>
      </w:r>
      <w:r w:rsidR="00327825">
        <w:rPr>
          <w:color w:val="FF0000"/>
        </w:rPr>
        <w:t xml:space="preserve"> the </w:t>
      </w:r>
      <w:r w:rsidR="00B508F8">
        <w:rPr>
          <w:color w:val="FF0000"/>
        </w:rPr>
        <w:t xml:space="preserve">term </w:t>
      </w:r>
      <w:r w:rsidR="00327825">
        <w:rPr>
          <w:color w:val="FF0000"/>
        </w:rPr>
        <w:t xml:space="preserve">‘conflict-related sexual violence’ (CRSV) </w:t>
      </w:r>
      <w:r w:rsidR="00CB51D9">
        <w:rPr>
          <w:color w:val="FF0000"/>
        </w:rPr>
        <w:t>to denote</w:t>
      </w:r>
      <w:r w:rsidR="00823997">
        <w:rPr>
          <w:color w:val="FF0000"/>
        </w:rPr>
        <w:t xml:space="preserve"> </w:t>
      </w:r>
      <w:r w:rsidR="006C1297">
        <w:rPr>
          <w:color w:val="FF0000"/>
        </w:rPr>
        <w:t>“any act of sexual violence committed in the coercive circumstances of conflict”</w:t>
      </w:r>
      <w:r w:rsidR="00070466">
        <w:rPr>
          <w:color w:val="FF0000"/>
        </w:rPr>
        <w:t>,</w:t>
      </w:r>
      <w:r w:rsidR="006C1297">
        <w:rPr>
          <w:color w:val="FF0000"/>
        </w:rPr>
        <w:t xml:space="preserve"> </w:t>
      </w:r>
      <w:r w:rsidR="00823997">
        <w:rPr>
          <w:color w:val="FF0000"/>
        </w:rPr>
        <w:t xml:space="preserve">including </w:t>
      </w:r>
      <w:r w:rsidR="006C1297">
        <w:rPr>
          <w:color w:val="FF0000"/>
        </w:rPr>
        <w:t>an armed conflict</w:t>
      </w:r>
      <w:r w:rsidR="00CB51D9">
        <w:rPr>
          <w:color w:val="FF0000"/>
        </w:rPr>
        <w:t xml:space="preserve">, </w:t>
      </w:r>
      <w:r w:rsidR="00070466">
        <w:rPr>
          <w:color w:val="FF0000"/>
        </w:rPr>
        <w:t xml:space="preserve">an </w:t>
      </w:r>
      <w:r w:rsidR="006C1297">
        <w:rPr>
          <w:color w:val="FF0000"/>
        </w:rPr>
        <w:t>attack on a civilian population</w:t>
      </w:r>
      <w:r w:rsidR="00CB51D9">
        <w:rPr>
          <w:color w:val="FF0000"/>
        </w:rPr>
        <w:t xml:space="preserve">, </w:t>
      </w:r>
      <w:r w:rsidR="00070466">
        <w:rPr>
          <w:color w:val="FF0000"/>
        </w:rPr>
        <w:t xml:space="preserve">and the </w:t>
      </w:r>
      <w:r w:rsidR="006C1297">
        <w:rPr>
          <w:color w:val="FF0000"/>
        </w:rPr>
        <w:t>intent to destroy a protected group</w:t>
      </w:r>
      <w:r w:rsidR="00347A57">
        <w:rPr>
          <w:color w:val="FF0000"/>
        </w:rPr>
        <w:t>.</w:t>
      </w:r>
      <w:r w:rsidR="00580209">
        <w:rPr>
          <w:rStyle w:val="Refdenotaalpie"/>
          <w:color w:val="FF0000"/>
        </w:rPr>
        <w:footnoteReference w:id="1"/>
      </w:r>
      <w:r w:rsidR="00580209">
        <w:rPr>
          <w:color w:val="FF0000"/>
        </w:rPr>
        <w:t xml:space="preserve"> </w:t>
      </w:r>
      <w:r w:rsidR="00347A57">
        <w:rPr>
          <w:color w:val="FF0000"/>
        </w:rPr>
        <w:t xml:space="preserve">However, </w:t>
      </w:r>
      <w:r w:rsidR="00580209">
        <w:rPr>
          <w:color w:val="FF0000"/>
        </w:rPr>
        <w:t>the term SGBV crimes is used</w:t>
      </w:r>
      <w:r w:rsidR="00347A57">
        <w:rPr>
          <w:color w:val="FF0000"/>
        </w:rPr>
        <w:t xml:space="preserve"> in this paper</w:t>
      </w:r>
      <w:r w:rsidR="00580209">
        <w:rPr>
          <w:color w:val="FF0000"/>
        </w:rPr>
        <w:t xml:space="preserve"> to stress that gender permeates the causes and harms of SGBV that this paper seeks to explore.</w:t>
      </w:r>
    </w:p>
    <w:p w14:paraId="6836123B" w14:textId="5DE5AAB1" w:rsidR="00580209" w:rsidRDefault="00580209" w:rsidP="00CD1C27">
      <w:pPr>
        <w:spacing w:line="276" w:lineRule="auto"/>
        <w:jc w:val="both"/>
      </w:pPr>
      <w:r>
        <w:t>The article begins setting out the</w:t>
      </w:r>
      <w:r w:rsidRPr="00491284">
        <w:t xml:space="preserve"> theoretical foundations of intersectionality in feminism and</w:t>
      </w:r>
      <w:r>
        <w:t xml:space="preserve"> </w:t>
      </w:r>
      <w:r w:rsidRPr="00491284">
        <w:t>IHRL</w:t>
      </w:r>
      <w:r>
        <w:t xml:space="preserve"> </w:t>
      </w:r>
      <w:r w:rsidRPr="00CB51D9">
        <w:rPr>
          <w:color w:val="FF0000"/>
        </w:rPr>
        <w:t xml:space="preserve">and its applicability to ICL </w:t>
      </w:r>
      <w:r>
        <w:t>(section 1)</w:t>
      </w:r>
      <w:r w:rsidRPr="00491284">
        <w:t xml:space="preserve">. </w:t>
      </w:r>
      <w:r w:rsidRPr="00FE2824">
        <w:rPr>
          <w:color w:val="FF0000"/>
        </w:rPr>
        <w:t>It then applies intersectionality to two case studies to examine the interlink of SGBV with broader violations of IC</w:t>
      </w:r>
      <w:r>
        <w:rPr>
          <w:color w:val="FF0000"/>
        </w:rPr>
        <w:t xml:space="preserve">L: </w:t>
      </w:r>
      <w:r>
        <w:t xml:space="preserve"> </w:t>
      </w:r>
      <w:r w:rsidRPr="00CD1C27">
        <w:rPr>
          <w:color w:val="000000" w:themeColor="text1"/>
        </w:rPr>
        <w:t>The</w:t>
      </w:r>
      <w:r>
        <w:rPr>
          <w:color w:val="FF0000"/>
        </w:rPr>
        <w:t xml:space="preserve"> </w:t>
      </w:r>
      <w:r w:rsidRPr="00491284">
        <w:rPr>
          <w:i/>
          <w:iCs/>
        </w:rPr>
        <w:t>Revolutionary Front Case</w:t>
      </w:r>
      <w:r w:rsidRPr="00491284">
        <w:t xml:space="preserve"> </w:t>
      </w:r>
      <w:r w:rsidRPr="00491284">
        <w:rPr>
          <w:i/>
          <w:iCs/>
        </w:rPr>
        <w:t>(RUF</w:t>
      </w:r>
      <w:r w:rsidRPr="00491284">
        <w:t>)</w:t>
      </w:r>
      <w:r>
        <w:t xml:space="preserve"> trial judgment of the Special Court for Sierra Leone (SCSL) concerning the interconnection of SGBV and terrorism (section 2), </w:t>
      </w:r>
      <w:r>
        <w:rPr>
          <w:rStyle w:val="Refdenotaalpie"/>
        </w:rPr>
        <w:footnoteReference w:id="2"/>
      </w:r>
      <w:r>
        <w:t xml:space="preserve"> and </w:t>
      </w:r>
      <w:r>
        <w:rPr>
          <w:i/>
          <w:iCs/>
        </w:rPr>
        <w:t>Al Hassan</w:t>
      </w:r>
      <w:r>
        <w:t>, on trial at the International Criminal Court (ICC) dealing with SGBV and persecution (section 3).</w:t>
      </w:r>
      <w:r>
        <w:rPr>
          <w:rStyle w:val="Refdenotaalpie"/>
        </w:rPr>
        <w:footnoteReference w:id="3"/>
      </w:r>
      <w:r>
        <w:t xml:space="preserve"> The paper concludes </w:t>
      </w:r>
      <w:r w:rsidR="00F23652">
        <w:t xml:space="preserve">recommending the integration of an </w:t>
      </w:r>
      <w:r>
        <w:t xml:space="preserve">intersectional approach to </w:t>
      </w:r>
      <w:r w:rsidR="00962BF8">
        <w:t xml:space="preserve">interpret </w:t>
      </w:r>
      <w:r>
        <w:t>SGBV</w:t>
      </w:r>
      <w:r w:rsidR="00F23652">
        <w:t xml:space="preserve"> </w:t>
      </w:r>
      <w:r w:rsidR="00962BF8">
        <w:t>crimes</w:t>
      </w:r>
      <w:r>
        <w:t xml:space="preserve">. </w:t>
      </w:r>
    </w:p>
    <w:p w14:paraId="3C5BC4CE" w14:textId="25F371A6" w:rsidR="00580209" w:rsidRDefault="00580209" w:rsidP="00CD1C27">
      <w:pPr>
        <w:spacing w:line="276" w:lineRule="auto"/>
        <w:jc w:val="both"/>
        <w:rPr>
          <w:b/>
          <w:bCs/>
          <w:color w:val="FF0000"/>
        </w:rPr>
      </w:pPr>
      <w:r>
        <w:rPr>
          <w:b/>
          <w:bCs/>
          <w:color w:val="FF0000"/>
        </w:rPr>
        <w:t xml:space="preserve">1. </w:t>
      </w:r>
      <w:r w:rsidRPr="00C92967">
        <w:rPr>
          <w:b/>
          <w:bCs/>
          <w:color w:val="FF0000"/>
        </w:rPr>
        <w:t xml:space="preserve">An Intersectional </w:t>
      </w:r>
      <w:r>
        <w:rPr>
          <w:b/>
          <w:bCs/>
          <w:color w:val="FF0000"/>
        </w:rPr>
        <w:t>A</w:t>
      </w:r>
      <w:r w:rsidRPr="00C92967">
        <w:rPr>
          <w:b/>
          <w:bCs/>
          <w:color w:val="FF0000"/>
        </w:rPr>
        <w:t>pproach</w:t>
      </w:r>
      <w:r>
        <w:rPr>
          <w:b/>
          <w:bCs/>
          <w:color w:val="FF0000"/>
        </w:rPr>
        <w:t xml:space="preserve"> to SGBV: The Interconnection of </w:t>
      </w:r>
      <w:r w:rsidRPr="00C92967">
        <w:rPr>
          <w:b/>
          <w:bCs/>
          <w:color w:val="FF0000"/>
        </w:rPr>
        <w:t>Identit</w:t>
      </w:r>
      <w:r w:rsidR="00F967EA">
        <w:rPr>
          <w:b/>
          <w:bCs/>
          <w:color w:val="FF0000"/>
        </w:rPr>
        <w:t>ies</w:t>
      </w:r>
      <w:r w:rsidRPr="00C92967">
        <w:rPr>
          <w:b/>
          <w:bCs/>
          <w:color w:val="FF0000"/>
        </w:rPr>
        <w:t>, Discrimination</w:t>
      </w:r>
      <w:r w:rsidR="00F170F2">
        <w:rPr>
          <w:b/>
          <w:bCs/>
          <w:color w:val="FF0000"/>
        </w:rPr>
        <w:t>,</w:t>
      </w:r>
      <w:r w:rsidRPr="00C92967">
        <w:rPr>
          <w:b/>
          <w:bCs/>
          <w:color w:val="FF0000"/>
        </w:rPr>
        <w:t xml:space="preserve"> and </w:t>
      </w:r>
      <w:r>
        <w:rPr>
          <w:b/>
          <w:bCs/>
          <w:color w:val="FF0000"/>
        </w:rPr>
        <w:t>Crimes</w:t>
      </w:r>
    </w:p>
    <w:p w14:paraId="52510D80" w14:textId="5C73B389" w:rsidR="00580209" w:rsidRDefault="00580209" w:rsidP="00CD1C27">
      <w:pPr>
        <w:spacing w:line="276" w:lineRule="auto"/>
        <w:jc w:val="both"/>
        <w:rPr>
          <w:color w:val="FF0000"/>
        </w:rPr>
      </w:pPr>
      <w:r>
        <w:rPr>
          <w:color w:val="FF0000"/>
        </w:rPr>
        <w:t xml:space="preserve">An intersectional approach </w:t>
      </w:r>
      <w:r w:rsidR="00F967EA">
        <w:rPr>
          <w:color w:val="FF0000"/>
        </w:rPr>
        <w:t xml:space="preserve">seeks </w:t>
      </w:r>
      <w:r>
        <w:rPr>
          <w:color w:val="FF0000"/>
        </w:rPr>
        <w:t xml:space="preserve">to unpack the complex causes and harms of </w:t>
      </w:r>
      <w:r w:rsidR="00F967EA">
        <w:rPr>
          <w:color w:val="FF0000"/>
        </w:rPr>
        <w:t xml:space="preserve">SGBV </w:t>
      </w:r>
      <w:r>
        <w:rPr>
          <w:color w:val="FF0000"/>
        </w:rPr>
        <w:t>by stressing the multi-layered nature of identity and discrimination. Such understanding of SGBV</w:t>
      </w:r>
      <w:r w:rsidR="00F170F2">
        <w:rPr>
          <w:color w:val="FF0000"/>
        </w:rPr>
        <w:t xml:space="preserve"> </w:t>
      </w:r>
      <w:r>
        <w:rPr>
          <w:color w:val="FF0000"/>
        </w:rPr>
        <w:t xml:space="preserve">is applicable both </w:t>
      </w:r>
      <w:r w:rsidR="00F170F2">
        <w:rPr>
          <w:color w:val="FF0000"/>
        </w:rPr>
        <w:t>during</w:t>
      </w:r>
      <w:r>
        <w:rPr>
          <w:color w:val="FF0000"/>
        </w:rPr>
        <w:t xml:space="preserve"> ‘peacetime’ and </w:t>
      </w:r>
      <w:r w:rsidR="00F170F2">
        <w:rPr>
          <w:color w:val="FF0000"/>
        </w:rPr>
        <w:t>in</w:t>
      </w:r>
      <w:r w:rsidR="00F967EA">
        <w:rPr>
          <w:color w:val="FF0000"/>
        </w:rPr>
        <w:t xml:space="preserve"> </w:t>
      </w:r>
      <w:r>
        <w:rPr>
          <w:color w:val="FF0000"/>
        </w:rPr>
        <w:t xml:space="preserve">conflict due to the interconnection of </w:t>
      </w:r>
      <w:r w:rsidR="00F170F2">
        <w:rPr>
          <w:color w:val="FF0000"/>
        </w:rPr>
        <w:t xml:space="preserve">the </w:t>
      </w:r>
      <w:r>
        <w:rPr>
          <w:color w:val="FF0000"/>
        </w:rPr>
        <w:t xml:space="preserve">concepts ‘identity, discrimination and crimes’ </w:t>
      </w:r>
      <w:r w:rsidR="00F967EA">
        <w:rPr>
          <w:color w:val="FF0000"/>
        </w:rPr>
        <w:t xml:space="preserve">by which </w:t>
      </w:r>
      <w:r>
        <w:rPr>
          <w:color w:val="FF0000"/>
        </w:rPr>
        <w:t>one flow</w:t>
      </w:r>
      <w:r w:rsidR="00F967EA">
        <w:rPr>
          <w:color w:val="FF0000"/>
        </w:rPr>
        <w:t>s</w:t>
      </w:r>
      <w:r>
        <w:rPr>
          <w:color w:val="FF0000"/>
        </w:rPr>
        <w:t xml:space="preserve"> into the other. </w:t>
      </w:r>
    </w:p>
    <w:p w14:paraId="4140AFA2" w14:textId="78278CE1" w:rsidR="00580209" w:rsidRPr="00E10DCE" w:rsidRDefault="00580209" w:rsidP="00CD1C27">
      <w:pPr>
        <w:spacing w:line="276" w:lineRule="auto"/>
        <w:jc w:val="both"/>
        <w:rPr>
          <w:b/>
          <w:bCs/>
        </w:rPr>
      </w:pPr>
      <w:r w:rsidRPr="00E10DCE">
        <w:rPr>
          <w:b/>
          <w:bCs/>
        </w:rPr>
        <w:t xml:space="preserve">1. 1 The Feminist Roots of Intersectionality </w:t>
      </w:r>
    </w:p>
    <w:p w14:paraId="210D3B10" w14:textId="57456F32" w:rsidR="00E80E96" w:rsidRDefault="00580209" w:rsidP="00CD1C27">
      <w:pPr>
        <w:spacing w:line="276" w:lineRule="auto"/>
        <w:jc w:val="both"/>
      </w:pPr>
      <w:r>
        <w:t xml:space="preserve">Feminist legal scholars have emphasized that SGBV cannot be addressed using a narrow, single-axis approach to discrimination in the law because it ‘essentialises’ or limits the diversity </w:t>
      </w:r>
      <w:r w:rsidRPr="00010527">
        <w:t xml:space="preserve">and </w:t>
      </w:r>
      <w:r w:rsidRPr="00010527">
        <w:lastRenderedPageBreak/>
        <w:t xml:space="preserve">multiple layers of </w:t>
      </w:r>
      <w:r w:rsidR="00E80E96">
        <w:t>women´s</w:t>
      </w:r>
      <w:r w:rsidRPr="00010527">
        <w:t xml:space="preserve"> identity</w:t>
      </w:r>
      <w:r w:rsidR="00F170F2">
        <w:t xml:space="preserve"> </w:t>
      </w:r>
      <w:r w:rsidRPr="00010527">
        <w:t xml:space="preserve">obscuring their </w:t>
      </w:r>
      <w:r>
        <w:t>experiences of harm.</w:t>
      </w:r>
      <w:r>
        <w:rPr>
          <w:rStyle w:val="Refdenotaalpie"/>
        </w:rPr>
        <w:footnoteReference w:id="4"/>
      </w:r>
      <w:r>
        <w:t xml:space="preserve">  </w:t>
      </w:r>
      <w:r w:rsidR="00E80E96">
        <w:t>G</w:t>
      </w:r>
      <w:r>
        <w:t xml:space="preserve">ender (the norms and expectations about masculinity and femininity)  is a </w:t>
      </w:r>
      <w:r w:rsidRPr="00471D33">
        <w:rPr>
          <w:i/>
          <w:iCs/>
        </w:rPr>
        <w:t>social</w:t>
      </w:r>
      <w:r>
        <w:t xml:space="preserve"> construction, thereby, it is always interlinked and cannot exist without cultural factors that give </w:t>
      </w:r>
      <w:r w:rsidR="007076B7">
        <w:t xml:space="preserve">it </w:t>
      </w:r>
      <w:r>
        <w:t xml:space="preserve">a meaning </w:t>
      </w:r>
      <w:r w:rsidR="007076B7">
        <w:t xml:space="preserve">in a specific context </w:t>
      </w:r>
      <w:r>
        <w:t>(i</w:t>
      </w:r>
      <w:r w:rsidR="00E80E96">
        <w:t>ncluding identities such as</w:t>
      </w:r>
      <w:r>
        <w:t xml:space="preserve"> class, ethnicity, religion, political opinion, etc.).</w:t>
      </w:r>
      <w:r>
        <w:rPr>
          <w:rStyle w:val="Refdenotaalpie"/>
        </w:rPr>
        <w:footnoteReference w:id="5"/>
      </w:r>
      <w:r>
        <w:t xml:space="preserve"> </w:t>
      </w:r>
      <w:r w:rsidR="00E80E96">
        <w:t xml:space="preserve">Any analysis of SGBV must therefore consider gender intertwined with socially constructed factors. </w:t>
      </w:r>
      <w:r>
        <w:t xml:space="preserve">From this lens, feminism </w:t>
      </w:r>
      <w:r w:rsidRPr="00E80E96">
        <w:rPr>
          <w:color w:val="000000" w:themeColor="text1"/>
        </w:rPr>
        <w:t>underscores</w:t>
      </w:r>
      <w:r>
        <w:t xml:space="preserve"> </w:t>
      </w:r>
      <w:r w:rsidRPr="00E207D7">
        <w:rPr>
          <w:i/>
          <w:iCs/>
        </w:rPr>
        <w:t>intersectionality</w:t>
      </w:r>
      <w:r>
        <w:t xml:space="preserve"> as a method to understand the way gender – a </w:t>
      </w:r>
      <w:r w:rsidRPr="00010527">
        <w:t>social</w:t>
      </w:r>
      <w:r w:rsidRPr="00DE7168">
        <w:rPr>
          <w:b/>
          <w:bCs/>
        </w:rPr>
        <w:t xml:space="preserve"> </w:t>
      </w:r>
      <w:r>
        <w:t xml:space="preserve">construct – is inseparable from other identities </w:t>
      </w:r>
      <w:r w:rsidR="007076B7">
        <w:t xml:space="preserve">and factors </w:t>
      </w:r>
      <w:r>
        <w:t xml:space="preserve">that trigger compounded discrimination and, </w:t>
      </w:r>
      <w:r w:rsidR="00E80E96">
        <w:t xml:space="preserve">as a result, </w:t>
      </w:r>
      <w:r w:rsidRPr="00010527">
        <w:t xml:space="preserve">unique aggravated forms of harms. </w:t>
      </w:r>
    </w:p>
    <w:p w14:paraId="67B87720" w14:textId="30DB37EE" w:rsidR="00580209" w:rsidRPr="00471D33" w:rsidRDefault="00580209" w:rsidP="00CD1C27">
      <w:pPr>
        <w:spacing w:line="276" w:lineRule="auto"/>
        <w:jc w:val="both"/>
      </w:pPr>
      <w:r w:rsidRPr="00010527">
        <w:t>The term and systematization intersectionality are attributed to</w:t>
      </w:r>
      <w:r w:rsidRPr="00010527">
        <w:rPr>
          <w:b/>
          <w:bCs/>
        </w:rPr>
        <w:t xml:space="preserve"> </w:t>
      </w:r>
      <w:r>
        <w:t xml:space="preserve">Kimberlé Crenshaw. Crenshaw claimed that Black American women of low economic </w:t>
      </w:r>
      <w:r w:rsidR="007076B7">
        <w:t>clas</w:t>
      </w:r>
      <w:r>
        <w:t>s, due to their multiple identities, experience discrimination differently than White women or Black men in America.</w:t>
      </w:r>
      <w:r>
        <w:rPr>
          <w:rStyle w:val="Refdenotaalpie"/>
        </w:rPr>
        <w:footnoteReference w:id="6"/>
      </w:r>
      <w:r>
        <w:t xml:space="preserve"> Therefore, only by tackling their sex/gender, ethnic </w:t>
      </w:r>
      <w:r w:rsidRPr="003E35D5">
        <w:rPr>
          <w:i/>
          <w:iCs/>
        </w:rPr>
        <w:t>and</w:t>
      </w:r>
      <w:r>
        <w:t xml:space="preserve"> class identities </w:t>
      </w:r>
      <w:r w:rsidRPr="007076B7">
        <w:rPr>
          <w:i/>
          <w:iCs/>
        </w:rPr>
        <w:t>simultaneously</w:t>
      </w:r>
      <w:r>
        <w:t xml:space="preserve">, as </w:t>
      </w:r>
      <w:r w:rsidRPr="007076B7">
        <w:t xml:space="preserve">interlinked </w:t>
      </w:r>
      <w:r>
        <w:t xml:space="preserve">grounds of discrimination, would it be possible to understand the complex causes of violence and </w:t>
      </w:r>
      <w:r w:rsidR="00E80E96">
        <w:t xml:space="preserve">the </w:t>
      </w:r>
      <w:r>
        <w:t>unique harms they experience</w:t>
      </w:r>
      <w:r w:rsidR="007076B7">
        <w:t>,</w:t>
      </w:r>
      <w:r>
        <w:t xml:space="preserve"> </w:t>
      </w:r>
      <w:r w:rsidR="00E80E96">
        <w:t xml:space="preserve">which are </w:t>
      </w:r>
      <w:r>
        <w:t>critical for an effective remedy.</w:t>
      </w:r>
      <w:r>
        <w:rPr>
          <w:rStyle w:val="Refdenotaalpie"/>
        </w:rPr>
        <w:footnoteReference w:id="7"/>
      </w:r>
      <w:r>
        <w:t xml:space="preserve">  </w:t>
      </w:r>
      <w:r w:rsidRPr="00010527">
        <w:rPr>
          <w:color w:val="FF0000"/>
        </w:rPr>
        <w:t>A feminist approach to intersectionality, as championed by Crenshaw, thus tackles the</w:t>
      </w:r>
      <w:r w:rsidRPr="00010527">
        <w:rPr>
          <w:i/>
          <w:iCs/>
          <w:color w:val="FF0000"/>
        </w:rPr>
        <w:t xml:space="preserve"> </w:t>
      </w:r>
      <w:r w:rsidRPr="00010527">
        <w:rPr>
          <w:color w:val="FF0000"/>
        </w:rPr>
        <w:t>interrelationship</w:t>
      </w:r>
      <w:r w:rsidR="00E80E96">
        <w:rPr>
          <w:color w:val="FF0000"/>
        </w:rPr>
        <w:t xml:space="preserve"> of the concepts </w:t>
      </w:r>
      <w:r w:rsidRPr="00010527">
        <w:rPr>
          <w:color w:val="FF0000"/>
        </w:rPr>
        <w:t>i) multi-layered identities (gender and other</w:t>
      </w:r>
      <w:r>
        <w:rPr>
          <w:color w:val="FF0000"/>
        </w:rPr>
        <w:t xml:space="preserve"> identities</w:t>
      </w:r>
      <w:r w:rsidRPr="00010527">
        <w:rPr>
          <w:color w:val="FF0000"/>
        </w:rPr>
        <w:t>), ii)  compounded discrimination, and iii) unique harms</w:t>
      </w:r>
      <w:r w:rsidR="00E80E96">
        <w:rPr>
          <w:color w:val="FF0000"/>
        </w:rPr>
        <w:t xml:space="preserve">, </w:t>
      </w:r>
      <w:r>
        <w:rPr>
          <w:color w:val="FF0000"/>
        </w:rPr>
        <w:t xml:space="preserve">as necessary elements </w:t>
      </w:r>
      <w:r w:rsidR="00E80E96">
        <w:rPr>
          <w:color w:val="FF0000"/>
        </w:rPr>
        <w:t xml:space="preserve">for adequate </w:t>
      </w:r>
      <w:r w:rsidRPr="00010527">
        <w:rPr>
          <w:color w:val="FF0000"/>
        </w:rPr>
        <w:t>access to justice for SGBV</w:t>
      </w:r>
      <w:r>
        <w:t>.</w:t>
      </w:r>
      <w:r>
        <w:rPr>
          <w:rStyle w:val="Refdenotaalpie"/>
        </w:rPr>
        <w:footnoteReference w:id="8"/>
      </w:r>
      <w:r w:rsidRPr="00787BCF">
        <w:rPr>
          <w:highlight w:val="yellow"/>
        </w:rPr>
        <w:t xml:space="preserve"> </w:t>
      </w:r>
    </w:p>
    <w:p w14:paraId="48D33D57" w14:textId="472391E2" w:rsidR="00580209" w:rsidRPr="002139E6" w:rsidRDefault="00580209" w:rsidP="00CD1C27">
      <w:pPr>
        <w:spacing w:line="276" w:lineRule="auto"/>
        <w:jc w:val="both"/>
        <w:rPr>
          <w:rFonts w:cstheme="minorHAnsi"/>
          <w:color w:val="4472C4" w:themeColor="accent1"/>
        </w:rPr>
      </w:pPr>
      <w:r>
        <w:rPr>
          <w:rFonts w:cstheme="minorHAnsi"/>
          <w:color w:val="FF0000"/>
        </w:rPr>
        <w:t xml:space="preserve">International legal scholars </w:t>
      </w:r>
      <w:r w:rsidR="00E80E96">
        <w:rPr>
          <w:rFonts w:cstheme="minorHAnsi"/>
          <w:color w:val="FF0000"/>
        </w:rPr>
        <w:t xml:space="preserve">have </w:t>
      </w:r>
      <w:r>
        <w:rPr>
          <w:rFonts w:cstheme="minorHAnsi"/>
          <w:color w:val="FF0000"/>
        </w:rPr>
        <w:t>argue</w:t>
      </w:r>
      <w:r w:rsidR="00E80E96">
        <w:rPr>
          <w:rFonts w:cstheme="minorHAnsi"/>
          <w:color w:val="FF0000"/>
        </w:rPr>
        <w:t>d</w:t>
      </w:r>
      <w:r>
        <w:rPr>
          <w:rFonts w:cstheme="minorHAnsi"/>
          <w:color w:val="FF0000"/>
        </w:rPr>
        <w:t xml:space="preserve"> the need </w:t>
      </w:r>
      <w:r w:rsidR="007076B7">
        <w:rPr>
          <w:rFonts w:cstheme="minorHAnsi"/>
          <w:color w:val="FF0000"/>
        </w:rPr>
        <w:t xml:space="preserve">to give </w:t>
      </w:r>
      <w:r>
        <w:rPr>
          <w:rFonts w:cstheme="minorHAnsi"/>
          <w:color w:val="FF0000"/>
        </w:rPr>
        <w:t xml:space="preserve">visibility to </w:t>
      </w:r>
      <w:r w:rsidR="007076B7">
        <w:rPr>
          <w:rFonts w:cstheme="minorHAnsi"/>
          <w:color w:val="FF0000"/>
        </w:rPr>
        <w:t xml:space="preserve">the </w:t>
      </w:r>
      <w:r>
        <w:rPr>
          <w:rFonts w:cstheme="minorHAnsi"/>
          <w:color w:val="FF0000"/>
        </w:rPr>
        <w:t>gender</w:t>
      </w:r>
      <w:r w:rsidR="007076B7">
        <w:rPr>
          <w:rFonts w:cstheme="minorHAnsi"/>
          <w:color w:val="FF0000"/>
        </w:rPr>
        <w:t xml:space="preserve">ed nature of </w:t>
      </w:r>
      <w:r>
        <w:rPr>
          <w:rFonts w:cstheme="minorHAnsi"/>
          <w:color w:val="FF0000"/>
        </w:rPr>
        <w:t xml:space="preserve">discrimination and harms </w:t>
      </w:r>
      <w:r w:rsidR="007076B7">
        <w:rPr>
          <w:rFonts w:cstheme="minorHAnsi"/>
          <w:color w:val="FF0000"/>
        </w:rPr>
        <w:t xml:space="preserve">of SGBV crimes that international law (IL) has </w:t>
      </w:r>
      <w:r>
        <w:rPr>
          <w:rFonts w:cstheme="minorHAnsi"/>
          <w:color w:val="FF0000"/>
        </w:rPr>
        <w:t xml:space="preserve">traditionally </w:t>
      </w:r>
      <w:r w:rsidR="007076B7">
        <w:rPr>
          <w:rFonts w:cstheme="minorHAnsi"/>
          <w:color w:val="FF0000"/>
        </w:rPr>
        <w:t xml:space="preserve">overlooked. </w:t>
      </w:r>
      <w:r>
        <w:rPr>
          <w:rFonts w:cstheme="minorHAnsi"/>
          <w:color w:val="FF0000"/>
        </w:rPr>
        <w:t xml:space="preserve">Gender has been historically </w:t>
      </w:r>
      <w:r>
        <w:rPr>
          <w:rFonts w:cstheme="minorHAnsi"/>
        </w:rPr>
        <w:t xml:space="preserve">relegated to the private </w:t>
      </w:r>
      <w:r w:rsidR="00E80E96">
        <w:rPr>
          <w:rFonts w:cstheme="minorHAnsi"/>
        </w:rPr>
        <w:t>(</w:t>
      </w:r>
      <w:r>
        <w:rPr>
          <w:rFonts w:cstheme="minorHAnsi"/>
        </w:rPr>
        <w:t>unregulated</w:t>
      </w:r>
      <w:r w:rsidR="00E80E96">
        <w:rPr>
          <w:rFonts w:cstheme="minorHAnsi"/>
        </w:rPr>
        <w:t>)</w:t>
      </w:r>
      <w:r>
        <w:rPr>
          <w:rFonts w:cstheme="minorHAnsi"/>
        </w:rPr>
        <w:t xml:space="preserve"> sphere</w:t>
      </w:r>
      <w:r w:rsidR="00E80E96">
        <w:rPr>
          <w:rFonts w:cstheme="minorHAnsi"/>
        </w:rPr>
        <w:t xml:space="preserve"> of domestic issues, </w:t>
      </w:r>
      <w:r>
        <w:rPr>
          <w:rFonts w:cstheme="minorHAnsi"/>
        </w:rPr>
        <w:lastRenderedPageBreak/>
        <w:t xml:space="preserve">precluding  </w:t>
      </w:r>
      <w:r w:rsidR="00E80E96">
        <w:rPr>
          <w:rFonts w:cstheme="minorHAnsi"/>
        </w:rPr>
        <w:t xml:space="preserve">attention and </w:t>
      </w:r>
      <w:r>
        <w:rPr>
          <w:rFonts w:cstheme="minorHAnsi"/>
        </w:rPr>
        <w:t>understanding of the complex causes, harms and gravity of SGBV crimes.</w:t>
      </w:r>
      <w:r>
        <w:rPr>
          <w:rStyle w:val="Refdenotaalpie"/>
          <w:rFonts w:cstheme="minorHAnsi"/>
        </w:rPr>
        <w:footnoteReference w:id="9"/>
      </w:r>
      <w:r>
        <w:rPr>
          <w:rFonts w:cstheme="minorHAnsi"/>
          <w:color w:val="FF0000"/>
        </w:rPr>
        <w:t xml:space="preserve"> </w:t>
      </w:r>
      <w:r w:rsidR="00E80E96" w:rsidRPr="00DF4525">
        <w:rPr>
          <w:rFonts w:cstheme="minorHAnsi"/>
          <w:color w:val="000000" w:themeColor="text1"/>
        </w:rPr>
        <w:t>E</w:t>
      </w:r>
      <w:r w:rsidRPr="00DF4525">
        <w:rPr>
          <w:rFonts w:cstheme="minorHAnsi"/>
          <w:color w:val="000000" w:themeColor="text1"/>
        </w:rPr>
        <w:t>xamples</w:t>
      </w:r>
      <w:r w:rsidR="00E80E96" w:rsidRPr="00DF4525">
        <w:rPr>
          <w:rFonts w:cstheme="minorHAnsi"/>
          <w:color w:val="000000" w:themeColor="text1"/>
        </w:rPr>
        <w:t xml:space="preserve"> </w:t>
      </w:r>
      <w:r w:rsidR="007076B7">
        <w:rPr>
          <w:rFonts w:cstheme="minorHAnsi"/>
          <w:color w:val="000000" w:themeColor="text1"/>
        </w:rPr>
        <w:t xml:space="preserve">of the marginalization of gender harms in IL include the </w:t>
      </w:r>
      <w:r>
        <w:rPr>
          <w:rFonts w:cstheme="minorHAnsi"/>
        </w:rPr>
        <w:t>misrecognition of rape as a grave breach of the Geneva Conventions, consideration of women´s harms as crimes of honour, or the `essentialization’ of women´s identity as mothers and victims of sexual violence</w:t>
      </w:r>
      <w:r w:rsidR="007076B7">
        <w:rPr>
          <w:rFonts w:cstheme="minorHAnsi"/>
        </w:rPr>
        <w:t xml:space="preserve">. These and similar </w:t>
      </w:r>
      <w:r>
        <w:rPr>
          <w:rFonts w:cstheme="minorHAnsi"/>
        </w:rPr>
        <w:t>legal gaps have negatively affected ICL´s response to SGBV in armed conflict.</w:t>
      </w:r>
      <w:r>
        <w:rPr>
          <w:rStyle w:val="Refdenotaalpie"/>
          <w:rFonts w:cstheme="minorHAnsi"/>
        </w:rPr>
        <w:footnoteReference w:id="10"/>
      </w:r>
      <w:r>
        <w:rPr>
          <w:rFonts w:cstheme="minorHAnsi"/>
        </w:rPr>
        <w:t xml:space="preserve"> Rhonda Copelon and Doris Buss are good representatives of this feminist critique to ICL´s exclusion of gender in the context of the International Criminal Tribunal for the Former Yugoslavia (ICTY) and Rwanda (ICTR).</w:t>
      </w:r>
      <w:r>
        <w:rPr>
          <w:rStyle w:val="Refdenotaalpie"/>
          <w:rFonts w:cstheme="minorHAnsi"/>
        </w:rPr>
        <w:footnoteReference w:id="11"/>
      </w:r>
      <w:r>
        <w:rPr>
          <w:rFonts w:cstheme="minorHAnsi"/>
        </w:rPr>
        <w:t xml:space="preserve"> They question ICL´s narrow (single-axis)  approach to SGBV </w:t>
      </w:r>
      <w:r w:rsidR="007076B7">
        <w:rPr>
          <w:rFonts w:cstheme="minorHAnsi"/>
        </w:rPr>
        <w:t xml:space="preserve">during ethnic conflict </w:t>
      </w:r>
      <w:r>
        <w:rPr>
          <w:rFonts w:cstheme="minorHAnsi"/>
        </w:rPr>
        <w:t>as crimes entailing  only ‘ethnic’ discrimination and harms at the cost of eclipsing gender, urging to `surface´ gender discrimination and harms and to integrate them in</w:t>
      </w:r>
      <w:r w:rsidR="007076B7">
        <w:rPr>
          <w:rFonts w:cstheme="minorHAnsi"/>
        </w:rPr>
        <w:t>to</w:t>
      </w:r>
      <w:r>
        <w:rPr>
          <w:rFonts w:cstheme="minorHAnsi"/>
        </w:rPr>
        <w:t xml:space="preserve"> the substance of ICL.</w:t>
      </w:r>
      <w:r>
        <w:rPr>
          <w:rStyle w:val="Refdenotaalpie"/>
          <w:rFonts w:cstheme="minorHAnsi"/>
        </w:rPr>
        <w:footnoteReference w:id="12"/>
      </w:r>
      <w:r>
        <w:rPr>
          <w:rFonts w:cstheme="minorHAnsi"/>
        </w:rPr>
        <w:t xml:space="preserve"> As </w:t>
      </w:r>
      <w:r w:rsidRPr="00735345">
        <w:rPr>
          <w:rFonts w:cstheme="minorHAnsi"/>
        </w:rPr>
        <w:t>Buss put</w:t>
      </w:r>
      <w:r w:rsidR="007076B7">
        <w:rPr>
          <w:rFonts w:cstheme="minorHAnsi"/>
        </w:rPr>
        <w:t>s</w:t>
      </w:r>
      <w:r w:rsidRPr="00735345">
        <w:rPr>
          <w:rFonts w:cstheme="minorHAnsi"/>
        </w:rPr>
        <w:t xml:space="preserve"> it</w:t>
      </w:r>
      <w:r w:rsidR="00DF4525">
        <w:rPr>
          <w:rFonts w:cstheme="minorHAnsi"/>
        </w:rPr>
        <w:t>, w</w:t>
      </w:r>
      <w:r>
        <w:rPr>
          <w:rFonts w:cstheme="minorHAnsi"/>
        </w:rPr>
        <w:t xml:space="preserve">hile </w:t>
      </w:r>
      <w:r w:rsidRPr="00735345">
        <w:rPr>
          <w:rFonts w:cstheme="minorHAnsi"/>
        </w:rPr>
        <w:t xml:space="preserve">rape is </w:t>
      </w:r>
      <w:r w:rsidRPr="00735345">
        <w:t>understood as an attack on the ethnic community</w:t>
      </w:r>
      <w:r w:rsidR="00DF4525">
        <w:t>: I</w:t>
      </w:r>
      <w:r w:rsidRPr="00735345">
        <w:t xml:space="preserve">s it not possible to  reflect </w:t>
      </w:r>
      <w:r w:rsidRPr="00735345">
        <w:rPr>
          <w:i/>
          <w:iCs/>
        </w:rPr>
        <w:t xml:space="preserve">also </w:t>
      </w:r>
      <w:r>
        <w:t xml:space="preserve">its nature </w:t>
      </w:r>
      <w:r w:rsidRPr="00735345">
        <w:t>as a crime committed against a woman as a woman, without the ethnic identity erasing the gender identity?</w:t>
      </w:r>
      <w:r w:rsidRPr="00735345">
        <w:rPr>
          <w:rStyle w:val="Refdenotaalpie"/>
        </w:rPr>
        <w:footnoteReference w:id="13"/>
      </w:r>
      <w:r w:rsidRPr="00735345">
        <w:rPr>
          <w:rFonts w:cstheme="minorHAnsi"/>
        </w:rPr>
        <w:t xml:space="preserve"> </w:t>
      </w:r>
      <w:r>
        <w:rPr>
          <w:rFonts w:cstheme="minorHAnsi"/>
        </w:rPr>
        <w:t xml:space="preserve">New wars are wars of identity politics or against group identity. </w:t>
      </w:r>
      <w:r w:rsidR="00DF4525">
        <w:rPr>
          <w:rFonts w:cstheme="minorHAnsi"/>
        </w:rPr>
        <w:t xml:space="preserve">Therefore, </w:t>
      </w:r>
      <w:r>
        <w:rPr>
          <w:rFonts w:cstheme="minorHAnsi"/>
        </w:rPr>
        <w:t xml:space="preserve">as Chinkin and Kaldor note, SGBV in ‘wartime’ necessarily involves gender interplaying with other identities (ethnicity, religion, political identity, etc)  that make SGBV a crime of intersectional discrimination </w:t>
      </w:r>
      <w:r w:rsidRPr="007076B7">
        <w:rPr>
          <w:rFonts w:cstheme="minorHAnsi"/>
          <w:i/>
          <w:iCs/>
        </w:rPr>
        <w:t>as well as</w:t>
      </w:r>
      <w:r>
        <w:rPr>
          <w:rFonts w:cstheme="minorHAnsi"/>
        </w:rPr>
        <w:t xml:space="preserve"> a political crime that furthers perpetrators´ broader attack.</w:t>
      </w:r>
      <w:r>
        <w:rPr>
          <w:rStyle w:val="Refdenotaalpie"/>
          <w:rFonts w:cstheme="minorHAnsi"/>
        </w:rPr>
        <w:footnoteReference w:id="14"/>
      </w:r>
      <w:r>
        <w:rPr>
          <w:rFonts w:cstheme="minorHAnsi"/>
        </w:rPr>
        <w:t xml:space="preserve"> In t</w:t>
      </w:r>
      <w:r w:rsidRPr="00315C95">
        <w:rPr>
          <w:rFonts w:cstheme="minorHAnsi"/>
        </w:rPr>
        <w:t>hose situations</w:t>
      </w:r>
      <w:r>
        <w:rPr>
          <w:rFonts w:cstheme="minorHAnsi"/>
        </w:rPr>
        <w:t xml:space="preserve"> SGBV</w:t>
      </w:r>
      <w:r w:rsidR="00DF4525">
        <w:rPr>
          <w:rFonts w:cstheme="minorHAnsi"/>
        </w:rPr>
        <w:t>, especially when widespread or systematic,</w:t>
      </w:r>
      <w:r>
        <w:rPr>
          <w:rFonts w:cstheme="minorHAnsi"/>
        </w:rPr>
        <w:t xml:space="preserve"> has a </w:t>
      </w:r>
      <w:r w:rsidR="007076B7">
        <w:rPr>
          <w:rFonts w:cstheme="minorHAnsi"/>
        </w:rPr>
        <w:t>‘</w:t>
      </w:r>
      <w:r w:rsidRPr="007076B7">
        <w:rPr>
          <w:rFonts w:cstheme="minorHAnsi"/>
        </w:rPr>
        <w:t>communicative</w:t>
      </w:r>
      <w:r w:rsidR="007076B7">
        <w:rPr>
          <w:rFonts w:cstheme="minorHAnsi"/>
          <w:i/>
          <w:iCs/>
        </w:rPr>
        <w:t>’</w:t>
      </w:r>
      <w:r w:rsidRPr="00AA05BE">
        <w:rPr>
          <w:rFonts w:cstheme="minorHAnsi"/>
          <w:i/>
          <w:iCs/>
        </w:rPr>
        <w:t xml:space="preserve"> </w:t>
      </w:r>
      <w:r w:rsidRPr="002139E6">
        <w:rPr>
          <w:rFonts w:cstheme="minorHAnsi"/>
        </w:rPr>
        <w:t>value</w:t>
      </w:r>
      <w:r>
        <w:rPr>
          <w:rFonts w:cstheme="minorHAnsi"/>
        </w:rPr>
        <w:t xml:space="preserve">. </w:t>
      </w:r>
      <w:r w:rsidR="00DF4525">
        <w:rPr>
          <w:rFonts w:cstheme="minorHAnsi"/>
        </w:rPr>
        <w:t>It</w:t>
      </w:r>
      <w:r>
        <w:rPr>
          <w:rFonts w:cstheme="minorHAnsi"/>
        </w:rPr>
        <w:t xml:space="preserve"> tell</w:t>
      </w:r>
      <w:r w:rsidR="00DF4525">
        <w:rPr>
          <w:rFonts w:cstheme="minorHAnsi"/>
        </w:rPr>
        <w:t>s</w:t>
      </w:r>
      <w:r>
        <w:rPr>
          <w:rFonts w:cstheme="minorHAnsi"/>
        </w:rPr>
        <w:t xml:space="preserve"> something about the criminal intent that reveals SGBV not only as</w:t>
      </w:r>
      <w:r w:rsidR="007076B7">
        <w:rPr>
          <w:rFonts w:cstheme="minorHAnsi"/>
        </w:rPr>
        <w:t xml:space="preserve"> a</w:t>
      </w:r>
      <w:r>
        <w:rPr>
          <w:rFonts w:cstheme="minorHAnsi"/>
        </w:rPr>
        <w:t xml:space="preserve"> gender-based crime but simultaneously as </w:t>
      </w:r>
      <w:r w:rsidR="007076B7">
        <w:rPr>
          <w:rFonts w:cstheme="minorHAnsi"/>
        </w:rPr>
        <w:t xml:space="preserve">a </w:t>
      </w:r>
      <w:r>
        <w:rPr>
          <w:rFonts w:cstheme="minorHAnsi"/>
        </w:rPr>
        <w:t>political</w:t>
      </w:r>
      <w:r w:rsidR="00DF4525">
        <w:rPr>
          <w:rFonts w:cstheme="minorHAnsi"/>
        </w:rPr>
        <w:t xml:space="preserve"> crime used strategically by perpetrators </w:t>
      </w:r>
      <w:r w:rsidR="007076B7">
        <w:rPr>
          <w:rFonts w:cstheme="minorHAnsi"/>
        </w:rPr>
        <w:t xml:space="preserve">to </w:t>
      </w:r>
      <w:r w:rsidR="00DF4525">
        <w:rPr>
          <w:rFonts w:cstheme="minorHAnsi"/>
        </w:rPr>
        <w:t>attack the target group</w:t>
      </w:r>
      <w:r>
        <w:rPr>
          <w:rFonts w:cstheme="minorHAnsi"/>
        </w:rPr>
        <w:t>.</w:t>
      </w:r>
      <w:r w:rsidRPr="00FB76E0">
        <w:rPr>
          <w:rStyle w:val="Refdenotaalpie"/>
          <w:rFonts w:cstheme="minorHAnsi"/>
        </w:rPr>
        <w:footnoteReference w:id="15"/>
      </w:r>
      <w:r w:rsidRPr="00FB76E0">
        <w:rPr>
          <w:rFonts w:cstheme="minorHAnsi"/>
        </w:rPr>
        <w:t xml:space="preserve"> </w:t>
      </w:r>
    </w:p>
    <w:p w14:paraId="46D13369" w14:textId="77777777" w:rsidR="00580209" w:rsidRDefault="00580209" w:rsidP="00CD1C27">
      <w:pPr>
        <w:spacing w:line="276" w:lineRule="auto"/>
        <w:jc w:val="both"/>
        <w:rPr>
          <w:color w:val="FF0000"/>
        </w:rPr>
      </w:pPr>
    </w:p>
    <w:p w14:paraId="334BAB9D" w14:textId="25873C88" w:rsidR="00580209" w:rsidRDefault="002D52C1" w:rsidP="00CD1C27">
      <w:pPr>
        <w:spacing w:line="276" w:lineRule="auto"/>
        <w:jc w:val="both"/>
        <w:rPr>
          <w:b/>
          <w:bCs/>
        </w:rPr>
      </w:pPr>
      <w:r>
        <w:rPr>
          <w:b/>
          <w:bCs/>
        </w:rPr>
        <w:t>1.</w:t>
      </w:r>
      <w:r w:rsidR="00580209">
        <w:rPr>
          <w:b/>
          <w:bCs/>
        </w:rPr>
        <w:t>2 IHRL: An Intersectional Interpretation of SGBV</w:t>
      </w:r>
    </w:p>
    <w:p w14:paraId="39F28AEE" w14:textId="16038FBB" w:rsidR="00580209" w:rsidRPr="009C2494" w:rsidRDefault="00580209" w:rsidP="00CD1C27">
      <w:pPr>
        <w:spacing w:line="276" w:lineRule="auto"/>
        <w:jc w:val="both"/>
      </w:pPr>
      <w:r>
        <w:lastRenderedPageBreak/>
        <w:t>IHRL, in</w:t>
      </w:r>
      <w:r w:rsidR="00DF4525">
        <w:t xml:space="preserve"> line</w:t>
      </w:r>
      <w:r>
        <w:t xml:space="preserve"> with feminism, is progressively acknowledging an intersectional approach to interpret SGBV. A rights-based approach</w:t>
      </w:r>
      <w:r w:rsidR="00DF4525">
        <w:t xml:space="preserve"> to intersectionality, </w:t>
      </w:r>
      <w:r>
        <w:t xml:space="preserve">especially </w:t>
      </w:r>
      <w:r w:rsidR="00DF4525">
        <w:t xml:space="preserve">within </w:t>
      </w:r>
      <w:r>
        <w:t xml:space="preserve">the Committee on the Elimination of </w:t>
      </w:r>
      <w:r w:rsidR="00D064BD">
        <w:t xml:space="preserve">Discrimination </w:t>
      </w:r>
      <w:r>
        <w:t>against Women (</w:t>
      </w:r>
      <w:r w:rsidRPr="00D064BD">
        <w:rPr>
          <w:color w:val="000000" w:themeColor="text1"/>
        </w:rPr>
        <w:t>CEDA</w:t>
      </w:r>
      <w:r>
        <w:t>W), recognizes</w:t>
      </w:r>
      <w:r w:rsidR="00DF4525">
        <w:t xml:space="preserve"> that </w:t>
      </w:r>
      <w:r w:rsidR="004163BD">
        <w:t xml:space="preserve">by </w:t>
      </w:r>
      <w:r>
        <w:t xml:space="preserve">understanding the way gender is ‘inextricably linked’ with other identities and factors </w:t>
      </w:r>
      <w:r w:rsidR="004163BD">
        <w:t xml:space="preserve">that </w:t>
      </w:r>
      <w:r>
        <w:t xml:space="preserve">result in compounded discrimination </w:t>
      </w:r>
      <w:r w:rsidR="004163BD">
        <w:t xml:space="preserve">is it possible to </w:t>
      </w:r>
      <w:r>
        <w:t xml:space="preserve">unpack the causes, harms and enhanced gravity of SGBV. Intersectionality is at the heart of the CEDAW´s gender analysis of violence against women. Acknowledging the interdependence between complex forms of gender discrimination, harms, and the gravity of SGBV, CEDAW´s General Recommendation 28 (2010) holds:  </w:t>
      </w:r>
    </w:p>
    <w:p w14:paraId="7FE0956D" w14:textId="77777777" w:rsidR="00580209" w:rsidRDefault="00580209" w:rsidP="00CD1C27">
      <w:pPr>
        <w:pStyle w:val="Prrafodelista"/>
        <w:spacing w:line="276" w:lineRule="auto"/>
        <w:jc w:val="both"/>
        <w:rPr>
          <w:sz w:val="20"/>
          <w:szCs w:val="20"/>
        </w:rPr>
      </w:pPr>
      <w:r w:rsidRPr="00F11CF2">
        <w:rPr>
          <w:sz w:val="20"/>
          <w:szCs w:val="20"/>
        </w:rPr>
        <w:t xml:space="preserve">The discrimination of women based on sex and gender is </w:t>
      </w:r>
      <w:r w:rsidRPr="00F11CF2">
        <w:rPr>
          <w:i/>
          <w:iCs/>
          <w:sz w:val="20"/>
          <w:szCs w:val="20"/>
        </w:rPr>
        <w:t>inextricably linked</w:t>
      </w:r>
      <w:r w:rsidRPr="00F11CF2">
        <w:rPr>
          <w:sz w:val="20"/>
          <w:szCs w:val="20"/>
        </w:rPr>
        <w:t xml:space="preserve"> with other factors that affect women, such as race, ethnicity, religion or belief, health, status, age, class, caste and sexual orientation and gender identity. Discrimination on the basis of sex or gender may affect women belonging to such groups to a </w:t>
      </w:r>
      <w:r w:rsidRPr="00F11CF2">
        <w:rPr>
          <w:i/>
          <w:iCs/>
          <w:sz w:val="20"/>
          <w:szCs w:val="20"/>
        </w:rPr>
        <w:t>different degree or in different ways</w:t>
      </w:r>
      <w:r w:rsidRPr="00F11CF2">
        <w:rPr>
          <w:sz w:val="20"/>
          <w:szCs w:val="20"/>
        </w:rPr>
        <w:t xml:space="preserve"> to men. States parties must legally recognize such intersecting forms of discrimination and their </w:t>
      </w:r>
      <w:r w:rsidRPr="00F11CF2">
        <w:rPr>
          <w:i/>
          <w:iCs/>
          <w:sz w:val="20"/>
          <w:szCs w:val="20"/>
        </w:rPr>
        <w:t>compounded negative impact</w:t>
      </w:r>
      <w:r w:rsidRPr="00F11CF2">
        <w:rPr>
          <w:sz w:val="20"/>
          <w:szCs w:val="20"/>
        </w:rPr>
        <w:t xml:space="preserve"> on the women concerned and prohibit them.</w:t>
      </w:r>
      <w:r>
        <w:rPr>
          <w:rStyle w:val="Refdenotaalpie"/>
          <w:sz w:val="20"/>
          <w:szCs w:val="20"/>
        </w:rPr>
        <w:footnoteReference w:id="16"/>
      </w:r>
    </w:p>
    <w:p w14:paraId="18DE92B7" w14:textId="32612FC1" w:rsidR="00580209" w:rsidRDefault="00580209" w:rsidP="00CD1C27">
      <w:pPr>
        <w:spacing w:line="276" w:lineRule="auto"/>
        <w:jc w:val="both"/>
      </w:pPr>
      <w:r w:rsidRPr="00F50C56">
        <w:rPr>
          <w:color w:val="FF0000"/>
        </w:rPr>
        <w:t xml:space="preserve">Intersectionality is not only a substantive trait of gender discrimination but </w:t>
      </w:r>
      <w:r w:rsidR="009A5344">
        <w:rPr>
          <w:color w:val="FF0000"/>
        </w:rPr>
        <w:t xml:space="preserve">is </w:t>
      </w:r>
      <w:r w:rsidRPr="00F50C56">
        <w:rPr>
          <w:color w:val="FF0000"/>
        </w:rPr>
        <w:t>also a procedural approach to ensure access to justice without discrimination by properly unpacking the causes and harms of SGBV</w:t>
      </w:r>
      <w:r w:rsidRPr="00F50C56">
        <w:t xml:space="preserve">. </w:t>
      </w:r>
      <w:r w:rsidRPr="00A84480">
        <w:t>According</w:t>
      </w:r>
      <w:r>
        <w:t xml:space="preserve"> to the CEDAW, because intersectional </w:t>
      </w:r>
      <w:r w:rsidRPr="00054557">
        <w:t xml:space="preserve">discrimination </w:t>
      </w:r>
      <w:r>
        <w:t>place</w:t>
      </w:r>
      <w:r w:rsidRPr="00054557">
        <w:t>s</w:t>
      </w:r>
      <w:r>
        <w:t xml:space="preserve"> women</w:t>
      </w:r>
      <w:r w:rsidRPr="00054557">
        <w:t xml:space="preserve"> at specific risk of violence </w:t>
      </w:r>
      <w:r>
        <w:t xml:space="preserve">and </w:t>
      </w:r>
      <w:r w:rsidR="009A5344">
        <w:t>ha</w:t>
      </w:r>
      <w:r>
        <w:t xml:space="preserve">s more serious </w:t>
      </w:r>
      <w:r w:rsidRPr="00054557">
        <w:t>consequences,</w:t>
      </w:r>
      <w:r>
        <w:t xml:space="preserve"> its</w:t>
      </w:r>
      <w:r w:rsidRPr="00054557">
        <w:t xml:space="preserve"> </w:t>
      </w:r>
      <w:r>
        <w:t xml:space="preserve">identification by the judicial system </w:t>
      </w:r>
      <w:r w:rsidRPr="00054557">
        <w:t>is c</w:t>
      </w:r>
      <w:r>
        <w:t>rucial</w:t>
      </w:r>
      <w:r w:rsidRPr="00054557">
        <w:t xml:space="preserve"> to ensure </w:t>
      </w:r>
      <w:r w:rsidR="00D064BD">
        <w:t xml:space="preserve">a </w:t>
      </w:r>
      <w:r w:rsidR="009A5344">
        <w:t xml:space="preserve">non-discriminatory treatment in </w:t>
      </w:r>
      <w:r w:rsidRPr="00054557">
        <w:t xml:space="preserve">access to justice. </w:t>
      </w:r>
      <w:r>
        <w:t>CEDAW´s General Recommendation 33 on Access to Justice (2015) holds that intersectional discrimination “makes it more difficult for women of those groups to gain access to justice,” including reporting violations and obtaining effective remedy, hence the duty of the judiciary to single out situations of intersectional  discrimination and to “provide the possibility to lodge claims involving multiple and intersecting forms of discrimination”.</w:t>
      </w:r>
      <w:r>
        <w:rPr>
          <w:rStyle w:val="Refdenotaalpie"/>
        </w:rPr>
        <w:footnoteReference w:id="17"/>
      </w:r>
      <w:r>
        <w:t xml:space="preserve"> Other regional IHRL mechanisms are aligning </w:t>
      </w:r>
      <w:r w:rsidR="009A5344">
        <w:t>behind the</w:t>
      </w:r>
      <w:r>
        <w:t xml:space="preserve"> CEDAW´s intersectional interpretation of SGBV</w:t>
      </w:r>
      <w:r w:rsidR="00D064BD">
        <w:t xml:space="preserve"> and requiring the identification of compounded discrimination to ensure non-discrimination by the judicial system. Intersectionality is</w:t>
      </w:r>
      <w:r>
        <w:t xml:space="preserve"> expressly</w:t>
      </w:r>
      <w:r w:rsidR="00D064BD">
        <w:t xml:space="preserve"> recognized by</w:t>
      </w:r>
      <w:r>
        <w:t xml:space="preserve"> the Inter-American Court of Human Rights </w:t>
      </w:r>
      <w:r>
        <w:lastRenderedPageBreak/>
        <w:t>(IACtHR),</w:t>
      </w:r>
      <w:r>
        <w:rPr>
          <w:rStyle w:val="Refdenotaalpie"/>
        </w:rPr>
        <w:footnoteReference w:id="18"/>
      </w:r>
      <w:r>
        <w:t xml:space="preserve"> implicitly </w:t>
      </w:r>
      <w:r w:rsidR="00D064BD">
        <w:t>by</w:t>
      </w:r>
      <w:r>
        <w:t xml:space="preserve"> the European Court of Human Rights (ECtHR) </w:t>
      </w:r>
      <w:r>
        <w:rPr>
          <w:rStyle w:val="Refdenotaalpie"/>
        </w:rPr>
        <w:footnoteReference w:id="19"/>
      </w:r>
      <w:r>
        <w:t>and</w:t>
      </w:r>
      <w:r w:rsidR="00D064BD">
        <w:t>,</w:t>
      </w:r>
      <w:r>
        <w:t xml:space="preserve"> </w:t>
      </w:r>
      <w:r w:rsidR="009A5344">
        <w:t xml:space="preserve">more limitedly, </w:t>
      </w:r>
      <w:r w:rsidR="00D064BD">
        <w:t>by</w:t>
      </w:r>
      <w:r>
        <w:t xml:space="preserve"> the African Commission of Human and People´s Rights (ACHPR).</w:t>
      </w:r>
      <w:r>
        <w:rPr>
          <w:rStyle w:val="Refdenotaalpie"/>
        </w:rPr>
        <w:footnoteReference w:id="20"/>
      </w:r>
    </w:p>
    <w:p w14:paraId="42FE46D8" w14:textId="10C82DCE" w:rsidR="00580209" w:rsidRPr="00B75E8D" w:rsidRDefault="00580209" w:rsidP="00CD1C27">
      <w:pPr>
        <w:spacing w:line="276" w:lineRule="auto"/>
        <w:jc w:val="both"/>
        <w:rPr>
          <w:rFonts w:cstheme="minorHAnsi"/>
        </w:rPr>
      </w:pPr>
      <w:r w:rsidRPr="000232D4">
        <w:rPr>
          <w:color w:val="FF0000"/>
        </w:rPr>
        <w:t xml:space="preserve">IHRL introduces a legal </w:t>
      </w:r>
      <w:r w:rsidR="00D064BD">
        <w:rPr>
          <w:color w:val="FF0000"/>
        </w:rPr>
        <w:t xml:space="preserve">basis for an intersectional approach to interpret violence in IL </w:t>
      </w:r>
      <w:r>
        <w:rPr>
          <w:color w:val="FF0000"/>
        </w:rPr>
        <w:t>based on multi-layered identities and discrimination</w:t>
      </w:r>
      <w:r w:rsidR="00C84DC6">
        <w:rPr>
          <w:color w:val="FF0000"/>
        </w:rPr>
        <w:t xml:space="preserve"> that may apply </w:t>
      </w:r>
      <w:r>
        <w:rPr>
          <w:color w:val="FF0000"/>
        </w:rPr>
        <w:t>to ICL</w:t>
      </w:r>
      <w:r w:rsidR="00C84DC6">
        <w:rPr>
          <w:color w:val="FF0000"/>
        </w:rPr>
        <w:t xml:space="preserve">, thereby enabling </w:t>
      </w:r>
      <w:r>
        <w:rPr>
          <w:color w:val="FF0000"/>
        </w:rPr>
        <w:t xml:space="preserve">harmonized interpretations of SGBV </w:t>
      </w:r>
      <w:r w:rsidRPr="00C84DC6">
        <w:rPr>
          <w:color w:val="FF0000"/>
        </w:rPr>
        <w:t xml:space="preserve">as a crime of gender discrimination </w:t>
      </w:r>
      <w:r w:rsidR="00C84DC6">
        <w:rPr>
          <w:color w:val="FF0000"/>
        </w:rPr>
        <w:t xml:space="preserve">both </w:t>
      </w:r>
      <w:r w:rsidRPr="00C84DC6">
        <w:rPr>
          <w:color w:val="FF0000"/>
        </w:rPr>
        <w:t xml:space="preserve">in ‘peace’ and </w:t>
      </w:r>
      <w:r w:rsidR="00D064BD">
        <w:rPr>
          <w:color w:val="FF0000"/>
        </w:rPr>
        <w:t>in ‘</w:t>
      </w:r>
      <w:r w:rsidRPr="00C84DC6">
        <w:rPr>
          <w:color w:val="FF0000"/>
        </w:rPr>
        <w:t>conflict’</w:t>
      </w:r>
      <w:r w:rsidR="00C84DC6">
        <w:rPr>
          <w:color w:val="FF0000"/>
        </w:rPr>
        <w:t xml:space="preserve"> situations</w:t>
      </w:r>
      <w:r w:rsidRPr="00C84DC6">
        <w:rPr>
          <w:color w:val="FF0000"/>
        </w:rPr>
        <w:t>.</w:t>
      </w:r>
      <w:r>
        <w:rPr>
          <w:color w:val="FF0000"/>
        </w:rPr>
        <w:t xml:space="preserve"> </w:t>
      </w:r>
      <w:r w:rsidR="00C84DC6">
        <w:rPr>
          <w:color w:val="FF0000"/>
        </w:rPr>
        <w:t>Indeed, p</w:t>
      </w:r>
      <w:r>
        <w:rPr>
          <w:color w:val="FF0000"/>
        </w:rPr>
        <w:t>recluding fragment</w:t>
      </w:r>
      <w:r w:rsidR="00C84DC6">
        <w:rPr>
          <w:color w:val="FF0000"/>
        </w:rPr>
        <w:t>ed interpretations of SGBV</w:t>
      </w:r>
      <w:r>
        <w:rPr>
          <w:color w:val="FF0000"/>
        </w:rPr>
        <w:t xml:space="preserve"> and a duty of consistency with IHRL interpretations constitutes a binding obligation </w:t>
      </w:r>
      <w:r w:rsidR="00436A10">
        <w:rPr>
          <w:color w:val="FF0000"/>
        </w:rPr>
        <w:t>at the ICC.</w:t>
      </w:r>
      <w:r w:rsidR="00436A10" w:rsidRPr="00436A10">
        <w:rPr>
          <w:rStyle w:val="Refdenotaalpie"/>
          <w:rFonts w:cstheme="minorHAnsi"/>
          <w:color w:val="000000"/>
        </w:rPr>
        <w:t xml:space="preserve"> </w:t>
      </w:r>
      <w:r w:rsidR="00436A10" w:rsidRPr="00C8611A">
        <w:rPr>
          <w:rStyle w:val="Refdenotaalpie"/>
          <w:rFonts w:cstheme="minorHAnsi"/>
          <w:color w:val="000000"/>
        </w:rPr>
        <w:footnoteReference w:id="21"/>
      </w:r>
      <w:r w:rsidR="00436A10" w:rsidRPr="00C8611A">
        <w:t xml:space="preserve"> </w:t>
      </w:r>
      <w:r w:rsidR="00436A10">
        <w:rPr>
          <w:color w:val="FF0000"/>
        </w:rPr>
        <w:t xml:space="preserve"> </w:t>
      </w:r>
      <w:r w:rsidRPr="00C8611A">
        <w:rPr>
          <w:rFonts w:cstheme="minorHAnsi"/>
          <w:color w:val="000000"/>
        </w:rPr>
        <w:t xml:space="preserve">Article 21(3) of </w:t>
      </w:r>
      <w:r w:rsidR="00D064BD">
        <w:rPr>
          <w:rFonts w:cstheme="minorHAnsi"/>
          <w:color w:val="000000"/>
        </w:rPr>
        <w:t xml:space="preserve">the Rome Statute clearly </w:t>
      </w:r>
      <w:r w:rsidRPr="00C8611A">
        <w:rPr>
          <w:rFonts w:cstheme="minorHAnsi"/>
          <w:color w:val="000000"/>
        </w:rPr>
        <w:t>provides that the interpretation and application of the law “</w:t>
      </w:r>
      <w:r w:rsidR="00436A10">
        <w:rPr>
          <w:rFonts w:cstheme="minorHAnsi"/>
          <w:color w:val="000000"/>
        </w:rPr>
        <w:t>must</w:t>
      </w:r>
      <w:r w:rsidRPr="00C8611A">
        <w:rPr>
          <w:rFonts w:cstheme="minorHAnsi"/>
          <w:color w:val="000000"/>
        </w:rPr>
        <w:t xml:space="preserve">” be consistent </w:t>
      </w:r>
      <w:r w:rsidRPr="00C8611A">
        <w:rPr>
          <w:rFonts w:cstheme="minorHAnsi"/>
          <w:color w:val="000000"/>
        </w:rPr>
        <w:lastRenderedPageBreak/>
        <w:t>with internationally recognized human rights</w:t>
      </w:r>
      <w:r w:rsidRPr="00B75E8D">
        <w:rPr>
          <w:rFonts w:cstheme="minorHAnsi"/>
        </w:rPr>
        <w:t xml:space="preserve">, without any discrimination </w:t>
      </w:r>
      <w:r w:rsidR="00436A10" w:rsidRPr="00B75E8D">
        <w:rPr>
          <w:rFonts w:cstheme="minorHAnsi"/>
        </w:rPr>
        <w:t xml:space="preserve">based </w:t>
      </w:r>
      <w:r w:rsidRPr="00B75E8D">
        <w:rPr>
          <w:rFonts w:cstheme="minorHAnsi"/>
        </w:rPr>
        <w:t>on</w:t>
      </w:r>
      <w:r w:rsidR="00436A10" w:rsidRPr="00B75E8D">
        <w:rPr>
          <w:rFonts w:cstheme="minorHAnsi"/>
        </w:rPr>
        <w:t xml:space="preserve"> </w:t>
      </w:r>
      <w:r w:rsidRPr="00B75E8D">
        <w:rPr>
          <w:rFonts w:cstheme="minorHAnsi"/>
          <w:i/>
          <w:iCs/>
        </w:rPr>
        <w:t>gender</w:t>
      </w:r>
      <w:r w:rsidRPr="00B75E8D">
        <w:rPr>
          <w:rFonts w:cstheme="minorHAnsi"/>
        </w:rPr>
        <w:t xml:space="preserve"> or </w:t>
      </w:r>
      <w:r w:rsidR="00436A10" w:rsidRPr="00B75E8D">
        <w:rPr>
          <w:rFonts w:cstheme="minorHAnsi"/>
        </w:rPr>
        <w:t>other grounds or status</w:t>
      </w:r>
      <w:r w:rsidRPr="00B75E8D">
        <w:rPr>
          <w:rFonts w:cstheme="minorHAnsi"/>
        </w:rPr>
        <w:t>.</w:t>
      </w:r>
      <w:r w:rsidRPr="00B75E8D">
        <w:rPr>
          <w:rStyle w:val="Refdenotaalpie"/>
          <w:rFonts w:cstheme="minorHAnsi"/>
        </w:rPr>
        <w:footnoteReference w:id="22"/>
      </w:r>
      <w:r w:rsidRPr="00B75E8D">
        <w:rPr>
          <w:rFonts w:cstheme="minorHAnsi"/>
        </w:rPr>
        <w:t xml:space="preserve"> </w:t>
      </w:r>
    </w:p>
    <w:p w14:paraId="4AC28080" w14:textId="2CCDBBAE" w:rsidR="00580209" w:rsidRDefault="00580209" w:rsidP="00CD1C27">
      <w:pPr>
        <w:spacing w:line="276" w:lineRule="auto"/>
        <w:jc w:val="both"/>
      </w:pPr>
      <w:r w:rsidRPr="008065D2">
        <w:rPr>
          <w:rFonts w:cstheme="minorHAnsi"/>
          <w:color w:val="000000"/>
        </w:rPr>
        <w:t>The applicability of IHRL interpretations in ICL is</w:t>
      </w:r>
      <w:r w:rsidR="004807AC">
        <w:rPr>
          <w:rFonts w:cstheme="minorHAnsi"/>
          <w:color w:val="000000"/>
        </w:rPr>
        <w:t xml:space="preserve"> however</w:t>
      </w:r>
      <w:r>
        <w:rPr>
          <w:rFonts w:cstheme="minorHAnsi"/>
          <w:color w:val="000000"/>
        </w:rPr>
        <w:t xml:space="preserve"> </w:t>
      </w:r>
      <w:r w:rsidRPr="008065D2">
        <w:rPr>
          <w:rFonts w:cstheme="minorHAnsi"/>
          <w:color w:val="000000"/>
        </w:rPr>
        <w:t xml:space="preserve">a contentious issue </w:t>
      </w:r>
      <w:r>
        <w:rPr>
          <w:rFonts w:cstheme="minorHAnsi"/>
          <w:color w:val="000000"/>
        </w:rPr>
        <w:t xml:space="preserve">that requires the </w:t>
      </w:r>
      <w:r w:rsidRPr="008065D2">
        <w:rPr>
          <w:rFonts w:cstheme="minorHAnsi"/>
          <w:color w:val="000000"/>
        </w:rPr>
        <w:t xml:space="preserve">harmonization </w:t>
      </w:r>
      <w:r>
        <w:rPr>
          <w:rFonts w:cstheme="minorHAnsi"/>
          <w:color w:val="000000"/>
        </w:rPr>
        <w:t xml:space="preserve">of </w:t>
      </w:r>
      <w:r w:rsidRPr="008065D2">
        <w:rPr>
          <w:rFonts w:cstheme="minorHAnsi"/>
          <w:color w:val="000000"/>
        </w:rPr>
        <w:t xml:space="preserve">ICL´s principle of legality and the </w:t>
      </w:r>
      <w:r>
        <w:rPr>
          <w:rFonts w:cstheme="minorHAnsi"/>
          <w:color w:val="000000"/>
        </w:rPr>
        <w:t xml:space="preserve">duty </w:t>
      </w:r>
      <w:r w:rsidRPr="008065D2">
        <w:rPr>
          <w:rFonts w:cstheme="minorHAnsi"/>
          <w:color w:val="000000"/>
        </w:rPr>
        <w:t>of consistency.</w:t>
      </w:r>
      <w:r w:rsidR="004807AC">
        <w:rPr>
          <w:rFonts w:cstheme="minorHAnsi"/>
          <w:color w:val="000000"/>
        </w:rPr>
        <w:t xml:space="preserve"> First and foremost, th</w:t>
      </w:r>
      <w:r w:rsidRPr="008065D2">
        <w:rPr>
          <w:rFonts w:cstheme="minorHAnsi"/>
          <w:color w:val="000000"/>
        </w:rPr>
        <w:t>e principle of legalit</w:t>
      </w:r>
      <w:r w:rsidR="004807AC">
        <w:rPr>
          <w:rFonts w:cstheme="minorHAnsi"/>
          <w:color w:val="000000"/>
        </w:rPr>
        <w:t>y (</w:t>
      </w:r>
      <w:r w:rsidRPr="008065D2">
        <w:rPr>
          <w:rFonts w:cstheme="minorHAnsi"/>
          <w:color w:val="000000"/>
        </w:rPr>
        <w:t>spine of ICL</w:t>
      </w:r>
      <w:r w:rsidR="004807AC">
        <w:rPr>
          <w:rFonts w:cstheme="minorHAnsi"/>
          <w:color w:val="000000"/>
        </w:rPr>
        <w:t>)</w:t>
      </w:r>
      <w:r w:rsidRPr="008065D2">
        <w:rPr>
          <w:rFonts w:cstheme="minorHAnsi"/>
          <w:color w:val="000000"/>
        </w:rPr>
        <w:t xml:space="preserve"> demands a strict interpretation of the definition of crimes</w:t>
      </w:r>
      <w:r w:rsidR="004807AC">
        <w:rPr>
          <w:rFonts w:cstheme="minorHAnsi"/>
          <w:color w:val="000000"/>
        </w:rPr>
        <w:t>.</w:t>
      </w:r>
      <w:r w:rsidRPr="008065D2">
        <w:rPr>
          <w:rStyle w:val="Refdenotaalpie"/>
          <w:rFonts w:cstheme="minorHAnsi"/>
          <w:color w:val="000000"/>
        </w:rPr>
        <w:footnoteReference w:id="23"/>
      </w:r>
      <w:r>
        <w:rPr>
          <w:rFonts w:cstheme="minorHAnsi"/>
          <w:color w:val="000000"/>
        </w:rPr>
        <w:t xml:space="preserve"> </w:t>
      </w:r>
      <w:r w:rsidR="004807AC">
        <w:rPr>
          <w:rFonts w:cstheme="minorHAnsi"/>
          <w:color w:val="000000"/>
        </w:rPr>
        <w:t xml:space="preserve">This </w:t>
      </w:r>
      <w:r>
        <w:rPr>
          <w:rFonts w:cstheme="minorHAnsi"/>
          <w:color w:val="000000"/>
        </w:rPr>
        <w:t>excludes the possibility of interpreting criminal conducts directly under IHRL standards</w:t>
      </w:r>
      <w:r w:rsidR="004807AC">
        <w:rPr>
          <w:rFonts w:cstheme="minorHAnsi"/>
          <w:color w:val="000000"/>
        </w:rPr>
        <w:t xml:space="preserve"> which risks distorting the system of individual criminal responsibility</w:t>
      </w:r>
      <w:r w:rsidRPr="008065D2">
        <w:rPr>
          <w:rFonts w:cstheme="minorHAnsi"/>
          <w:color w:val="FF0000"/>
        </w:rPr>
        <w:t>.</w:t>
      </w:r>
      <w:r w:rsidRPr="008065D2">
        <w:rPr>
          <w:rStyle w:val="Refdenotaalpie"/>
          <w:rFonts w:cstheme="minorHAnsi"/>
          <w:color w:val="000000"/>
        </w:rPr>
        <w:footnoteReference w:id="24"/>
      </w:r>
      <w:r w:rsidRPr="008065D2">
        <w:rPr>
          <w:rFonts w:cstheme="minorHAnsi"/>
          <w:color w:val="000000"/>
        </w:rPr>
        <w:t xml:space="preserve"> </w:t>
      </w:r>
      <w:r>
        <w:rPr>
          <w:rFonts w:cstheme="minorHAnsi"/>
          <w:color w:val="000000"/>
        </w:rPr>
        <w:t xml:space="preserve">Notwithstanding, although </w:t>
      </w:r>
      <w:r w:rsidRPr="008065D2">
        <w:rPr>
          <w:rFonts w:cstheme="minorHAnsi"/>
          <w:color w:val="000000"/>
        </w:rPr>
        <w:t xml:space="preserve">IHRL </w:t>
      </w:r>
      <w:r>
        <w:rPr>
          <w:rFonts w:cstheme="minorHAnsi"/>
          <w:color w:val="000000"/>
        </w:rPr>
        <w:t xml:space="preserve">interpretations </w:t>
      </w:r>
      <w:r w:rsidRPr="008065D2">
        <w:rPr>
          <w:rFonts w:cstheme="minorHAnsi"/>
          <w:color w:val="000000"/>
        </w:rPr>
        <w:t>cannot be directly applied to ICL´s “legal propium”, under certain conditions</w:t>
      </w:r>
      <w:r>
        <w:rPr>
          <w:rFonts w:cstheme="minorHAnsi"/>
          <w:color w:val="000000"/>
        </w:rPr>
        <w:t xml:space="preserve"> they may indeed apply.</w:t>
      </w:r>
      <w:r w:rsidR="00D064BD">
        <w:rPr>
          <w:rFonts w:cstheme="minorHAnsi"/>
          <w:color w:val="000000"/>
        </w:rPr>
        <w:t xml:space="preserve"> T</w:t>
      </w:r>
      <w:r>
        <w:rPr>
          <w:rFonts w:cstheme="minorHAnsi"/>
          <w:color w:val="000000"/>
        </w:rPr>
        <w:t xml:space="preserve">his </w:t>
      </w:r>
      <w:r w:rsidRPr="008065D2">
        <w:rPr>
          <w:rFonts w:cstheme="minorHAnsi"/>
          <w:color w:val="000000"/>
        </w:rPr>
        <w:t>happens when IHRL provides a complementary interpretation</w:t>
      </w:r>
      <w:r>
        <w:rPr>
          <w:rFonts w:cstheme="minorHAnsi"/>
          <w:color w:val="000000"/>
        </w:rPr>
        <w:t xml:space="preserve"> that fills </w:t>
      </w:r>
      <w:r w:rsidR="00D064BD">
        <w:rPr>
          <w:rFonts w:cstheme="minorHAnsi"/>
          <w:color w:val="000000"/>
        </w:rPr>
        <w:t xml:space="preserve">in </w:t>
      </w:r>
      <w:r>
        <w:rPr>
          <w:rFonts w:cstheme="minorHAnsi"/>
          <w:color w:val="000000"/>
        </w:rPr>
        <w:t xml:space="preserve">a legal gap in ICL and </w:t>
      </w:r>
      <w:r w:rsidR="00D064BD">
        <w:rPr>
          <w:rFonts w:cstheme="minorHAnsi"/>
          <w:color w:val="000000"/>
        </w:rPr>
        <w:t xml:space="preserve">when it </w:t>
      </w:r>
      <w:r w:rsidRPr="008065D2">
        <w:rPr>
          <w:rFonts w:cstheme="minorHAnsi"/>
          <w:color w:val="000000"/>
        </w:rPr>
        <w:t xml:space="preserve">concerns a norm </w:t>
      </w:r>
      <w:r w:rsidR="00D064BD">
        <w:rPr>
          <w:rFonts w:cstheme="minorHAnsi"/>
          <w:color w:val="000000"/>
        </w:rPr>
        <w:t xml:space="preserve">with status of </w:t>
      </w:r>
      <w:r w:rsidRPr="008065D2">
        <w:rPr>
          <w:rFonts w:cstheme="minorHAnsi"/>
          <w:color w:val="000000"/>
        </w:rPr>
        <w:t>customary international law (CIL)</w:t>
      </w:r>
      <w:r>
        <w:rPr>
          <w:rFonts w:cstheme="minorHAnsi"/>
          <w:color w:val="000000"/>
        </w:rPr>
        <w:t>.</w:t>
      </w:r>
      <w:r w:rsidRPr="008065D2">
        <w:rPr>
          <w:rStyle w:val="Refdenotaalpie"/>
          <w:rFonts w:cstheme="minorHAnsi"/>
          <w:color w:val="000000"/>
        </w:rPr>
        <w:footnoteReference w:id="25"/>
      </w:r>
      <w:r>
        <w:rPr>
          <w:rFonts w:cstheme="minorHAnsi"/>
          <w:color w:val="000000"/>
        </w:rPr>
        <w:t xml:space="preserve"> In that case, CIL norms apply as a </w:t>
      </w:r>
      <w:r w:rsidRPr="008065D2">
        <w:rPr>
          <w:rFonts w:cstheme="minorHAnsi"/>
        </w:rPr>
        <w:t xml:space="preserve">general source of </w:t>
      </w:r>
      <w:r w:rsidR="00D064BD">
        <w:rPr>
          <w:rFonts w:cstheme="minorHAnsi"/>
        </w:rPr>
        <w:t>law</w:t>
      </w:r>
      <w:r>
        <w:rPr>
          <w:rFonts w:cstheme="minorHAnsi"/>
        </w:rPr>
        <w:t xml:space="preserve"> that do not threat ICL standards</w:t>
      </w:r>
      <w:r w:rsidR="00D064BD">
        <w:rPr>
          <w:rFonts w:cstheme="minorHAnsi"/>
        </w:rPr>
        <w:t xml:space="preserve">, thereby </w:t>
      </w:r>
      <w:r>
        <w:rPr>
          <w:rFonts w:cstheme="minorHAnsi"/>
        </w:rPr>
        <w:t xml:space="preserve">harmonizing </w:t>
      </w:r>
      <w:r w:rsidR="00D064BD">
        <w:rPr>
          <w:rFonts w:cstheme="minorHAnsi"/>
        </w:rPr>
        <w:t>ICL´s</w:t>
      </w:r>
      <w:r>
        <w:rPr>
          <w:rFonts w:cstheme="minorHAnsi"/>
        </w:rPr>
        <w:t xml:space="preserve"> principle of legality and the duty of consistency.</w:t>
      </w:r>
      <w:r w:rsidRPr="008065D2">
        <w:rPr>
          <w:rStyle w:val="Refdenotaalpie"/>
          <w:rFonts w:cstheme="minorHAnsi"/>
        </w:rPr>
        <w:footnoteReference w:id="26"/>
      </w:r>
      <w:r w:rsidRPr="008065D2">
        <w:rPr>
          <w:rFonts w:cstheme="minorHAnsi"/>
        </w:rPr>
        <w:t xml:space="preserve"> </w:t>
      </w:r>
      <w:r w:rsidRPr="008065D2">
        <w:rPr>
          <w:rFonts w:cstheme="minorHAnsi"/>
          <w:color w:val="000000"/>
        </w:rPr>
        <w:t xml:space="preserve">ICL practice seems to support this approach. In </w:t>
      </w:r>
      <w:r w:rsidRPr="00DB6A2E">
        <w:rPr>
          <w:rFonts w:cstheme="minorHAnsi"/>
          <w:i/>
          <w:iCs/>
          <w:color w:val="000000"/>
        </w:rPr>
        <w:t>Ntagand</w:t>
      </w:r>
      <w:r w:rsidRPr="008065D2">
        <w:rPr>
          <w:rFonts w:cstheme="minorHAnsi"/>
          <w:color w:val="000000"/>
        </w:rPr>
        <w:t>a, the ICC Appeals Chamber based its jurisdiction over SGBV on th</w:t>
      </w:r>
      <w:r>
        <w:rPr>
          <w:rFonts w:cstheme="minorHAnsi"/>
          <w:color w:val="000000"/>
        </w:rPr>
        <w:t>e</w:t>
      </w:r>
      <w:r w:rsidRPr="008065D2">
        <w:rPr>
          <w:rFonts w:cstheme="minorHAnsi"/>
          <w:color w:val="000000"/>
        </w:rPr>
        <w:t xml:space="preserve"> key finding</w:t>
      </w:r>
      <w:r w:rsidR="00B93CD3">
        <w:rPr>
          <w:rFonts w:cstheme="minorHAnsi"/>
          <w:color w:val="000000"/>
        </w:rPr>
        <w:t xml:space="preserve"> that if</w:t>
      </w:r>
      <w:r w:rsidRPr="008065D2">
        <w:t xml:space="preserve"> aspects of international crimes evolve into CIL</w:t>
      </w:r>
      <w:r>
        <w:t>:</w:t>
      </w:r>
    </w:p>
    <w:p w14:paraId="65B0A339" w14:textId="4472C116" w:rsidR="00580209" w:rsidRPr="00DB6A2E" w:rsidRDefault="00580209" w:rsidP="00CD1C27">
      <w:pPr>
        <w:spacing w:line="276" w:lineRule="auto"/>
        <w:ind w:left="720"/>
        <w:jc w:val="both"/>
        <w:rPr>
          <w:rFonts w:cstheme="minorHAnsi"/>
          <w:color w:val="000000"/>
          <w:sz w:val="20"/>
          <w:szCs w:val="20"/>
        </w:rPr>
      </w:pPr>
      <w:r w:rsidRPr="00DB6A2E">
        <w:rPr>
          <w:sz w:val="20"/>
          <w:szCs w:val="20"/>
        </w:rPr>
        <w:t>“</w:t>
      </w:r>
      <w:r w:rsidRPr="00DB6A2E">
        <w:rPr>
          <w:rFonts w:cstheme="minorHAnsi"/>
          <w:color w:val="000000"/>
          <w:sz w:val="20"/>
          <w:szCs w:val="20"/>
        </w:rPr>
        <w:t xml:space="preserve">the Court cannot be precluded from applying it to ensure </w:t>
      </w:r>
      <w:r w:rsidRPr="00D064BD">
        <w:rPr>
          <w:rFonts w:cstheme="minorHAnsi"/>
          <w:i/>
          <w:iCs/>
          <w:color w:val="000000"/>
          <w:sz w:val="20"/>
          <w:szCs w:val="20"/>
        </w:rPr>
        <w:t xml:space="preserve">consistency </w:t>
      </w:r>
      <w:r w:rsidRPr="00DB6A2E">
        <w:rPr>
          <w:rFonts w:cstheme="minorHAnsi"/>
          <w:color w:val="000000"/>
          <w:sz w:val="20"/>
          <w:szCs w:val="20"/>
        </w:rPr>
        <w:t>of the provision with international humanitarian law, irrespective of whether this requires ascribing to a term in the provision a particular interpretation or reading an additional element into it. This does not violate the principle of legality recognised in article 22 of the Statute”</w:t>
      </w:r>
      <w:r w:rsidRPr="00DB6A2E">
        <w:rPr>
          <w:sz w:val="20"/>
          <w:szCs w:val="20"/>
        </w:rPr>
        <w:t>.</w:t>
      </w:r>
      <w:r w:rsidRPr="00DB6A2E">
        <w:rPr>
          <w:rStyle w:val="Refdenotaalpie"/>
          <w:sz w:val="20"/>
          <w:szCs w:val="20"/>
        </w:rPr>
        <w:footnoteReference w:id="27"/>
      </w:r>
    </w:p>
    <w:p w14:paraId="6E0FBD38" w14:textId="439149CE" w:rsidR="00580209" w:rsidRPr="008065D2" w:rsidRDefault="00B93CD3" w:rsidP="00CD1C27">
      <w:pPr>
        <w:spacing w:line="276" w:lineRule="auto"/>
        <w:jc w:val="both"/>
      </w:pPr>
      <w:r>
        <w:rPr>
          <w:rFonts w:cstheme="minorHAnsi"/>
        </w:rPr>
        <w:t>The Appeals Chamber</w:t>
      </w:r>
      <w:r w:rsidR="00D064BD">
        <w:rPr>
          <w:rFonts w:cstheme="minorHAnsi"/>
        </w:rPr>
        <w:t>´s</w:t>
      </w:r>
      <w:r>
        <w:rPr>
          <w:rFonts w:cstheme="minorHAnsi"/>
        </w:rPr>
        <w:t xml:space="preserve"> recognition that norms of CIL do not breach the principle of legality is critical to consider an intersectional approach to SGBV in ICL. </w:t>
      </w:r>
      <w:r w:rsidR="00D064BD">
        <w:rPr>
          <w:rFonts w:cstheme="minorHAnsi"/>
        </w:rPr>
        <w:t>In this sense, r</w:t>
      </w:r>
      <w:r>
        <w:rPr>
          <w:rFonts w:cstheme="minorHAnsi"/>
        </w:rPr>
        <w:t xml:space="preserve">ecent legal practice recognizes that the prohibition of SGBV </w:t>
      </w:r>
      <w:r w:rsidR="00580209" w:rsidRPr="008065D2">
        <w:t>as a crime of gender discrimination</w:t>
      </w:r>
      <w:r w:rsidR="00580209">
        <w:t xml:space="preserve"> </w:t>
      </w:r>
      <w:r>
        <w:t>has reached the status of CIL</w:t>
      </w:r>
      <w:r w:rsidR="00931128">
        <w:t xml:space="preserve">, including </w:t>
      </w:r>
      <w:r>
        <w:t xml:space="preserve">the </w:t>
      </w:r>
      <w:r w:rsidR="00580209" w:rsidRPr="008065D2">
        <w:t>CEDAW (GR º 35, 2017)</w:t>
      </w:r>
      <w:r w:rsidR="00931128">
        <w:t xml:space="preserve">, </w:t>
      </w:r>
      <w:r>
        <w:t xml:space="preserve"> </w:t>
      </w:r>
      <w:r w:rsidR="00580209" w:rsidRPr="008065D2">
        <w:t>backed by the ECtHR (</w:t>
      </w:r>
      <w:r w:rsidR="00580209" w:rsidRPr="00931128">
        <w:rPr>
          <w:i/>
          <w:iCs/>
        </w:rPr>
        <w:t>Volodina v Russia</w:t>
      </w:r>
      <w:r w:rsidR="00580209" w:rsidRPr="008065D2">
        <w:t>, 2019).</w:t>
      </w:r>
      <w:r w:rsidR="00580209" w:rsidRPr="008065D2">
        <w:rPr>
          <w:rStyle w:val="Refdenotaalpie"/>
        </w:rPr>
        <w:footnoteReference w:id="28"/>
      </w:r>
      <w:r w:rsidR="00580209" w:rsidRPr="008065D2">
        <w:t xml:space="preserve"> </w:t>
      </w:r>
      <w:r w:rsidR="00931128">
        <w:t>Critically</w:t>
      </w:r>
      <w:r w:rsidR="00580209">
        <w:t xml:space="preserve">, </w:t>
      </w:r>
      <w:r>
        <w:t xml:space="preserve">the </w:t>
      </w:r>
      <w:r w:rsidR="00580209">
        <w:t xml:space="preserve">recognition </w:t>
      </w:r>
      <w:r>
        <w:t>that</w:t>
      </w:r>
      <w:r w:rsidR="00580209">
        <w:t xml:space="preserve"> SGBV</w:t>
      </w:r>
      <w:r>
        <w:rPr>
          <w:i/>
          <w:iCs/>
        </w:rPr>
        <w:t xml:space="preserve"> </w:t>
      </w:r>
      <w:r>
        <w:t xml:space="preserve">is </w:t>
      </w:r>
      <w:r w:rsidR="00580209">
        <w:t xml:space="preserve">a crime of gender discrimination </w:t>
      </w:r>
      <w:r>
        <w:t xml:space="preserve">prohibited by </w:t>
      </w:r>
      <w:r w:rsidR="00580209">
        <w:lastRenderedPageBreak/>
        <w:t xml:space="preserve">CIL opens the door to interpret SGBV crimes </w:t>
      </w:r>
      <w:r w:rsidR="00931128">
        <w:t>in consistency with</w:t>
      </w:r>
      <w:r>
        <w:t xml:space="preserve"> </w:t>
      </w:r>
      <w:r w:rsidR="00580209">
        <w:t xml:space="preserve">IHRL interpretations of gender discrimination – including </w:t>
      </w:r>
      <w:r w:rsidR="003D5A2C">
        <w:t xml:space="preserve">the </w:t>
      </w:r>
      <w:r w:rsidR="00580209" w:rsidRPr="003D5A2C">
        <w:rPr>
          <w:i/>
          <w:iCs/>
        </w:rPr>
        <w:t>intersection</w:t>
      </w:r>
      <w:r w:rsidR="003D5A2C">
        <w:rPr>
          <w:i/>
          <w:iCs/>
        </w:rPr>
        <w:t xml:space="preserve"> </w:t>
      </w:r>
      <w:r w:rsidR="003D5A2C">
        <w:t xml:space="preserve">of gender with other grounds of discrimination. </w:t>
      </w:r>
    </w:p>
    <w:p w14:paraId="419415A7" w14:textId="77777777" w:rsidR="00580209" w:rsidRPr="00F925EB" w:rsidRDefault="00580209" w:rsidP="00CD1C27">
      <w:pPr>
        <w:spacing w:line="276" w:lineRule="auto"/>
        <w:jc w:val="both"/>
        <w:rPr>
          <w:rFonts w:cstheme="minorHAnsi"/>
          <w:i/>
          <w:iCs/>
          <w:color w:val="FF0000"/>
        </w:rPr>
      </w:pPr>
    </w:p>
    <w:p w14:paraId="3D8BA981" w14:textId="77777777" w:rsidR="00580209" w:rsidRPr="00787BCF" w:rsidRDefault="00580209" w:rsidP="00CD1C27">
      <w:pPr>
        <w:spacing w:line="276" w:lineRule="auto"/>
        <w:jc w:val="both"/>
        <w:rPr>
          <w:b/>
          <w:bCs/>
          <w:color w:val="FF0000"/>
        </w:rPr>
      </w:pPr>
      <w:r w:rsidRPr="001A01BA">
        <w:rPr>
          <w:b/>
          <w:bCs/>
          <w:color w:val="FF0000"/>
        </w:rPr>
        <w:t>1.3</w:t>
      </w:r>
      <w:r>
        <w:rPr>
          <w:b/>
          <w:bCs/>
          <w:color w:val="FF0000"/>
        </w:rPr>
        <w:t xml:space="preserve"> Conceptualizing </w:t>
      </w:r>
      <w:r w:rsidRPr="00787BCF">
        <w:rPr>
          <w:b/>
          <w:bCs/>
          <w:color w:val="FF0000"/>
        </w:rPr>
        <w:t>Intersectionaity in ICL</w:t>
      </w:r>
    </w:p>
    <w:p w14:paraId="47C287E2" w14:textId="19F9BBFC" w:rsidR="00580209" w:rsidRPr="00FA6208" w:rsidRDefault="00580209" w:rsidP="00CD1C27">
      <w:pPr>
        <w:spacing w:line="276" w:lineRule="auto"/>
        <w:jc w:val="both"/>
        <w:rPr>
          <w:color w:val="FF0000"/>
        </w:rPr>
      </w:pPr>
      <w:r>
        <w:rPr>
          <w:color w:val="FF0000"/>
        </w:rPr>
        <w:t xml:space="preserve">An intersectional approach based on identity and discrimination should be </w:t>
      </w:r>
      <w:r w:rsidRPr="00EF2D4D">
        <w:rPr>
          <w:color w:val="FF0000"/>
        </w:rPr>
        <w:t xml:space="preserve">integrated </w:t>
      </w:r>
      <w:r>
        <w:rPr>
          <w:color w:val="FF0000"/>
        </w:rPr>
        <w:t>in</w:t>
      </w:r>
      <w:r w:rsidR="00C70AD6">
        <w:rPr>
          <w:color w:val="FF0000"/>
        </w:rPr>
        <w:t>to</w:t>
      </w:r>
      <w:r w:rsidRPr="00EF2D4D">
        <w:rPr>
          <w:color w:val="FF0000"/>
        </w:rPr>
        <w:t xml:space="preserve"> ICL to unpack the nature of SGBV</w:t>
      </w:r>
      <w:r>
        <w:rPr>
          <w:color w:val="FF0000"/>
        </w:rPr>
        <w:t xml:space="preserve"> </w:t>
      </w:r>
      <w:r w:rsidR="00C70AD6">
        <w:rPr>
          <w:color w:val="FF0000"/>
        </w:rPr>
        <w:t>(</w:t>
      </w:r>
      <w:r>
        <w:rPr>
          <w:color w:val="FF0000"/>
        </w:rPr>
        <w:t>its causes, harms, and gravity</w:t>
      </w:r>
      <w:r w:rsidR="00C70AD6">
        <w:rPr>
          <w:color w:val="FF0000"/>
        </w:rPr>
        <w:t>)</w:t>
      </w:r>
      <w:r>
        <w:rPr>
          <w:color w:val="FF0000"/>
        </w:rPr>
        <w:t xml:space="preserve"> b</w:t>
      </w:r>
      <w:r w:rsidR="001A01BA">
        <w:rPr>
          <w:color w:val="FF0000"/>
        </w:rPr>
        <w:t xml:space="preserve">ecause </w:t>
      </w:r>
      <w:r>
        <w:rPr>
          <w:color w:val="FF0000"/>
        </w:rPr>
        <w:t xml:space="preserve">the </w:t>
      </w:r>
      <w:r w:rsidRPr="00EF2D4D">
        <w:rPr>
          <w:color w:val="FF0000"/>
        </w:rPr>
        <w:t xml:space="preserve">concepts of </w:t>
      </w:r>
      <w:bookmarkStart w:id="1" w:name="_Hlk53566286"/>
      <w:r w:rsidRPr="00EF2D4D">
        <w:rPr>
          <w:color w:val="FF0000"/>
        </w:rPr>
        <w:t>identity, discrimination and crimes are inter</w:t>
      </w:r>
      <w:r>
        <w:rPr>
          <w:color w:val="FF0000"/>
        </w:rPr>
        <w:t>connected</w:t>
      </w:r>
      <w:r>
        <w:t xml:space="preserve">.  </w:t>
      </w:r>
      <w:r w:rsidR="001A01BA">
        <w:t>A</w:t>
      </w:r>
      <w:r>
        <w:t xml:space="preserve">s feminism and IHRL stress </w:t>
      </w:r>
      <w:r w:rsidRPr="00210B2B">
        <w:t>(</w:t>
      </w:r>
      <w:r w:rsidR="00C70AD6">
        <w:t xml:space="preserve">sections </w:t>
      </w:r>
      <w:r w:rsidR="001A01BA" w:rsidRPr="00210B2B">
        <w:t>1.1 and 1.2</w:t>
      </w:r>
      <w:r w:rsidRPr="00210B2B">
        <w:t xml:space="preserve">), </w:t>
      </w:r>
      <w:r w:rsidR="001A01BA" w:rsidRPr="00210B2B">
        <w:t xml:space="preserve">individuals </w:t>
      </w:r>
      <w:r>
        <w:t>are discriminated against based on identity</w:t>
      </w:r>
      <w:r w:rsidR="001A01BA">
        <w:t xml:space="preserve"> </w:t>
      </w:r>
      <w:r>
        <w:t>result</w:t>
      </w:r>
      <w:r w:rsidR="00C70AD6">
        <w:t>ing</w:t>
      </w:r>
      <w:r>
        <w:t xml:space="preserve"> in IHRL violations in </w:t>
      </w:r>
      <w:r w:rsidR="00C70AD6">
        <w:t>`</w:t>
      </w:r>
      <w:r>
        <w:t>peace</w:t>
      </w:r>
      <w:r w:rsidR="00C70AD6">
        <w:t xml:space="preserve">time’ </w:t>
      </w:r>
      <w:r>
        <w:t xml:space="preserve">and international crimes in </w:t>
      </w:r>
      <w:r w:rsidR="00C70AD6">
        <w:t>‘</w:t>
      </w:r>
      <w:r>
        <w:t>wartime</w:t>
      </w:r>
      <w:r w:rsidR="00C70AD6">
        <w:t>’</w:t>
      </w:r>
      <w:r w:rsidRPr="00971DF3">
        <w:t xml:space="preserve">. </w:t>
      </w:r>
      <w:bookmarkEnd w:id="1"/>
      <w:r>
        <w:t xml:space="preserve">Indeed, discrimination </w:t>
      </w:r>
      <w:r w:rsidR="00C70AD6">
        <w:t xml:space="preserve">based </w:t>
      </w:r>
      <w:r>
        <w:t xml:space="preserve">on identity </w:t>
      </w:r>
      <w:r w:rsidR="00C70AD6">
        <w:t xml:space="preserve">in </w:t>
      </w:r>
      <w:r>
        <w:t>peace</w:t>
      </w:r>
      <w:r w:rsidR="00C70AD6">
        <w:t xml:space="preserve"> situations</w:t>
      </w:r>
      <w:r>
        <w:t xml:space="preserve"> is exacerbated like a </w:t>
      </w:r>
      <w:r w:rsidRPr="00EF2D4D">
        <w:rPr>
          <w:i/>
          <w:iCs/>
        </w:rPr>
        <w:t>continuum</w:t>
      </w:r>
      <w:r>
        <w:t xml:space="preserve"> of violence in times of conflict.</w:t>
      </w:r>
      <w:r>
        <w:rPr>
          <w:rStyle w:val="Refdenotaalpie"/>
          <w:rFonts w:cstheme="minorHAnsi"/>
          <w:color w:val="000000"/>
        </w:rPr>
        <w:footnoteReference w:id="29"/>
      </w:r>
      <w:r>
        <w:rPr>
          <w:rFonts w:cstheme="minorHAnsi"/>
          <w:color w:val="000000"/>
        </w:rPr>
        <w:t xml:space="preserve"> </w:t>
      </w:r>
      <w:r w:rsidRPr="007724D9">
        <w:rPr>
          <w:color w:val="FF0000"/>
        </w:rPr>
        <w:t xml:space="preserve">International crimes, including SGBV, are the result of an </w:t>
      </w:r>
      <w:r w:rsidRPr="00940FE2">
        <w:rPr>
          <w:color w:val="FF0000"/>
        </w:rPr>
        <w:t>accumulation of discrimination</w:t>
      </w:r>
      <w:r w:rsidR="00834DF3">
        <w:rPr>
          <w:color w:val="FF0000"/>
        </w:rPr>
        <w:t xml:space="preserve"> based on identity</w:t>
      </w:r>
      <w:r w:rsidRPr="007724D9">
        <w:rPr>
          <w:color w:val="FF0000"/>
        </w:rPr>
        <w:t xml:space="preserve"> whose exacerbation in armed conflict reaches the threshold of grave violations of `criminal’ nature</w:t>
      </w:r>
      <w:r w:rsidR="002C7225">
        <w:rPr>
          <w:color w:val="FF0000"/>
        </w:rPr>
        <w:t>.</w:t>
      </w:r>
      <w:r w:rsidR="002C7225">
        <w:rPr>
          <w:rStyle w:val="Refdenotaalpie"/>
          <w:color w:val="FF0000"/>
        </w:rPr>
        <w:footnoteReference w:id="30"/>
      </w:r>
      <w:r>
        <w:t xml:space="preserve">The </w:t>
      </w:r>
      <w:r w:rsidRPr="00AC2673">
        <w:rPr>
          <w:i/>
          <w:iCs/>
        </w:rPr>
        <w:t>Policy Paper on Sexual and Gender-Based Crimes</w:t>
      </w:r>
      <w:r>
        <w:t xml:space="preserve"> (SGBC Policy) </w:t>
      </w:r>
      <w:r w:rsidR="00834DF3">
        <w:t>of the ICC´s Office of the Prosecutor holds a similar understanding of the nature of SGBV</w:t>
      </w:r>
      <w:r w:rsidR="00C70AD6">
        <w:t xml:space="preserve"> in</w:t>
      </w:r>
      <w:r w:rsidR="00834DF3">
        <w:t xml:space="preserve"> considering </w:t>
      </w:r>
      <w:r>
        <w:t>that the concepts of identity, discrimination</w:t>
      </w:r>
      <w:r w:rsidR="00C70AD6">
        <w:t>,</w:t>
      </w:r>
      <w:r>
        <w:t xml:space="preserve"> and </w:t>
      </w:r>
      <w:r w:rsidR="00834DF3">
        <w:t xml:space="preserve">sexual and gender-based crimes </w:t>
      </w:r>
      <w:r>
        <w:t xml:space="preserve">are </w:t>
      </w:r>
      <w:r w:rsidRPr="00834DF3">
        <w:rPr>
          <w:color w:val="000000" w:themeColor="text1"/>
        </w:rPr>
        <w:t>inter</w:t>
      </w:r>
      <w:r w:rsidR="00834DF3">
        <w:rPr>
          <w:color w:val="000000" w:themeColor="text1"/>
        </w:rPr>
        <w:t>twined</w:t>
      </w:r>
      <w:r w:rsidR="00834DF3">
        <w:t xml:space="preserve">. </w:t>
      </w:r>
      <w:r>
        <w:t xml:space="preserve">More specifically, the </w:t>
      </w:r>
      <w:r w:rsidRPr="00C16766">
        <w:rPr>
          <w:i/>
          <w:iCs/>
        </w:rPr>
        <w:t xml:space="preserve">SGBC Policy </w:t>
      </w:r>
      <w:r>
        <w:t>recognizes</w:t>
      </w:r>
      <w:r w:rsidR="00834DF3">
        <w:t xml:space="preserve"> that, </w:t>
      </w:r>
      <w:r>
        <w:t>pursuant to IHRL, the “intersection” of identities or status</w:t>
      </w:r>
      <w:r w:rsidR="005E3FBC">
        <w:t xml:space="preserve"> which </w:t>
      </w:r>
      <w:r>
        <w:t xml:space="preserve">“may give rise to multiple forms of discrimination and social inequality” </w:t>
      </w:r>
      <w:r w:rsidR="00834DF3">
        <w:t xml:space="preserve"> a</w:t>
      </w:r>
      <w:r w:rsidR="005E3FBC">
        <w:t>re</w:t>
      </w:r>
      <w:r w:rsidR="00834DF3">
        <w:t xml:space="preserve"> factors </w:t>
      </w:r>
      <w:r w:rsidR="005E3FBC">
        <w:t>requir</w:t>
      </w:r>
      <w:r w:rsidR="00C70AD6">
        <w:t>ing</w:t>
      </w:r>
      <w:r w:rsidR="005E3FBC">
        <w:t xml:space="preserve"> consideration in the </w:t>
      </w:r>
      <w:r>
        <w:t>gender analysis of SGBV</w:t>
      </w:r>
      <w:r w:rsidR="00C70AD6">
        <w:t xml:space="preserve"> crimes.</w:t>
      </w:r>
      <w:r>
        <w:rPr>
          <w:rStyle w:val="Refdenotaalpie"/>
        </w:rPr>
        <w:footnoteReference w:id="31"/>
      </w:r>
    </w:p>
    <w:p w14:paraId="1DC86E00" w14:textId="4AD38E14" w:rsidR="00580209" w:rsidRDefault="00580209" w:rsidP="00CD1C27">
      <w:pPr>
        <w:spacing w:line="276" w:lineRule="auto"/>
        <w:jc w:val="both"/>
        <w:rPr>
          <w:rFonts w:cstheme="minorHAnsi"/>
          <w:color w:val="FF0000"/>
        </w:rPr>
      </w:pPr>
      <w:r w:rsidRPr="00824C6D">
        <w:rPr>
          <w:rFonts w:cstheme="minorHAnsi"/>
          <w:color w:val="FF0000"/>
        </w:rPr>
        <w:t>ICL precedents</w:t>
      </w:r>
      <w:r w:rsidRPr="00DB72C5">
        <w:rPr>
          <w:rFonts w:cstheme="minorHAnsi"/>
          <w:color w:val="FF0000"/>
        </w:rPr>
        <w:t xml:space="preserve"> </w:t>
      </w:r>
      <w:r w:rsidR="00824C6D">
        <w:rPr>
          <w:rFonts w:cstheme="minorHAnsi"/>
          <w:color w:val="FF0000"/>
        </w:rPr>
        <w:t xml:space="preserve">recognize that </w:t>
      </w:r>
      <w:r>
        <w:rPr>
          <w:rFonts w:cstheme="minorHAnsi"/>
          <w:color w:val="FF0000"/>
        </w:rPr>
        <w:t>SGBV</w:t>
      </w:r>
      <w:r w:rsidR="00824C6D">
        <w:rPr>
          <w:rFonts w:cstheme="minorHAnsi"/>
          <w:color w:val="FF0000"/>
        </w:rPr>
        <w:t xml:space="preserve"> is often </w:t>
      </w:r>
      <w:r>
        <w:rPr>
          <w:rFonts w:cstheme="minorHAnsi"/>
          <w:color w:val="FF0000"/>
        </w:rPr>
        <w:t xml:space="preserve">interlinked with other international crimes as part of a broader attack </w:t>
      </w:r>
      <w:r w:rsidR="005C7F2B">
        <w:rPr>
          <w:rFonts w:cstheme="minorHAnsi"/>
          <w:color w:val="FF0000"/>
        </w:rPr>
        <w:t xml:space="preserve">based on </w:t>
      </w:r>
      <w:r>
        <w:rPr>
          <w:rFonts w:cstheme="minorHAnsi"/>
          <w:color w:val="FF0000"/>
        </w:rPr>
        <w:t>group identity</w:t>
      </w:r>
      <w:r w:rsidR="00824C6D">
        <w:rPr>
          <w:rFonts w:cstheme="minorHAnsi"/>
          <w:color w:val="FF0000"/>
        </w:rPr>
        <w:t>. In those situations, international courts have explained the nexus between SGBV and other crimes by unpacking</w:t>
      </w:r>
      <w:r w:rsidR="00C70AD6">
        <w:rPr>
          <w:rFonts w:cstheme="minorHAnsi"/>
          <w:color w:val="FF0000"/>
        </w:rPr>
        <w:t xml:space="preserve"> intersectional discrimination, that is,</w:t>
      </w:r>
      <w:r w:rsidR="00824C6D">
        <w:rPr>
          <w:rFonts w:cstheme="minorHAnsi"/>
          <w:color w:val="FF0000"/>
        </w:rPr>
        <w:t xml:space="preserve"> the way gender identity and discrimination is ‘inextricably linked’ with the identity of the target group. </w:t>
      </w:r>
      <w:r>
        <w:rPr>
          <w:rFonts w:cstheme="minorHAnsi"/>
        </w:rPr>
        <w:t xml:space="preserve">Dealing with genocide, </w:t>
      </w:r>
      <w:r w:rsidR="00C70AD6">
        <w:rPr>
          <w:rFonts w:cstheme="minorHAnsi"/>
        </w:rPr>
        <w:t xml:space="preserve">the ICTR in </w:t>
      </w:r>
      <w:r w:rsidRPr="002416EA">
        <w:rPr>
          <w:rFonts w:cstheme="minorHAnsi"/>
          <w:i/>
          <w:iCs/>
        </w:rPr>
        <w:t>Akayesu</w:t>
      </w:r>
      <w:r>
        <w:rPr>
          <w:rFonts w:cstheme="minorHAnsi"/>
        </w:rPr>
        <w:t xml:space="preserve"> demonstrated that mass rape was “</w:t>
      </w:r>
      <w:r>
        <w:t xml:space="preserve">an </w:t>
      </w:r>
      <w:r w:rsidRPr="00B031A9">
        <w:rPr>
          <w:i/>
          <w:iCs/>
        </w:rPr>
        <w:t>integral part of</w:t>
      </w:r>
      <w:r>
        <w:t xml:space="preserve"> the process of destruction”</w:t>
      </w:r>
      <w:r>
        <w:rPr>
          <w:rFonts w:cstheme="minorHAnsi"/>
        </w:rPr>
        <w:t xml:space="preserve"> not only targeting Tutsi women but seeking “</w:t>
      </w:r>
      <w:r>
        <w:t>the destruction of the Tutsi group as a whole”</w:t>
      </w:r>
      <w:r>
        <w:rPr>
          <w:rFonts w:cstheme="minorHAnsi"/>
        </w:rPr>
        <w:t>.</w:t>
      </w:r>
      <w:r>
        <w:rPr>
          <w:rStyle w:val="Refdenotaalpie"/>
          <w:rFonts w:cstheme="minorHAnsi"/>
        </w:rPr>
        <w:footnoteReference w:id="32"/>
      </w:r>
      <w:r>
        <w:rPr>
          <w:rFonts w:cstheme="minorHAnsi"/>
        </w:rPr>
        <w:t xml:space="preserve"> As for crimes against humanity,</w:t>
      </w:r>
      <w:r w:rsidR="00C70AD6">
        <w:rPr>
          <w:rFonts w:cstheme="minorHAnsi"/>
        </w:rPr>
        <w:t xml:space="preserve"> the ICTY in</w:t>
      </w:r>
      <w:r>
        <w:rPr>
          <w:rFonts w:cstheme="minorHAnsi"/>
        </w:rPr>
        <w:t xml:space="preserve"> </w:t>
      </w:r>
      <w:r>
        <w:rPr>
          <w:rFonts w:cstheme="minorHAnsi"/>
          <w:i/>
          <w:iCs/>
        </w:rPr>
        <w:t xml:space="preserve">Kunarac </w:t>
      </w:r>
      <w:r>
        <w:rPr>
          <w:rFonts w:cstheme="minorHAnsi"/>
        </w:rPr>
        <w:t xml:space="preserve">established that women and girls were sexually mistreated “because they were Muslims” and, in so doing, perpetrators “fully embraced the ethnicity-based aggression of the Serbs against the Muslim civilians, and all their criminal actions were </w:t>
      </w:r>
      <w:r w:rsidRPr="00B031A9">
        <w:rPr>
          <w:rFonts w:cstheme="minorHAnsi"/>
          <w:i/>
          <w:iCs/>
        </w:rPr>
        <w:t>clearly part of</w:t>
      </w:r>
      <w:r>
        <w:rPr>
          <w:rFonts w:cstheme="minorHAnsi"/>
        </w:rPr>
        <w:t xml:space="preserve"> and had the effect of perpetuating the attack against the Muslim civilian population”.</w:t>
      </w:r>
      <w:r>
        <w:rPr>
          <w:rStyle w:val="Refdenotaalpie"/>
          <w:rFonts w:cstheme="minorHAnsi"/>
        </w:rPr>
        <w:footnoteReference w:id="33"/>
      </w:r>
      <w:r>
        <w:rPr>
          <w:rFonts w:cstheme="minorHAnsi"/>
        </w:rPr>
        <w:t xml:space="preserve"> </w:t>
      </w:r>
      <w:r w:rsidR="00C70AD6">
        <w:rPr>
          <w:rFonts w:cstheme="minorHAnsi"/>
        </w:rPr>
        <w:t xml:space="preserve">As explained in the next </w:t>
      </w:r>
      <w:r w:rsidR="00C70AD6">
        <w:rPr>
          <w:rFonts w:cstheme="minorHAnsi"/>
        </w:rPr>
        <w:lastRenderedPageBreak/>
        <w:t>section, r</w:t>
      </w:r>
      <w:r>
        <w:rPr>
          <w:rFonts w:cstheme="minorHAnsi"/>
        </w:rPr>
        <w:t xml:space="preserve">egarding war crimes, </w:t>
      </w:r>
      <w:r w:rsidR="00C70AD6">
        <w:rPr>
          <w:rFonts w:cstheme="minorHAnsi"/>
        </w:rPr>
        <w:t xml:space="preserve">the SCSL in </w:t>
      </w:r>
      <w:r w:rsidRPr="00833632">
        <w:rPr>
          <w:rFonts w:cstheme="minorHAnsi"/>
          <w:i/>
          <w:iCs/>
        </w:rPr>
        <w:t>RUF</w:t>
      </w:r>
      <w:r>
        <w:rPr>
          <w:rFonts w:cstheme="minorHAnsi"/>
          <w:i/>
          <w:iCs/>
        </w:rPr>
        <w:t xml:space="preserve"> </w:t>
      </w:r>
      <w:r>
        <w:rPr>
          <w:rFonts w:cstheme="minorHAnsi"/>
        </w:rPr>
        <w:t xml:space="preserve">found that SGBV was </w:t>
      </w:r>
      <w:r w:rsidRPr="00B031A9">
        <w:t xml:space="preserve">“committed </w:t>
      </w:r>
      <w:r w:rsidRPr="00C70AD6">
        <w:t>with the</w:t>
      </w:r>
      <w:r w:rsidRPr="00B031A9">
        <w:rPr>
          <w:i/>
          <w:iCs/>
        </w:rPr>
        <w:t xml:space="preserve"> specific intent of </w:t>
      </w:r>
      <w:r w:rsidRPr="00B031A9">
        <w:t>spreading fear amongst the civilian population as a whole, to break the will of the population ensur</w:t>
      </w:r>
      <w:r>
        <w:t>ing</w:t>
      </w:r>
      <w:r w:rsidRPr="00B031A9">
        <w:t xml:space="preserve"> their submission to AFRC/RUF control”</w:t>
      </w:r>
      <w:r w:rsidRPr="00B031A9">
        <w:rPr>
          <w:rFonts w:cstheme="minorHAnsi"/>
        </w:rPr>
        <w:t>.</w:t>
      </w:r>
      <w:r w:rsidRPr="00B031A9">
        <w:rPr>
          <w:rStyle w:val="Refdenotaalpie"/>
          <w:rFonts w:cstheme="minorHAnsi"/>
        </w:rPr>
        <w:footnoteReference w:id="34"/>
      </w:r>
      <w:r w:rsidR="00824C6D">
        <w:rPr>
          <w:rFonts w:cstheme="minorHAnsi"/>
          <w:color w:val="FF0000"/>
        </w:rPr>
        <w:t>As these cases demonstrate</w:t>
      </w:r>
      <w:r w:rsidRPr="005C0772">
        <w:rPr>
          <w:rFonts w:cstheme="minorHAnsi"/>
          <w:color w:val="FF0000"/>
        </w:rPr>
        <w:t>,</w:t>
      </w:r>
      <w:r w:rsidR="005C7F2B">
        <w:rPr>
          <w:rFonts w:cstheme="minorHAnsi"/>
          <w:color w:val="FF0000"/>
        </w:rPr>
        <w:t xml:space="preserve"> understanding how gender identity and discrimination intersect</w:t>
      </w:r>
      <w:r w:rsidR="000F7880">
        <w:rPr>
          <w:rFonts w:cstheme="minorHAnsi"/>
          <w:color w:val="FF0000"/>
        </w:rPr>
        <w:t xml:space="preserve"> </w:t>
      </w:r>
      <w:r w:rsidR="005C7F2B">
        <w:rPr>
          <w:rFonts w:cstheme="minorHAnsi"/>
          <w:color w:val="FF0000"/>
        </w:rPr>
        <w:t xml:space="preserve">with the broader attack </w:t>
      </w:r>
      <w:r w:rsidR="007544BF">
        <w:rPr>
          <w:rFonts w:cstheme="minorHAnsi"/>
          <w:color w:val="FF0000"/>
        </w:rPr>
        <w:t xml:space="preserve">against a group </w:t>
      </w:r>
      <w:r w:rsidR="005C7F2B">
        <w:rPr>
          <w:rFonts w:cstheme="minorHAnsi"/>
          <w:color w:val="FF0000"/>
        </w:rPr>
        <w:t xml:space="preserve">sheds light on </w:t>
      </w:r>
      <w:r w:rsidR="00824C6D">
        <w:rPr>
          <w:rFonts w:cstheme="minorHAnsi"/>
          <w:color w:val="FF0000"/>
        </w:rPr>
        <w:t>the real scope and gravity of SGBV</w:t>
      </w:r>
      <w:r w:rsidR="007544BF">
        <w:rPr>
          <w:rFonts w:cstheme="minorHAnsi"/>
          <w:color w:val="FF0000"/>
        </w:rPr>
        <w:t>. I</w:t>
      </w:r>
      <w:r w:rsidR="00C70AD6">
        <w:rPr>
          <w:rFonts w:cstheme="minorHAnsi"/>
          <w:color w:val="FF0000"/>
        </w:rPr>
        <w:t xml:space="preserve">ntersectional discrimination </w:t>
      </w:r>
      <w:r w:rsidR="007544BF">
        <w:rPr>
          <w:rFonts w:cstheme="minorHAnsi"/>
          <w:color w:val="FF0000"/>
        </w:rPr>
        <w:t xml:space="preserve">reveals </w:t>
      </w:r>
      <w:r w:rsidR="00C70AD6">
        <w:rPr>
          <w:rFonts w:cstheme="minorHAnsi"/>
          <w:color w:val="FF0000"/>
        </w:rPr>
        <w:t xml:space="preserve">that, often, </w:t>
      </w:r>
      <w:r w:rsidR="007544BF">
        <w:rPr>
          <w:rFonts w:cstheme="minorHAnsi"/>
          <w:color w:val="FF0000"/>
        </w:rPr>
        <w:t>SGBV</w:t>
      </w:r>
      <w:r w:rsidR="00C70AD6">
        <w:rPr>
          <w:rFonts w:cstheme="minorHAnsi"/>
          <w:color w:val="FF0000"/>
        </w:rPr>
        <w:t xml:space="preserve"> is</w:t>
      </w:r>
      <w:r w:rsidR="007544BF">
        <w:rPr>
          <w:rFonts w:cstheme="minorHAnsi"/>
          <w:color w:val="FF0000"/>
        </w:rPr>
        <w:t xml:space="preserve"> </w:t>
      </w:r>
      <w:r w:rsidR="00824C6D">
        <w:rPr>
          <w:rFonts w:cstheme="minorHAnsi"/>
          <w:color w:val="FF0000"/>
        </w:rPr>
        <w:t>not only a crime of gender discrimination but</w:t>
      </w:r>
      <w:r w:rsidR="000F7880">
        <w:rPr>
          <w:rFonts w:cstheme="minorHAnsi"/>
          <w:color w:val="FF0000"/>
        </w:rPr>
        <w:t xml:space="preserve">, </w:t>
      </w:r>
      <w:r w:rsidR="00824C6D">
        <w:rPr>
          <w:rFonts w:cstheme="minorHAnsi"/>
          <w:color w:val="FF0000"/>
        </w:rPr>
        <w:t>simultaneously</w:t>
      </w:r>
      <w:r w:rsidR="000F7880">
        <w:rPr>
          <w:rFonts w:cstheme="minorHAnsi"/>
          <w:color w:val="FF0000"/>
        </w:rPr>
        <w:t>,</w:t>
      </w:r>
      <w:r w:rsidR="00824C6D">
        <w:rPr>
          <w:rFonts w:cstheme="minorHAnsi"/>
          <w:color w:val="FF0000"/>
        </w:rPr>
        <w:t xml:space="preserve"> </w:t>
      </w:r>
      <w:r w:rsidR="005C7F2B">
        <w:rPr>
          <w:rFonts w:cstheme="minorHAnsi"/>
          <w:color w:val="FF0000"/>
        </w:rPr>
        <w:t xml:space="preserve">a political crime </w:t>
      </w:r>
      <w:r w:rsidR="003E2533">
        <w:rPr>
          <w:rFonts w:cstheme="minorHAnsi"/>
          <w:color w:val="FF0000"/>
        </w:rPr>
        <w:t xml:space="preserve">central to </w:t>
      </w:r>
      <w:r w:rsidR="005C7F2B">
        <w:rPr>
          <w:rFonts w:cstheme="minorHAnsi"/>
          <w:color w:val="FF0000"/>
        </w:rPr>
        <w:t xml:space="preserve">perpetrators´ </w:t>
      </w:r>
      <w:r w:rsidR="00824C6D">
        <w:rPr>
          <w:rFonts w:cstheme="minorHAnsi"/>
          <w:color w:val="FF0000"/>
        </w:rPr>
        <w:t>strategy</w:t>
      </w:r>
      <w:r w:rsidR="000F7880">
        <w:rPr>
          <w:rFonts w:cstheme="minorHAnsi"/>
          <w:color w:val="FF0000"/>
        </w:rPr>
        <w:t xml:space="preserve"> and nested within</w:t>
      </w:r>
      <w:r w:rsidR="007544BF">
        <w:rPr>
          <w:rFonts w:cstheme="minorHAnsi"/>
          <w:color w:val="FF0000"/>
        </w:rPr>
        <w:t xml:space="preserve"> the broader criminal campaign. </w:t>
      </w:r>
    </w:p>
    <w:p w14:paraId="590DAF9E" w14:textId="51360F28" w:rsidR="00580209" w:rsidRPr="00BA6F29" w:rsidRDefault="0062584C" w:rsidP="00CD1C27">
      <w:pPr>
        <w:spacing w:line="276" w:lineRule="auto"/>
        <w:jc w:val="both"/>
        <w:rPr>
          <w:rFonts w:cstheme="minorHAnsi"/>
          <w:color w:val="FF0000"/>
        </w:rPr>
      </w:pPr>
      <w:r>
        <w:rPr>
          <w:rFonts w:cstheme="minorHAnsi"/>
          <w:color w:val="FF0000"/>
        </w:rPr>
        <w:t>T</w:t>
      </w:r>
      <w:r w:rsidR="00580209">
        <w:rPr>
          <w:rFonts w:cstheme="minorHAnsi"/>
          <w:color w:val="FF0000"/>
        </w:rPr>
        <w:t>he intersection of identity and discrimination is the substratum of international crimes</w:t>
      </w:r>
      <w:r>
        <w:rPr>
          <w:rFonts w:cstheme="minorHAnsi"/>
          <w:color w:val="FF0000"/>
        </w:rPr>
        <w:t>. This fact</w:t>
      </w:r>
      <w:r w:rsidR="00580209">
        <w:rPr>
          <w:rFonts w:cstheme="minorHAnsi"/>
          <w:color w:val="FF0000"/>
        </w:rPr>
        <w:t xml:space="preserve"> justifies conceptualizing a working definition of internationality in ICL and its integration in the interpretation of international crimes</w:t>
      </w:r>
      <w:r w:rsidR="00215049">
        <w:rPr>
          <w:rFonts w:cstheme="minorHAnsi"/>
          <w:color w:val="FF0000"/>
        </w:rPr>
        <w:t>, including SGBV</w:t>
      </w:r>
      <w:r w:rsidR="00580209">
        <w:rPr>
          <w:rFonts w:cstheme="minorHAnsi"/>
          <w:color w:val="FF0000"/>
        </w:rPr>
        <w:t xml:space="preserve">. </w:t>
      </w:r>
      <w:r>
        <w:rPr>
          <w:rFonts w:cstheme="minorHAnsi"/>
          <w:color w:val="FF0000"/>
        </w:rPr>
        <w:t xml:space="preserve">Considering </w:t>
      </w:r>
      <w:r w:rsidR="00580209">
        <w:rPr>
          <w:rFonts w:cstheme="minorHAnsi"/>
          <w:color w:val="FF0000"/>
        </w:rPr>
        <w:t xml:space="preserve">their interlink, a conceptualization of intersectionality in ICL requires integrating the concepts of identity, discrimination, and crimes/violations. </w:t>
      </w:r>
      <w:r w:rsidR="00580209" w:rsidRPr="00EF2D4D">
        <w:rPr>
          <w:color w:val="FF0000"/>
        </w:rPr>
        <w:t xml:space="preserve">It is suggested </w:t>
      </w:r>
      <w:r w:rsidR="00580209" w:rsidRPr="00BA6F29">
        <w:rPr>
          <w:color w:val="FF0000"/>
        </w:rPr>
        <w:t xml:space="preserve">that </w:t>
      </w:r>
      <w:r w:rsidR="00580209" w:rsidRPr="0062584C">
        <w:rPr>
          <w:color w:val="FF0000"/>
        </w:rPr>
        <w:t xml:space="preserve">intersectionality during conflict refers </w:t>
      </w:r>
      <w:r w:rsidR="00580209" w:rsidRPr="00BA6F29">
        <w:rPr>
          <w:color w:val="FF0000"/>
        </w:rPr>
        <w:t>to the</w:t>
      </w:r>
      <w:r w:rsidR="00580209">
        <w:rPr>
          <w:color w:val="FF0000"/>
        </w:rPr>
        <w:t xml:space="preserve"> complex discrimination that individuals experience </w:t>
      </w:r>
      <w:r>
        <w:rPr>
          <w:color w:val="FF0000"/>
        </w:rPr>
        <w:t xml:space="preserve">based on two or more </w:t>
      </w:r>
      <w:r w:rsidR="00215049">
        <w:rPr>
          <w:color w:val="FF0000"/>
        </w:rPr>
        <w:t xml:space="preserve">identity </w:t>
      </w:r>
      <w:r w:rsidR="00580209">
        <w:rPr>
          <w:color w:val="FF0000"/>
        </w:rPr>
        <w:t xml:space="preserve">grounds </w:t>
      </w:r>
      <w:r>
        <w:rPr>
          <w:color w:val="FF0000"/>
        </w:rPr>
        <w:t xml:space="preserve">simultaneously </w:t>
      </w:r>
      <w:r w:rsidR="00215049">
        <w:rPr>
          <w:color w:val="FF0000"/>
        </w:rPr>
        <w:t xml:space="preserve">and </w:t>
      </w:r>
      <w:r>
        <w:rPr>
          <w:color w:val="FF0000"/>
        </w:rPr>
        <w:t xml:space="preserve">resulting in </w:t>
      </w:r>
      <w:r w:rsidR="00580209">
        <w:rPr>
          <w:color w:val="FF0000"/>
        </w:rPr>
        <w:t xml:space="preserve">crimes or violations in conflict situations. </w:t>
      </w:r>
      <w:r w:rsidR="00580209" w:rsidRPr="00BA6F29">
        <w:rPr>
          <w:color w:val="FF0000"/>
        </w:rPr>
        <w:t>Regarding SGBV crimes, intersectionality often implies that a sub-group of people are discriminated based on both their gender identity and their group identity</w:t>
      </w:r>
      <w:r>
        <w:rPr>
          <w:color w:val="FF0000"/>
        </w:rPr>
        <w:t>, triggering as a result the interlink or</w:t>
      </w:r>
      <w:r w:rsidR="00580209" w:rsidRPr="00BA6F29">
        <w:rPr>
          <w:color w:val="FF0000"/>
        </w:rPr>
        <w:t xml:space="preserve"> </w:t>
      </w:r>
      <w:r>
        <w:rPr>
          <w:color w:val="FF0000"/>
        </w:rPr>
        <w:t xml:space="preserve">nexus between </w:t>
      </w:r>
      <w:r w:rsidR="00580209" w:rsidRPr="00BA6F29">
        <w:rPr>
          <w:color w:val="FF0000"/>
        </w:rPr>
        <w:t>SGBV</w:t>
      </w:r>
      <w:r>
        <w:rPr>
          <w:color w:val="FF0000"/>
        </w:rPr>
        <w:t xml:space="preserve"> and</w:t>
      </w:r>
      <w:r w:rsidR="00580209" w:rsidRPr="00BA6F29">
        <w:rPr>
          <w:color w:val="FF0000"/>
        </w:rPr>
        <w:t xml:space="preserve"> other violations of ICL. </w:t>
      </w:r>
      <w:r>
        <w:rPr>
          <w:color w:val="FF0000"/>
        </w:rPr>
        <w:t>Such</w:t>
      </w:r>
      <w:r w:rsidR="00580209" w:rsidRPr="00BA6F29">
        <w:rPr>
          <w:color w:val="FF0000"/>
        </w:rPr>
        <w:t xml:space="preserve"> nexu</w:t>
      </w:r>
      <w:r>
        <w:rPr>
          <w:color w:val="FF0000"/>
        </w:rPr>
        <w:t xml:space="preserve">s is examined in the </w:t>
      </w:r>
      <w:r w:rsidR="00580209" w:rsidRPr="00BA6F29">
        <w:rPr>
          <w:color w:val="FF0000"/>
        </w:rPr>
        <w:t xml:space="preserve">next sections concerning SGBV and the </w:t>
      </w:r>
      <w:r>
        <w:rPr>
          <w:color w:val="FF0000"/>
        </w:rPr>
        <w:t xml:space="preserve">war crime </w:t>
      </w:r>
      <w:r w:rsidR="00580209" w:rsidRPr="00BA6F29">
        <w:rPr>
          <w:color w:val="FF0000"/>
        </w:rPr>
        <w:t>committing acts of terrorism (</w:t>
      </w:r>
      <w:r w:rsidR="00580209" w:rsidRPr="00697085">
        <w:rPr>
          <w:i/>
          <w:iCs/>
          <w:color w:val="FF0000"/>
        </w:rPr>
        <w:t>RUF</w:t>
      </w:r>
      <w:r w:rsidR="00580209" w:rsidRPr="00BA6F29">
        <w:rPr>
          <w:color w:val="FF0000"/>
        </w:rPr>
        <w:t xml:space="preserve"> case) and </w:t>
      </w:r>
      <w:r>
        <w:rPr>
          <w:color w:val="FF0000"/>
        </w:rPr>
        <w:t xml:space="preserve">the crime against humanity of </w:t>
      </w:r>
      <w:r w:rsidR="00580209" w:rsidRPr="00BA6F29">
        <w:rPr>
          <w:color w:val="FF0000"/>
        </w:rPr>
        <w:t>persecution (</w:t>
      </w:r>
      <w:r w:rsidR="00580209" w:rsidRPr="00697085">
        <w:rPr>
          <w:i/>
          <w:iCs/>
          <w:color w:val="FF0000"/>
        </w:rPr>
        <w:t>Al Hassan</w:t>
      </w:r>
      <w:r w:rsidR="00580209" w:rsidRPr="00BA6F29">
        <w:rPr>
          <w:color w:val="FF0000"/>
        </w:rPr>
        <w:t xml:space="preserve"> case). </w:t>
      </w:r>
    </w:p>
    <w:p w14:paraId="0C0199A9" w14:textId="77777777" w:rsidR="00580209" w:rsidRPr="00BA6F29" w:rsidRDefault="00580209" w:rsidP="00CD1C27">
      <w:pPr>
        <w:spacing w:line="276" w:lineRule="auto"/>
        <w:jc w:val="both"/>
        <w:rPr>
          <w:b/>
          <w:bCs/>
          <w:color w:val="FF0000"/>
        </w:rPr>
      </w:pPr>
    </w:p>
    <w:p w14:paraId="6F6CFCCF" w14:textId="788B7830" w:rsidR="00580209" w:rsidRPr="00793912" w:rsidRDefault="00580209" w:rsidP="00CD1C27">
      <w:pPr>
        <w:spacing w:line="276" w:lineRule="auto"/>
        <w:jc w:val="both"/>
      </w:pPr>
      <w:r w:rsidRPr="00793912">
        <w:rPr>
          <w:b/>
          <w:bCs/>
        </w:rPr>
        <w:t xml:space="preserve">2. The </w:t>
      </w:r>
      <w:r w:rsidRPr="00793912">
        <w:rPr>
          <w:b/>
          <w:bCs/>
          <w:i/>
          <w:iCs/>
        </w:rPr>
        <w:t xml:space="preserve">RUF </w:t>
      </w:r>
      <w:r w:rsidRPr="00793912">
        <w:rPr>
          <w:b/>
          <w:bCs/>
        </w:rPr>
        <w:t xml:space="preserve">Trial Judgment: Uncovering the </w:t>
      </w:r>
      <w:r w:rsidR="003B1208" w:rsidRPr="003B1208">
        <w:rPr>
          <w:b/>
          <w:bCs/>
        </w:rPr>
        <w:t>Interlink</w:t>
      </w:r>
      <w:r w:rsidRPr="003B1208">
        <w:rPr>
          <w:b/>
          <w:bCs/>
        </w:rPr>
        <w:t xml:space="preserve"> </w:t>
      </w:r>
      <w:r w:rsidRPr="00793912">
        <w:rPr>
          <w:b/>
          <w:bCs/>
        </w:rPr>
        <w:t xml:space="preserve">between </w:t>
      </w:r>
      <w:r w:rsidR="00793912" w:rsidRPr="00793912">
        <w:rPr>
          <w:b/>
          <w:bCs/>
        </w:rPr>
        <w:t xml:space="preserve">SGBV </w:t>
      </w:r>
      <w:r w:rsidRPr="00793912">
        <w:rPr>
          <w:b/>
          <w:bCs/>
        </w:rPr>
        <w:t>and Terroris</w:t>
      </w:r>
      <w:r w:rsidR="00793912" w:rsidRPr="00793912">
        <w:rPr>
          <w:b/>
          <w:bCs/>
        </w:rPr>
        <w:t>m</w:t>
      </w:r>
    </w:p>
    <w:p w14:paraId="25972B29" w14:textId="28D493C1" w:rsidR="00580209" w:rsidRPr="00921EB6" w:rsidRDefault="00580209" w:rsidP="00CD1C27">
      <w:pPr>
        <w:spacing w:line="276" w:lineRule="auto"/>
        <w:jc w:val="both"/>
        <w:rPr>
          <w:color w:val="FF0000"/>
        </w:rPr>
      </w:pPr>
      <w:r w:rsidRPr="00A179B5">
        <w:t xml:space="preserve">The </w:t>
      </w:r>
      <w:r w:rsidRPr="00A179B5">
        <w:rPr>
          <w:i/>
          <w:iCs/>
        </w:rPr>
        <w:t xml:space="preserve">Revolutionary United Front </w:t>
      </w:r>
      <w:r w:rsidRPr="00A179B5">
        <w:t>(</w:t>
      </w:r>
      <w:r w:rsidRPr="00A179B5">
        <w:rPr>
          <w:i/>
          <w:iCs/>
        </w:rPr>
        <w:t>RUF</w:t>
      </w:r>
      <w:r w:rsidRPr="00A179B5">
        <w:t>) trial judgment</w:t>
      </w:r>
      <w:r>
        <w:t xml:space="preserve"> </w:t>
      </w:r>
      <w:r w:rsidRPr="00A179B5">
        <w:t xml:space="preserve">of the SCSL </w:t>
      </w:r>
      <w:r w:rsidR="00157FAC">
        <w:t xml:space="preserve">has </w:t>
      </w:r>
      <w:r>
        <w:t>recognize</w:t>
      </w:r>
      <w:r w:rsidR="00157FAC">
        <w:t>d</w:t>
      </w:r>
      <w:r>
        <w:t xml:space="preserve"> SGBV </w:t>
      </w:r>
      <w:r w:rsidRPr="00BE7DE6">
        <w:rPr>
          <w:i/>
          <w:iCs/>
        </w:rPr>
        <w:t xml:space="preserve">as </w:t>
      </w:r>
      <w:r w:rsidR="00BE7DE6">
        <w:t>the war crime committing acts</w:t>
      </w:r>
      <w:r>
        <w:t xml:space="preserve"> of terrorism</w:t>
      </w:r>
      <w:r w:rsidR="00BE7DE6">
        <w:t>. The decision</w:t>
      </w:r>
      <w:r>
        <w:t xml:space="preserve"> mark</w:t>
      </w:r>
      <w:r w:rsidR="00BE7DE6">
        <w:t>s</w:t>
      </w:r>
      <w:r>
        <w:t xml:space="preserve"> a break-through in </w:t>
      </w:r>
      <w:r w:rsidR="00BE7DE6">
        <w:t xml:space="preserve">the </w:t>
      </w:r>
      <w:r w:rsidR="00157FAC">
        <w:t>Court</w:t>
      </w:r>
      <w:r>
        <w:t>´s previous jurisprudence that had either discarded charges of SGBV (</w:t>
      </w:r>
      <w:r>
        <w:rPr>
          <w:i/>
          <w:iCs/>
        </w:rPr>
        <w:t xml:space="preserve">CDF </w:t>
      </w:r>
      <w:r>
        <w:t>TC 2007)</w:t>
      </w:r>
      <w:r>
        <w:rPr>
          <w:rStyle w:val="Refdenotaalpie"/>
        </w:rPr>
        <w:footnoteReference w:id="35"/>
      </w:r>
      <w:r>
        <w:t xml:space="preserve"> or considered SGBV an opportunistic act, disconnected from the terrorist campaign (</w:t>
      </w:r>
      <w:r>
        <w:rPr>
          <w:i/>
          <w:iCs/>
        </w:rPr>
        <w:t xml:space="preserve">AFRC </w:t>
      </w:r>
      <w:r>
        <w:t>TC 2007).</w:t>
      </w:r>
      <w:r>
        <w:rPr>
          <w:rStyle w:val="Refdenotaalpie"/>
        </w:rPr>
        <w:footnoteReference w:id="36"/>
      </w:r>
      <w:r>
        <w:t xml:space="preserve"> </w:t>
      </w:r>
      <w:r w:rsidRPr="00157FAC">
        <w:rPr>
          <w:color w:val="FF0000"/>
        </w:rPr>
        <w:t>The purpose of this case study is to examine the r</w:t>
      </w:r>
      <w:r>
        <w:rPr>
          <w:color w:val="FF0000"/>
        </w:rPr>
        <w:t>easoning of the trial judges unpacking the interlinkages or nexus between SGBV and the war crime committing acts of terrorism</w:t>
      </w:r>
      <w:r w:rsidRPr="00921EB6">
        <w:rPr>
          <w:i/>
          <w:iCs/>
          <w:color w:val="FF0000"/>
        </w:rPr>
        <w:t xml:space="preserve"> from</w:t>
      </w:r>
      <w:r>
        <w:rPr>
          <w:color w:val="FF0000"/>
        </w:rPr>
        <w:t xml:space="preserve"> an intersectional approach to intersectional identities and discrimination. Implicitly, intersectionality permeates the judgment decision </w:t>
      </w:r>
      <w:r w:rsidR="00157FAC">
        <w:rPr>
          <w:color w:val="FF0000"/>
        </w:rPr>
        <w:t xml:space="preserve">throughout, </w:t>
      </w:r>
      <w:r>
        <w:rPr>
          <w:color w:val="FF0000"/>
        </w:rPr>
        <w:t xml:space="preserve">from </w:t>
      </w:r>
      <w:r w:rsidRPr="00BE7DE6">
        <w:rPr>
          <w:color w:val="FF0000"/>
        </w:rPr>
        <w:t xml:space="preserve">the Applicable Law to the Sentencing Judgment, </w:t>
      </w:r>
      <w:r w:rsidRPr="00921EB6">
        <w:rPr>
          <w:color w:val="FF0000"/>
        </w:rPr>
        <w:lastRenderedPageBreak/>
        <w:t>demonstrating</w:t>
      </w:r>
      <w:r>
        <w:rPr>
          <w:color w:val="000000" w:themeColor="text1"/>
        </w:rPr>
        <w:t xml:space="preserve"> </w:t>
      </w:r>
      <w:r>
        <w:rPr>
          <w:color w:val="FF0000"/>
        </w:rPr>
        <w:t xml:space="preserve">the value of this approach to interpret the interlinkages between SGBV and the broader </w:t>
      </w:r>
      <w:r w:rsidR="00157FAC">
        <w:rPr>
          <w:color w:val="FF0000"/>
        </w:rPr>
        <w:t>(</w:t>
      </w:r>
      <w:r>
        <w:rPr>
          <w:color w:val="FF0000"/>
        </w:rPr>
        <w:t>umbrella</w:t>
      </w:r>
      <w:r w:rsidR="00157FAC">
        <w:rPr>
          <w:color w:val="FF0000"/>
        </w:rPr>
        <w:t>)</w:t>
      </w:r>
      <w:r>
        <w:rPr>
          <w:color w:val="FF0000"/>
        </w:rPr>
        <w:t xml:space="preserve"> crime of terrorism. </w:t>
      </w:r>
    </w:p>
    <w:p w14:paraId="022DBC8F" w14:textId="5F5E2BB9" w:rsidR="00580209" w:rsidRDefault="00580209" w:rsidP="00CD1C27">
      <w:pPr>
        <w:spacing w:line="276" w:lineRule="auto"/>
        <w:jc w:val="both"/>
        <w:rPr>
          <w:color w:val="000000" w:themeColor="text1"/>
        </w:rPr>
      </w:pPr>
      <w:r>
        <w:t xml:space="preserve">The </w:t>
      </w:r>
      <w:r w:rsidRPr="004D2CF1">
        <w:rPr>
          <w:i/>
          <w:iCs/>
        </w:rPr>
        <w:t>RUF</w:t>
      </w:r>
      <w:r>
        <w:t xml:space="preserve"> case (</w:t>
      </w:r>
      <w:r w:rsidRPr="004D2CF1">
        <w:rPr>
          <w:i/>
          <w:iCs/>
        </w:rPr>
        <w:t>The Prosecutor v Issa Hassan Sesay, Morris Kallon, Augustine Gbao</w:t>
      </w:r>
      <w:r>
        <w:t xml:space="preserve">) situates in the context of an attack against the civilian population of Sierra Leone, opposing the </w:t>
      </w:r>
      <w:r w:rsidRPr="004D2CF1">
        <w:rPr>
          <w:i/>
          <w:iCs/>
        </w:rPr>
        <w:t xml:space="preserve">RUF </w:t>
      </w:r>
      <w:r>
        <w:t>armed group to the legitimate Government, between November 1996 to September 2000.</w:t>
      </w:r>
      <w:r>
        <w:rPr>
          <w:rStyle w:val="Refdenotaalpie"/>
        </w:rPr>
        <w:footnoteReference w:id="37"/>
      </w:r>
      <w:r>
        <w:t xml:space="preserve"> SGBV was widespread and particularly prevalent towards the end of the indicted period, including p</w:t>
      </w:r>
      <w:r w:rsidRPr="009F01E2">
        <w:t xml:space="preserve">atterns of rape and </w:t>
      </w:r>
      <w:r>
        <w:t>the</w:t>
      </w:r>
      <w:r w:rsidRPr="009A456A">
        <w:t xml:space="preserve"> abduction</w:t>
      </w:r>
      <w:r w:rsidRPr="009F01E2">
        <w:t xml:space="preserve"> of women and girls for sexual exploitation</w:t>
      </w:r>
      <w:r>
        <w:t xml:space="preserve"> through forced marriage and sexual slavery</w:t>
      </w:r>
      <w:r w:rsidRPr="009F01E2">
        <w:rPr>
          <w:rStyle w:val="Refdenotaalpie"/>
        </w:rPr>
        <w:footnoteReference w:id="38"/>
      </w:r>
      <w:r w:rsidRPr="009F01E2">
        <w:t>.</w:t>
      </w:r>
      <w:r>
        <w:t xml:space="preserve"> Initially, th</w:t>
      </w:r>
      <w:r w:rsidRPr="009F01E2">
        <w:t xml:space="preserve">e Prosecutor charged eight counts of </w:t>
      </w:r>
      <w:bookmarkStart w:id="6" w:name="_Hlk22404218"/>
      <w:r w:rsidRPr="009F01E2">
        <w:t xml:space="preserve">war crimes (acts of terrorism </w:t>
      </w:r>
      <w:r w:rsidRPr="00A55EE1">
        <w:t>and collective punishment</w:t>
      </w:r>
      <w:r>
        <w:t xml:space="preserve">, </w:t>
      </w:r>
      <w:r w:rsidRPr="00A55EE1">
        <w:t>unlawful killings</w:t>
      </w:r>
      <w:r>
        <w:t xml:space="preserve">, </w:t>
      </w:r>
      <w:r w:rsidRPr="00A55EE1">
        <w:t>outrages upon personal dignity</w:t>
      </w:r>
      <w:r>
        <w:t xml:space="preserve">, </w:t>
      </w:r>
      <w:r w:rsidRPr="00A55EE1">
        <w:t>mutilations</w:t>
      </w:r>
      <w:r>
        <w:t xml:space="preserve">, </w:t>
      </w:r>
      <w:r w:rsidRPr="00A55EE1">
        <w:t>pillage</w:t>
      </w:r>
      <w:r>
        <w:t xml:space="preserve">, </w:t>
      </w:r>
      <w:r w:rsidRPr="00A55EE1">
        <w:t>and the taking of hostages</w:t>
      </w:r>
      <w:r>
        <w:t>) and eight counts of crimes against humanity (</w:t>
      </w:r>
      <w:r w:rsidRPr="003D59FF">
        <w:t>unlawful killings</w:t>
      </w:r>
      <w:r>
        <w:t xml:space="preserve">, </w:t>
      </w:r>
      <w:r w:rsidRPr="003D59FF">
        <w:t>sexual violence</w:t>
      </w:r>
      <w:r>
        <w:t xml:space="preserve">, </w:t>
      </w:r>
      <w:r w:rsidRPr="003D59FF">
        <w:t>physical violence</w:t>
      </w:r>
      <w:r>
        <w:t xml:space="preserve">, </w:t>
      </w:r>
      <w:r w:rsidRPr="003D59FF">
        <w:t>and enslavement</w:t>
      </w:r>
      <w:bookmarkEnd w:id="6"/>
      <w:r>
        <w:t>).</w:t>
      </w:r>
      <w:r>
        <w:rPr>
          <w:rStyle w:val="Refdenotaalpie"/>
        </w:rPr>
        <w:footnoteReference w:id="39"/>
      </w:r>
      <w:r>
        <w:t xml:space="preserve"> Charges of SGBV were included in the amended indictment for </w:t>
      </w:r>
      <w:r w:rsidRPr="00497017">
        <w:t xml:space="preserve">rape, sexual slavery, outrages against </w:t>
      </w:r>
      <w:r>
        <w:t xml:space="preserve">personal </w:t>
      </w:r>
      <w:r w:rsidRPr="00497017">
        <w:t>dignity</w:t>
      </w:r>
      <w:r>
        <w:t xml:space="preserve">, and </w:t>
      </w:r>
      <w:r w:rsidRPr="00497017">
        <w:t>other inhumane acts</w:t>
      </w:r>
      <w:r>
        <w:t xml:space="preserve">, including </w:t>
      </w:r>
      <w:r w:rsidRPr="00497017">
        <w:t>forced marriage</w:t>
      </w:r>
      <w:r w:rsidRPr="00556250">
        <w:t>.</w:t>
      </w:r>
      <w:r w:rsidRPr="00556250">
        <w:rPr>
          <w:rStyle w:val="Refdenotaalpie"/>
        </w:rPr>
        <w:footnoteReference w:id="40"/>
      </w:r>
      <w:r w:rsidRPr="00556250">
        <w:t xml:space="preserve"> On 7 March 2009, the </w:t>
      </w:r>
      <w:r>
        <w:t xml:space="preserve">Accused were convicted </w:t>
      </w:r>
      <w:r w:rsidRPr="00B96228">
        <w:t xml:space="preserve">as members of </w:t>
      </w:r>
      <w:r w:rsidRPr="00497017">
        <w:t xml:space="preserve">a joint criminal enterprise under </w:t>
      </w:r>
      <w:r>
        <w:t>A</w:t>
      </w:r>
      <w:r w:rsidRPr="00497017">
        <w:t>rticle 6(1) of the SCSL Statute</w:t>
      </w:r>
      <w:r>
        <w:t>,</w:t>
      </w:r>
      <w:r w:rsidRPr="00497017">
        <w:rPr>
          <w:rStyle w:val="Refdenotaalpie"/>
        </w:rPr>
        <w:footnoteReference w:id="41"/>
      </w:r>
      <w:r w:rsidRPr="00497017">
        <w:t xml:space="preserve"> </w:t>
      </w:r>
      <w:r>
        <w:t>later upheld by the Appeals Chamber</w:t>
      </w:r>
      <w:r w:rsidRPr="00050540">
        <w:rPr>
          <w:color w:val="000000" w:themeColor="text1"/>
        </w:rPr>
        <w:t>.</w:t>
      </w:r>
      <w:r w:rsidRPr="00050540">
        <w:rPr>
          <w:rStyle w:val="Refdenotaalpie"/>
          <w:color w:val="000000" w:themeColor="text1"/>
        </w:rPr>
        <w:footnoteReference w:id="42"/>
      </w:r>
      <w:r w:rsidRPr="00050540">
        <w:rPr>
          <w:color w:val="000000" w:themeColor="text1"/>
        </w:rPr>
        <w:t xml:space="preserve"> </w:t>
      </w:r>
    </w:p>
    <w:p w14:paraId="43B39091" w14:textId="3138F5A6" w:rsidR="00580209" w:rsidRDefault="00580209" w:rsidP="00CD1C27">
      <w:pPr>
        <w:spacing w:line="276" w:lineRule="auto"/>
        <w:jc w:val="both"/>
        <w:rPr>
          <w:color w:val="000000" w:themeColor="text1"/>
        </w:rPr>
      </w:pPr>
      <w:r w:rsidRPr="008C2EB9">
        <w:rPr>
          <w:color w:val="FF0000"/>
        </w:rPr>
        <w:t xml:space="preserve">For clarification, terrorism </w:t>
      </w:r>
      <w:r>
        <w:rPr>
          <w:color w:val="FF0000"/>
        </w:rPr>
        <w:t xml:space="preserve">in this case is considered </w:t>
      </w:r>
      <w:r w:rsidRPr="008C2EB9">
        <w:rPr>
          <w:color w:val="FF0000"/>
        </w:rPr>
        <w:t>a crime involving political discrimination</w:t>
      </w:r>
      <w:r>
        <w:rPr>
          <w:color w:val="FF0000"/>
        </w:rPr>
        <w:t xml:space="preserve">. The RUF </w:t>
      </w:r>
      <w:r w:rsidRPr="008C2EB9">
        <w:rPr>
          <w:color w:val="FF0000"/>
        </w:rPr>
        <w:t>armed group inflicted terror throughout the conflict intending to weaken, topple</w:t>
      </w:r>
      <w:r w:rsidR="00BE7DE6">
        <w:rPr>
          <w:color w:val="FF0000"/>
        </w:rPr>
        <w:t>,</w:t>
      </w:r>
      <w:r w:rsidRPr="008C2EB9">
        <w:rPr>
          <w:color w:val="FF0000"/>
        </w:rPr>
        <w:t xml:space="preserve"> and obtain political gains from the legitimate Government</w:t>
      </w:r>
      <w:r>
        <w:rPr>
          <w:color w:val="FF0000"/>
        </w:rPr>
        <w:t xml:space="preserve"> </w:t>
      </w:r>
      <w:r w:rsidRPr="008C2EB9">
        <w:rPr>
          <w:color w:val="FF0000"/>
        </w:rPr>
        <w:t xml:space="preserve">by attacking the civilian population </w:t>
      </w:r>
      <w:r w:rsidR="00157FAC">
        <w:rPr>
          <w:color w:val="FF0000"/>
        </w:rPr>
        <w:t xml:space="preserve">of Sierra Leone </w:t>
      </w:r>
      <w:r w:rsidRPr="008C2EB9">
        <w:rPr>
          <w:color w:val="FF0000"/>
        </w:rPr>
        <w:t>perceived</w:t>
      </w:r>
      <w:r w:rsidR="00BE7DE6">
        <w:rPr>
          <w:color w:val="FF0000"/>
        </w:rPr>
        <w:t xml:space="preserve"> as political opponents. </w:t>
      </w:r>
      <w:r>
        <w:rPr>
          <w:color w:val="FF0000"/>
        </w:rPr>
        <w:t xml:space="preserve">Although there is no universally agreed definition of terrorism in IL,  </w:t>
      </w:r>
      <w:r w:rsidRPr="008C2EB9">
        <w:rPr>
          <w:color w:val="FF0000"/>
        </w:rPr>
        <w:t>there is ample recognition that the specific intent to inflict terror makes terrorism an inherently political crim</w:t>
      </w:r>
      <w:r>
        <w:rPr>
          <w:color w:val="FF0000"/>
        </w:rPr>
        <w:t>e</w:t>
      </w:r>
      <w:r w:rsidR="00157FAC">
        <w:rPr>
          <w:color w:val="FF0000"/>
        </w:rPr>
        <w:t xml:space="preserve"> </w:t>
      </w:r>
      <w:r>
        <w:rPr>
          <w:rStyle w:val="Refdenotaalpie"/>
        </w:rPr>
        <w:footnoteReference w:id="43"/>
      </w:r>
      <w:r>
        <w:rPr>
          <w:color w:val="FF0000"/>
        </w:rPr>
        <w:t xml:space="preserve">– </w:t>
      </w:r>
      <w:r w:rsidR="00BE7DE6">
        <w:rPr>
          <w:color w:val="FF0000"/>
        </w:rPr>
        <w:t xml:space="preserve">no matter if </w:t>
      </w:r>
      <w:r w:rsidRPr="008C2EB9">
        <w:rPr>
          <w:color w:val="FF0000"/>
        </w:rPr>
        <w:t>addressed against groups defined by other identities such as ethnic, religious, gender, etc</w:t>
      </w:r>
      <w:r>
        <w:t>.</w:t>
      </w:r>
      <w:r w:rsidR="00157FAC" w:rsidRPr="00157FAC">
        <w:rPr>
          <w:rStyle w:val="Refdenotaalpie"/>
        </w:rPr>
        <w:t xml:space="preserve"> </w:t>
      </w:r>
    </w:p>
    <w:p w14:paraId="04B67D3B" w14:textId="77777777" w:rsidR="00580209" w:rsidRDefault="00580209" w:rsidP="00CD1C27">
      <w:pPr>
        <w:spacing w:line="276" w:lineRule="auto"/>
        <w:jc w:val="both"/>
      </w:pPr>
    </w:p>
    <w:p w14:paraId="2CCC6EDE" w14:textId="228766B4" w:rsidR="00580209" w:rsidRDefault="00580209" w:rsidP="00CD1C27">
      <w:pPr>
        <w:spacing w:line="276" w:lineRule="auto"/>
        <w:jc w:val="both"/>
        <w:rPr>
          <w:b/>
          <w:bCs/>
        </w:rPr>
      </w:pPr>
      <w:r>
        <w:rPr>
          <w:b/>
          <w:bCs/>
        </w:rPr>
        <w:t>2.</w:t>
      </w:r>
      <w:r w:rsidRPr="00A62256">
        <w:rPr>
          <w:b/>
          <w:bCs/>
        </w:rPr>
        <w:t>1 The Applicable</w:t>
      </w:r>
      <w:r w:rsidRPr="008470A2">
        <w:rPr>
          <w:b/>
          <w:bCs/>
        </w:rPr>
        <w:t xml:space="preserve"> Law</w:t>
      </w:r>
      <w:r>
        <w:rPr>
          <w:b/>
          <w:bCs/>
        </w:rPr>
        <w:t xml:space="preserve">: </w:t>
      </w:r>
      <w:r w:rsidR="003B3801">
        <w:rPr>
          <w:b/>
          <w:bCs/>
        </w:rPr>
        <w:t>Acknowledging the Potential Interlink between SGBV and Terrorism</w:t>
      </w:r>
    </w:p>
    <w:p w14:paraId="147B93AC" w14:textId="16582624" w:rsidR="00580209" w:rsidRPr="009E27D4" w:rsidRDefault="00580209" w:rsidP="00CD1C27">
      <w:pPr>
        <w:spacing w:line="276" w:lineRule="auto"/>
        <w:jc w:val="both"/>
      </w:pPr>
      <w:r>
        <w:t xml:space="preserve">From the beginning, considering the Applicable Law, the </w:t>
      </w:r>
      <w:r w:rsidR="007574BB">
        <w:t>Trial Chamber (</w:t>
      </w:r>
      <w:r>
        <w:t>TC</w:t>
      </w:r>
      <w:r w:rsidR="007574BB">
        <w:t>)</w:t>
      </w:r>
      <w:r>
        <w:t xml:space="preserve"> demonstrated awareness of the potential </w:t>
      </w:r>
      <w:r w:rsidR="007574BB">
        <w:t xml:space="preserve">nexus </w:t>
      </w:r>
      <w:r>
        <w:t xml:space="preserve">between </w:t>
      </w:r>
      <w:r w:rsidR="007574BB">
        <w:t xml:space="preserve">SGBV and </w:t>
      </w:r>
      <w:r>
        <w:t xml:space="preserve">the ‘umbrella’ crime </w:t>
      </w:r>
      <w:r w:rsidR="007574BB">
        <w:t xml:space="preserve">carrying out acts of </w:t>
      </w:r>
      <w:r w:rsidR="007574BB">
        <w:lastRenderedPageBreak/>
        <w:t>terrorism</w:t>
      </w:r>
      <w:r>
        <w:t>.</w:t>
      </w:r>
      <w:r>
        <w:rPr>
          <w:rStyle w:val="Refdenotaalpie"/>
        </w:rPr>
        <w:footnoteReference w:id="44"/>
      </w:r>
      <w:r>
        <w:t xml:space="preserve"> The Chamber defined the war crime </w:t>
      </w:r>
      <w:r w:rsidR="007574BB">
        <w:t>committing acts of</w:t>
      </w:r>
      <w:r>
        <w:t xml:space="preserve"> terrorism</w:t>
      </w:r>
      <w:r w:rsidR="007574BB">
        <w:t xml:space="preserve"> by</w:t>
      </w:r>
      <w:r>
        <w:t xml:space="preserve"> referring to  ICTY precedent </w:t>
      </w:r>
      <w:r w:rsidRPr="001756E7">
        <w:rPr>
          <w:i/>
          <w:iCs/>
        </w:rPr>
        <w:t>Galic</w:t>
      </w:r>
      <w:r>
        <w:rPr>
          <w:i/>
          <w:iCs/>
        </w:rPr>
        <w:t xml:space="preserve"> </w:t>
      </w:r>
      <w:r>
        <w:t>as “acts or threats of violence committed with the specific intent to spread terror among the civilian population”</w:t>
      </w:r>
      <w:r w:rsidR="007574BB">
        <w:t>.</w:t>
      </w:r>
      <w:r>
        <w:rPr>
          <w:rStyle w:val="Refdenotaalpie"/>
        </w:rPr>
        <w:footnoteReference w:id="45"/>
      </w:r>
      <w:r w:rsidR="007574BB">
        <w:t xml:space="preserve"> Importantly, trial judges</w:t>
      </w:r>
      <w:r>
        <w:t xml:space="preserve"> stress</w:t>
      </w:r>
      <w:r w:rsidR="007574BB">
        <w:t>ed</w:t>
      </w:r>
      <w:r>
        <w:t xml:space="preserve"> that the principal intent to spread terror “may have coexisted </w:t>
      </w:r>
      <w:r w:rsidRPr="002328D4">
        <w:rPr>
          <w:i/>
          <w:iCs/>
        </w:rPr>
        <w:t>simultaneously</w:t>
      </w:r>
      <w:r>
        <w:t xml:space="preserve"> with other purposes”.</w:t>
      </w:r>
      <w:r>
        <w:rPr>
          <w:rStyle w:val="Refdenotaalpie"/>
        </w:rPr>
        <w:footnoteReference w:id="46"/>
      </w:r>
      <w:r>
        <w:t xml:space="preserve"> Then, noting the “historically overlooked” gravity of SGBV, the Chamber stated </w:t>
      </w:r>
      <w:r w:rsidRPr="001E124D">
        <w:t xml:space="preserve">“the particular nature of sexual violence that has been used, often with impunity, </w:t>
      </w:r>
      <w:r w:rsidRPr="006158C7">
        <w:t>as</w:t>
      </w:r>
      <w:r w:rsidRPr="001E124D">
        <w:rPr>
          <w:i/>
          <w:iCs/>
        </w:rPr>
        <w:t xml:space="preserve"> a tactic of war</w:t>
      </w:r>
      <w:r w:rsidRPr="001E124D">
        <w:t xml:space="preserve"> to humiliate, dominate and </w:t>
      </w:r>
      <w:r w:rsidRPr="006158C7">
        <w:t>instil fear</w:t>
      </w:r>
      <w:r w:rsidRPr="001E124D">
        <w:t xml:space="preserve"> in victims, their families and communities during armed conflict.”</w:t>
      </w:r>
      <w:r w:rsidRPr="001E124D">
        <w:rPr>
          <w:rStyle w:val="Refdenotaalpie"/>
        </w:rPr>
        <w:footnoteReference w:id="47"/>
      </w:r>
      <w:r>
        <w:t xml:space="preserve"> The passage reflects judicial sensitivity about the gravity of SGBV in armed conflict</w:t>
      </w:r>
      <w:r w:rsidR="00A77438">
        <w:t xml:space="preserve">. In particular, </w:t>
      </w:r>
      <w:r w:rsidR="00F10A81">
        <w:t xml:space="preserve">it denotes recognition of the </w:t>
      </w:r>
      <w:r w:rsidR="00A77438">
        <w:t xml:space="preserve">potential </w:t>
      </w:r>
      <w:r>
        <w:t>inter</w:t>
      </w:r>
      <w:r w:rsidR="007574BB">
        <w:t xml:space="preserve">twining </w:t>
      </w:r>
      <w:r w:rsidR="0054299A">
        <w:t xml:space="preserve">of SGBV </w:t>
      </w:r>
      <w:r w:rsidR="007574BB">
        <w:t xml:space="preserve">with </w:t>
      </w:r>
      <w:r w:rsidR="0054299A">
        <w:t xml:space="preserve">other </w:t>
      </w:r>
      <w:r w:rsidR="007574BB">
        <w:t>international crimes</w:t>
      </w:r>
      <w:r w:rsidR="00F10A81">
        <w:t xml:space="preserve"> by using SGBV strategically to further a</w:t>
      </w:r>
      <w:r w:rsidR="0054299A">
        <w:t xml:space="preserve"> </w:t>
      </w:r>
      <w:r w:rsidR="007574BB">
        <w:t>broader attack</w:t>
      </w:r>
      <w:r w:rsidR="00F10A81">
        <w:t>, including its deliberate use aiming to inflict terror</w:t>
      </w:r>
      <w:r w:rsidR="00A77438">
        <w:t>. T</w:t>
      </w:r>
      <w:r w:rsidR="000541D0">
        <w:t xml:space="preserve">his </w:t>
      </w:r>
      <w:r w:rsidR="00A77438">
        <w:t>understanding of the meaning of SGBV</w:t>
      </w:r>
      <w:r w:rsidR="00F10A81">
        <w:t xml:space="preserve"> </w:t>
      </w:r>
      <w:r>
        <w:t>was critical. It predisposed t</w:t>
      </w:r>
      <w:r w:rsidR="00A77438">
        <w:t>ria</w:t>
      </w:r>
      <w:r w:rsidR="000541D0">
        <w:t>l</w:t>
      </w:r>
      <w:r w:rsidR="00A77438">
        <w:t xml:space="preserve"> judges </w:t>
      </w:r>
      <w:r>
        <w:t xml:space="preserve">to examine the potential interconnections between </w:t>
      </w:r>
      <w:r w:rsidRPr="009E27D4">
        <w:t xml:space="preserve">SGBV </w:t>
      </w:r>
      <w:r>
        <w:t>and</w:t>
      </w:r>
      <w:r w:rsidRPr="009E27D4">
        <w:t xml:space="preserve"> the broader </w:t>
      </w:r>
      <w:r w:rsidR="00F10A81">
        <w:t xml:space="preserve">terrorist </w:t>
      </w:r>
      <w:r w:rsidRPr="009E27D4">
        <w:t>campaign in interpretat</w:t>
      </w:r>
      <w:r w:rsidR="00F10A81">
        <w:t xml:space="preserve">ing </w:t>
      </w:r>
      <w:r w:rsidRPr="009E27D4">
        <w:t>the evidence</w:t>
      </w:r>
      <w:r>
        <w:t xml:space="preserve"> </w:t>
      </w:r>
      <w:r w:rsidRPr="009E27D4">
        <w:t>and</w:t>
      </w:r>
      <w:r>
        <w:t xml:space="preserve"> </w:t>
      </w:r>
      <w:r w:rsidRPr="009E27D4">
        <w:t>the law</w:t>
      </w:r>
      <w:r w:rsidR="00F10A81">
        <w:t>, paying attention to what patterns of SGBV may ‘communicate’ in armed conflict</w:t>
      </w:r>
      <w:r w:rsidRPr="009E27D4">
        <w:t>.</w:t>
      </w:r>
      <w:r w:rsidR="00F10A81">
        <w:rPr>
          <w:rStyle w:val="Refdenotaalpie"/>
        </w:rPr>
        <w:footnoteReference w:id="48"/>
      </w:r>
      <w:r w:rsidRPr="009E27D4">
        <w:t xml:space="preserve">  </w:t>
      </w:r>
      <w:r w:rsidR="00D637B8">
        <w:t>x</w:t>
      </w:r>
    </w:p>
    <w:p w14:paraId="62FE2706" w14:textId="77777777" w:rsidR="00D975F1" w:rsidRDefault="00D975F1" w:rsidP="00CD1C27">
      <w:pPr>
        <w:spacing w:line="276" w:lineRule="auto"/>
        <w:jc w:val="both"/>
        <w:rPr>
          <w:rFonts w:eastAsia="Times New Roman" w:cstheme="minorHAnsi"/>
          <w:b/>
          <w:bCs/>
          <w:color w:val="000000" w:themeColor="text1"/>
          <w:lang w:eastAsia="en-GB"/>
        </w:rPr>
      </w:pPr>
      <w:bookmarkStart w:id="7" w:name="_Hlk54295733"/>
    </w:p>
    <w:p w14:paraId="6B0E572D" w14:textId="706DBEC5" w:rsidR="00580209" w:rsidRPr="00D975F1" w:rsidRDefault="00580209" w:rsidP="00CD1C27">
      <w:pPr>
        <w:spacing w:line="276" w:lineRule="auto"/>
        <w:jc w:val="both"/>
      </w:pPr>
      <w:r>
        <w:rPr>
          <w:rFonts w:eastAsia="Times New Roman" w:cstheme="minorHAnsi"/>
          <w:b/>
          <w:bCs/>
          <w:lang w:eastAsia="en-GB"/>
        </w:rPr>
        <w:t>2</w:t>
      </w:r>
      <w:r w:rsidRPr="00EE0511">
        <w:rPr>
          <w:rFonts w:eastAsia="Times New Roman" w:cstheme="minorHAnsi"/>
          <w:b/>
          <w:bCs/>
          <w:lang w:eastAsia="en-GB"/>
        </w:rPr>
        <w:t>.</w:t>
      </w:r>
      <w:r w:rsidR="00D975F1">
        <w:rPr>
          <w:rFonts w:eastAsia="Times New Roman" w:cstheme="minorHAnsi"/>
          <w:b/>
          <w:bCs/>
          <w:lang w:eastAsia="en-GB"/>
        </w:rPr>
        <w:t>2</w:t>
      </w:r>
      <w:r w:rsidRPr="00EE0511">
        <w:rPr>
          <w:rFonts w:eastAsia="Times New Roman" w:cstheme="minorHAnsi"/>
          <w:b/>
          <w:bCs/>
          <w:lang w:eastAsia="en-GB"/>
        </w:rPr>
        <w:t>. The Legal Findings</w:t>
      </w:r>
      <w:r w:rsidRPr="001929F2">
        <w:rPr>
          <w:rFonts w:eastAsia="Times New Roman" w:cstheme="minorHAnsi"/>
          <w:b/>
          <w:bCs/>
          <w:lang w:eastAsia="en-GB"/>
        </w:rPr>
        <w:t>:</w:t>
      </w:r>
      <w:r w:rsidRPr="005A28B3">
        <w:rPr>
          <w:rFonts w:eastAsia="Times New Roman" w:cstheme="minorHAnsi"/>
          <w:b/>
          <w:bCs/>
          <w:lang w:eastAsia="en-GB"/>
        </w:rPr>
        <w:t xml:space="preserve"> </w:t>
      </w:r>
      <w:r>
        <w:rPr>
          <w:rFonts w:eastAsia="Times New Roman" w:cstheme="minorHAnsi"/>
          <w:b/>
          <w:bCs/>
          <w:lang w:eastAsia="en-GB"/>
        </w:rPr>
        <w:t>Interpreting Gender as a Social Construct</w:t>
      </w:r>
    </w:p>
    <w:p w14:paraId="3A2A7F7A" w14:textId="5E8D7873" w:rsidR="00B110AB" w:rsidRDefault="00B110AB" w:rsidP="00B110AB">
      <w:pPr>
        <w:spacing w:line="276" w:lineRule="auto"/>
        <w:jc w:val="both"/>
        <w:rPr>
          <w:color w:val="FF0000"/>
        </w:rPr>
      </w:pPr>
      <w:r w:rsidRPr="00F07B6B">
        <w:rPr>
          <w:color w:val="FF0000"/>
        </w:rPr>
        <w:t>T</w:t>
      </w:r>
      <w:r w:rsidR="00F07B6B" w:rsidRPr="00F07B6B">
        <w:rPr>
          <w:color w:val="FF0000"/>
        </w:rPr>
        <w:t>he t</w:t>
      </w:r>
      <w:r w:rsidRPr="00F07B6B">
        <w:rPr>
          <w:color w:val="FF0000"/>
        </w:rPr>
        <w:t xml:space="preserve">rial judges </w:t>
      </w:r>
      <w:r w:rsidR="00F07B6B" w:rsidRPr="00F07B6B">
        <w:rPr>
          <w:color w:val="FF0000"/>
        </w:rPr>
        <w:t xml:space="preserve">in </w:t>
      </w:r>
      <w:r w:rsidR="00F07B6B" w:rsidRPr="00660D45">
        <w:rPr>
          <w:i/>
          <w:iCs/>
          <w:color w:val="FF0000"/>
        </w:rPr>
        <w:t>RUF</w:t>
      </w:r>
      <w:r w:rsidR="00F07B6B">
        <w:rPr>
          <w:color w:val="FF0000"/>
        </w:rPr>
        <w:t xml:space="preserve"> made the legal finding that SGBV constituted acts of terror</w:t>
      </w:r>
      <w:r w:rsidR="00240FE6">
        <w:rPr>
          <w:color w:val="FF0000"/>
        </w:rPr>
        <w:t xml:space="preserve">, hence </w:t>
      </w:r>
      <w:r w:rsidR="00F07B6B">
        <w:rPr>
          <w:color w:val="FF0000"/>
        </w:rPr>
        <w:t xml:space="preserve">recognizing for the first time the </w:t>
      </w:r>
      <w:r w:rsidR="00F07B6B" w:rsidRPr="00F07B6B">
        <w:rPr>
          <w:i/>
          <w:iCs/>
          <w:color w:val="FF0000"/>
        </w:rPr>
        <w:t>nexus</w:t>
      </w:r>
      <w:r w:rsidR="00F07B6B">
        <w:rPr>
          <w:color w:val="FF0000"/>
        </w:rPr>
        <w:t xml:space="preserve"> between SGBV and the war-crime committing acts of terrorism. </w:t>
      </w:r>
      <w:r w:rsidR="00F07B6B" w:rsidRPr="00CC5033">
        <w:t xml:space="preserve">The Chamber stated that </w:t>
      </w:r>
      <w:r w:rsidRPr="00772B10">
        <w:rPr>
          <w:bCs/>
        </w:rPr>
        <w:t xml:space="preserve">rape, sexual slavery, forced marriages and outrages </w:t>
      </w:r>
      <w:r>
        <w:rPr>
          <w:bCs/>
        </w:rPr>
        <w:t>up</w:t>
      </w:r>
      <w:r w:rsidRPr="00772B10">
        <w:rPr>
          <w:bCs/>
        </w:rPr>
        <w:t>on personal dignity</w:t>
      </w:r>
      <w:r>
        <w:rPr>
          <w:bCs/>
        </w:rPr>
        <w:t xml:space="preserve"> “</w:t>
      </w:r>
      <w:r w:rsidRPr="00772B10">
        <w:rPr>
          <w:bCs/>
        </w:rPr>
        <w:t>when committed against a civilian population with the specific intent to terrorise, amount to an act of terror … [</w:t>
      </w:r>
      <w:r>
        <w:rPr>
          <w:bCs/>
        </w:rPr>
        <w:t>and were</w:t>
      </w:r>
      <w:r w:rsidRPr="00772B10">
        <w:rPr>
          <w:bCs/>
        </w:rPr>
        <w:t xml:space="preserve">] </w:t>
      </w:r>
      <w:r w:rsidRPr="005F42B9">
        <w:rPr>
          <w:bCs/>
          <w:i/>
          <w:iCs/>
        </w:rPr>
        <w:t>part of</w:t>
      </w:r>
      <w:r w:rsidRPr="00772B10">
        <w:rPr>
          <w:bCs/>
        </w:rPr>
        <w:t xml:space="preserve"> a campaign to terrorise </w:t>
      </w:r>
      <w:r w:rsidRPr="00772B10">
        <w:t>the civilian population of Sierra Leone.”</w:t>
      </w:r>
      <w:r w:rsidRPr="00772B10">
        <w:rPr>
          <w:rStyle w:val="Refdenotaalpie"/>
        </w:rPr>
        <w:footnoteReference w:id="49"/>
      </w:r>
      <w:r>
        <w:rPr>
          <w:color w:val="FF0000"/>
        </w:rPr>
        <w:t xml:space="preserve"> Although </w:t>
      </w:r>
      <w:r w:rsidR="00660D45">
        <w:rPr>
          <w:color w:val="FF0000"/>
        </w:rPr>
        <w:t xml:space="preserve">the </w:t>
      </w:r>
      <w:r w:rsidR="00F07B6B">
        <w:rPr>
          <w:color w:val="FF0000"/>
        </w:rPr>
        <w:t xml:space="preserve">finding </w:t>
      </w:r>
      <w:r>
        <w:rPr>
          <w:color w:val="FF0000"/>
        </w:rPr>
        <w:t xml:space="preserve">did not </w:t>
      </w:r>
      <w:r w:rsidR="00F07B6B">
        <w:rPr>
          <w:color w:val="FF0000"/>
        </w:rPr>
        <w:t xml:space="preserve">expressly refer to intersectional discrimination, </w:t>
      </w:r>
      <w:r w:rsidR="00660D45">
        <w:rPr>
          <w:color w:val="FF0000"/>
        </w:rPr>
        <w:t xml:space="preserve">implicitly, </w:t>
      </w:r>
      <w:r w:rsidR="00F07B6B">
        <w:rPr>
          <w:color w:val="FF0000"/>
        </w:rPr>
        <w:t xml:space="preserve">the </w:t>
      </w:r>
      <w:r w:rsidR="00A855FD">
        <w:rPr>
          <w:color w:val="FF0000"/>
        </w:rPr>
        <w:t>reasoning denote</w:t>
      </w:r>
      <w:r w:rsidR="00240FE6">
        <w:rPr>
          <w:color w:val="FF0000"/>
        </w:rPr>
        <w:t>s</w:t>
      </w:r>
      <w:r w:rsidR="00A855FD">
        <w:rPr>
          <w:color w:val="FF0000"/>
        </w:rPr>
        <w:t xml:space="preserve"> </w:t>
      </w:r>
      <w:r w:rsidR="00660D45">
        <w:rPr>
          <w:color w:val="FF0000"/>
        </w:rPr>
        <w:t xml:space="preserve">sensitivity </w:t>
      </w:r>
      <w:r w:rsidR="00240FE6">
        <w:rPr>
          <w:color w:val="FF0000"/>
        </w:rPr>
        <w:t>about</w:t>
      </w:r>
      <w:r w:rsidR="00A855FD">
        <w:rPr>
          <w:color w:val="FF0000"/>
        </w:rPr>
        <w:t xml:space="preserve"> the intersection of gender </w:t>
      </w:r>
      <w:r w:rsidR="00240FE6">
        <w:rPr>
          <w:color w:val="FF0000"/>
        </w:rPr>
        <w:t xml:space="preserve">and </w:t>
      </w:r>
      <w:r w:rsidR="00A855FD">
        <w:rPr>
          <w:color w:val="FF0000"/>
        </w:rPr>
        <w:t xml:space="preserve">perpetrators´ intent to destroy, </w:t>
      </w:r>
      <w:r w:rsidR="00240FE6">
        <w:rPr>
          <w:color w:val="FF0000"/>
        </w:rPr>
        <w:t xml:space="preserve">rooted </w:t>
      </w:r>
      <w:r w:rsidR="00A855FD">
        <w:rPr>
          <w:color w:val="FF0000"/>
        </w:rPr>
        <w:t xml:space="preserve">on political discrimination. </w:t>
      </w:r>
      <w:r w:rsidRPr="00B75E8D">
        <w:t xml:space="preserve">As Oosterveld notes, </w:t>
      </w:r>
      <w:r w:rsidRPr="00772B10">
        <w:t xml:space="preserve">an </w:t>
      </w:r>
      <w:r w:rsidRPr="00772B10">
        <w:rPr>
          <w:i/>
          <w:iCs/>
        </w:rPr>
        <w:t xml:space="preserve">intersectional </w:t>
      </w:r>
      <w:r w:rsidRPr="00772B10">
        <w:t xml:space="preserve">analysis was at the heart of </w:t>
      </w:r>
      <w:r w:rsidRPr="00772B10">
        <w:rPr>
          <w:i/>
          <w:iCs/>
        </w:rPr>
        <w:t>RUF</w:t>
      </w:r>
      <w:r w:rsidRPr="00772B10">
        <w:t>´s trial judgment and is arguably its most significant contribution</w:t>
      </w:r>
      <w:r>
        <w:t xml:space="preserve"> because the finding demonstrated that </w:t>
      </w:r>
      <w:r w:rsidRPr="00772B10">
        <w:t>an apparently gender-neutral crime (terrorism) was inherently gendered and played a central role in subjugating the civilian population.</w:t>
      </w:r>
      <w:r w:rsidRPr="00772B10">
        <w:rPr>
          <w:rStyle w:val="Refdenotaalpie"/>
        </w:rPr>
        <w:footnoteReference w:id="50"/>
      </w:r>
      <w:r>
        <w:t xml:space="preserve"> </w:t>
      </w:r>
    </w:p>
    <w:p w14:paraId="2B30F3D0" w14:textId="2D552D72" w:rsidR="00E0507F" w:rsidRPr="00240FE6" w:rsidRDefault="00240FE6" w:rsidP="00E0507F">
      <w:pPr>
        <w:spacing w:line="276" w:lineRule="auto"/>
        <w:jc w:val="both"/>
        <w:rPr>
          <w:rFonts w:eastAsia="Times New Roman" w:cstheme="minorHAnsi"/>
          <w:color w:val="FF0000"/>
          <w:lang w:eastAsia="en-GB"/>
        </w:rPr>
      </w:pPr>
      <w:r>
        <w:rPr>
          <w:rFonts w:eastAsia="Times New Roman" w:cstheme="minorHAnsi"/>
          <w:color w:val="FF0000"/>
          <w:lang w:eastAsia="en-GB"/>
        </w:rPr>
        <w:t xml:space="preserve">The intersectional approach to SGBV by </w:t>
      </w:r>
      <w:r>
        <w:rPr>
          <w:rFonts w:eastAsia="Times New Roman" w:cstheme="minorHAnsi"/>
          <w:i/>
          <w:iCs/>
          <w:color w:val="FF0000"/>
          <w:lang w:eastAsia="en-GB"/>
        </w:rPr>
        <w:t>RUF</w:t>
      </w:r>
      <w:r>
        <w:rPr>
          <w:rFonts w:eastAsia="Times New Roman" w:cstheme="minorHAnsi"/>
          <w:color w:val="FF0000"/>
          <w:lang w:eastAsia="en-GB"/>
        </w:rPr>
        <w:t xml:space="preserve"> trial judges relied on an interpretation of </w:t>
      </w:r>
      <w:r w:rsidR="00A855FD">
        <w:rPr>
          <w:rFonts w:eastAsia="Times New Roman" w:cstheme="minorHAnsi"/>
          <w:color w:val="FF0000"/>
          <w:lang w:eastAsia="en-GB"/>
        </w:rPr>
        <w:t xml:space="preserve">gender as a </w:t>
      </w:r>
      <w:r w:rsidR="00A855FD" w:rsidRPr="00A855FD">
        <w:rPr>
          <w:rFonts w:eastAsia="Times New Roman" w:cstheme="minorHAnsi"/>
          <w:i/>
          <w:iCs/>
          <w:color w:val="FF0000"/>
          <w:lang w:eastAsia="en-GB"/>
        </w:rPr>
        <w:t xml:space="preserve">social </w:t>
      </w:r>
      <w:r w:rsidR="00A855FD">
        <w:rPr>
          <w:rFonts w:eastAsia="Times New Roman" w:cstheme="minorHAnsi"/>
          <w:color w:val="FF0000"/>
          <w:lang w:eastAsia="en-GB"/>
        </w:rPr>
        <w:t>construct</w:t>
      </w:r>
      <w:r w:rsidR="00660D45">
        <w:rPr>
          <w:rFonts w:eastAsia="Times New Roman" w:cstheme="minorHAnsi"/>
          <w:color w:val="FF0000"/>
          <w:lang w:eastAsia="en-GB"/>
        </w:rPr>
        <w:t>,</w:t>
      </w:r>
      <w:r w:rsidR="00A855FD">
        <w:rPr>
          <w:rFonts w:eastAsia="Times New Roman" w:cstheme="minorHAnsi"/>
          <w:color w:val="FF0000"/>
          <w:lang w:eastAsia="en-GB"/>
        </w:rPr>
        <w:t xml:space="preserve"> looking into the effects and meaning of gender-based violence in the context of the </w:t>
      </w:r>
      <w:r>
        <w:rPr>
          <w:rFonts w:eastAsia="Times New Roman" w:cstheme="minorHAnsi"/>
          <w:color w:val="FF0000"/>
          <w:lang w:eastAsia="en-GB"/>
        </w:rPr>
        <w:t xml:space="preserve">ongoing </w:t>
      </w:r>
      <w:r w:rsidR="00A855FD">
        <w:rPr>
          <w:rFonts w:eastAsia="Times New Roman" w:cstheme="minorHAnsi"/>
          <w:color w:val="FF0000"/>
          <w:lang w:eastAsia="en-GB"/>
        </w:rPr>
        <w:t>terrorist campaign. One by one, the Chamber examined the gendered effects of SGBV</w:t>
      </w:r>
      <w:r w:rsidR="004C055C">
        <w:rPr>
          <w:rFonts w:eastAsia="Times New Roman" w:cstheme="minorHAnsi"/>
          <w:color w:val="FF0000"/>
          <w:lang w:eastAsia="en-GB"/>
        </w:rPr>
        <w:t xml:space="preserve"> upon the target population</w:t>
      </w:r>
      <w:r w:rsidR="00A855FD">
        <w:rPr>
          <w:rFonts w:eastAsia="Times New Roman" w:cstheme="minorHAnsi"/>
          <w:color w:val="FF0000"/>
          <w:lang w:eastAsia="en-GB"/>
        </w:rPr>
        <w:t xml:space="preserve">. </w:t>
      </w:r>
      <w:r w:rsidR="00B110AB" w:rsidRPr="00550F1B">
        <w:t xml:space="preserve">Regarding </w:t>
      </w:r>
      <w:r w:rsidR="00B110AB" w:rsidRPr="00550F1B">
        <w:rPr>
          <w:i/>
          <w:iCs/>
        </w:rPr>
        <w:t>r</w:t>
      </w:r>
      <w:r w:rsidR="00B110AB" w:rsidRPr="00772B10">
        <w:rPr>
          <w:i/>
          <w:iCs/>
        </w:rPr>
        <w:t>ape</w:t>
      </w:r>
      <w:r w:rsidR="00B110AB" w:rsidRPr="00772B10">
        <w:t>, the TC reminded its perpetration in regular patterns, its public nature and geographic and temporal proximity to other crimes.</w:t>
      </w:r>
      <w:r w:rsidR="00B110AB" w:rsidRPr="00772B10">
        <w:rPr>
          <w:rStyle w:val="Refdenotaalpie"/>
        </w:rPr>
        <w:footnoteReference w:id="51"/>
      </w:r>
      <w:r w:rsidR="00B110AB" w:rsidRPr="00772B10">
        <w:t xml:space="preserve"> </w:t>
      </w:r>
      <w:r w:rsidR="004C055C">
        <w:t xml:space="preserve">The judges </w:t>
      </w:r>
      <w:r w:rsidR="00B110AB" w:rsidRPr="00772B10">
        <w:t>noted that the general perception that soldiers wh</w:t>
      </w:r>
      <w:r w:rsidR="00B110AB">
        <w:t>o abducted</w:t>
      </w:r>
      <w:r w:rsidR="00B110AB" w:rsidRPr="008050F6">
        <w:rPr>
          <w:i/>
          <w:iCs/>
        </w:rPr>
        <w:t xml:space="preserve"> </w:t>
      </w:r>
      <w:r w:rsidR="00B110AB" w:rsidRPr="00772B10">
        <w:t xml:space="preserve">civilians had “a right to rape them </w:t>
      </w:r>
      <w:r w:rsidR="00B110AB" w:rsidRPr="00772B10">
        <w:lastRenderedPageBreak/>
        <w:t>and make them their wives” was indicative of an “atmosphere of terror</w:t>
      </w:r>
      <w:r w:rsidR="00B110AB">
        <w:t>”</w:t>
      </w:r>
      <w:r w:rsidR="004C055C">
        <w:t xml:space="preserve">, </w:t>
      </w:r>
      <w:r w:rsidR="00B110AB">
        <w:t xml:space="preserve">inferring perpetrators´ aim </w:t>
      </w:r>
      <w:r w:rsidR="00B110AB" w:rsidRPr="00772B10">
        <w:t xml:space="preserve">to demonstrate </w:t>
      </w:r>
      <w:r w:rsidR="00B110AB">
        <w:t xml:space="preserve">that </w:t>
      </w:r>
      <w:r w:rsidR="00B110AB" w:rsidRPr="00772B10">
        <w:t>communities were “unable to protect their own wives, daughters, mothers and sisters … perpetuating a constant threat of insecurity that pervaded daily live and afflicted both men and women.”</w:t>
      </w:r>
      <w:r w:rsidR="00B110AB" w:rsidRPr="00772B10">
        <w:rPr>
          <w:rStyle w:val="Refdenotaalpie"/>
        </w:rPr>
        <w:footnoteReference w:id="52"/>
      </w:r>
      <w:r w:rsidR="00B110AB" w:rsidRPr="00772B10">
        <w:t xml:space="preserve"> </w:t>
      </w:r>
      <w:r w:rsidR="00B110AB" w:rsidRPr="008050F6">
        <w:t xml:space="preserve">Addressing </w:t>
      </w:r>
      <w:r w:rsidR="00B110AB" w:rsidRPr="008050F6">
        <w:rPr>
          <w:i/>
          <w:iCs/>
        </w:rPr>
        <w:t>forced</w:t>
      </w:r>
      <w:r w:rsidR="00B110AB" w:rsidRPr="00772B10">
        <w:rPr>
          <w:b/>
          <w:bCs/>
          <w:i/>
          <w:iCs/>
        </w:rPr>
        <w:t xml:space="preserve"> </w:t>
      </w:r>
      <w:r w:rsidR="00B110AB" w:rsidRPr="00772B10">
        <w:rPr>
          <w:i/>
          <w:iCs/>
        </w:rPr>
        <w:t>marriage</w:t>
      </w:r>
      <w:r w:rsidR="00B110AB" w:rsidRPr="004C055C">
        <w:t xml:space="preserve"> and</w:t>
      </w:r>
      <w:r w:rsidR="00B110AB" w:rsidRPr="00772B10">
        <w:rPr>
          <w:i/>
          <w:iCs/>
        </w:rPr>
        <w:t xml:space="preserve"> sexual slavery</w:t>
      </w:r>
      <w:r w:rsidR="00B110AB" w:rsidRPr="00772B10">
        <w:t xml:space="preserve">, trial judges recalled the consistent pattern of </w:t>
      </w:r>
      <w:r w:rsidR="00B110AB" w:rsidRPr="008050F6">
        <w:t>capturing and</w:t>
      </w:r>
      <w:r w:rsidR="00B110AB" w:rsidRPr="00772B10">
        <w:rPr>
          <w:i/>
          <w:iCs/>
        </w:rPr>
        <w:t xml:space="preserve"> </w:t>
      </w:r>
      <w:r w:rsidR="00B110AB" w:rsidRPr="004C055C">
        <w:t xml:space="preserve">abducing </w:t>
      </w:r>
      <w:r w:rsidR="00B110AB" w:rsidRPr="00772B10">
        <w:t>women of all ages and forcing them into prolonged relationships as bush wives.</w:t>
      </w:r>
      <w:r w:rsidR="00B110AB" w:rsidRPr="00772B10">
        <w:rPr>
          <w:rStyle w:val="Refdenotaalpie"/>
        </w:rPr>
        <w:footnoteReference w:id="53"/>
      </w:r>
      <w:r w:rsidR="00B110AB" w:rsidRPr="00772B10">
        <w:t xml:space="preserve"> As a result, forced marriage and sexual slavery “stigmatise[d] women, who lived in shame and fear of returning to their communities after conflict”.</w:t>
      </w:r>
      <w:r w:rsidR="00B110AB" w:rsidRPr="00772B10">
        <w:rPr>
          <w:rStyle w:val="Refdenotaalpie"/>
        </w:rPr>
        <w:footnoteReference w:id="54"/>
      </w:r>
      <w:r w:rsidR="00B110AB" w:rsidRPr="00772B10">
        <w:t xml:space="preserve"> </w:t>
      </w:r>
      <w:r w:rsidR="00B110AB" w:rsidRPr="00CC5033">
        <w:t xml:space="preserve">Critically, </w:t>
      </w:r>
      <w:r w:rsidR="00B110AB" w:rsidRPr="00772B10">
        <w:t xml:space="preserve">judges found that “the use of the term “wife” by rebels was deliberate and </w:t>
      </w:r>
      <w:r w:rsidR="00B110AB" w:rsidRPr="004C055C">
        <w:rPr>
          <w:i/>
          <w:iCs/>
        </w:rPr>
        <w:t>strategic</w:t>
      </w:r>
      <w:r w:rsidR="00B110AB" w:rsidRPr="004C055C">
        <w:t>,</w:t>
      </w:r>
      <w:r w:rsidR="00B110AB" w:rsidRPr="00772B10">
        <w:t xml:space="preserve"> with the aim of enslaving and psychologically manipulating the women and with the purpose of treating them like possessions.”</w:t>
      </w:r>
      <w:r w:rsidR="00B110AB" w:rsidRPr="00772B10">
        <w:rPr>
          <w:rStyle w:val="Refdenotaalpie"/>
        </w:rPr>
        <w:footnoteReference w:id="55"/>
      </w:r>
      <w:r w:rsidR="00B110AB" w:rsidRPr="00772B10">
        <w:t xml:space="preserve"> </w:t>
      </w:r>
      <w:r w:rsidR="00B110AB">
        <w:t xml:space="preserve">The Chamber concluded that the patterns of </w:t>
      </w:r>
      <w:r w:rsidR="00B110AB" w:rsidRPr="00772B10">
        <w:t xml:space="preserve">sexual enslavement </w:t>
      </w:r>
      <w:r w:rsidR="00B110AB">
        <w:t xml:space="preserve">demonstrated its use </w:t>
      </w:r>
      <w:r w:rsidR="00B110AB" w:rsidRPr="00772B10">
        <w:t xml:space="preserve">as “a deliberate system intended to spread terror by the mass </w:t>
      </w:r>
      <w:r w:rsidR="00B110AB" w:rsidRPr="00772B10">
        <w:rPr>
          <w:i/>
          <w:iCs/>
        </w:rPr>
        <w:t xml:space="preserve">abductions </w:t>
      </w:r>
      <w:r w:rsidR="00B110AB" w:rsidRPr="00772B10">
        <w:t>of women.”</w:t>
      </w:r>
      <w:r w:rsidR="00B110AB" w:rsidRPr="00772B10">
        <w:rPr>
          <w:rStyle w:val="Refdenotaalpie"/>
        </w:rPr>
        <w:footnoteReference w:id="56"/>
      </w:r>
      <w:r w:rsidR="004C055C">
        <w:t xml:space="preserve"> </w:t>
      </w:r>
      <w:r w:rsidR="00D11A5F">
        <w:rPr>
          <w:color w:val="FF0000"/>
        </w:rPr>
        <w:t xml:space="preserve">The intersection of discrimination on gender and group (political) identity was at the heart of the judicial analysis of SGBV and triggered the interlink of the crimes of SGBV and terrorism. </w:t>
      </w:r>
      <w:r w:rsidR="00D11A5F" w:rsidRPr="00B75E8D">
        <w:t xml:space="preserve">Confirming such dynamic </w:t>
      </w:r>
      <w:r w:rsidR="00A22564" w:rsidRPr="00B61F80">
        <w:t>t</w:t>
      </w:r>
      <w:r w:rsidR="00E0507F" w:rsidRPr="00B61F80">
        <w:t xml:space="preserve">he  </w:t>
      </w:r>
      <w:r w:rsidR="00E0507F" w:rsidRPr="00772B10">
        <w:t xml:space="preserve">joint analysis of forced marriage and sexual slavery </w:t>
      </w:r>
      <w:r w:rsidR="00A22564">
        <w:t xml:space="preserve">was key </w:t>
      </w:r>
      <w:r w:rsidR="00E0507F">
        <w:t>to</w:t>
      </w:r>
      <w:r w:rsidR="00E0507F" w:rsidRPr="00772B10">
        <w:t xml:space="preserve"> prov</w:t>
      </w:r>
      <w:r w:rsidR="00E0507F">
        <w:t>e</w:t>
      </w:r>
      <w:r w:rsidR="00E0507F" w:rsidRPr="00772B10">
        <w:t xml:space="preserve"> the war crime of committing acts of terrorism </w:t>
      </w:r>
      <w:r w:rsidR="00E0507F">
        <w:t xml:space="preserve">by means of </w:t>
      </w:r>
      <w:r w:rsidR="00E0507F" w:rsidRPr="00772B10">
        <w:t xml:space="preserve">SGBV, especially the use of the term “wife” </w:t>
      </w:r>
      <w:r w:rsidR="00E0507F">
        <w:t xml:space="preserve">that </w:t>
      </w:r>
      <w:r w:rsidR="00E0507F" w:rsidRPr="00772B10">
        <w:t>not only provid</w:t>
      </w:r>
      <w:r w:rsidR="00E0507F">
        <w:t>ed</w:t>
      </w:r>
      <w:r w:rsidR="00E0507F" w:rsidRPr="00772B10">
        <w:t xml:space="preserve"> access to women but also establish</w:t>
      </w:r>
      <w:r w:rsidR="00E0507F">
        <w:t>ed</w:t>
      </w:r>
      <w:r w:rsidR="00E0507F" w:rsidRPr="00772B10">
        <w:t xml:space="preserve"> a system of overarching control over the population.</w:t>
      </w:r>
      <w:r w:rsidR="00E0507F" w:rsidRPr="00772B10">
        <w:rPr>
          <w:rStyle w:val="Refdenotaalpie"/>
        </w:rPr>
        <w:footnoteReference w:id="57"/>
      </w:r>
      <w:r w:rsidR="00E0507F">
        <w:t xml:space="preserve"> </w:t>
      </w:r>
    </w:p>
    <w:p w14:paraId="5162673E" w14:textId="462BE4A1" w:rsidR="00580209" w:rsidRDefault="00E0507F" w:rsidP="00CD1C27">
      <w:pPr>
        <w:spacing w:line="276" w:lineRule="auto"/>
        <w:jc w:val="both"/>
      </w:pPr>
      <w:r>
        <w:rPr>
          <w:color w:val="FF0000"/>
        </w:rPr>
        <w:t>The intersectional analysis reached its apex when trial judges considered, after a nuanced contextualization of the patterns of SGBV</w:t>
      </w:r>
      <w:r w:rsidR="00660D45">
        <w:rPr>
          <w:color w:val="FF0000"/>
        </w:rPr>
        <w:t>,</w:t>
      </w:r>
      <w:r>
        <w:rPr>
          <w:color w:val="FF0000"/>
        </w:rPr>
        <w:t xml:space="preserve"> the </w:t>
      </w:r>
      <w:r w:rsidRPr="00660D45">
        <w:rPr>
          <w:i/>
          <w:iCs/>
          <w:color w:val="FF0000"/>
        </w:rPr>
        <w:t>overall effects</w:t>
      </w:r>
      <w:r>
        <w:rPr>
          <w:color w:val="FF0000"/>
        </w:rPr>
        <w:t xml:space="preserve"> of gender-based violence</w:t>
      </w:r>
      <w:r w:rsidR="0084773D">
        <w:rPr>
          <w:color w:val="FF0000"/>
        </w:rPr>
        <w:t xml:space="preserve">. </w:t>
      </w:r>
      <w:r w:rsidRPr="00660D45">
        <w:t xml:space="preserve">The legal reasoning denotes what Oosterveld has called a </w:t>
      </w:r>
      <w:r w:rsidRPr="00660D45">
        <w:rPr>
          <w:i/>
          <w:iCs/>
        </w:rPr>
        <w:t>patterns and effects</w:t>
      </w:r>
      <w:r w:rsidRPr="00660D45">
        <w:t xml:space="preserve"> </w:t>
      </w:r>
      <w:r w:rsidRPr="00660D45">
        <w:rPr>
          <w:rFonts w:eastAsia="Times New Roman" w:cstheme="minorHAnsi"/>
          <w:lang w:eastAsia="en-GB"/>
        </w:rPr>
        <w:t>approach to understand the real nature of SGBV:  F</w:t>
      </w:r>
      <w:r w:rsidRPr="00660D45">
        <w:t xml:space="preserve">irst, conducting a nuanced examination of different SGBV crimes (patterns), and then constructing the bigger picture of the overall patterns and effects, better capturing the ways in </w:t>
      </w:r>
      <w:r w:rsidR="0084773D">
        <w:t xml:space="preserve">which </w:t>
      </w:r>
      <w:r w:rsidRPr="00660D45">
        <w:t>SGBV contributed to terrorize civilians.</w:t>
      </w:r>
      <w:r w:rsidRPr="00660D45">
        <w:rPr>
          <w:rStyle w:val="Refdenotaalpie"/>
        </w:rPr>
        <w:footnoteReference w:id="58"/>
      </w:r>
      <w:r w:rsidRPr="00660D45">
        <w:t xml:space="preserve"> </w:t>
      </w:r>
      <w:r w:rsidR="00580209">
        <w:t>Indeed, consideration for the extended effects of gender-based violence in society was the cornerstone of the judicial reasoning, leading to t</w:t>
      </w:r>
      <w:bookmarkStart w:id="8" w:name="_Hlk54295858"/>
      <w:r w:rsidR="00660D45">
        <w:t xml:space="preserve">he conclusion that </w:t>
      </w:r>
      <w:r>
        <w:t xml:space="preserve">SGBV amounted to acts of terror. </w:t>
      </w:r>
      <w:bookmarkEnd w:id="8"/>
      <w:r w:rsidR="00580209">
        <w:t>Noting judicial sensitivity</w:t>
      </w:r>
      <w:r w:rsidR="0084773D">
        <w:t xml:space="preserve"> </w:t>
      </w:r>
      <w:r w:rsidR="00580209">
        <w:t>inferring the inter</w:t>
      </w:r>
      <w:r w:rsidR="0084773D">
        <w:t>link</w:t>
      </w:r>
      <w:r w:rsidR="00580209">
        <w:t xml:space="preserve"> of SGBV and terrorism through the social </w:t>
      </w:r>
      <w:r w:rsidR="00580209" w:rsidRPr="00987A47">
        <w:rPr>
          <w:i/>
          <w:iCs/>
        </w:rPr>
        <w:t>effects</w:t>
      </w:r>
      <w:r w:rsidR="00580209">
        <w:t xml:space="preserve"> of gender, the Chamber held:</w:t>
      </w:r>
    </w:p>
    <w:p w14:paraId="16623292" w14:textId="77777777" w:rsidR="00580209" w:rsidRPr="00772B10" w:rsidRDefault="00580209" w:rsidP="00CD1C27">
      <w:pPr>
        <w:spacing w:line="276" w:lineRule="auto"/>
        <w:ind w:left="720"/>
        <w:jc w:val="both"/>
        <w:rPr>
          <w:sz w:val="20"/>
          <w:szCs w:val="20"/>
        </w:rPr>
      </w:pPr>
      <w:r w:rsidRPr="005F42B9">
        <w:rPr>
          <w:sz w:val="20"/>
          <w:szCs w:val="20"/>
        </w:rPr>
        <w:t>We note that the physical and psychological pain and fear inflicted on the women not only abused, debased and isolated the individual victim, but deliberately destroyed the existing family nucleus, thus undermining the cultural values and</w:t>
      </w:r>
      <w:r w:rsidRPr="00772B10">
        <w:rPr>
          <w:sz w:val="20"/>
          <w:szCs w:val="20"/>
        </w:rPr>
        <w:t xml:space="preserve"> relationships which held the societies together. Victims of sexual violence were ostracised, husbands left their wives, and daughters and young girls were unable to marry within their community … The Chamber finds that these effects of sexual violence were so common that it is apparent they were calculated consequences of the perpetrators’ acts</w:t>
      </w:r>
      <w:r>
        <w:rPr>
          <w:sz w:val="20"/>
          <w:szCs w:val="20"/>
        </w:rPr>
        <w:t>.</w:t>
      </w:r>
      <w:r>
        <w:rPr>
          <w:rStyle w:val="Refdenotaalpie"/>
          <w:sz w:val="20"/>
          <w:szCs w:val="20"/>
        </w:rPr>
        <w:footnoteReference w:id="59"/>
      </w:r>
    </w:p>
    <w:bookmarkEnd w:id="7"/>
    <w:p w14:paraId="1D31C838" w14:textId="4B82CDAB" w:rsidR="00580209" w:rsidRPr="00793912" w:rsidRDefault="00580209" w:rsidP="00CD1C27">
      <w:pPr>
        <w:spacing w:line="276" w:lineRule="auto"/>
        <w:jc w:val="both"/>
        <w:rPr>
          <w:b/>
          <w:bCs/>
        </w:rPr>
      </w:pPr>
      <w:r w:rsidRPr="00793912">
        <w:rPr>
          <w:b/>
          <w:bCs/>
        </w:rPr>
        <w:lastRenderedPageBreak/>
        <w:t>2.</w:t>
      </w:r>
      <w:r w:rsidR="00D975F1">
        <w:rPr>
          <w:b/>
          <w:bCs/>
        </w:rPr>
        <w:t>3</w:t>
      </w:r>
      <w:r w:rsidRPr="00793912">
        <w:rPr>
          <w:b/>
          <w:bCs/>
        </w:rPr>
        <w:t xml:space="preserve"> Failure to </w:t>
      </w:r>
      <w:r w:rsidR="00793912">
        <w:rPr>
          <w:b/>
          <w:bCs/>
        </w:rPr>
        <w:t xml:space="preserve">Identify </w:t>
      </w:r>
      <w:r w:rsidRPr="00793912">
        <w:rPr>
          <w:b/>
          <w:bCs/>
        </w:rPr>
        <w:t xml:space="preserve">the </w:t>
      </w:r>
      <w:r w:rsidR="003B1208">
        <w:rPr>
          <w:b/>
          <w:bCs/>
        </w:rPr>
        <w:t xml:space="preserve">Interlink </w:t>
      </w:r>
      <w:r w:rsidR="00793912">
        <w:rPr>
          <w:b/>
          <w:bCs/>
        </w:rPr>
        <w:t>b</w:t>
      </w:r>
      <w:r w:rsidRPr="00793912">
        <w:rPr>
          <w:b/>
          <w:bCs/>
        </w:rPr>
        <w:t xml:space="preserve">etween </w:t>
      </w:r>
      <w:r w:rsidR="00793912">
        <w:rPr>
          <w:b/>
          <w:bCs/>
        </w:rPr>
        <w:t>T</w:t>
      </w:r>
      <w:r w:rsidRPr="00793912">
        <w:rPr>
          <w:b/>
          <w:bCs/>
        </w:rPr>
        <w:t xml:space="preserve">rafficking, SGBV and </w:t>
      </w:r>
      <w:r w:rsidR="00793912">
        <w:rPr>
          <w:b/>
          <w:bCs/>
        </w:rPr>
        <w:t>T</w:t>
      </w:r>
      <w:r w:rsidRPr="00793912">
        <w:rPr>
          <w:b/>
          <w:bCs/>
        </w:rPr>
        <w:t xml:space="preserve">errorism  </w:t>
      </w:r>
    </w:p>
    <w:p w14:paraId="10C4005C" w14:textId="5180D4E4" w:rsidR="00580209" w:rsidRDefault="00580209" w:rsidP="00DD50D3">
      <w:pPr>
        <w:spacing w:line="276" w:lineRule="auto"/>
        <w:jc w:val="both"/>
      </w:pPr>
      <w:r w:rsidRPr="00DD50D3">
        <w:rPr>
          <w:color w:val="FF0000"/>
        </w:rPr>
        <w:t>On the critical side, neither the</w:t>
      </w:r>
      <w:r w:rsidR="00DD50D3" w:rsidRPr="00DD50D3">
        <w:rPr>
          <w:color w:val="FF0000"/>
        </w:rPr>
        <w:t xml:space="preserve"> </w:t>
      </w:r>
      <w:r w:rsidR="00DD50D3" w:rsidRPr="00DD50D3">
        <w:rPr>
          <w:i/>
          <w:iCs/>
          <w:color w:val="FF0000"/>
        </w:rPr>
        <w:t>RUF</w:t>
      </w:r>
      <w:r w:rsidRPr="00DD50D3">
        <w:rPr>
          <w:color w:val="FF0000"/>
        </w:rPr>
        <w:t xml:space="preserve"> </w:t>
      </w:r>
      <w:r w:rsidRPr="00DB7B16">
        <w:rPr>
          <w:color w:val="FF0000"/>
        </w:rPr>
        <w:t xml:space="preserve">trial judges </w:t>
      </w:r>
      <w:r>
        <w:rPr>
          <w:color w:val="FF0000"/>
        </w:rPr>
        <w:t xml:space="preserve">nor the prosecutor identified </w:t>
      </w:r>
      <w:r w:rsidR="00DD50D3">
        <w:rPr>
          <w:color w:val="FF0000"/>
        </w:rPr>
        <w:t xml:space="preserve">‘trafficking’ as a crime </w:t>
      </w:r>
      <w:r w:rsidRPr="005443ED">
        <w:rPr>
          <w:color w:val="FF0000"/>
        </w:rPr>
        <w:t>interlink</w:t>
      </w:r>
      <w:r w:rsidR="00DD50D3">
        <w:rPr>
          <w:color w:val="FF0000"/>
        </w:rPr>
        <w:t>ed</w:t>
      </w:r>
      <w:r w:rsidRPr="005443ED">
        <w:rPr>
          <w:color w:val="FF0000"/>
        </w:rPr>
        <w:t xml:space="preserve"> </w:t>
      </w:r>
      <w:r w:rsidR="00DD50D3">
        <w:rPr>
          <w:color w:val="FF0000"/>
        </w:rPr>
        <w:t xml:space="preserve">with </w:t>
      </w:r>
      <w:r w:rsidRPr="00C1479D">
        <w:rPr>
          <w:color w:val="FF0000"/>
        </w:rPr>
        <w:t>the crimes of SGBV and terrorism, despite evidence</w:t>
      </w:r>
      <w:r>
        <w:rPr>
          <w:color w:val="FF0000"/>
        </w:rPr>
        <w:t xml:space="preserve"> </w:t>
      </w:r>
      <w:r w:rsidR="00DD50D3">
        <w:rPr>
          <w:color w:val="FF0000"/>
        </w:rPr>
        <w:t xml:space="preserve">of </w:t>
      </w:r>
      <w:r w:rsidRPr="00C1479D">
        <w:rPr>
          <w:color w:val="FF0000"/>
        </w:rPr>
        <w:t xml:space="preserve">patterns of trafficking for sexual exploitation </w:t>
      </w:r>
      <w:r>
        <w:rPr>
          <w:color w:val="FF0000"/>
        </w:rPr>
        <w:t>during the terrorist campaign.</w:t>
      </w:r>
      <w:r w:rsidR="004B4A25">
        <w:rPr>
          <w:rStyle w:val="Refdenotaalpie"/>
          <w:color w:val="FF0000"/>
        </w:rPr>
        <w:footnoteReference w:id="60"/>
      </w:r>
      <w:r>
        <w:rPr>
          <w:color w:val="FF0000"/>
        </w:rPr>
        <w:t xml:space="preserve">  </w:t>
      </w:r>
      <w:r w:rsidRPr="001E2244">
        <w:rPr>
          <w:color w:val="FF0000"/>
        </w:rPr>
        <w:t>Although trafficking is not an offence foreseen by the SCSL Statu</w:t>
      </w:r>
      <w:r>
        <w:rPr>
          <w:color w:val="FF0000"/>
        </w:rPr>
        <w:t>t</w:t>
      </w:r>
      <w:r w:rsidRPr="001E2244">
        <w:rPr>
          <w:color w:val="FF0000"/>
        </w:rPr>
        <w:t xml:space="preserve">e, by silencing it the SCSL missed </w:t>
      </w:r>
      <w:r>
        <w:rPr>
          <w:color w:val="FF0000"/>
        </w:rPr>
        <w:t>a two-fold</w:t>
      </w:r>
      <w:r w:rsidRPr="001E2244">
        <w:rPr>
          <w:color w:val="FF0000"/>
        </w:rPr>
        <w:t xml:space="preserve"> opportunity</w:t>
      </w:r>
      <w:r>
        <w:rPr>
          <w:color w:val="FF0000"/>
        </w:rPr>
        <w:t xml:space="preserve">. The Court failed to </w:t>
      </w:r>
      <w:r w:rsidRPr="005443ED">
        <w:rPr>
          <w:color w:val="FF0000"/>
        </w:rPr>
        <w:t>express</w:t>
      </w:r>
      <w:r w:rsidRPr="001E2244">
        <w:rPr>
          <w:color w:val="FF0000"/>
        </w:rPr>
        <w:t xml:space="preserve"> the gravity of </w:t>
      </w:r>
      <w:r>
        <w:rPr>
          <w:color w:val="FF0000"/>
        </w:rPr>
        <w:t xml:space="preserve">gender-discrimination and harms </w:t>
      </w:r>
      <w:r w:rsidRPr="001E2244">
        <w:rPr>
          <w:color w:val="FF0000"/>
        </w:rPr>
        <w:t xml:space="preserve">experienced by </w:t>
      </w:r>
      <w:r w:rsidRPr="005443ED">
        <w:rPr>
          <w:color w:val="FF0000"/>
        </w:rPr>
        <w:t xml:space="preserve">the </w:t>
      </w:r>
      <w:r w:rsidRPr="001E2244">
        <w:rPr>
          <w:color w:val="FF0000"/>
        </w:rPr>
        <w:t xml:space="preserve">women and girls </w:t>
      </w:r>
      <w:r w:rsidR="00DD50D3">
        <w:rPr>
          <w:color w:val="FF0000"/>
        </w:rPr>
        <w:t>of</w:t>
      </w:r>
      <w:r w:rsidRPr="001E2244">
        <w:rPr>
          <w:color w:val="FF0000"/>
        </w:rPr>
        <w:t xml:space="preserve"> Sierra Leone</w:t>
      </w:r>
      <w:r>
        <w:rPr>
          <w:color w:val="FF0000"/>
        </w:rPr>
        <w:t xml:space="preserve">, and to reflect the gravity of gender-based crimes as part of perpetrators´ </w:t>
      </w:r>
      <w:r w:rsidRPr="00DD52A6">
        <w:rPr>
          <w:color w:val="FF0000"/>
        </w:rPr>
        <w:t xml:space="preserve">broader </w:t>
      </w:r>
      <w:r w:rsidR="00DD52A6" w:rsidRPr="00DD52A6">
        <w:rPr>
          <w:color w:val="FF0000"/>
        </w:rPr>
        <w:t>strategy</w:t>
      </w:r>
      <w:r w:rsidR="00DD52A6">
        <w:rPr>
          <w:color w:val="FF0000"/>
        </w:rPr>
        <w:t xml:space="preserve"> </w:t>
      </w:r>
      <w:r>
        <w:rPr>
          <w:color w:val="FF0000"/>
        </w:rPr>
        <w:t>to spread terror</w:t>
      </w:r>
      <w:r>
        <w:t xml:space="preserve">. </w:t>
      </w:r>
    </w:p>
    <w:p w14:paraId="0002B327" w14:textId="676594F4" w:rsidR="00580209" w:rsidRPr="00C97F4B" w:rsidRDefault="00580209" w:rsidP="00DD50D3">
      <w:pPr>
        <w:spacing w:line="276" w:lineRule="auto"/>
        <w:jc w:val="both"/>
        <w:rPr>
          <w:color w:val="4472C4" w:themeColor="accent1"/>
        </w:rPr>
      </w:pPr>
      <w:r w:rsidRPr="00DD52A6">
        <w:rPr>
          <w:color w:val="FF0000"/>
        </w:rPr>
        <w:t xml:space="preserve">Trafficking in persons required recognition </w:t>
      </w:r>
      <w:r w:rsidR="00DD50D3">
        <w:rPr>
          <w:color w:val="FF0000"/>
        </w:rPr>
        <w:t xml:space="preserve">by the </w:t>
      </w:r>
      <w:r w:rsidRPr="00DD52A6">
        <w:rPr>
          <w:i/>
          <w:iCs/>
          <w:color w:val="FF0000"/>
        </w:rPr>
        <w:t>RUF´</w:t>
      </w:r>
      <w:r w:rsidRPr="00DD52A6">
        <w:rPr>
          <w:color w:val="FF0000"/>
        </w:rPr>
        <w:t xml:space="preserve">s trial </w:t>
      </w:r>
      <w:r w:rsidR="00DD50D3">
        <w:rPr>
          <w:color w:val="FF0000"/>
        </w:rPr>
        <w:t>judgment</w:t>
      </w:r>
      <w:r w:rsidRPr="00DD52A6">
        <w:rPr>
          <w:color w:val="FF0000"/>
        </w:rPr>
        <w:t xml:space="preserve"> given the gravity of this offence considered a contemporary form of slavery by many international instruments and jurisprudence</w:t>
      </w:r>
      <w:r>
        <w:rPr>
          <w:color w:val="4472C4" w:themeColor="accent1"/>
        </w:rPr>
        <w:t>.</w:t>
      </w:r>
      <w:r w:rsidR="00DD52A6" w:rsidRPr="00DD50D3">
        <w:rPr>
          <w:rStyle w:val="Refdenotaalpie"/>
          <w:color w:val="FF0000"/>
        </w:rPr>
        <w:footnoteReference w:id="61"/>
      </w:r>
      <w:r w:rsidRPr="00DD50D3">
        <w:rPr>
          <w:color w:val="FF0000"/>
        </w:rPr>
        <w:t xml:space="preserve"> </w:t>
      </w:r>
      <w:r w:rsidRPr="00B5211F">
        <w:rPr>
          <w:color w:val="000000" w:themeColor="text1"/>
        </w:rPr>
        <w:t>The Palermo Protocol defines trafficking</w:t>
      </w:r>
      <w:r w:rsidR="007E446A">
        <w:rPr>
          <w:color w:val="000000" w:themeColor="text1"/>
        </w:rPr>
        <w:t xml:space="preserve"> in persons </w:t>
      </w:r>
      <w:r>
        <w:t xml:space="preserve">by three elements: the transfer or movement of people, the use of force or coercion, and the purpose of </w:t>
      </w:r>
      <w:r w:rsidR="007E446A">
        <w:t>exploitation,</w:t>
      </w:r>
      <w:r>
        <w:t xml:space="preserve"> including sexual exploitation.</w:t>
      </w:r>
      <w:r>
        <w:rPr>
          <w:rStyle w:val="Refdenotaalpie"/>
        </w:rPr>
        <w:footnoteReference w:id="62"/>
      </w:r>
      <w:r>
        <w:t xml:space="preserve"> In </w:t>
      </w:r>
      <w:r w:rsidRPr="000428DB">
        <w:rPr>
          <w:i/>
          <w:iCs/>
        </w:rPr>
        <w:t>RUF</w:t>
      </w:r>
      <w:r>
        <w:t>, the facts fitted the</w:t>
      </w:r>
      <w:r w:rsidR="007E446A">
        <w:t>se</w:t>
      </w:r>
      <w:r>
        <w:t xml:space="preserve"> elements of crime revealing that trafficking was</w:t>
      </w:r>
      <w:r w:rsidR="007E446A">
        <w:t xml:space="preserve"> taking place. </w:t>
      </w:r>
      <w:r w:rsidR="00DD50D3">
        <w:t>T</w:t>
      </w:r>
      <w:r>
        <w:t>rial judges themselves acknowledged</w:t>
      </w:r>
      <w:r w:rsidR="007E446A">
        <w:t xml:space="preserve"> the existence of patterns of </w:t>
      </w:r>
      <w:r w:rsidR="00DD50D3">
        <w:t xml:space="preserve">trafficking </w:t>
      </w:r>
      <w:r w:rsidR="007E446A">
        <w:t xml:space="preserve">by identifying: the </w:t>
      </w:r>
      <w:r>
        <w:t>widespread and systematic abduction of women and girls by the RUF (i.e. elements of transfer and force or coercion)</w:t>
      </w:r>
      <w:r w:rsidR="007E446A">
        <w:rPr>
          <w:rStyle w:val="Refdenotaalpie"/>
        </w:rPr>
        <w:footnoteReference w:id="63"/>
      </w:r>
      <w:r>
        <w:t xml:space="preserve"> followed by their sexual exploitation through rape, force marriages and sexual enslavement (i.e. </w:t>
      </w:r>
      <w:r w:rsidR="007E446A">
        <w:t xml:space="preserve">exploitation </w:t>
      </w:r>
      <w:r>
        <w:t>element).</w:t>
      </w:r>
      <w:r w:rsidR="007E446A">
        <w:rPr>
          <w:rStyle w:val="Refdenotaalpie"/>
        </w:rPr>
        <w:footnoteReference w:id="64"/>
      </w:r>
      <w:r>
        <w:t xml:space="preserve"> </w:t>
      </w:r>
      <w:r w:rsidR="007E446A">
        <w:t>However</w:t>
      </w:r>
      <w:r>
        <w:t xml:space="preserve">, the identification of </w:t>
      </w:r>
      <w:r w:rsidR="007E446A">
        <w:t xml:space="preserve">trafficking </w:t>
      </w:r>
      <w:r>
        <w:t xml:space="preserve">patterns did not lead to its logical recognition by the law demonstrating </w:t>
      </w:r>
      <w:r w:rsidR="00DD50D3">
        <w:t xml:space="preserve">the </w:t>
      </w:r>
      <w:r w:rsidR="007E446A">
        <w:t>persisten</w:t>
      </w:r>
      <w:r w:rsidR="00DD50D3">
        <w:t xml:space="preserve">ce of </w:t>
      </w:r>
      <w:r w:rsidR="007E446A">
        <w:t xml:space="preserve">constrains in ICL to make </w:t>
      </w:r>
      <w:r>
        <w:t>gender-based harms</w:t>
      </w:r>
      <w:r w:rsidR="00DC00DC">
        <w:t xml:space="preserve">, </w:t>
      </w:r>
      <w:r>
        <w:t>that mostly affect women and girls</w:t>
      </w:r>
      <w:r w:rsidR="00DC00DC">
        <w:t>, visible.</w:t>
      </w:r>
    </w:p>
    <w:p w14:paraId="362CA17D" w14:textId="3E13F649" w:rsidR="00580209" w:rsidRDefault="00580209" w:rsidP="00DD50D3">
      <w:pPr>
        <w:spacing w:line="276" w:lineRule="auto"/>
        <w:jc w:val="both"/>
        <w:rPr>
          <w:color w:val="FF0000"/>
        </w:rPr>
      </w:pPr>
      <w:r w:rsidRPr="0054219C">
        <w:rPr>
          <w:color w:val="FF0000"/>
        </w:rPr>
        <w:t xml:space="preserve">Although the SCSL could not adjudicate on `trafficking’ </w:t>
      </w:r>
      <w:r w:rsidR="0054219C" w:rsidRPr="0054219C">
        <w:rPr>
          <w:color w:val="FF0000"/>
        </w:rPr>
        <w:t xml:space="preserve">because this crime was not </w:t>
      </w:r>
      <w:r w:rsidRPr="0054219C">
        <w:rPr>
          <w:color w:val="FF0000"/>
        </w:rPr>
        <w:t>foreseen by the Statute, by not recognizing – naming – this massive practice the Court erased these grave harms from the narrative of what truly happened</w:t>
      </w:r>
      <w:r w:rsidR="0054219C" w:rsidRPr="0054219C">
        <w:rPr>
          <w:color w:val="FF0000"/>
        </w:rPr>
        <w:t xml:space="preserve"> that ICL is bound to investigate and condemn</w:t>
      </w:r>
      <w:r w:rsidRPr="0054219C">
        <w:rPr>
          <w:color w:val="FF0000"/>
        </w:rPr>
        <w:t xml:space="preserve">. As De Guzmán notes, ICL has among its functions to </w:t>
      </w:r>
      <w:r w:rsidRPr="0054219C">
        <w:rPr>
          <w:i/>
          <w:iCs/>
          <w:color w:val="FF0000"/>
        </w:rPr>
        <w:t>express</w:t>
      </w:r>
      <w:r w:rsidRPr="0054219C">
        <w:rPr>
          <w:color w:val="FF0000"/>
        </w:rPr>
        <w:t xml:space="preserve"> condemnation for the breach of the values </w:t>
      </w:r>
      <w:r w:rsidR="0054219C">
        <w:rPr>
          <w:color w:val="FF0000"/>
        </w:rPr>
        <w:t xml:space="preserve">that </w:t>
      </w:r>
      <w:r w:rsidRPr="0054219C">
        <w:rPr>
          <w:color w:val="FF0000"/>
        </w:rPr>
        <w:t>it protects, in so doing, sending a message that contributes to craft the law with the potential to alter it.</w:t>
      </w:r>
      <w:r w:rsidR="00256FF4">
        <w:rPr>
          <w:rStyle w:val="Refdenotaalpie"/>
          <w:color w:val="FF0000"/>
        </w:rPr>
        <w:footnoteReference w:id="65"/>
      </w:r>
      <w:r w:rsidRPr="0054219C">
        <w:rPr>
          <w:color w:val="FF0000"/>
        </w:rPr>
        <w:t xml:space="preserve">n </w:t>
      </w:r>
      <w:r w:rsidRPr="0054219C">
        <w:rPr>
          <w:i/>
          <w:iCs/>
          <w:color w:val="FF0000"/>
        </w:rPr>
        <w:t xml:space="preserve">RUF, </w:t>
      </w:r>
      <w:r w:rsidRPr="0054219C">
        <w:rPr>
          <w:color w:val="FF0000"/>
        </w:rPr>
        <w:t xml:space="preserve">recognizing the patterns of trafficking for sexual exploitation would have allowed </w:t>
      </w:r>
      <w:r w:rsidR="0054219C">
        <w:rPr>
          <w:color w:val="FF0000"/>
        </w:rPr>
        <w:t xml:space="preserve">to </w:t>
      </w:r>
      <w:r w:rsidRPr="0054219C">
        <w:rPr>
          <w:color w:val="FF0000"/>
        </w:rPr>
        <w:t>giv</w:t>
      </w:r>
      <w:r w:rsidR="0054219C">
        <w:rPr>
          <w:color w:val="FF0000"/>
        </w:rPr>
        <w:t>e</w:t>
      </w:r>
      <w:r w:rsidRPr="0054219C">
        <w:rPr>
          <w:color w:val="FF0000"/>
        </w:rPr>
        <w:t xml:space="preserve"> a voice to the women and girls of Sierra Leone to express their real experiences of harm. Also, it would have sen</w:t>
      </w:r>
      <w:r w:rsidR="0054219C">
        <w:rPr>
          <w:color w:val="FF0000"/>
        </w:rPr>
        <w:t>t</w:t>
      </w:r>
      <w:r w:rsidRPr="0054219C">
        <w:rPr>
          <w:color w:val="FF0000"/>
        </w:rPr>
        <w:t xml:space="preserve"> the world </w:t>
      </w:r>
      <w:r>
        <w:rPr>
          <w:color w:val="FF0000"/>
        </w:rPr>
        <w:t>a message of condemnation</w:t>
      </w:r>
      <w:r w:rsidR="0054219C">
        <w:rPr>
          <w:color w:val="FF0000"/>
        </w:rPr>
        <w:t xml:space="preserve"> of</w:t>
      </w:r>
      <w:r>
        <w:rPr>
          <w:color w:val="FF0000"/>
        </w:rPr>
        <w:t xml:space="preserve"> the seriousness of those practices, important for future practice, </w:t>
      </w:r>
      <w:r w:rsidR="0054219C">
        <w:rPr>
          <w:color w:val="FF0000"/>
        </w:rPr>
        <w:t xml:space="preserve">especially </w:t>
      </w:r>
      <w:r>
        <w:rPr>
          <w:color w:val="FF0000"/>
        </w:rPr>
        <w:t xml:space="preserve">domestic courts and institutions dealing with transitional justice in Sierra Leone. </w:t>
      </w:r>
    </w:p>
    <w:p w14:paraId="60C4D42C" w14:textId="513186EA" w:rsidR="00580209" w:rsidRPr="00C42C59" w:rsidRDefault="00580209" w:rsidP="00DD50D3">
      <w:pPr>
        <w:spacing w:line="276" w:lineRule="auto"/>
        <w:jc w:val="both"/>
        <w:rPr>
          <w:color w:val="7030A0"/>
        </w:rPr>
      </w:pPr>
      <w:r w:rsidRPr="00C42C59">
        <w:rPr>
          <w:color w:val="FF0000"/>
        </w:rPr>
        <w:lastRenderedPageBreak/>
        <w:t xml:space="preserve">More generally, the recognition of trafficking was important to give visibility to the </w:t>
      </w:r>
      <w:r w:rsidRPr="00035FF2">
        <w:rPr>
          <w:i/>
          <w:iCs/>
          <w:color w:val="FF0000"/>
        </w:rPr>
        <w:t>nexus</w:t>
      </w:r>
      <w:r w:rsidRPr="00C42C59">
        <w:rPr>
          <w:color w:val="FF0000"/>
        </w:rPr>
        <w:t xml:space="preserve"> or interlinkages between the crimes of trafficking, SGBV and terrorism. Th</w:t>
      </w:r>
      <w:r w:rsidR="00035FF2">
        <w:rPr>
          <w:color w:val="FF0000"/>
        </w:rPr>
        <w:t>is</w:t>
      </w:r>
      <w:r w:rsidRPr="00C42C59">
        <w:rPr>
          <w:color w:val="FF0000"/>
        </w:rPr>
        <w:t xml:space="preserve"> nexus </w:t>
      </w:r>
      <w:r w:rsidR="00035FF2">
        <w:rPr>
          <w:color w:val="FF0000"/>
        </w:rPr>
        <w:t xml:space="preserve">has been </w:t>
      </w:r>
      <w:r w:rsidRPr="00C42C59">
        <w:rPr>
          <w:color w:val="FF0000"/>
        </w:rPr>
        <w:t>recognized by</w:t>
      </w:r>
      <w:r w:rsidR="00035FF2">
        <w:rPr>
          <w:color w:val="FF0000"/>
        </w:rPr>
        <w:t xml:space="preserve"> the</w:t>
      </w:r>
      <w:r w:rsidRPr="00C42C59">
        <w:rPr>
          <w:color w:val="FF0000"/>
        </w:rPr>
        <w:t xml:space="preserve"> Security Council</w:t>
      </w:r>
      <w:r w:rsidR="00035FF2">
        <w:rPr>
          <w:color w:val="FF0000"/>
        </w:rPr>
        <w:t>.</w:t>
      </w:r>
      <w:r w:rsidR="00035FF2">
        <w:rPr>
          <w:rStyle w:val="Refdenotaalpie"/>
          <w:color w:val="FF0000"/>
        </w:rPr>
        <w:footnoteReference w:id="66"/>
      </w:r>
      <w:r w:rsidR="00035FF2">
        <w:rPr>
          <w:color w:val="FF0000"/>
        </w:rPr>
        <w:t xml:space="preserve"> Critically, </w:t>
      </w:r>
      <w:r w:rsidRPr="00C42C59">
        <w:rPr>
          <w:color w:val="FF0000"/>
        </w:rPr>
        <w:t xml:space="preserve">trafficking is </w:t>
      </w:r>
      <w:r w:rsidRPr="00C42C59">
        <w:rPr>
          <w:i/>
          <w:iCs/>
          <w:color w:val="FF0000"/>
        </w:rPr>
        <w:t xml:space="preserve">the </w:t>
      </w:r>
      <w:r w:rsidRPr="00C42C59">
        <w:rPr>
          <w:color w:val="FF0000"/>
        </w:rPr>
        <w:t xml:space="preserve">crime that precedes and enables the system of sexual exploitation in the context of terrorism. </w:t>
      </w:r>
      <w:r>
        <w:t>Trafficking, as Malik and Kenny stress, is the gateway to sexual violence in the context of terrorism, facilitating the  “interlink between the crimes of human trafficking, sexual violence and terrorism, in which each crime flows from the commission of the others”.</w:t>
      </w:r>
      <w:r>
        <w:rPr>
          <w:rStyle w:val="Refdenotaalpie"/>
        </w:rPr>
        <w:footnoteReference w:id="67"/>
      </w:r>
      <w:r>
        <w:t xml:space="preserve"> </w:t>
      </w:r>
      <w:r w:rsidRPr="00C42C59">
        <w:rPr>
          <w:color w:val="FF0000"/>
        </w:rPr>
        <w:t xml:space="preserve">Trafficking for sexual exploitation, a crime disproportionately affecting the women and girls of Sierra Leone, </w:t>
      </w:r>
      <w:r w:rsidR="0089035D">
        <w:rPr>
          <w:color w:val="FF0000"/>
        </w:rPr>
        <w:t xml:space="preserve">strengthened </w:t>
      </w:r>
      <w:r w:rsidRPr="00C42C59">
        <w:rPr>
          <w:color w:val="FF0000"/>
        </w:rPr>
        <w:t>evidence of the gendered nature of the attack, contributing to engender the apparently gender-neutral crime of committing acts of terror.</w:t>
      </w:r>
      <w:r w:rsidR="00FC1127">
        <w:rPr>
          <w:rStyle w:val="Refdenotaalpie"/>
          <w:color w:val="FF0000"/>
        </w:rPr>
        <w:footnoteReference w:id="68"/>
      </w:r>
      <w:r w:rsidRPr="00C42C59">
        <w:rPr>
          <w:color w:val="FF0000"/>
        </w:rPr>
        <w:t xml:space="preserve"> </w:t>
      </w:r>
      <w:r w:rsidR="0089035D">
        <w:rPr>
          <w:color w:val="FF0000"/>
        </w:rPr>
        <w:t>T</w:t>
      </w:r>
      <w:r w:rsidRPr="00C42C59">
        <w:rPr>
          <w:color w:val="FF0000"/>
        </w:rPr>
        <w:t xml:space="preserve">he combination of trafficking and sexual exploitation demonstrated the relevance of gender-based crimes as </w:t>
      </w:r>
      <w:r w:rsidR="0089035D">
        <w:rPr>
          <w:color w:val="FF0000"/>
        </w:rPr>
        <w:t xml:space="preserve">inherent to </w:t>
      </w:r>
      <w:r w:rsidRPr="00C42C59">
        <w:rPr>
          <w:color w:val="FF0000"/>
        </w:rPr>
        <w:t xml:space="preserve">the </w:t>
      </w:r>
      <w:r w:rsidRPr="00C42C59">
        <w:rPr>
          <w:i/>
          <w:iCs/>
          <w:color w:val="FF0000"/>
        </w:rPr>
        <w:t>strategy</w:t>
      </w:r>
      <w:r w:rsidRPr="00C42C59">
        <w:rPr>
          <w:color w:val="FF0000"/>
        </w:rPr>
        <w:t xml:space="preserve"> of the</w:t>
      </w:r>
      <w:r w:rsidR="0089035D">
        <w:rPr>
          <w:color w:val="FF0000"/>
        </w:rPr>
        <w:t xml:space="preserve"> armed group</w:t>
      </w:r>
      <w:r w:rsidRPr="00C42C59">
        <w:rPr>
          <w:color w:val="FF0000"/>
        </w:rPr>
        <w:t>, thereby revealing the gravity of SGBV not only as a crime of gender discrimination but, simultaneously, as a political crime, as a  tool to inflict terror</w:t>
      </w:r>
      <w:r>
        <w:t xml:space="preserve">. </w:t>
      </w:r>
    </w:p>
    <w:p w14:paraId="37868C50" w14:textId="5029FD21" w:rsidR="00580209" w:rsidRDefault="00580209" w:rsidP="00CD1C27">
      <w:pPr>
        <w:spacing w:line="276" w:lineRule="auto"/>
        <w:jc w:val="both"/>
        <w:rPr>
          <w:rFonts w:eastAsia="Times New Roman" w:cstheme="minorHAnsi"/>
          <w:b/>
          <w:bCs/>
          <w:lang w:eastAsia="en-GB"/>
        </w:rPr>
      </w:pPr>
      <w:r>
        <w:rPr>
          <w:rFonts w:eastAsia="Times New Roman" w:cstheme="minorHAnsi"/>
          <w:b/>
          <w:bCs/>
          <w:lang w:eastAsia="en-GB"/>
        </w:rPr>
        <w:t>2</w:t>
      </w:r>
      <w:r w:rsidRPr="00B708FC">
        <w:rPr>
          <w:rFonts w:eastAsia="Times New Roman" w:cstheme="minorHAnsi"/>
          <w:b/>
          <w:bCs/>
          <w:lang w:eastAsia="en-GB"/>
        </w:rPr>
        <w:t>.</w:t>
      </w:r>
      <w:r w:rsidR="00D975F1">
        <w:rPr>
          <w:rFonts w:eastAsia="Times New Roman" w:cstheme="minorHAnsi"/>
          <w:b/>
          <w:bCs/>
          <w:lang w:eastAsia="en-GB"/>
        </w:rPr>
        <w:t>4</w:t>
      </w:r>
      <w:r w:rsidRPr="00B708FC">
        <w:rPr>
          <w:rFonts w:eastAsia="Times New Roman" w:cstheme="minorHAnsi"/>
          <w:b/>
          <w:bCs/>
          <w:lang w:eastAsia="en-GB"/>
        </w:rPr>
        <w:t xml:space="preserve"> </w:t>
      </w:r>
      <w:r w:rsidRPr="00147B22">
        <w:rPr>
          <w:rFonts w:eastAsia="Times New Roman" w:cstheme="minorHAnsi"/>
          <w:b/>
          <w:bCs/>
          <w:lang w:eastAsia="en-GB"/>
        </w:rPr>
        <w:t>The Sentencing Judgment</w:t>
      </w:r>
      <w:r w:rsidRPr="006C243C">
        <w:rPr>
          <w:rFonts w:eastAsia="Times New Roman" w:cstheme="minorHAnsi"/>
          <w:b/>
          <w:bCs/>
          <w:lang w:eastAsia="en-GB"/>
        </w:rPr>
        <w:t xml:space="preserve">: </w:t>
      </w:r>
      <w:r>
        <w:rPr>
          <w:rFonts w:eastAsia="Times New Roman" w:cstheme="minorHAnsi"/>
          <w:b/>
          <w:bCs/>
          <w:lang w:eastAsia="en-GB"/>
        </w:rPr>
        <w:t xml:space="preserve">Expressing </w:t>
      </w:r>
      <w:r w:rsidRPr="006C243C">
        <w:rPr>
          <w:rFonts w:eastAsia="Times New Roman" w:cstheme="minorHAnsi"/>
          <w:b/>
          <w:bCs/>
          <w:lang w:eastAsia="en-GB"/>
        </w:rPr>
        <w:t xml:space="preserve">the Gravity of SGBV </w:t>
      </w:r>
    </w:p>
    <w:p w14:paraId="3C12D2DD" w14:textId="499B5952" w:rsidR="00580209" w:rsidRDefault="00580209" w:rsidP="00CD1C27">
      <w:pPr>
        <w:spacing w:line="276" w:lineRule="auto"/>
        <w:jc w:val="both"/>
      </w:pPr>
      <w:r>
        <w:rPr>
          <w:rFonts w:eastAsia="Times New Roman" w:cstheme="minorHAnsi"/>
          <w:lang w:eastAsia="en-GB"/>
        </w:rPr>
        <w:t>I</w:t>
      </w:r>
      <w:r w:rsidR="00C37B41">
        <w:rPr>
          <w:rFonts w:eastAsia="Times New Roman" w:cstheme="minorHAnsi"/>
          <w:lang w:eastAsia="en-GB"/>
        </w:rPr>
        <w:t>n the</w:t>
      </w:r>
      <w:r w:rsidRPr="00F653DB">
        <w:rPr>
          <w:rFonts w:eastAsia="Times New Roman" w:cstheme="minorHAnsi"/>
          <w:i/>
          <w:iCs/>
          <w:lang w:eastAsia="en-GB"/>
        </w:rPr>
        <w:t xml:space="preserve"> </w:t>
      </w:r>
      <w:r w:rsidRPr="00F653DB">
        <w:rPr>
          <w:rFonts w:eastAsia="Times New Roman" w:cstheme="minorHAnsi"/>
          <w:lang w:eastAsia="en-GB"/>
        </w:rPr>
        <w:t>Sentencing Judgment</w:t>
      </w:r>
      <w:r w:rsidR="00C37B41">
        <w:rPr>
          <w:rFonts w:eastAsia="Times New Roman" w:cstheme="minorHAnsi"/>
          <w:lang w:eastAsia="en-GB"/>
        </w:rPr>
        <w:t xml:space="preserve">, </w:t>
      </w:r>
      <w:r w:rsidR="00C37B41">
        <w:rPr>
          <w:rFonts w:eastAsia="Times New Roman" w:cstheme="minorHAnsi"/>
          <w:i/>
          <w:iCs/>
          <w:lang w:eastAsia="en-GB"/>
        </w:rPr>
        <w:t>RUF</w:t>
      </w:r>
      <w:r w:rsidR="000A55F3">
        <w:rPr>
          <w:rFonts w:eastAsia="Times New Roman" w:cstheme="minorHAnsi"/>
          <w:lang w:eastAsia="en-GB"/>
        </w:rPr>
        <w:t xml:space="preserve"> trial j</w:t>
      </w:r>
      <w:r>
        <w:rPr>
          <w:rFonts w:eastAsia="Times New Roman" w:cstheme="minorHAnsi"/>
          <w:lang w:eastAsia="en-GB"/>
        </w:rPr>
        <w:t xml:space="preserve">udges drew </w:t>
      </w:r>
      <w:r w:rsidR="00C37B41">
        <w:rPr>
          <w:rFonts w:eastAsia="Times New Roman" w:cstheme="minorHAnsi"/>
          <w:lang w:eastAsia="en-GB"/>
        </w:rPr>
        <w:t>a relevant</w:t>
      </w:r>
      <w:r>
        <w:rPr>
          <w:rFonts w:eastAsia="Times New Roman" w:cstheme="minorHAnsi"/>
          <w:lang w:eastAsia="en-GB"/>
        </w:rPr>
        <w:t xml:space="preserve"> consequence of the inter</w:t>
      </w:r>
      <w:r w:rsidR="00C37B41">
        <w:rPr>
          <w:rFonts w:eastAsia="Times New Roman" w:cstheme="minorHAnsi"/>
          <w:lang w:eastAsia="en-GB"/>
        </w:rPr>
        <w:t xml:space="preserve">link between SGBV </w:t>
      </w:r>
      <w:r>
        <w:rPr>
          <w:rFonts w:eastAsia="Times New Roman" w:cstheme="minorHAnsi"/>
          <w:lang w:eastAsia="en-GB"/>
        </w:rPr>
        <w:t>and terrorism</w:t>
      </w:r>
      <w:r w:rsidR="00C37B41">
        <w:rPr>
          <w:rFonts w:eastAsia="Times New Roman" w:cstheme="minorHAnsi"/>
          <w:lang w:eastAsia="en-GB"/>
        </w:rPr>
        <w:t xml:space="preserve"> by</w:t>
      </w:r>
      <w:r>
        <w:rPr>
          <w:rFonts w:eastAsia="Times New Roman" w:cstheme="minorHAnsi"/>
          <w:lang w:eastAsia="en-GB"/>
        </w:rPr>
        <w:t xml:space="preserve"> concluding that SGBV as acts of terrorism have an enhanced gravity that must be considered for sentencing purposes. </w:t>
      </w:r>
      <w:r w:rsidRPr="00392447">
        <w:rPr>
          <w:rFonts w:eastAsia="Times New Roman" w:cstheme="minorHAnsi"/>
          <w:lang w:eastAsia="en-GB"/>
        </w:rPr>
        <w:t>Indeed,</w:t>
      </w:r>
      <w:r>
        <w:rPr>
          <w:rFonts w:eastAsia="Times New Roman" w:cstheme="minorHAnsi"/>
          <w:lang w:eastAsia="en-GB"/>
        </w:rPr>
        <w:t xml:space="preserve"> an intersectional approach</w:t>
      </w:r>
      <w:r w:rsidR="00C37B41">
        <w:rPr>
          <w:rFonts w:eastAsia="Times New Roman" w:cstheme="minorHAnsi"/>
          <w:lang w:eastAsia="en-GB"/>
        </w:rPr>
        <w:t xml:space="preserve"> of the interplay of gender and the specific (political) intent to terrorize runs </w:t>
      </w:r>
      <w:r>
        <w:rPr>
          <w:rFonts w:eastAsia="Times New Roman" w:cstheme="minorHAnsi"/>
          <w:i/>
          <w:iCs/>
          <w:lang w:eastAsia="en-GB"/>
        </w:rPr>
        <w:t xml:space="preserve">throughout </w:t>
      </w:r>
      <w:r>
        <w:t xml:space="preserve">the judicial assessment </w:t>
      </w:r>
      <w:r w:rsidR="00C37B41">
        <w:t xml:space="preserve">of the gravity. </w:t>
      </w:r>
      <w:r w:rsidRPr="007F18E3">
        <w:t>Addressing</w:t>
      </w:r>
      <w:r w:rsidRPr="00F653DB">
        <w:t xml:space="preserve">  </w:t>
      </w:r>
      <w:r>
        <w:t>the</w:t>
      </w:r>
      <w:r w:rsidRPr="00F653DB">
        <w:t xml:space="preserve"> nature, scale</w:t>
      </w:r>
      <w:r>
        <w:t xml:space="preserve">, </w:t>
      </w:r>
      <w:r w:rsidRPr="00F653DB">
        <w:t>brutality, number of victims</w:t>
      </w:r>
      <w:r>
        <w:t xml:space="preserve"> </w:t>
      </w:r>
      <w:r w:rsidRPr="00F653DB">
        <w:t xml:space="preserve">and vulnerability </w:t>
      </w:r>
      <w:r w:rsidR="000A55F3">
        <w:t xml:space="preserve">dealing with </w:t>
      </w:r>
      <w:r>
        <w:t xml:space="preserve">SGBV </w:t>
      </w:r>
      <w:r w:rsidRPr="00F653DB">
        <w:t xml:space="preserve">the Chamber </w:t>
      </w:r>
      <w:r>
        <w:t>found: “[T]</w:t>
      </w:r>
      <w:r w:rsidRPr="00F653DB">
        <w:t xml:space="preserve">his practice by the rebels of </w:t>
      </w:r>
      <w:r w:rsidRPr="006839BF">
        <w:rPr>
          <w:i/>
          <w:iCs/>
        </w:rPr>
        <w:t xml:space="preserve">using </w:t>
      </w:r>
      <w:r w:rsidRPr="00F653DB">
        <w:t xml:space="preserve">sexual violence to terrorise the civilian population </w:t>
      </w:r>
      <w:r w:rsidRPr="006839BF">
        <w:t>increases the gravity</w:t>
      </w:r>
      <w:r w:rsidRPr="00F653DB">
        <w:t xml:space="preserve"> of the underlying offence.”</w:t>
      </w:r>
      <w:r w:rsidRPr="00F653DB">
        <w:rPr>
          <w:rStyle w:val="Refdenotaalpie"/>
        </w:rPr>
        <w:footnoteReference w:id="69"/>
      </w:r>
      <w:r w:rsidR="00C37B41">
        <w:t xml:space="preserve"> C</w:t>
      </w:r>
      <w:r>
        <w:t xml:space="preserve">oncerning </w:t>
      </w:r>
      <w:r w:rsidRPr="00F653DB">
        <w:t xml:space="preserve">the impact of SGBV, the </w:t>
      </w:r>
      <w:r>
        <w:t>Chamber</w:t>
      </w:r>
      <w:r w:rsidRPr="00F653DB">
        <w:t xml:space="preserve"> stress</w:t>
      </w:r>
      <w:r>
        <w:t>ed not only</w:t>
      </w:r>
      <w:r w:rsidRPr="00F653DB">
        <w:t xml:space="preserve"> individual harms (physical and mental pain, stigma, ostracization)</w:t>
      </w:r>
      <w:r w:rsidR="000A55F3">
        <w:t>,</w:t>
      </w:r>
      <w:r w:rsidRPr="00F653DB">
        <w:rPr>
          <w:rStyle w:val="Refdenotaalpie"/>
        </w:rPr>
        <w:footnoteReference w:id="70"/>
      </w:r>
      <w:r w:rsidRPr="00F653DB">
        <w:t xml:space="preserve"> but</w:t>
      </w:r>
      <w:r>
        <w:t xml:space="preserve"> </w:t>
      </w:r>
      <w:r w:rsidR="000A55F3">
        <w:t xml:space="preserve">it </w:t>
      </w:r>
      <w:r w:rsidR="00C37B41">
        <w:t>dr</w:t>
      </w:r>
      <w:r w:rsidR="000A55F3">
        <w:t>ew</w:t>
      </w:r>
      <w:r>
        <w:t xml:space="preserve"> from i</w:t>
      </w:r>
      <w:r w:rsidR="00C37B41">
        <w:t xml:space="preserve">ts </w:t>
      </w:r>
      <w:r>
        <w:t xml:space="preserve">interpretation of gender as a social construct and </w:t>
      </w:r>
      <w:r w:rsidR="00C37B41">
        <w:t>its</w:t>
      </w:r>
      <w:r>
        <w:t xml:space="preserve"> extended effects on the </w:t>
      </w:r>
      <w:r w:rsidR="00C37B41">
        <w:t xml:space="preserve">target </w:t>
      </w:r>
      <w:r>
        <w:t>group</w:t>
      </w:r>
      <w:r w:rsidR="00C37B41">
        <w:t xml:space="preserve"> </w:t>
      </w:r>
      <w:r w:rsidR="000A55F3">
        <w:t xml:space="preserve">to </w:t>
      </w:r>
      <w:r w:rsidR="00C37B41">
        <w:t>conclud</w:t>
      </w:r>
      <w:r w:rsidR="000A55F3">
        <w:t>e the aggravated nature of SGBV.</w:t>
      </w:r>
      <w:r w:rsidR="00C37B41">
        <w:t xml:space="preserve"> </w:t>
      </w:r>
      <w:r>
        <w:t xml:space="preserve">The Chamber </w:t>
      </w:r>
      <w:r w:rsidR="000A55F3">
        <w:t>found that</w:t>
      </w:r>
      <w:r>
        <w:t xml:space="preserve"> </w:t>
      </w:r>
      <w:r w:rsidRPr="00F653DB">
        <w:t xml:space="preserve"> “</w:t>
      </w:r>
      <w:r>
        <w:t>[I]</w:t>
      </w:r>
      <w:r w:rsidRPr="00F653DB">
        <w:t xml:space="preserve">n a society where cultural values greatly dictate the sacred manner in which any form of sexual acts take place” </w:t>
      </w:r>
      <w:r w:rsidRPr="00430CE1">
        <w:rPr>
          <w:color w:val="000000" w:themeColor="text1"/>
        </w:rPr>
        <w:t xml:space="preserve">perpetrators were aware </w:t>
      </w:r>
      <w:r w:rsidRPr="00F653DB">
        <w:t>that SGBV “would have an adverse impact on the family as a whole and the society at large.”</w:t>
      </w:r>
      <w:r w:rsidRPr="00F653DB">
        <w:rPr>
          <w:rStyle w:val="Refdenotaalpie"/>
        </w:rPr>
        <w:footnoteReference w:id="71"/>
      </w:r>
      <w:r>
        <w:t xml:space="preserve"> The Sentencing decision efficiently express</w:t>
      </w:r>
      <w:r w:rsidR="000A55F3">
        <w:t>es</w:t>
      </w:r>
      <w:r>
        <w:t xml:space="preserve"> the gravity of SGBV as a </w:t>
      </w:r>
      <w:r w:rsidR="00C37B41">
        <w:t xml:space="preserve">crime of compounded discrimination on </w:t>
      </w:r>
      <w:r>
        <w:t xml:space="preserve">gender </w:t>
      </w:r>
      <w:r>
        <w:rPr>
          <w:i/>
          <w:iCs/>
        </w:rPr>
        <w:t xml:space="preserve">and </w:t>
      </w:r>
      <w:r w:rsidRPr="007F18E3">
        <w:t>political</w:t>
      </w:r>
      <w:r>
        <w:t xml:space="preserve"> </w:t>
      </w:r>
      <w:r w:rsidR="00C37B41">
        <w:t xml:space="preserve">grounds </w:t>
      </w:r>
      <w:r>
        <w:t xml:space="preserve">in </w:t>
      </w:r>
      <w:r w:rsidR="00C37B41">
        <w:t xml:space="preserve">perfect </w:t>
      </w:r>
      <w:r>
        <w:t xml:space="preserve">coherence with previous findings </w:t>
      </w:r>
      <w:r w:rsidR="00C37B41">
        <w:t xml:space="preserve">about the nexus of </w:t>
      </w:r>
      <w:r>
        <w:t xml:space="preserve">SGBV and terrorism.  </w:t>
      </w:r>
    </w:p>
    <w:p w14:paraId="76476943" w14:textId="72C687EC" w:rsidR="00580209" w:rsidRPr="00B23531" w:rsidRDefault="000A55F3" w:rsidP="00CD1C27">
      <w:pPr>
        <w:spacing w:line="276" w:lineRule="auto"/>
        <w:jc w:val="both"/>
      </w:pPr>
      <w:r>
        <w:t xml:space="preserve">The Sentence </w:t>
      </w:r>
      <w:r w:rsidR="00B3526F">
        <w:t>enabled ICL to</w:t>
      </w:r>
      <w:r w:rsidR="00040C9E">
        <w:t xml:space="preserve"> </w:t>
      </w:r>
      <w:r w:rsidR="00B3526F">
        <w:t xml:space="preserve">perform its </w:t>
      </w:r>
      <w:r w:rsidR="00580209">
        <w:t>expressivist function</w:t>
      </w:r>
      <w:r w:rsidR="00B3526F">
        <w:t>,</w:t>
      </w:r>
      <w:r w:rsidR="00040C9E">
        <w:t xml:space="preserve"> </w:t>
      </w:r>
      <w:r w:rsidR="00580209">
        <w:t>convey</w:t>
      </w:r>
      <w:r w:rsidR="00040C9E">
        <w:t>ing</w:t>
      </w:r>
      <w:r w:rsidR="00580209">
        <w:t xml:space="preserve"> the idea that using </w:t>
      </w:r>
      <w:r w:rsidR="00580209" w:rsidRPr="00E4507D">
        <w:t xml:space="preserve">SGBV </w:t>
      </w:r>
      <w:r w:rsidR="00580209" w:rsidRPr="007F4AA1">
        <w:t>to terrorize</w:t>
      </w:r>
      <w:r w:rsidR="00040C9E">
        <w:t xml:space="preserve"> </w:t>
      </w:r>
      <w:r>
        <w:t xml:space="preserve">to </w:t>
      </w:r>
      <w:r w:rsidR="00580209">
        <w:t>further</w:t>
      </w:r>
      <w:r w:rsidR="00B3526F">
        <w:t xml:space="preserve"> the strategy of inflicting terror </w:t>
      </w:r>
      <w:r w:rsidR="00580209">
        <w:t xml:space="preserve">must be acknowledged and sanctioned.  </w:t>
      </w:r>
      <w:r w:rsidR="00580209" w:rsidRPr="00A3555A">
        <w:t xml:space="preserve">As Ní Aoláin suggests, certain acts of SGBV are </w:t>
      </w:r>
      <w:r w:rsidR="00580209">
        <w:t>“</w:t>
      </w:r>
      <w:r w:rsidR="00580209" w:rsidRPr="00A3555A">
        <w:t>distinct</w:t>
      </w:r>
      <w:r w:rsidR="00580209">
        <w:t>”</w:t>
      </w:r>
      <w:r w:rsidR="00580209" w:rsidRPr="00A3555A">
        <w:t xml:space="preserve"> not because they are experienced by women but because they are “encoded” with political/military purposes that make SGBV “organically linked” to the central plan or policy of destroying the carriers of the </w:t>
      </w:r>
      <w:r w:rsidR="00580209" w:rsidRPr="00A3555A">
        <w:lastRenderedPageBreak/>
        <w:t>community.</w:t>
      </w:r>
      <w:r w:rsidR="00580209">
        <w:rPr>
          <w:rStyle w:val="Refdenotaalpie"/>
        </w:rPr>
        <w:footnoteReference w:id="72"/>
      </w:r>
      <w:r w:rsidR="00580209">
        <w:t xml:space="preserve"> </w:t>
      </w:r>
      <w:r w:rsidR="00580209" w:rsidRPr="00A3555A">
        <w:t xml:space="preserve">By </w:t>
      </w:r>
      <w:r w:rsidR="00580209">
        <w:t xml:space="preserve">integrating </w:t>
      </w:r>
      <w:r w:rsidR="00580209" w:rsidRPr="00E4507D">
        <w:t xml:space="preserve">at the sentencing stage the </w:t>
      </w:r>
      <w:r w:rsidR="00580209" w:rsidRPr="00B3526F">
        <w:t>inter</w:t>
      </w:r>
      <w:r w:rsidR="00B3526F">
        <w:t>play</w:t>
      </w:r>
      <w:r w:rsidR="00580209">
        <w:rPr>
          <w:i/>
          <w:iCs/>
        </w:rPr>
        <w:t xml:space="preserve"> </w:t>
      </w:r>
      <w:r w:rsidR="00580209" w:rsidRPr="00E4507D">
        <w:t xml:space="preserve">between </w:t>
      </w:r>
      <w:r w:rsidR="00580209">
        <w:t xml:space="preserve">the </w:t>
      </w:r>
      <w:r w:rsidR="00B3526F">
        <w:t xml:space="preserve">specific (political) </w:t>
      </w:r>
      <w:r w:rsidR="00580209" w:rsidRPr="00E4507D">
        <w:t>inten</w:t>
      </w:r>
      <w:r w:rsidR="00580209">
        <w:t xml:space="preserve">t to </w:t>
      </w:r>
      <w:r w:rsidR="00B3526F">
        <w:t xml:space="preserve">terrorize </w:t>
      </w:r>
      <w:r w:rsidR="00580209">
        <w:t>and the</w:t>
      </w:r>
      <w:r w:rsidR="00B3526F">
        <w:t xml:space="preserve"> effects of gender-based harms, </w:t>
      </w:r>
      <w:r w:rsidR="00580209">
        <w:t xml:space="preserve">intersectionality </w:t>
      </w:r>
      <w:r w:rsidR="00580209" w:rsidRPr="00E4507D">
        <w:t>reach</w:t>
      </w:r>
      <w:r w:rsidR="00580209">
        <w:t>e</w:t>
      </w:r>
      <w:r w:rsidR="00B3526F">
        <w:t>d</w:t>
      </w:r>
      <w:r w:rsidR="00580209" w:rsidRPr="00E4507D">
        <w:t xml:space="preserve"> the core of access to justice</w:t>
      </w:r>
      <w:r w:rsidR="00580209">
        <w:t xml:space="preserve">. In the cogent words of an author: </w:t>
      </w:r>
      <w:r w:rsidR="00580209" w:rsidRPr="00E4507D">
        <w:t>“</w:t>
      </w:r>
      <w:r w:rsidR="00580209">
        <w:t>[I]</w:t>
      </w:r>
      <w:r w:rsidR="00580209" w:rsidRPr="00E4507D">
        <w:t>t is imperative that we identify the intent that underlies the action in the first place and factor it into the identification of the harm itself, the sanction that applies to it, and the remedy that is offered to the victim.”</w:t>
      </w:r>
      <w:r w:rsidR="00580209" w:rsidRPr="00E4507D">
        <w:rPr>
          <w:rStyle w:val="Refdenotaalpie"/>
        </w:rPr>
        <w:footnoteReference w:id="73"/>
      </w:r>
    </w:p>
    <w:p w14:paraId="4C02D446" w14:textId="77777777" w:rsidR="00580209" w:rsidRDefault="00580209" w:rsidP="00CD1C27">
      <w:pPr>
        <w:spacing w:line="276" w:lineRule="auto"/>
        <w:jc w:val="both"/>
        <w:rPr>
          <w:b/>
          <w:bCs/>
        </w:rPr>
      </w:pPr>
    </w:p>
    <w:p w14:paraId="22F49F42" w14:textId="0B62EB7B" w:rsidR="00580209" w:rsidRDefault="00580209" w:rsidP="00CD1C27">
      <w:pPr>
        <w:spacing w:line="276" w:lineRule="auto"/>
        <w:jc w:val="both"/>
        <w:rPr>
          <w:b/>
          <w:bCs/>
        </w:rPr>
      </w:pPr>
      <w:r>
        <w:rPr>
          <w:b/>
          <w:bCs/>
        </w:rPr>
        <w:t>3</w:t>
      </w:r>
      <w:r w:rsidRPr="000A24AF">
        <w:rPr>
          <w:b/>
          <w:bCs/>
        </w:rPr>
        <w:t xml:space="preserve">. </w:t>
      </w:r>
      <w:r w:rsidRPr="000A24AF">
        <w:rPr>
          <w:b/>
          <w:bCs/>
          <w:i/>
          <w:iCs/>
        </w:rPr>
        <w:t>Al Hassan</w:t>
      </w:r>
      <w:r w:rsidRPr="000A24AF">
        <w:rPr>
          <w:b/>
          <w:bCs/>
        </w:rPr>
        <w:t xml:space="preserve">: </w:t>
      </w:r>
      <w:r w:rsidRPr="00490B97">
        <w:rPr>
          <w:b/>
          <w:bCs/>
        </w:rPr>
        <w:t>Reflections on the</w:t>
      </w:r>
      <w:r>
        <w:rPr>
          <w:b/>
          <w:bCs/>
        </w:rPr>
        <w:t xml:space="preserve"> Interlink of SGBV </w:t>
      </w:r>
      <w:r w:rsidR="00BE330A">
        <w:rPr>
          <w:b/>
          <w:bCs/>
        </w:rPr>
        <w:t xml:space="preserve">and </w:t>
      </w:r>
      <w:r>
        <w:rPr>
          <w:b/>
          <w:bCs/>
        </w:rPr>
        <w:t>Persecut</w:t>
      </w:r>
      <w:r w:rsidR="00BE330A">
        <w:rPr>
          <w:b/>
          <w:bCs/>
        </w:rPr>
        <w:t>ion</w:t>
      </w:r>
      <w:r>
        <w:rPr>
          <w:b/>
          <w:bCs/>
        </w:rPr>
        <w:t xml:space="preserve"> </w:t>
      </w:r>
      <w:r w:rsidRPr="00490B97">
        <w:rPr>
          <w:b/>
          <w:bCs/>
        </w:rPr>
        <w:t xml:space="preserve"> </w:t>
      </w:r>
    </w:p>
    <w:p w14:paraId="0F60D15A" w14:textId="18F5210D" w:rsidR="00580209" w:rsidRPr="007247C8" w:rsidRDefault="00580209" w:rsidP="00CD1C27">
      <w:pPr>
        <w:spacing w:line="276" w:lineRule="auto"/>
        <w:rPr>
          <w:i/>
          <w:iCs/>
          <w:color w:val="000000" w:themeColor="text1"/>
        </w:rPr>
      </w:pPr>
      <w:r>
        <w:rPr>
          <w:color w:val="000000" w:themeColor="text1"/>
        </w:rPr>
        <w:t>The case study</w:t>
      </w:r>
      <w:r>
        <w:rPr>
          <w:color w:val="FF0000"/>
        </w:rPr>
        <w:t xml:space="preserve"> </w:t>
      </w:r>
      <w:r w:rsidRPr="000524D1">
        <w:rPr>
          <w:i/>
          <w:iCs/>
          <w:color w:val="FF0000"/>
        </w:rPr>
        <w:t>Al Hassan</w:t>
      </w:r>
      <w:r>
        <w:rPr>
          <w:color w:val="FF0000"/>
        </w:rPr>
        <w:t xml:space="preserve">, </w:t>
      </w:r>
      <w:r w:rsidR="00BE330A">
        <w:rPr>
          <w:color w:val="FF0000"/>
        </w:rPr>
        <w:t xml:space="preserve">prosecuted </w:t>
      </w:r>
      <w:r>
        <w:rPr>
          <w:color w:val="FF0000"/>
        </w:rPr>
        <w:t>at the ICC at the time of writing</w:t>
      </w:r>
      <w:r w:rsidR="00BE330A">
        <w:rPr>
          <w:color w:val="FF0000"/>
        </w:rPr>
        <w:t>,</w:t>
      </w:r>
      <w:r>
        <w:rPr>
          <w:color w:val="FF0000"/>
        </w:rPr>
        <w:t xml:space="preserve"> </w:t>
      </w:r>
      <w:r w:rsidR="009D7F5F">
        <w:rPr>
          <w:color w:val="FF0000"/>
        </w:rPr>
        <w:t>shares</w:t>
      </w:r>
      <w:r>
        <w:rPr>
          <w:color w:val="FF0000"/>
        </w:rPr>
        <w:t xml:space="preserve"> some legal parallels with the </w:t>
      </w:r>
      <w:r w:rsidRPr="009D7F5F">
        <w:rPr>
          <w:i/>
          <w:iCs/>
          <w:color w:val="FF0000"/>
        </w:rPr>
        <w:t>RUF</w:t>
      </w:r>
      <w:r>
        <w:rPr>
          <w:color w:val="FF0000"/>
        </w:rPr>
        <w:t xml:space="preserve"> case in that in both cases SGBV was interlinked with other international crimes as part of a broader attack against a group. </w:t>
      </w:r>
      <w:r w:rsidRPr="00A84338">
        <w:rPr>
          <w:i/>
          <w:iCs/>
          <w:color w:val="FF0000"/>
        </w:rPr>
        <w:t>Al Hassan</w:t>
      </w:r>
      <w:r>
        <w:rPr>
          <w:color w:val="FF0000"/>
        </w:rPr>
        <w:t xml:space="preserve"> could therefore benefit from insights of </w:t>
      </w:r>
      <w:r w:rsidRPr="00A84338">
        <w:rPr>
          <w:i/>
          <w:iCs/>
          <w:color w:val="FF0000"/>
        </w:rPr>
        <w:t>RUF</w:t>
      </w:r>
      <w:r>
        <w:rPr>
          <w:color w:val="FF0000"/>
        </w:rPr>
        <w:t xml:space="preserve">´s treatment of SGBV interconnected with other violations </w:t>
      </w:r>
      <w:r w:rsidRPr="00A84338">
        <w:rPr>
          <w:i/>
          <w:iCs/>
          <w:color w:val="FF0000"/>
        </w:rPr>
        <w:t xml:space="preserve">from </w:t>
      </w:r>
      <w:r>
        <w:rPr>
          <w:color w:val="FF0000"/>
        </w:rPr>
        <w:t>an intersectional approach to</w:t>
      </w:r>
      <w:r w:rsidR="00BE330A">
        <w:rPr>
          <w:color w:val="FF0000"/>
        </w:rPr>
        <w:t xml:space="preserve"> gender</w:t>
      </w:r>
      <w:r>
        <w:rPr>
          <w:color w:val="FF0000"/>
        </w:rPr>
        <w:t xml:space="preserve"> discrimination and identity. Although</w:t>
      </w:r>
      <w:r w:rsidR="00BE330A">
        <w:rPr>
          <w:color w:val="FF0000"/>
        </w:rPr>
        <w:t>,</w:t>
      </w:r>
      <w:r>
        <w:rPr>
          <w:color w:val="FF0000"/>
        </w:rPr>
        <w:t xml:space="preserve"> in </w:t>
      </w:r>
      <w:r w:rsidRPr="0063547B">
        <w:rPr>
          <w:i/>
          <w:iCs/>
          <w:color w:val="FF0000"/>
        </w:rPr>
        <w:t>RUF</w:t>
      </w:r>
      <w:r w:rsidRPr="0063547B">
        <w:rPr>
          <w:color w:val="FF0000"/>
        </w:rPr>
        <w:t xml:space="preserve">, SGBV was charged as an act of terrorism (a war crime) and in </w:t>
      </w:r>
      <w:r w:rsidRPr="0063547B">
        <w:rPr>
          <w:i/>
          <w:iCs/>
          <w:color w:val="FF0000"/>
        </w:rPr>
        <w:t>Al Hassan</w:t>
      </w:r>
      <w:r w:rsidRPr="0063547B">
        <w:rPr>
          <w:color w:val="FF0000"/>
        </w:rPr>
        <w:t xml:space="preserve"> as an act of persecution (a crime against humanity)</w:t>
      </w:r>
      <w:r w:rsidR="009D7F5F">
        <w:rPr>
          <w:color w:val="FF0000"/>
        </w:rPr>
        <w:t>,</w:t>
      </w:r>
      <w:r>
        <w:rPr>
          <w:color w:val="FF0000"/>
        </w:rPr>
        <w:t xml:space="preserve"> both exemplify that SGBV intertwined with broader violations </w:t>
      </w:r>
      <w:r w:rsidR="009D7F5F">
        <w:rPr>
          <w:color w:val="FF0000"/>
        </w:rPr>
        <w:t>amounts</w:t>
      </w:r>
      <w:r>
        <w:rPr>
          <w:color w:val="FF0000"/>
        </w:rPr>
        <w:t xml:space="preserve"> not only</w:t>
      </w:r>
      <w:r w:rsidR="009D7F5F">
        <w:rPr>
          <w:color w:val="FF0000"/>
        </w:rPr>
        <w:t xml:space="preserve"> to</w:t>
      </w:r>
      <w:r>
        <w:rPr>
          <w:color w:val="FF0000"/>
        </w:rPr>
        <w:t xml:space="preserve"> a crime of gender discrimination but also </w:t>
      </w:r>
      <w:r w:rsidR="00BE330A">
        <w:rPr>
          <w:color w:val="FF0000"/>
        </w:rPr>
        <w:t xml:space="preserve">to </w:t>
      </w:r>
      <w:r>
        <w:rPr>
          <w:color w:val="FF0000"/>
        </w:rPr>
        <w:t>a crime central to</w:t>
      </w:r>
      <w:r w:rsidR="00BE330A">
        <w:rPr>
          <w:color w:val="FF0000"/>
        </w:rPr>
        <w:t xml:space="preserve"> implement</w:t>
      </w:r>
      <w:r>
        <w:rPr>
          <w:color w:val="FF0000"/>
        </w:rPr>
        <w:t xml:space="preserve"> perpetrators´ organizational policy </w:t>
      </w:r>
      <w:r w:rsidR="00BE330A">
        <w:rPr>
          <w:color w:val="FF0000"/>
        </w:rPr>
        <w:t>(</w:t>
      </w:r>
      <w:r>
        <w:rPr>
          <w:color w:val="FF0000"/>
        </w:rPr>
        <w:t>a political crime</w:t>
      </w:r>
      <w:r w:rsidR="00BE330A">
        <w:rPr>
          <w:color w:val="FF0000"/>
        </w:rPr>
        <w:t>)</w:t>
      </w:r>
      <w:r>
        <w:rPr>
          <w:color w:val="FF0000"/>
        </w:rPr>
        <w:t xml:space="preserve"> deliberately </w:t>
      </w:r>
      <w:r w:rsidR="009D7F5F">
        <w:rPr>
          <w:color w:val="FF0000"/>
        </w:rPr>
        <w:t xml:space="preserve">used </w:t>
      </w:r>
      <w:r>
        <w:rPr>
          <w:color w:val="FF0000"/>
        </w:rPr>
        <w:t xml:space="preserve">to further </w:t>
      </w:r>
      <w:r w:rsidR="009D7F5F">
        <w:rPr>
          <w:color w:val="FF0000"/>
        </w:rPr>
        <w:t xml:space="preserve">the </w:t>
      </w:r>
      <w:r>
        <w:rPr>
          <w:color w:val="FF0000"/>
        </w:rPr>
        <w:t>attack</w:t>
      </w:r>
      <w:r w:rsidR="009D7F5F">
        <w:rPr>
          <w:color w:val="FF0000"/>
        </w:rPr>
        <w:t xml:space="preserve"> against </w:t>
      </w:r>
      <w:r w:rsidR="00BE330A">
        <w:rPr>
          <w:color w:val="FF0000"/>
        </w:rPr>
        <w:t>the target</w:t>
      </w:r>
      <w:r w:rsidR="009D7F5F">
        <w:rPr>
          <w:color w:val="FF0000"/>
        </w:rPr>
        <w:t xml:space="preserve"> group</w:t>
      </w:r>
      <w:r>
        <w:rPr>
          <w:color w:val="FF0000"/>
        </w:rPr>
        <w:t xml:space="preserve">. From this lens, the case study first addresses the strategic use of SGBV in </w:t>
      </w:r>
      <w:r w:rsidRPr="00A84338">
        <w:rPr>
          <w:i/>
          <w:iCs/>
          <w:color w:val="FF0000"/>
        </w:rPr>
        <w:t>Al Hassan</w:t>
      </w:r>
      <w:r>
        <w:rPr>
          <w:color w:val="FF0000"/>
        </w:rPr>
        <w:t xml:space="preserve"> </w:t>
      </w:r>
      <w:r w:rsidR="009D7F5F">
        <w:rPr>
          <w:color w:val="FF0000"/>
        </w:rPr>
        <w:t xml:space="preserve">as </w:t>
      </w:r>
      <w:r>
        <w:rPr>
          <w:color w:val="FF0000"/>
        </w:rPr>
        <w:t xml:space="preserve">inseparable from the persecutory attack. </w:t>
      </w:r>
      <w:r w:rsidRPr="009D7F5F">
        <w:rPr>
          <w:color w:val="000000" w:themeColor="text1"/>
        </w:rPr>
        <w:t>Then, drawing from the</w:t>
      </w:r>
      <w:r w:rsidRPr="009D7F5F">
        <w:rPr>
          <w:i/>
          <w:iCs/>
          <w:color w:val="000000" w:themeColor="text1"/>
        </w:rPr>
        <w:t xml:space="preserve"> RUF</w:t>
      </w:r>
      <w:r w:rsidRPr="009D7F5F">
        <w:rPr>
          <w:color w:val="000000" w:themeColor="text1"/>
        </w:rPr>
        <w:t xml:space="preserve"> analysis,</w:t>
      </w:r>
      <w:r w:rsidRPr="009D7F5F">
        <w:rPr>
          <w:i/>
          <w:iCs/>
          <w:color w:val="000000" w:themeColor="text1"/>
        </w:rPr>
        <w:t xml:space="preserve"> </w:t>
      </w:r>
      <w:r w:rsidR="009D7F5F" w:rsidRPr="009D7F5F">
        <w:rPr>
          <w:color w:val="000000" w:themeColor="text1"/>
        </w:rPr>
        <w:t xml:space="preserve">the </w:t>
      </w:r>
      <w:r w:rsidR="009D7F5F">
        <w:rPr>
          <w:color w:val="000000" w:themeColor="text1"/>
        </w:rPr>
        <w:t xml:space="preserve">case </w:t>
      </w:r>
      <w:r w:rsidRPr="00432B2A">
        <w:rPr>
          <w:color w:val="000000" w:themeColor="text1"/>
        </w:rPr>
        <w:t>explor</w:t>
      </w:r>
      <w:r>
        <w:rPr>
          <w:color w:val="000000" w:themeColor="text1"/>
        </w:rPr>
        <w:t>es</w:t>
      </w:r>
      <w:r w:rsidRPr="00432B2A">
        <w:rPr>
          <w:color w:val="000000" w:themeColor="text1"/>
        </w:rPr>
        <w:t xml:space="preserve"> the potential of intersectional</w:t>
      </w:r>
      <w:r>
        <w:rPr>
          <w:color w:val="000000" w:themeColor="text1"/>
        </w:rPr>
        <w:t xml:space="preserve">ity </w:t>
      </w:r>
      <w:r w:rsidRPr="00432B2A">
        <w:rPr>
          <w:color w:val="000000" w:themeColor="text1"/>
        </w:rPr>
        <w:t xml:space="preserve">to </w:t>
      </w:r>
      <w:r>
        <w:rPr>
          <w:color w:val="000000" w:themeColor="text1"/>
        </w:rPr>
        <w:t xml:space="preserve">unpack the </w:t>
      </w:r>
      <w:r w:rsidRPr="00432B2A">
        <w:rPr>
          <w:color w:val="000000" w:themeColor="text1"/>
        </w:rPr>
        <w:t>nexus between SGBV and</w:t>
      </w:r>
      <w:r>
        <w:rPr>
          <w:color w:val="000000" w:themeColor="text1"/>
        </w:rPr>
        <w:t xml:space="preserve"> other violations </w:t>
      </w:r>
      <w:r w:rsidR="00BE330A">
        <w:rPr>
          <w:color w:val="000000" w:themeColor="text1"/>
        </w:rPr>
        <w:t xml:space="preserve">(here </w:t>
      </w:r>
      <w:r>
        <w:rPr>
          <w:color w:val="000000" w:themeColor="text1"/>
        </w:rPr>
        <w:t>persecution</w:t>
      </w:r>
      <w:r w:rsidR="00BE330A">
        <w:rPr>
          <w:color w:val="000000" w:themeColor="text1"/>
        </w:rPr>
        <w:t xml:space="preserve">) </w:t>
      </w:r>
      <w:r>
        <w:rPr>
          <w:color w:val="000000" w:themeColor="text1"/>
        </w:rPr>
        <w:t>in the situation in Mali</w:t>
      </w:r>
      <w:r w:rsidRPr="00432B2A">
        <w:rPr>
          <w:color w:val="000000" w:themeColor="text1"/>
        </w:rPr>
        <w:t>.</w:t>
      </w:r>
    </w:p>
    <w:p w14:paraId="25BDCDF1" w14:textId="53F81DAD" w:rsidR="00580209" w:rsidRDefault="00580209" w:rsidP="00CD1C27">
      <w:pPr>
        <w:spacing w:line="276" w:lineRule="auto"/>
        <w:jc w:val="both"/>
      </w:pPr>
      <w:r>
        <w:rPr>
          <w:i/>
          <w:iCs/>
        </w:rPr>
        <w:t xml:space="preserve">Al Hassan </w:t>
      </w:r>
      <w:r>
        <w:t>deals with the crimes committed in Timbuktu</w:t>
      </w:r>
      <w:r w:rsidR="00B777E0">
        <w:t xml:space="preserve"> (</w:t>
      </w:r>
      <w:r>
        <w:t>Mali</w:t>
      </w:r>
      <w:r w:rsidR="00B777E0">
        <w:t>)</w:t>
      </w:r>
      <w:r>
        <w:t xml:space="preserve"> by terrorist groups Ansar Dine and AQIM (the O</w:t>
      </w:r>
      <w:r w:rsidRPr="007F6B60">
        <w:t xml:space="preserve">rganization) in the context of a widespread attack against the civilian population not adhering to </w:t>
      </w:r>
      <w:r>
        <w:t xml:space="preserve">their religious </w:t>
      </w:r>
      <w:r w:rsidRPr="007F6B60">
        <w:t>vi</w:t>
      </w:r>
      <w:r>
        <w:t>ews</w:t>
      </w:r>
      <w:r w:rsidR="00B777E0">
        <w:t>,</w:t>
      </w:r>
      <w:r>
        <w:t xml:space="preserve"> and especially </w:t>
      </w:r>
      <w:r w:rsidRPr="007F6B60">
        <w:t>targeting</w:t>
      </w:r>
      <w:r>
        <w:t xml:space="preserve"> </w:t>
      </w:r>
      <w:r w:rsidRPr="007F6B60">
        <w:t>women and girls</w:t>
      </w:r>
      <w:r>
        <w:t>, from April 2012 to January 2013.</w:t>
      </w:r>
      <w:r>
        <w:rPr>
          <w:rStyle w:val="Refdenotaalpie"/>
        </w:rPr>
        <w:footnoteReference w:id="74"/>
      </w:r>
      <w:r>
        <w:t xml:space="preserve"> According to the Prosecutor, </w:t>
      </w:r>
      <w:r w:rsidRPr="007F6B60">
        <w:t>Al Hassan</w:t>
      </w:r>
      <w:r>
        <w:t xml:space="preserve"> was </w:t>
      </w:r>
      <w:r w:rsidRPr="007F6B60">
        <w:t>a high-ranking officer of the Islamic police</w:t>
      </w:r>
      <w:r>
        <w:t xml:space="preserve"> who </w:t>
      </w:r>
      <w:r w:rsidRPr="007F6B60">
        <w:t xml:space="preserve">ensured compliance with the </w:t>
      </w:r>
      <w:r>
        <w:t>O</w:t>
      </w:r>
      <w:r w:rsidRPr="007F6B60">
        <w:t>rganization´s religious norms</w:t>
      </w:r>
      <w:r w:rsidRPr="007F6B60">
        <w:rPr>
          <w:rStyle w:val="Refdenotaalpie"/>
        </w:rPr>
        <w:footnoteReference w:id="75"/>
      </w:r>
      <w:r w:rsidRPr="007F6B60">
        <w:t xml:space="preserve"> and </w:t>
      </w:r>
      <w:r>
        <w:t xml:space="preserve">played </w:t>
      </w:r>
      <w:r w:rsidRPr="007F6B60">
        <w:t>an administrative and coordination role</w:t>
      </w:r>
      <w:r>
        <w:t xml:space="preserve"> </w:t>
      </w:r>
      <w:r w:rsidRPr="007F6B60">
        <w:t>as interface between the population and the leaders</w:t>
      </w:r>
      <w:r>
        <w:t xml:space="preserve"> of the Organization.</w:t>
      </w:r>
      <w:r>
        <w:rPr>
          <w:rStyle w:val="Refdenotaalpie"/>
        </w:rPr>
        <w:footnoteReference w:id="76"/>
      </w:r>
      <w:r>
        <w:t xml:space="preserve"> The Prosecutor brought charges </w:t>
      </w:r>
      <w:r w:rsidRPr="00976077">
        <w:t xml:space="preserve">under </w:t>
      </w:r>
      <w:r>
        <w:t>A</w:t>
      </w:r>
      <w:r w:rsidRPr="00976077">
        <w:t>rticle 25 (a-d)</w:t>
      </w:r>
      <w:r>
        <w:t xml:space="preserve"> of the Rome Statute</w:t>
      </w:r>
      <w:r w:rsidRPr="00976077">
        <w:t>.</w:t>
      </w:r>
      <w:r w:rsidR="00D975F1">
        <w:t xml:space="preserve"> </w:t>
      </w:r>
      <w:r>
        <w:t>On 30 September 2019, t</w:t>
      </w:r>
      <w:r w:rsidRPr="00976077">
        <w:t>he</w:t>
      </w:r>
      <w:r>
        <w:t xml:space="preserve"> Pre-Trial Chamber (PTC) limited Al Hassan’s criminal responsibility to article 25-3(d), contribution, and confirmed the following charges for trial: the war crimes of torture, cruel treatment, outrages against personal dignity, </w:t>
      </w:r>
      <w:r w:rsidRPr="00976077">
        <w:t xml:space="preserve">the passing of sentences and executions without judicial guarantees, </w:t>
      </w:r>
      <w:r>
        <w:t xml:space="preserve">and directing attacks against </w:t>
      </w:r>
      <w:r w:rsidRPr="00F1525D">
        <w:rPr>
          <w:color w:val="000000" w:themeColor="text1"/>
        </w:rPr>
        <w:t>religious and historical buildings</w:t>
      </w:r>
      <w:r>
        <w:rPr>
          <w:color w:val="000000" w:themeColor="text1"/>
        </w:rPr>
        <w:t xml:space="preserve">; and for </w:t>
      </w:r>
      <w:r>
        <w:t xml:space="preserve">the crimes against humanity of torture </w:t>
      </w:r>
      <w:r w:rsidRPr="00CA3547">
        <w:t>and other inhumane</w:t>
      </w:r>
      <w:r w:rsidR="00B777E0">
        <w:t xml:space="preserve"> acts</w:t>
      </w:r>
      <w:r w:rsidRPr="00CA3547">
        <w:t>.</w:t>
      </w:r>
      <w:r w:rsidRPr="00C46C71">
        <w:rPr>
          <w:rStyle w:val="Refdenotaalpie"/>
        </w:rPr>
        <w:t xml:space="preserve"> </w:t>
      </w:r>
      <w:r>
        <w:rPr>
          <w:rStyle w:val="Refdenotaalpie"/>
        </w:rPr>
        <w:footnoteReference w:id="77"/>
      </w:r>
      <w:r w:rsidRPr="00CA3547">
        <w:t xml:space="preserve"> </w:t>
      </w:r>
      <w:r>
        <w:t xml:space="preserve">As for SGBV, the PTC </w:t>
      </w:r>
      <w:r w:rsidR="009D7F5F">
        <w:t xml:space="preserve">confirmed </w:t>
      </w:r>
      <w:r>
        <w:t xml:space="preserve">charges for: </w:t>
      </w:r>
      <w:r w:rsidRPr="00CA3547">
        <w:t xml:space="preserve">the crimes against humanity of other inhumane acts </w:t>
      </w:r>
      <w:r w:rsidRPr="00CA3547">
        <w:lastRenderedPageBreak/>
        <w:t xml:space="preserve">in the framework of forced marriages, sexual slavery, rape and persecution, and </w:t>
      </w:r>
      <w:r>
        <w:t xml:space="preserve">for </w:t>
      </w:r>
      <w:r w:rsidRPr="00CA3547">
        <w:t>the war crimes</w:t>
      </w:r>
      <w:r>
        <w:t xml:space="preserve"> of sexual slavery and rape.</w:t>
      </w:r>
      <w:r>
        <w:rPr>
          <w:rStyle w:val="Refdenotaalpie"/>
        </w:rPr>
        <w:footnoteReference w:id="78"/>
      </w:r>
      <w:r>
        <w:t xml:space="preserve">  </w:t>
      </w:r>
    </w:p>
    <w:p w14:paraId="1D3DD87C" w14:textId="77777777" w:rsidR="00580209" w:rsidRPr="000F17D2" w:rsidRDefault="00580209" w:rsidP="00CD1C27">
      <w:pPr>
        <w:spacing w:line="276" w:lineRule="auto"/>
        <w:jc w:val="both"/>
      </w:pPr>
    </w:p>
    <w:p w14:paraId="3A34AAAF" w14:textId="24952117" w:rsidR="00580209" w:rsidRPr="00A62CC2" w:rsidRDefault="00580209" w:rsidP="00CD1C27">
      <w:pPr>
        <w:spacing w:line="276" w:lineRule="auto"/>
        <w:jc w:val="both"/>
        <w:rPr>
          <w:b/>
          <w:bCs/>
          <w:color w:val="FF0000"/>
        </w:rPr>
      </w:pPr>
      <w:r w:rsidRPr="005379F0">
        <w:rPr>
          <w:b/>
          <w:bCs/>
          <w:color w:val="FF0000"/>
        </w:rPr>
        <w:t>3.1 The Strategic</w:t>
      </w:r>
      <w:r w:rsidRPr="00A62CC2">
        <w:rPr>
          <w:b/>
          <w:bCs/>
          <w:color w:val="FF0000"/>
        </w:rPr>
        <w:t xml:space="preserve"> Use of SGBV: </w:t>
      </w:r>
      <w:r>
        <w:rPr>
          <w:b/>
          <w:bCs/>
          <w:color w:val="FF0000"/>
        </w:rPr>
        <w:t>T</w:t>
      </w:r>
      <w:r w:rsidRPr="00A62CC2">
        <w:rPr>
          <w:b/>
          <w:bCs/>
          <w:color w:val="FF0000"/>
        </w:rPr>
        <w:t xml:space="preserve">he Intersection of Gender and Religious </w:t>
      </w:r>
      <w:r>
        <w:rPr>
          <w:b/>
          <w:bCs/>
          <w:color w:val="FF0000"/>
        </w:rPr>
        <w:t>Discrimination</w:t>
      </w:r>
      <w:r w:rsidRPr="00A62CC2">
        <w:rPr>
          <w:b/>
          <w:bCs/>
          <w:color w:val="FF0000"/>
        </w:rPr>
        <w:t xml:space="preserve"> </w:t>
      </w:r>
    </w:p>
    <w:p w14:paraId="38019174" w14:textId="22C6ACFF" w:rsidR="00580209" w:rsidRPr="0032001D" w:rsidRDefault="00580209" w:rsidP="00CD1C27">
      <w:pPr>
        <w:spacing w:line="276" w:lineRule="auto"/>
        <w:jc w:val="both"/>
        <w:rPr>
          <w:color w:val="FF0000"/>
        </w:rPr>
      </w:pPr>
      <w:r>
        <w:t xml:space="preserve">The facts in </w:t>
      </w:r>
      <w:r w:rsidRPr="00F448FD">
        <w:rPr>
          <w:i/>
          <w:iCs/>
        </w:rPr>
        <w:t>Al Hassan</w:t>
      </w:r>
      <w:r>
        <w:t xml:space="preserve"> coincide with many of the factors that the U.N. Security Council and Secretary</w:t>
      </w:r>
      <w:r w:rsidR="004D739E">
        <w:t>-</w:t>
      </w:r>
      <w:r>
        <w:t>General consider a strategic use of SGBV</w:t>
      </w:r>
      <w:r w:rsidRPr="002D52C1">
        <w:t xml:space="preserve"> </w:t>
      </w:r>
      <w:r w:rsidR="009D7F5F" w:rsidRPr="002D52C1">
        <w:t xml:space="preserve">by </w:t>
      </w:r>
      <w:r w:rsidRPr="002D52C1">
        <w:t xml:space="preserve">religious extremism based on a discriminatory ideology against women and girls. </w:t>
      </w:r>
      <w:r>
        <w:rPr>
          <w:color w:val="FF0000"/>
        </w:rPr>
        <w:t xml:space="preserve">These indices are important because they reveal that discrimination on gender </w:t>
      </w:r>
      <w:r>
        <w:rPr>
          <w:i/>
          <w:iCs/>
          <w:color w:val="FF0000"/>
        </w:rPr>
        <w:t xml:space="preserve">and </w:t>
      </w:r>
      <w:r>
        <w:rPr>
          <w:color w:val="FF0000"/>
        </w:rPr>
        <w:t>religio</w:t>
      </w:r>
      <w:r w:rsidR="0032001D">
        <w:rPr>
          <w:color w:val="FF0000"/>
        </w:rPr>
        <w:t>us</w:t>
      </w:r>
      <w:r>
        <w:rPr>
          <w:color w:val="FF0000"/>
        </w:rPr>
        <w:t xml:space="preserve"> </w:t>
      </w:r>
      <w:r w:rsidR="009D7F5F">
        <w:rPr>
          <w:color w:val="FF0000"/>
        </w:rPr>
        <w:t xml:space="preserve">grounds </w:t>
      </w:r>
      <w:r w:rsidR="005379F0">
        <w:rPr>
          <w:color w:val="FF0000"/>
        </w:rPr>
        <w:t xml:space="preserve">may </w:t>
      </w:r>
      <w:r w:rsidR="0032001D">
        <w:rPr>
          <w:color w:val="FF0000"/>
        </w:rPr>
        <w:t xml:space="preserve">intersect and </w:t>
      </w:r>
      <w:r>
        <w:rPr>
          <w:color w:val="FF0000"/>
        </w:rPr>
        <w:t xml:space="preserve">underpin the deliberate use of SGBV </w:t>
      </w:r>
      <w:r w:rsidR="009D7F5F">
        <w:rPr>
          <w:color w:val="FF0000"/>
        </w:rPr>
        <w:t xml:space="preserve">by extremist groups </w:t>
      </w:r>
      <w:r>
        <w:rPr>
          <w:color w:val="FF0000"/>
        </w:rPr>
        <w:t>as a tool to further the</w:t>
      </w:r>
      <w:r w:rsidR="009D7F5F">
        <w:rPr>
          <w:color w:val="FF0000"/>
        </w:rPr>
        <w:t>ir</w:t>
      </w:r>
      <w:r>
        <w:rPr>
          <w:color w:val="FF0000"/>
        </w:rPr>
        <w:t xml:space="preserve"> broader criminal aims. </w:t>
      </w:r>
      <w:r>
        <w:t>A</w:t>
      </w:r>
      <w:r w:rsidR="004D739E">
        <w:t xml:space="preserve">ccording to the Secretary-General, </w:t>
      </w:r>
      <w:r>
        <w:t xml:space="preserve">SGBV may be used as a </w:t>
      </w:r>
      <w:r w:rsidRPr="002A5AD6">
        <w:rPr>
          <w:i/>
          <w:iCs/>
        </w:rPr>
        <w:t xml:space="preserve">recruitment </w:t>
      </w:r>
      <w:r w:rsidRPr="002A5AD6">
        <w:t>strategy</w:t>
      </w:r>
      <w:r w:rsidRPr="00E9025F">
        <w:rPr>
          <w:b/>
          <w:bCs/>
        </w:rPr>
        <w:t xml:space="preserve"> </w:t>
      </w:r>
      <w:r w:rsidRPr="00E9025F">
        <w:t>to attract terrorist fighters by offering them access to wives and sex slaves</w:t>
      </w:r>
      <w:r>
        <w:t xml:space="preserve"> and</w:t>
      </w:r>
      <w:r w:rsidRPr="00E9025F">
        <w:t xml:space="preserve"> may even lead to creating marriage </w:t>
      </w:r>
      <w:r>
        <w:t>‘</w:t>
      </w:r>
      <w:r w:rsidRPr="00E9025F">
        <w:t>bureaux.</w:t>
      </w:r>
      <w:r>
        <w:t>’</w:t>
      </w:r>
      <w:r w:rsidRPr="00E9025F">
        <w:rPr>
          <w:rStyle w:val="Refdenotaalpie"/>
        </w:rPr>
        <w:footnoteReference w:id="79"/>
      </w:r>
      <w:r w:rsidRPr="00E9025F">
        <w:t xml:space="preserve"> </w:t>
      </w:r>
      <w:r>
        <w:t xml:space="preserve">SGBV is also </w:t>
      </w:r>
      <w:r w:rsidRPr="00AD07D7">
        <w:t>a tactic to advance the</w:t>
      </w:r>
      <w:r w:rsidRPr="00345BCB">
        <w:rPr>
          <w:b/>
          <w:bCs/>
          <w:i/>
          <w:iCs/>
        </w:rPr>
        <w:t xml:space="preserve"> </w:t>
      </w:r>
      <w:r w:rsidRPr="002A5AD6">
        <w:rPr>
          <w:i/>
          <w:iCs/>
        </w:rPr>
        <w:t>ideology</w:t>
      </w:r>
      <w:r w:rsidRPr="005C1512">
        <w:t xml:space="preserve"> </w:t>
      </w:r>
      <w:r w:rsidRPr="00406759">
        <w:t>of terrorist groups</w:t>
      </w:r>
      <w:r>
        <w:t xml:space="preserve"> that arises,  </w:t>
      </w:r>
      <w:r w:rsidRPr="00406759">
        <w:t>as everywhere else, from discrimination “on gender, sexual orientation, ethnic and political or religious identity, in particular the subordination of women and girls.</w:t>
      </w:r>
      <w:r w:rsidRPr="00406759">
        <w:rPr>
          <w:rStyle w:val="Refdenotaalpie"/>
        </w:rPr>
        <w:t xml:space="preserve">” </w:t>
      </w:r>
      <w:r w:rsidRPr="00406759">
        <w:rPr>
          <w:rStyle w:val="Refdenotaalpie"/>
        </w:rPr>
        <w:footnoteReference w:id="80"/>
      </w:r>
      <w:r w:rsidRPr="00406759">
        <w:t xml:space="preserve"> </w:t>
      </w:r>
      <w:r w:rsidR="004D739E">
        <w:t>The Security Council recognizes that t</w:t>
      </w:r>
      <w:r>
        <w:t xml:space="preserve">hese views on gender relations result in </w:t>
      </w:r>
      <w:r w:rsidRPr="00406759">
        <w:t xml:space="preserve">“the suppression of women’s rights and the use of </w:t>
      </w:r>
      <w:r w:rsidRPr="000D4344">
        <w:t>religious justification</w:t>
      </w:r>
      <w:r w:rsidRPr="00406759">
        <w:t xml:space="preserve"> to codify and institutionalize sexual slavery and </w:t>
      </w:r>
      <w:r>
        <w:t xml:space="preserve">to </w:t>
      </w:r>
      <w:r w:rsidRPr="00406759">
        <w:t xml:space="preserve">exert control over women’s </w:t>
      </w:r>
      <w:r>
        <w:t xml:space="preserve">bodies and </w:t>
      </w:r>
      <w:r w:rsidRPr="00406759">
        <w:t>reproduction.”</w:t>
      </w:r>
      <w:r w:rsidRPr="00406759">
        <w:rPr>
          <w:rStyle w:val="Refdenotaalpie"/>
        </w:rPr>
        <w:footnoteReference w:id="81"/>
      </w:r>
      <w:r w:rsidRPr="00406759">
        <w:t xml:space="preserve">  The</w:t>
      </w:r>
      <w:r>
        <w:t xml:space="preserve"> targeting of women and girls</w:t>
      </w:r>
      <w:r w:rsidRPr="00406759">
        <w:t xml:space="preserve"> is often justified on consideration of the other as “infidel”</w:t>
      </w:r>
      <w:r>
        <w:t xml:space="preserve">, resulting in </w:t>
      </w:r>
      <w:r w:rsidRPr="00406759">
        <w:t>punish</w:t>
      </w:r>
      <w:r>
        <w:t>ment</w:t>
      </w:r>
      <w:r w:rsidRPr="00406759">
        <w:t xml:space="preserve"> for </w:t>
      </w:r>
      <w:r>
        <w:t xml:space="preserve">attempting </w:t>
      </w:r>
      <w:r w:rsidRPr="00406759">
        <w:t>to escape or refus</w:t>
      </w:r>
      <w:r>
        <w:t>ing</w:t>
      </w:r>
      <w:r w:rsidRPr="00406759">
        <w:t xml:space="preserve"> to abide by extremist rules</w:t>
      </w:r>
      <w:r>
        <w:t xml:space="preserve">, including situations of </w:t>
      </w:r>
      <w:r w:rsidRPr="00406759">
        <w:t>confinement, torture, humiliation, separation from or killing of their children.</w:t>
      </w:r>
      <w:r w:rsidRPr="00406759">
        <w:rPr>
          <w:rStyle w:val="Refdenotaalpie"/>
        </w:rPr>
        <w:footnoteReference w:id="82"/>
      </w:r>
      <w:r>
        <w:t xml:space="preserve"> Also,</w:t>
      </w:r>
      <w:r w:rsidR="004D739E">
        <w:t xml:space="preserve"> according to</w:t>
      </w:r>
      <w:r>
        <w:t xml:space="preserve"> the U</w:t>
      </w:r>
      <w:r w:rsidR="004D739E">
        <w:t xml:space="preserve">N, </w:t>
      </w:r>
      <w:r>
        <w:t xml:space="preserve">terrorists </w:t>
      </w:r>
      <w:r w:rsidR="004D739E">
        <w:t>may</w:t>
      </w:r>
      <w:r>
        <w:t xml:space="preserve"> use </w:t>
      </w:r>
      <w:r w:rsidRPr="00C80087">
        <w:t>SGBV</w:t>
      </w:r>
      <w:r>
        <w:t xml:space="preserve"> to advance </w:t>
      </w:r>
      <w:r w:rsidRPr="00C80087">
        <w:t>the</w:t>
      </w:r>
      <w:r>
        <w:t>ir</w:t>
      </w:r>
      <w:r w:rsidRPr="00C80087">
        <w:t xml:space="preserve"> </w:t>
      </w:r>
      <w:r w:rsidRPr="002A5AD6">
        <w:rPr>
          <w:i/>
          <w:iCs/>
        </w:rPr>
        <w:t>military strategy</w:t>
      </w:r>
      <w:r w:rsidRPr="002A5AD6">
        <w:t xml:space="preserve"> </w:t>
      </w:r>
      <w:r>
        <w:t xml:space="preserve">by </w:t>
      </w:r>
      <w:r w:rsidRPr="00C80087">
        <w:t>targeting people on religious, ethnic or political lines that mirror the conflict.</w:t>
      </w:r>
      <w:r w:rsidRPr="00C80087">
        <w:rPr>
          <w:rStyle w:val="Refdenotaalpie"/>
        </w:rPr>
        <w:footnoteReference w:id="83"/>
      </w:r>
      <w:r w:rsidRPr="00C80087">
        <w:t xml:space="preserve"> </w:t>
      </w:r>
      <w:r>
        <w:t xml:space="preserve">Due to </w:t>
      </w:r>
      <w:r w:rsidRPr="00C80087">
        <w:t xml:space="preserve">its gendered effects causing stigma and </w:t>
      </w:r>
      <w:r>
        <w:t>ostracization</w:t>
      </w:r>
      <w:r w:rsidRPr="00C80087">
        <w:t xml:space="preserve">, SGBV destroys </w:t>
      </w:r>
      <w:r>
        <w:t xml:space="preserve">the social fabric of </w:t>
      </w:r>
      <w:r w:rsidRPr="00C80087">
        <w:t>“family and kinship ties that hold communities together.”</w:t>
      </w:r>
      <w:r w:rsidRPr="00C80087">
        <w:rPr>
          <w:rStyle w:val="Refdenotaalpie"/>
        </w:rPr>
        <w:footnoteReference w:id="84"/>
      </w:r>
      <w:r w:rsidRPr="00C80087">
        <w:t xml:space="preserve"> It instils terror among the population</w:t>
      </w:r>
      <w:r>
        <w:t>,</w:t>
      </w:r>
      <w:r w:rsidRPr="00C80087">
        <w:rPr>
          <w:rStyle w:val="Refdenotaalpie"/>
        </w:rPr>
        <w:footnoteReference w:id="85"/>
      </w:r>
      <w:r w:rsidRPr="00C80087">
        <w:t xml:space="preserve"> </w:t>
      </w:r>
      <w:r>
        <w:t xml:space="preserve">resulting in </w:t>
      </w:r>
      <w:r w:rsidRPr="00C80087">
        <w:t>subjugat</w:t>
      </w:r>
      <w:r>
        <w:t>ion</w:t>
      </w:r>
      <w:r w:rsidRPr="00C80087">
        <w:t xml:space="preserve"> or forc</w:t>
      </w:r>
      <w:r>
        <w:t xml:space="preserve">ed </w:t>
      </w:r>
      <w:r w:rsidRPr="00C80087">
        <w:t>displace</w:t>
      </w:r>
      <w:r>
        <w:t>ment</w:t>
      </w:r>
      <w:r w:rsidRPr="00C80087">
        <w:t xml:space="preserve"> </w:t>
      </w:r>
      <w:r>
        <w:t>that</w:t>
      </w:r>
      <w:r w:rsidRPr="00C80087">
        <w:t xml:space="preserve"> help</w:t>
      </w:r>
      <w:r>
        <w:t>s</w:t>
      </w:r>
      <w:r w:rsidRPr="00C80087">
        <w:t xml:space="preserve"> </w:t>
      </w:r>
      <w:r>
        <w:t xml:space="preserve">extremists to </w:t>
      </w:r>
      <w:r w:rsidRPr="00C80087">
        <w:t>entrench control over strategic territory and population.</w:t>
      </w:r>
      <w:r w:rsidRPr="00C80087">
        <w:rPr>
          <w:rStyle w:val="Refdenotaalpie"/>
        </w:rPr>
        <w:footnoteReference w:id="86"/>
      </w:r>
      <w:r w:rsidRPr="00C80087">
        <w:t xml:space="preserve"> </w:t>
      </w:r>
      <w:r>
        <w:t xml:space="preserve">Due to aspirations of statehood among these groups </w:t>
      </w:r>
      <w:r w:rsidRPr="00C80087">
        <w:t>“the control of women’s reproductive capacity is vital to nation building and to raising a generation in their own image.”</w:t>
      </w:r>
      <w:r w:rsidRPr="00C80087">
        <w:rPr>
          <w:rStyle w:val="Refdenotaalpie"/>
        </w:rPr>
        <w:footnoteReference w:id="87"/>
      </w:r>
      <w:r w:rsidR="0032001D">
        <w:t xml:space="preserve"> </w:t>
      </w:r>
      <w:r w:rsidR="005379F0">
        <w:rPr>
          <w:color w:val="FF0000"/>
        </w:rPr>
        <w:t>T</w:t>
      </w:r>
      <w:r w:rsidR="0032001D">
        <w:rPr>
          <w:color w:val="FF0000"/>
        </w:rPr>
        <w:t xml:space="preserve">hese considerations on the strategic use of SGBV </w:t>
      </w:r>
      <w:r w:rsidR="005379F0">
        <w:rPr>
          <w:color w:val="FF0000"/>
        </w:rPr>
        <w:t xml:space="preserve">are underpinned by </w:t>
      </w:r>
      <w:r w:rsidR="0032001D">
        <w:rPr>
          <w:color w:val="FF0000"/>
        </w:rPr>
        <w:t xml:space="preserve">the idea that gender and </w:t>
      </w:r>
      <w:r w:rsidR="004D739E">
        <w:rPr>
          <w:color w:val="FF0000"/>
        </w:rPr>
        <w:t xml:space="preserve">the </w:t>
      </w:r>
      <w:r w:rsidR="0032001D">
        <w:rPr>
          <w:color w:val="FF0000"/>
        </w:rPr>
        <w:t xml:space="preserve">religious ideology </w:t>
      </w:r>
      <w:r w:rsidR="004D739E">
        <w:rPr>
          <w:color w:val="FF0000"/>
        </w:rPr>
        <w:t xml:space="preserve">of armed groups </w:t>
      </w:r>
      <w:r w:rsidR="0032001D">
        <w:rPr>
          <w:color w:val="FF0000"/>
        </w:rPr>
        <w:t>intersect.</w:t>
      </w:r>
    </w:p>
    <w:p w14:paraId="381A32EE" w14:textId="1F507999" w:rsidR="00580209" w:rsidRDefault="00580209" w:rsidP="00CD1C27">
      <w:pPr>
        <w:spacing w:line="276" w:lineRule="auto"/>
        <w:jc w:val="both"/>
      </w:pPr>
      <w:r w:rsidRPr="002D52C1">
        <w:rPr>
          <w:color w:val="FF0000"/>
        </w:rPr>
        <w:t xml:space="preserve">These strategic ‘uses’ of SGBV resonate with much of the evidence submitted by the Prosecutor in </w:t>
      </w:r>
      <w:r w:rsidRPr="002D52C1">
        <w:rPr>
          <w:i/>
          <w:iCs/>
          <w:color w:val="FF0000"/>
        </w:rPr>
        <w:t>Al Hassan</w:t>
      </w:r>
      <w:r>
        <w:rPr>
          <w:i/>
          <w:iCs/>
        </w:rPr>
        <w:t>,</w:t>
      </w:r>
      <w:r>
        <w:t xml:space="preserve"> </w:t>
      </w:r>
      <w:r w:rsidRPr="007A67C5">
        <w:rPr>
          <w:color w:val="FF0000"/>
        </w:rPr>
        <w:t xml:space="preserve">pointing at the </w:t>
      </w:r>
      <w:r w:rsidRPr="003938E7">
        <w:rPr>
          <w:color w:val="FF0000"/>
        </w:rPr>
        <w:t xml:space="preserve">intersection </w:t>
      </w:r>
      <w:r w:rsidRPr="007A67C5">
        <w:rPr>
          <w:color w:val="FF0000"/>
        </w:rPr>
        <w:t xml:space="preserve">of gender and religious discrimination </w:t>
      </w:r>
      <w:r w:rsidR="004D739E">
        <w:rPr>
          <w:color w:val="FF0000"/>
        </w:rPr>
        <w:t xml:space="preserve">beyond </w:t>
      </w:r>
      <w:r w:rsidRPr="007A67C5">
        <w:rPr>
          <w:color w:val="FF0000"/>
        </w:rPr>
        <w:t xml:space="preserve">the </w:t>
      </w:r>
      <w:r>
        <w:rPr>
          <w:color w:val="FF0000"/>
        </w:rPr>
        <w:lastRenderedPageBreak/>
        <w:t xml:space="preserve">ideology and </w:t>
      </w:r>
      <w:r w:rsidRPr="007A67C5">
        <w:rPr>
          <w:color w:val="FF0000"/>
        </w:rPr>
        <w:t>strategy of AQIM and Ansar Dine</w:t>
      </w:r>
      <w:r>
        <w:t xml:space="preserve">. </w:t>
      </w:r>
      <w:r w:rsidR="004D739E">
        <w:t>Indeed, t</w:t>
      </w:r>
      <w:r>
        <w:t xml:space="preserve">he facts revealed that gender and religion were inseparable matters </w:t>
      </w:r>
      <w:r w:rsidR="004D739E">
        <w:t xml:space="preserve">and </w:t>
      </w:r>
      <w:r>
        <w:t>compound</w:t>
      </w:r>
      <w:r w:rsidR="004D739E">
        <w:t>ed</w:t>
      </w:r>
      <w:r>
        <w:t xml:space="preserve"> </w:t>
      </w:r>
      <w:r w:rsidR="004D739E">
        <w:t>the</w:t>
      </w:r>
      <w:r>
        <w:t xml:space="preserve"> </w:t>
      </w:r>
      <w:r w:rsidRPr="00E90F25">
        <w:rPr>
          <w:i/>
          <w:iCs/>
        </w:rPr>
        <w:t>policy</w:t>
      </w:r>
      <w:r>
        <w:t xml:space="preserve"> of SGBV</w:t>
      </w:r>
      <w:r w:rsidR="004D739E">
        <w:t xml:space="preserve"> of the armed groups</w:t>
      </w:r>
      <w:r w:rsidR="00E90F25">
        <w:t>, namely, that f</w:t>
      </w:r>
      <w:r w:rsidRPr="003938E7">
        <w:t>orced marriages</w:t>
      </w:r>
      <w:r w:rsidR="004D739E">
        <w:t xml:space="preserve"> and SGBV</w:t>
      </w:r>
      <w:r>
        <w:t xml:space="preserve"> were a central tool to </w:t>
      </w:r>
      <w:r w:rsidRPr="00E90F25">
        <w:t>recruit</w:t>
      </w:r>
      <w:r>
        <w:rPr>
          <w:i/>
          <w:iCs/>
        </w:rPr>
        <w:t xml:space="preserve"> </w:t>
      </w:r>
      <w:r>
        <w:t>fighters</w:t>
      </w:r>
      <w:r w:rsidR="004D739E">
        <w:t>, to</w:t>
      </w:r>
      <w:r>
        <w:t xml:space="preserve"> </w:t>
      </w:r>
      <w:r w:rsidR="004D739E">
        <w:t xml:space="preserve">spread the religious </w:t>
      </w:r>
      <w:r w:rsidR="004D739E" w:rsidRPr="00E90F25">
        <w:t>ideology,</w:t>
      </w:r>
      <w:r w:rsidR="004D739E">
        <w:t xml:space="preserve"> and to </w:t>
      </w:r>
      <w:r>
        <w:t xml:space="preserve">achieve the </w:t>
      </w:r>
      <w:r w:rsidRPr="00E90F25">
        <w:t xml:space="preserve">military </w:t>
      </w:r>
      <w:r>
        <w:t xml:space="preserve">aims of controlling civilians </w:t>
      </w:r>
      <w:r w:rsidRPr="006A386A">
        <w:rPr>
          <w:color w:val="000000" w:themeColor="text1"/>
        </w:rPr>
        <w:t xml:space="preserve">and </w:t>
      </w:r>
      <w:r w:rsidR="004D739E">
        <w:rPr>
          <w:color w:val="000000" w:themeColor="text1"/>
        </w:rPr>
        <w:t xml:space="preserve">acquiring </w:t>
      </w:r>
      <w:r w:rsidRPr="006A386A">
        <w:rPr>
          <w:color w:val="000000" w:themeColor="text1"/>
        </w:rPr>
        <w:t>statehood</w:t>
      </w:r>
      <w:r>
        <w:rPr>
          <w:color w:val="000000" w:themeColor="text1"/>
        </w:rPr>
        <w:t>.</w:t>
      </w:r>
      <w:r>
        <w:t xml:space="preserve"> </w:t>
      </w:r>
      <w:r w:rsidR="004D739E">
        <w:t>In this regard</w:t>
      </w:r>
      <w:r>
        <w:t>, t</w:t>
      </w:r>
      <w:r w:rsidRPr="00E9025F">
        <w:t xml:space="preserve">he DCC </w:t>
      </w:r>
      <w:r>
        <w:t xml:space="preserve">submitted that the </w:t>
      </w:r>
      <w:r w:rsidRPr="00E9025F">
        <w:t>leaders encouraged the “temporary marriages” of fighters</w:t>
      </w:r>
      <w:r>
        <w:t xml:space="preserve"> </w:t>
      </w:r>
      <w:r w:rsidRPr="00E9025F">
        <w:t>and</w:t>
      </w:r>
      <w:r>
        <w:t xml:space="preserve"> that actually </w:t>
      </w:r>
      <w:r w:rsidRPr="00E9025F">
        <w:t>most “jihadist” marriages in Timbuktu fell within this category.</w:t>
      </w:r>
      <w:r w:rsidRPr="00E9025F">
        <w:rPr>
          <w:rStyle w:val="Refdenotaalpie"/>
        </w:rPr>
        <w:footnoteReference w:id="88"/>
      </w:r>
      <w:r w:rsidRPr="00E9025F">
        <w:t xml:space="preserve"> In this spirit “the hierarchy of the Organization had established a fund that could be used for the payment of dots</w:t>
      </w:r>
      <w:r w:rsidRPr="00DE7968">
        <w:t>.”</w:t>
      </w:r>
      <w:r w:rsidRPr="00DE7968">
        <w:rPr>
          <w:rStyle w:val="Refdenotaalpie"/>
        </w:rPr>
        <w:footnoteReference w:id="89"/>
      </w:r>
      <w:r w:rsidRPr="00DE7968">
        <w:t xml:space="preserve"> </w:t>
      </w:r>
      <w:r>
        <w:rPr>
          <w:color w:val="000000" w:themeColor="text1"/>
        </w:rPr>
        <w:t>T</w:t>
      </w:r>
      <w:r w:rsidRPr="002323BF">
        <w:rPr>
          <w:color w:val="000000" w:themeColor="text1"/>
        </w:rPr>
        <w:t xml:space="preserve">he </w:t>
      </w:r>
      <w:r w:rsidRPr="00DE7968">
        <w:t>obligation to satisfy sexual relations</w:t>
      </w:r>
      <w:r>
        <w:t>,</w:t>
      </w:r>
      <w:r w:rsidRPr="00DE7968">
        <w:t xml:space="preserve"> always “in the respect of religion”</w:t>
      </w:r>
      <w:r>
        <w:t>,</w:t>
      </w:r>
      <w:r w:rsidRPr="00DE7968">
        <w:t xml:space="preserve"> justified th</w:t>
      </w:r>
      <w:r>
        <w:t>ose</w:t>
      </w:r>
      <w:r w:rsidRPr="00DE7968">
        <w:t xml:space="preserve"> compulsory marriages, providing fighters with access to women</w:t>
      </w:r>
      <w:r w:rsidRPr="00DE7968">
        <w:rPr>
          <w:rStyle w:val="Refdenotaalpie"/>
        </w:rPr>
        <w:footnoteReference w:id="90"/>
      </w:r>
      <w:r w:rsidRPr="00DE7968">
        <w:t xml:space="preserve"> and allowing leaders to impose their own discriminatory view</w:t>
      </w:r>
      <w:r>
        <w:t>s</w:t>
      </w:r>
      <w:r w:rsidRPr="00DE7968">
        <w:t xml:space="preserve"> of women.</w:t>
      </w:r>
      <w:r w:rsidRPr="00DE7968">
        <w:rPr>
          <w:rStyle w:val="Refdenotaalpie"/>
        </w:rPr>
        <w:footnoteReference w:id="91"/>
      </w:r>
      <w:r w:rsidRPr="00A52D74">
        <w:t xml:space="preserve"> </w:t>
      </w:r>
      <w:r w:rsidRPr="00DE7968">
        <w:t>According to the Prosecutor, forced marriage was</w:t>
      </w:r>
      <w:r>
        <w:t xml:space="preserve"> </w:t>
      </w:r>
      <w:r w:rsidRPr="007A6F38">
        <w:t xml:space="preserve">a </w:t>
      </w:r>
      <w:r>
        <w:t>“</w:t>
      </w:r>
      <w:r w:rsidRPr="007A6F38">
        <w:t>pass</w:t>
      </w:r>
      <w:r>
        <w:t>erell</w:t>
      </w:r>
      <w:r w:rsidRPr="007A6F38">
        <w:t>e” crime for the perpetration of rape, sexual slavery and the persecution of women on the basis of their gender.</w:t>
      </w:r>
      <w:r w:rsidRPr="007A6F38">
        <w:rPr>
          <w:rStyle w:val="Refdenotaalpie"/>
        </w:rPr>
        <w:footnoteReference w:id="92"/>
      </w:r>
      <w:r w:rsidRPr="007A6F38">
        <w:t xml:space="preserve"> </w:t>
      </w:r>
      <w:r>
        <w:t>This ideology was enforced. An</w:t>
      </w:r>
      <w:r w:rsidRPr="007A6F38">
        <w:t xml:space="preserve"> Islamic</w:t>
      </w:r>
      <w:r>
        <w:t xml:space="preserve"> Tribunal, an </w:t>
      </w:r>
      <w:r w:rsidRPr="007A6F38">
        <w:t>Islamic</w:t>
      </w:r>
      <w:r>
        <w:t xml:space="preserve"> P</w:t>
      </w:r>
      <w:r w:rsidRPr="007A6F38">
        <w:t>olice</w:t>
      </w:r>
      <w:r>
        <w:t>, and a mores brigade</w:t>
      </w:r>
      <w:r w:rsidRPr="007A6F38">
        <w:t xml:space="preserve"> </w:t>
      </w:r>
      <w:r>
        <w:t xml:space="preserve">controlled and imposed religious norms on </w:t>
      </w:r>
      <w:r w:rsidRPr="007A6F38">
        <w:t>sexual relations</w:t>
      </w:r>
      <w:r>
        <w:t>, including by punishing adultery, mediation in conjugal conflicts and supporting the forced marriages of fighters.</w:t>
      </w:r>
      <w:r w:rsidRPr="006A386A">
        <w:rPr>
          <w:rStyle w:val="Refdenotaalpie"/>
        </w:rPr>
        <w:footnoteReference w:id="93"/>
      </w:r>
      <w:r w:rsidRPr="006A386A">
        <w:rPr>
          <w:color w:val="000000" w:themeColor="text1"/>
        </w:rPr>
        <w:t xml:space="preserve">Simultaneously, </w:t>
      </w:r>
      <w:r>
        <w:rPr>
          <w:color w:val="000000" w:themeColor="text1"/>
        </w:rPr>
        <w:t xml:space="preserve">this organized system of sexual exploitation </w:t>
      </w:r>
      <w:r>
        <w:t xml:space="preserve">was key </w:t>
      </w:r>
      <w:r w:rsidRPr="00DE7968">
        <w:t xml:space="preserve">to consolidate control over the city, region and its population, including the creation of a “new generation of jihadists” to </w:t>
      </w:r>
      <w:r>
        <w:t xml:space="preserve">integrate </w:t>
      </w:r>
      <w:r w:rsidRPr="00DE7968">
        <w:t>with the local population.</w:t>
      </w:r>
      <w:r w:rsidRPr="00DE7968">
        <w:rPr>
          <w:rStyle w:val="Refdenotaalpie"/>
        </w:rPr>
        <w:footnoteReference w:id="94"/>
      </w:r>
      <w:r w:rsidRPr="00DE7968">
        <w:t xml:space="preserve"> According to witness evidence, “there was nothing better than marriage when we talk about social integration”</w:t>
      </w:r>
      <w:r>
        <w:t xml:space="preserve"> to merge with the population to ensure control and a new generation of jihadists.</w:t>
      </w:r>
      <w:r>
        <w:rPr>
          <w:rStyle w:val="Refdenotaalpie"/>
        </w:rPr>
        <w:footnoteReference w:id="95"/>
      </w:r>
      <w:r>
        <w:t xml:space="preserve"> </w:t>
      </w:r>
    </w:p>
    <w:p w14:paraId="3FC0B326" w14:textId="3A040E9F" w:rsidR="00580209" w:rsidRPr="007A6F38" w:rsidRDefault="00580209" w:rsidP="00CD1C27">
      <w:pPr>
        <w:spacing w:line="276" w:lineRule="auto"/>
        <w:jc w:val="both"/>
      </w:pPr>
      <w:r>
        <w:t xml:space="preserve">Overall, evidence in </w:t>
      </w:r>
      <w:r>
        <w:rPr>
          <w:i/>
          <w:iCs/>
        </w:rPr>
        <w:t xml:space="preserve">Al Hassan </w:t>
      </w:r>
      <w:r>
        <w:t>revealed</w:t>
      </w:r>
      <w:r w:rsidR="003C1995">
        <w:t xml:space="preserve"> strong indices</w:t>
      </w:r>
      <w:r>
        <w:t xml:space="preserve"> </w:t>
      </w:r>
      <w:r w:rsidR="003C1995">
        <w:t xml:space="preserve">that an </w:t>
      </w:r>
      <w:r>
        <w:t>organized system of SGBV was inextricably linked with the strategy of the armed group to</w:t>
      </w:r>
      <w:r w:rsidR="003C1995">
        <w:t xml:space="preserve"> recruit fighters</w:t>
      </w:r>
      <w:r w:rsidR="00E90F25">
        <w:t>,</w:t>
      </w:r>
      <w:r w:rsidR="003C1995">
        <w:t xml:space="preserve"> consolidate </w:t>
      </w:r>
      <w:r>
        <w:t>religious-based ideology</w:t>
      </w:r>
      <w:r w:rsidR="003C1995">
        <w:t xml:space="preserve"> and </w:t>
      </w:r>
      <w:r>
        <w:t xml:space="preserve">military strategy. </w:t>
      </w:r>
      <w:r w:rsidRPr="00D455DA">
        <w:rPr>
          <w:i/>
          <w:iCs/>
          <w:color w:val="FF0000"/>
        </w:rPr>
        <w:t>Al Hassan</w:t>
      </w:r>
      <w:r w:rsidRPr="00D455DA">
        <w:rPr>
          <w:color w:val="FF0000"/>
        </w:rPr>
        <w:t xml:space="preserve"> </w:t>
      </w:r>
      <w:r w:rsidR="002D52C1">
        <w:rPr>
          <w:color w:val="FF0000"/>
        </w:rPr>
        <w:t>presents</w:t>
      </w:r>
      <w:r w:rsidRPr="00D455DA">
        <w:rPr>
          <w:color w:val="FF0000"/>
        </w:rPr>
        <w:t xml:space="preserve"> an opportunity for the ICC to uncover </w:t>
      </w:r>
      <w:r w:rsidR="003C1995">
        <w:rPr>
          <w:color w:val="FF0000"/>
        </w:rPr>
        <w:t xml:space="preserve">the interlink between SGBV and the crime of persecution from the perspective of intersectional discrimination on gender and religious grounds. </w:t>
      </w:r>
    </w:p>
    <w:p w14:paraId="7FCEEB1D" w14:textId="5EA58322" w:rsidR="00580209" w:rsidRPr="00A52D74" w:rsidRDefault="00580209" w:rsidP="00CD1C27">
      <w:pPr>
        <w:spacing w:line="276" w:lineRule="auto"/>
        <w:jc w:val="both"/>
        <w:rPr>
          <w:color w:val="FF0000"/>
        </w:rPr>
      </w:pPr>
    </w:p>
    <w:p w14:paraId="33D72799" w14:textId="5345DD7E" w:rsidR="00580209" w:rsidRDefault="00580209" w:rsidP="00CD1C27">
      <w:pPr>
        <w:spacing w:line="276" w:lineRule="auto"/>
        <w:jc w:val="both"/>
        <w:rPr>
          <w:b/>
          <w:bCs/>
        </w:rPr>
      </w:pPr>
      <w:r>
        <w:rPr>
          <w:b/>
          <w:bCs/>
        </w:rPr>
        <w:t>3</w:t>
      </w:r>
      <w:r w:rsidRPr="00074BD5">
        <w:rPr>
          <w:b/>
          <w:bCs/>
        </w:rPr>
        <w:t>.</w:t>
      </w:r>
      <w:r>
        <w:rPr>
          <w:b/>
          <w:bCs/>
        </w:rPr>
        <w:t>2</w:t>
      </w:r>
      <w:r w:rsidRPr="00074BD5">
        <w:rPr>
          <w:b/>
          <w:bCs/>
        </w:rPr>
        <w:t xml:space="preserve"> </w:t>
      </w:r>
      <w:r w:rsidR="00283821">
        <w:rPr>
          <w:b/>
          <w:bCs/>
        </w:rPr>
        <w:t xml:space="preserve">Intersectional Discrimination Underpinning </w:t>
      </w:r>
      <w:r>
        <w:rPr>
          <w:b/>
          <w:bCs/>
        </w:rPr>
        <w:t>the Persecutory Attack</w:t>
      </w:r>
      <w:r w:rsidRPr="00074BD5">
        <w:rPr>
          <w:b/>
          <w:bCs/>
        </w:rPr>
        <w:t xml:space="preserve"> </w:t>
      </w:r>
    </w:p>
    <w:p w14:paraId="7652A819" w14:textId="7BE11F7A" w:rsidR="00580209" w:rsidRPr="00715E4F" w:rsidRDefault="00580209" w:rsidP="00CD1C27">
      <w:pPr>
        <w:spacing w:line="276" w:lineRule="auto"/>
        <w:jc w:val="both"/>
        <w:rPr>
          <w:color w:val="2F5496" w:themeColor="accent1" w:themeShade="BF"/>
        </w:rPr>
      </w:pPr>
      <w:r>
        <w:t xml:space="preserve">The insights of the </w:t>
      </w:r>
      <w:r w:rsidRPr="002311DF">
        <w:rPr>
          <w:i/>
          <w:iCs/>
        </w:rPr>
        <w:t>RUF</w:t>
      </w:r>
      <w:r>
        <w:t xml:space="preserve"> trial Judgment addressing the </w:t>
      </w:r>
      <w:r>
        <w:rPr>
          <w:i/>
          <w:iCs/>
        </w:rPr>
        <w:t xml:space="preserve">nexus </w:t>
      </w:r>
      <w:r>
        <w:t xml:space="preserve">between SGBV and terrorism are applicable to </w:t>
      </w:r>
      <w:r w:rsidRPr="002311DF">
        <w:rPr>
          <w:i/>
          <w:iCs/>
        </w:rPr>
        <w:t>Al Hassa</w:t>
      </w:r>
      <w:r>
        <w:rPr>
          <w:i/>
          <w:iCs/>
        </w:rPr>
        <w:t>n</w:t>
      </w:r>
      <w:r>
        <w:t xml:space="preserve">. </w:t>
      </w:r>
      <w:r w:rsidRPr="004D7052">
        <w:rPr>
          <w:color w:val="FF0000"/>
        </w:rPr>
        <w:t xml:space="preserve">From </w:t>
      </w:r>
      <w:r w:rsidRPr="004D7052">
        <w:rPr>
          <w:i/>
          <w:iCs/>
          <w:color w:val="FF0000"/>
        </w:rPr>
        <w:t xml:space="preserve">RUF </w:t>
      </w:r>
      <w:r w:rsidRPr="004D7052">
        <w:rPr>
          <w:color w:val="FF0000"/>
        </w:rPr>
        <w:t xml:space="preserve">we learn </w:t>
      </w:r>
      <w:r>
        <w:rPr>
          <w:color w:val="FF0000"/>
        </w:rPr>
        <w:t xml:space="preserve">that </w:t>
      </w:r>
      <w:r w:rsidR="00283821">
        <w:rPr>
          <w:color w:val="FF0000"/>
        </w:rPr>
        <w:t xml:space="preserve">considering </w:t>
      </w:r>
      <w:r>
        <w:rPr>
          <w:color w:val="FF0000"/>
        </w:rPr>
        <w:t xml:space="preserve">the intersection of discrimination on gender and group identity </w:t>
      </w:r>
      <w:r w:rsidR="00283821">
        <w:rPr>
          <w:color w:val="FF0000"/>
        </w:rPr>
        <w:t xml:space="preserve">helps to unpack </w:t>
      </w:r>
      <w:r>
        <w:rPr>
          <w:color w:val="FF0000"/>
        </w:rPr>
        <w:t xml:space="preserve">the way SGBV </w:t>
      </w:r>
      <w:r w:rsidR="003A6A59">
        <w:rPr>
          <w:color w:val="FF0000"/>
        </w:rPr>
        <w:t>i</w:t>
      </w:r>
      <w:r>
        <w:rPr>
          <w:color w:val="FF0000"/>
        </w:rPr>
        <w:t xml:space="preserve">s </w:t>
      </w:r>
      <w:r w:rsidR="00283821">
        <w:rPr>
          <w:color w:val="FF0000"/>
        </w:rPr>
        <w:t xml:space="preserve">nested </w:t>
      </w:r>
      <w:r>
        <w:rPr>
          <w:color w:val="FF0000"/>
        </w:rPr>
        <w:t>with</w:t>
      </w:r>
      <w:r w:rsidR="00283821">
        <w:rPr>
          <w:color w:val="FF0000"/>
        </w:rPr>
        <w:t>in</w:t>
      </w:r>
      <w:r>
        <w:rPr>
          <w:color w:val="FF0000"/>
        </w:rPr>
        <w:t xml:space="preserve"> the broader attack, </w:t>
      </w:r>
      <w:r w:rsidR="003A6A59">
        <w:rPr>
          <w:color w:val="FF0000"/>
        </w:rPr>
        <w:t>reveal</w:t>
      </w:r>
      <w:r w:rsidR="00E07C13">
        <w:rPr>
          <w:color w:val="FF0000"/>
        </w:rPr>
        <w:t>ing</w:t>
      </w:r>
      <w:r w:rsidR="003A6A59">
        <w:rPr>
          <w:color w:val="FF0000"/>
        </w:rPr>
        <w:t xml:space="preserve"> the strategic and aggravated </w:t>
      </w:r>
      <w:r>
        <w:rPr>
          <w:color w:val="FF0000"/>
        </w:rPr>
        <w:t xml:space="preserve">nature of SGBV. Similarly, in </w:t>
      </w:r>
      <w:r w:rsidRPr="004D7052">
        <w:rPr>
          <w:i/>
          <w:iCs/>
          <w:color w:val="FF0000"/>
        </w:rPr>
        <w:t>Al Hassan</w:t>
      </w:r>
      <w:r>
        <w:rPr>
          <w:color w:val="FF0000"/>
        </w:rPr>
        <w:t xml:space="preserve">, </w:t>
      </w:r>
      <w:r w:rsidR="00E07C13">
        <w:rPr>
          <w:color w:val="FF0000"/>
        </w:rPr>
        <w:t xml:space="preserve">unpacking </w:t>
      </w:r>
      <w:r>
        <w:rPr>
          <w:color w:val="FF0000"/>
        </w:rPr>
        <w:t>the in</w:t>
      </w:r>
      <w:r w:rsidR="00283821">
        <w:rPr>
          <w:color w:val="FF0000"/>
        </w:rPr>
        <w:t xml:space="preserve">tersection of discrimination on gender and religious </w:t>
      </w:r>
      <w:r w:rsidR="0012456E">
        <w:rPr>
          <w:color w:val="FF0000"/>
        </w:rPr>
        <w:t xml:space="preserve">grounds </w:t>
      </w:r>
      <w:r w:rsidR="00283821">
        <w:rPr>
          <w:color w:val="FF0000"/>
        </w:rPr>
        <w:t xml:space="preserve">matters to understand the </w:t>
      </w:r>
      <w:r w:rsidR="0012456E">
        <w:rPr>
          <w:color w:val="FF0000"/>
        </w:rPr>
        <w:t>interconnection of SGBV</w:t>
      </w:r>
      <w:r w:rsidR="00283821">
        <w:rPr>
          <w:color w:val="FF0000"/>
        </w:rPr>
        <w:t xml:space="preserve"> </w:t>
      </w:r>
      <w:r w:rsidR="0012456E">
        <w:rPr>
          <w:color w:val="FF0000"/>
        </w:rPr>
        <w:t xml:space="preserve">with the persecutory attack, thereby revealing the real scope and gravity of </w:t>
      </w:r>
      <w:r>
        <w:rPr>
          <w:color w:val="FF0000"/>
        </w:rPr>
        <w:t>SGBV</w:t>
      </w:r>
      <w:r w:rsidR="0012456E">
        <w:rPr>
          <w:color w:val="FF0000"/>
        </w:rPr>
        <w:t>.</w:t>
      </w:r>
      <w:r w:rsidR="00E07C13">
        <w:rPr>
          <w:color w:val="FF0000"/>
        </w:rPr>
        <w:t xml:space="preserve"> </w:t>
      </w:r>
    </w:p>
    <w:p w14:paraId="581A0015" w14:textId="14DA2FCF" w:rsidR="00580209" w:rsidRPr="00D86EDB" w:rsidRDefault="00580209" w:rsidP="00CD1C27">
      <w:pPr>
        <w:spacing w:line="276" w:lineRule="auto"/>
        <w:jc w:val="both"/>
        <w:rPr>
          <w:b/>
          <w:bCs/>
        </w:rPr>
      </w:pPr>
      <w:r>
        <w:rPr>
          <w:b/>
          <w:bCs/>
        </w:rPr>
        <w:t>3</w:t>
      </w:r>
      <w:r w:rsidRPr="00D86EDB">
        <w:rPr>
          <w:b/>
          <w:bCs/>
        </w:rPr>
        <w:t xml:space="preserve">.2.1 An </w:t>
      </w:r>
      <w:r>
        <w:rPr>
          <w:b/>
          <w:bCs/>
        </w:rPr>
        <w:t>I</w:t>
      </w:r>
      <w:r w:rsidRPr="00D86EDB">
        <w:rPr>
          <w:b/>
          <w:bCs/>
        </w:rPr>
        <w:t xml:space="preserve">ntersectional </w:t>
      </w:r>
      <w:r>
        <w:rPr>
          <w:b/>
          <w:bCs/>
        </w:rPr>
        <w:t>A</w:t>
      </w:r>
      <w:r w:rsidRPr="00D86EDB">
        <w:rPr>
          <w:b/>
          <w:bCs/>
        </w:rPr>
        <w:t xml:space="preserve">ttack on </w:t>
      </w:r>
      <w:r>
        <w:rPr>
          <w:b/>
          <w:bCs/>
        </w:rPr>
        <w:t>G</w:t>
      </w:r>
      <w:r w:rsidRPr="00D86EDB">
        <w:rPr>
          <w:b/>
          <w:bCs/>
        </w:rPr>
        <w:t xml:space="preserve">ender and </w:t>
      </w:r>
      <w:r>
        <w:rPr>
          <w:b/>
          <w:bCs/>
        </w:rPr>
        <w:t>R</w:t>
      </w:r>
      <w:r w:rsidRPr="00D86EDB">
        <w:rPr>
          <w:b/>
          <w:bCs/>
        </w:rPr>
        <w:t xml:space="preserve">eligious </w:t>
      </w:r>
      <w:r>
        <w:rPr>
          <w:b/>
          <w:bCs/>
        </w:rPr>
        <w:t>G</w:t>
      </w:r>
      <w:r w:rsidRPr="00D86EDB">
        <w:rPr>
          <w:b/>
          <w:bCs/>
        </w:rPr>
        <w:t xml:space="preserve">rounds </w:t>
      </w:r>
    </w:p>
    <w:p w14:paraId="3DACE361" w14:textId="2DA6F132" w:rsidR="00580209" w:rsidRPr="001812A4" w:rsidRDefault="00580209" w:rsidP="00CD1C27">
      <w:pPr>
        <w:spacing w:line="276" w:lineRule="auto"/>
        <w:jc w:val="both"/>
        <w:rPr>
          <w:color w:val="4472C4" w:themeColor="accent1"/>
        </w:rPr>
      </w:pPr>
      <w:r w:rsidRPr="008078EC">
        <w:rPr>
          <w:color w:val="FF0000"/>
        </w:rPr>
        <w:lastRenderedPageBreak/>
        <w:t>Despite</w:t>
      </w:r>
      <w:r>
        <w:rPr>
          <w:color w:val="FF0000"/>
        </w:rPr>
        <w:t xml:space="preserve"> evidence </w:t>
      </w:r>
      <w:r w:rsidR="008078EC">
        <w:rPr>
          <w:color w:val="FF0000"/>
        </w:rPr>
        <w:t xml:space="preserve">in </w:t>
      </w:r>
      <w:r w:rsidR="008078EC">
        <w:rPr>
          <w:i/>
          <w:iCs/>
          <w:color w:val="FF0000"/>
        </w:rPr>
        <w:t xml:space="preserve">Al Hassan </w:t>
      </w:r>
      <w:r w:rsidR="0012456E">
        <w:rPr>
          <w:color w:val="FF0000"/>
        </w:rPr>
        <w:t xml:space="preserve">that </w:t>
      </w:r>
      <w:r w:rsidR="008078EC">
        <w:rPr>
          <w:color w:val="FF0000"/>
        </w:rPr>
        <w:t xml:space="preserve">the </w:t>
      </w:r>
      <w:r w:rsidR="0012456E">
        <w:rPr>
          <w:color w:val="FF0000"/>
        </w:rPr>
        <w:t xml:space="preserve">intersection of </w:t>
      </w:r>
      <w:r>
        <w:rPr>
          <w:color w:val="FF0000"/>
        </w:rPr>
        <w:t xml:space="preserve">gender and religious discrimination </w:t>
      </w:r>
      <w:r w:rsidR="0012456E">
        <w:rPr>
          <w:color w:val="FF0000"/>
        </w:rPr>
        <w:t xml:space="preserve">underpinned </w:t>
      </w:r>
      <w:r>
        <w:rPr>
          <w:color w:val="FF0000"/>
        </w:rPr>
        <w:t xml:space="preserve">perpetrators´ policy, the Prosecutor failed to reflect the importance of gender in the articulation of the ‘attack’ against the civilian population, </w:t>
      </w:r>
      <w:r w:rsidR="00175DC1">
        <w:rPr>
          <w:color w:val="FF0000"/>
        </w:rPr>
        <w:t xml:space="preserve">which </w:t>
      </w:r>
      <w:r>
        <w:rPr>
          <w:color w:val="FF0000"/>
        </w:rPr>
        <w:t>obscur</w:t>
      </w:r>
      <w:r w:rsidR="00175DC1">
        <w:rPr>
          <w:color w:val="FF0000"/>
        </w:rPr>
        <w:t>ed</w:t>
      </w:r>
      <w:r w:rsidR="0012456E">
        <w:rPr>
          <w:color w:val="FF0000"/>
        </w:rPr>
        <w:t xml:space="preserve"> the nexus of </w:t>
      </w:r>
      <w:r>
        <w:rPr>
          <w:color w:val="FF0000"/>
        </w:rPr>
        <w:t xml:space="preserve"> SGBV within </w:t>
      </w:r>
      <w:r w:rsidR="0012456E">
        <w:rPr>
          <w:color w:val="FF0000"/>
        </w:rPr>
        <w:t>other</w:t>
      </w:r>
      <w:r w:rsidR="00175DC1">
        <w:rPr>
          <w:color w:val="FF0000"/>
        </w:rPr>
        <w:t xml:space="preserve"> crimes</w:t>
      </w:r>
      <w:r w:rsidR="0012456E">
        <w:rPr>
          <w:color w:val="FF0000"/>
        </w:rPr>
        <w:t xml:space="preserve">. </w:t>
      </w:r>
      <w:r>
        <w:rPr>
          <w:color w:val="FF0000"/>
        </w:rPr>
        <w:t xml:space="preserve">The </w:t>
      </w:r>
      <w:r w:rsidR="008078EC">
        <w:rPr>
          <w:color w:val="FF0000"/>
        </w:rPr>
        <w:t>Document Containing the Charges (</w:t>
      </w:r>
      <w:r>
        <w:rPr>
          <w:color w:val="FF0000"/>
        </w:rPr>
        <w:t>DCC</w:t>
      </w:r>
      <w:r w:rsidR="008078EC">
        <w:rPr>
          <w:color w:val="FF0000"/>
        </w:rPr>
        <w:t>)</w:t>
      </w:r>
      <w:r>
        <w:rPr>
          <w:color w:val="FF0000"/>
        </w:rPr>
        <w:t xml:space="preserve"> adopted a </w:t>
      </w:r>
      <w:r>
        <w:rPr>
          <w:i/>
          <w:iCs/>
          <w:color w:val="FF0000"/>
        </w:rPr>
        <w:t xml:space="preserve">narrow </w:t>
      </w:r>
      <w:r>
        <w:rPr>
          <w:color w:val="FF0000"/>
        </w:rPr>
        <w:t xml:space="preserve">approach to discrimination that emphasized the religious nature of the attack but overlooked the way the religious ideology was dependent and </w:t>
      </w:r>
      <w:r w:rsidR="00746A74">
        <w:rPr>
          <w:color w:val="FF0000"/>
        </w:rPr>
        <w:t>co-constructed upon</w:t>
      </w:r>
      <w:r>
        <w:rPr>
          <w:color w:val="FF0000"/>
        </w:rPr>
        <w:t xml:space="preserve"> a discriminatory </w:t>
      </w:r>
      <w:r w:rsidR="00746A74">
        <w:rPr>
          <w:color w:val="FF0000"/>
        </w:rPr>
        <w:t>view of gender, especially against women and girls</w:t>
      </w:r>
      <w:r w:rsidRPr="00093E63">
        <w:rPr>
          <w:color w:val="FF0000"/>
        </w:rPr>
        <w:t>.  For instance</w:t>
      </w:r>
      <w:r w:rsidRPr="00093E63">
        <w:t>,</w:t>
      </w:r>
      <w:r>
        <w:t xml:space="preserve"> even if the DCC noted that </w:t>
      </w:r>
      <w:r w:rsidRPr="000E05D6">
        <w:t xml:space="preserve">women and girls were “particularly” targeted </w:t>
      </w:r>
      <w:r>
        <w:t xml:space="preserve">and most of the acts listed as part of the attack involved discrimination against women and girls  (e.g. </w:t>
      </w:r>
      <w:r w:rsidRPr="000E05D6">
        <w:t>daily harassment, deprivation of liberty, an organised system of forced marriage leading to sexual slavery and rape</w:t>
      </w:r>
      <w:r>
        <w:t>),</w:t>
      </w:r>
      <w:r w:rsidRPr="000E05D6">
        <w:rPr>
          <w:rStyle w:val="Refdenotaalpie"/>
        </w:rPr>
        <w:footnoteReference w:id="96"/>
      </w:r>
      <w:r>
        <w:t xml:space="preserve"> gender discrimination was eclipsed by religious discrimination in the substantiation of the attack. </w:t>
      </w:r>
      <w:r w:rsidRPr="00C442B4">
        <w:t>Similarly,</w:t>
      </w:r>
      <w:r>
        <w:t xml:space="preserve"> gender discrimination was absent </w:t>
      </w:r>
      <w:r w:rsidR="00C442B4">
        <w:t xml:space="preserve">referring to the </w:t>
      </w:r>
      <w:r>
        <w:t>‘organizational policy’</w:t>
      </w:r>
      <w:r w:rsidR="00C442B4">
        <w:t xml:space="preserve">, only </w:t>
      </w:r>
      <w:r>
        <w:t>mentioning that leaders</w:t>
      </w:r>
      <w:r>
        <w:rPr>
          <w:i/>
          <w:iCs/>
        </w:rPr>
        <w:t xml:space="preserve"> </w:t>
      </w:r>
      <w:r>
        <w:t xml:space="preserve">sought to “impose their authority and a new </w:t>
      </w:r>
      <w:r w:rsidRPr="00411A2D">
        <w:rPr>
          <w:i/>
          <w:iCs/>
        </w:rPr>
        <w:t>religious</w:t>
      </w:r>
      <w:r>
        <w:t xml:space="preserve"> order in the city”.</w:t>
      </w:r>
      <w:r w:rsidR="00B07F36">
        <w:rPr>
          <w:rStyle w:val="Refdenotaalpie"/>
        </w:rPr>
        <w:footnoteReference w:id="97"/>
      </w:r>
      <w:r w:rsidR="008078EC">
        <w:t xml:space="preserve"> </w:t>
      </w:r>
      <w:r w:rsidR="00C442B4">
        <w:t>A</w:t>
      </w:r>
      <w:r>
        <w:t xml:space="preserve"> narrow approach to discrimination </w:t>
      </w:r>
      <w:r w:rsidR="00C442B4">
        <w:t>(</w:t>
      </w:r>
      <w:r>
        <w:t>religi</w:t>
      </w:r>
      <w:r w:rsidR="00C442B4">
        <w:t>ous</w:t>
      </w:r>
      <w:r>
        <w:t xml:space="preserve"> exclud</w:t>
      </w:r>
      <w:r w:rsidR="00C442B4">
        <w:t>ing</w:t>
      </w:r>
      <w:r>
        <w:t xml:space="preserve"> gender</w:t>
      </w:r>
      <w:r w:rsidR="00C442B4">
        <w:t xml:space="preserve"> grounds)</w:t>
      </w:r>
      <w:r>
        <w:t xml:space="preserve"> is </w:t>
      </w:r>
      <w:r w:rsidR="00C442B4">
        <w:t xml:space="preserve">also </w:t>
      </w:r>
      <w:r>
        <w:t xml:space="preserve">appreciated in </w:t>
      </w:r>
      <w:r w:rsidR="008078EC">
        <w:t xml:space="preserve">other statements </w:t>
      </w:r>
      <w:r w:rsidR="00C442B4">
        <w:t xml:space="preserve">regarding the attack. For instance, </w:t>
      </w:r>
      <w:r w:rsidR="009C130D">
        <w:t xml:space="preserve">the DCC submits that </w:t>
      </w:r>
      <w:r w:rsidR="008078EC">
        <w:t xml:space="preserve">the </w:t>
      </w:r>
      <w:r>
        <w:t>attack involved acts of “persecution against the civilian population not adhering to their own ideological and religious views”</w:t>
      </w:r>
      <w:r w:rsidR="00C442B4">
        <w:t>,</w:t>
      </w:r>
      <w:r>
        <w:rPr>
          <w:rStyle w:val="Refdenotaalpie"/>
        </w:rPr>
        <w:footnoteReference w:id="98"/>
      </w:r>
      <w:r>
        <w:t xml:space="preserve"> </w:t>
      </w:r>
      <w:r w:rsidR="009C130D">
        <w:t>and considers</w:t>
      </w:r>
      <w:r w:rsidR="00C442B4">
        <w:t xml:space="preserve"> the </w:t>
      </w:r>
      <w:r>
        <w:t>attack as</w:t>
      </w:r>
      <w:r>
        <w:rPr>
          <w:color w:val="000000" w:themeColor="text1"/>
        </w:rPr>
        <w:t xml:space="preserve"> “persecution against the population not adhering to their own ideological and religious views.”</w:t>
      </w:r>
      <w:r>
        <w:rPr>
          <w:rStyle w:val="Refdenotaalpie"/>
          <w:color w:val="000000" w:themeColor="text1"/>
        </w:rPr>
        <w:footnoteReference w:id="99"/>
      </w:r>
      <w:r>
        <w:rPr>
          <w:color w:val="000000" w:themeColor="text1"/>
        </w:rPr>
        <w:t xml:space="preserve"> </w:t>
      </w:r>
    </w:p>
    <w:p w14:paraId="3ED992F2" w14:textId="7A244F43" w:rsidR="00580209" w:rsidRDefault="00580209" w:rsidP="00CD1C27">
      <w:pPr>
        <w:spacing w:line="276" w:lineRule="auto"/>
        <w:jc w:val="both"/>
        <w:rPr>
          <w:rFonts w:cstheme="minorHAnsi"/>
        </w:rPr>
      </w:pPr>
      <w:r w:rsidRPr="003710A4">
        <w:rPr>
          <w:rFonts w:cstheme="minorHAnsi"/>
          <w:color w:val="FF0000"/>
        </w:rPr>
        <w:t>ICL precedents</w:t>
      </w:r>
      <w:r w:rsidRPr="00F104CC">
        <w:rPr>
          <w:rFonts w:cstheme="minorHAnsi"/>
          <w:color w:val="FF0000"/>
        </w:rPr>
        <w:t xml:space="preserve"> have </w:t>
      </w:r>
      <w:r w:rsidR="009C130D">
        <w:rPr>
          <w:rFonts w:cstheme="minorHAnsi"/>
          <w:color w:val="FF0000"/>
        </w:rPr>
        <w:t xml:space="preserve">recognized that </w:t>
      </w:r>
      <w:r w:rsidRPr="00F104CC">
        <w:rPr>
          <w:rFonts w:cstheme="minorHAnsi"/>
          <w:color w:val="FF0000"/>
        </w:rPr>
        <w:t xml:space="preserve">SGBV </w:t>
      </w:r>
      <w:r w:rsidR="009C130D">
        <w:rPr>
          <w:rFonts w:cstheme="minorHAnsi"/>
          <w:color w:val="FF0000"/>
        </w:rPr>
        <w:t xml:space="preserve">may be nested within </w:t>
      </w:r>
      <w:r w:rsidRPr="00F104CC">
        <w:rPr>
          <w:rFonts w:cstheme="minorHAnsi"/>
          <w:color w:val="FF0000"/>
        </w:rPr>
        <w:t xml:space="preserve">a broader attack </w:t>
      </w:r>
      <w:r w:rsidR="009C130D">
        <w:rPr>
          <w:rFonts w:cstheme="minorHAnsi"/>
          <w:color w:val="FF0000"/>
        </w:rPr>
        <w:t xml:space="preserve">concerning </w:t>
      </w:r>
      <w:r w:rsidRPr="00F104CC">
        <w:rPr>
          <w:rFonts w:cstheme="minorHAnsi"/>
          <w:color w:val="FF0000"/>
        </w:rPr>
        <w:t>different categories of international crimes. Invariably,</w:t>
      </w:r>
      <w:r w:rsidR="00BB293D">
        <w:rPr>
          <w:rFonts w:cstheme="minorHAnsi"/>
          <w:color w:val="FF0000"/>
        </w:rPr>
        <w:t xml:space="preserve"> these decisions identify such interlink of crimes </w:t>
      </w:r>
      <w:r w:rsidR="00447773">
        <w:rPr>
          <w:rFonts w:cstheme="minorHAnsi"/>
          <w:color w:val="FF0000"/>
        </w:rPr>
        <w:t xml:space="preserve">by unveiling gender </w:t>
      </w:r>
      <w:r w:rsidRPr="00F104CC">
        <w:rPr>
          <w:rFonts w:cstheme="minorHAnsi"/>
          <w:color w:val="FF0000"/>
        </w:rPr>
        <w:t xml:space="preserve">discrimination </w:t>
      </w:r>
      <w:r w:rsidR="00447773">
        <w:rPr>
          <w:rFonts w:cstheme="minorHAnsi"/>
          <w:color w:val="FF0000"/>
        </w:rPr>
        <w:t xml:space="preserve">‘inextricably linked’ with discrimination against the target group, </w:t>
      </w:r>
      <w:r w:rsidR="00BB293D">
        <w:rPr>
          <w:rFonts w:cstheme="minorHAnsi"/>
          <w:color w:val="FF0000"/>
        </w:rPr>
        <w:t xml:space="preserve">even if intersectionality is not mentioned. </w:t>
      </w:r>
      <w:r w:rsidRPr="003574BF">
        <w:rPr>
          <w:rFonts w:cstheme="minorHAnsi"/>
        </w:rPr>
        <w:t>Regarding genocide</w:t>
      </w:r>
      <w:r>
        <w:rPr>
          <w:rFonts w:cstheme="minorHAnsi"/>
        </w:rPr>
        <w:t xml:space="preserve">, </w:t>
      </w:r>
      <w:r w:rsidRPr="003574BF">
        <w:rPr>
          <w:rFonts w:cstheme="minorHAnsi"/>
        </w:rPr>
        <w:t xml:space="preserve">in </w:t>
      </w:r>
      <w:r w:rsidRPr="003574BF">
        <w:rPr>
          <w:rFonts w:cstheme="minorHAnsi"/>
          <w:i/>
          <w:iCs/>
        </w:rPr>
        <w:t xml:space="preserve">Akayesu, </w:t>
      </w:r>
      <w:r w:rsidRPr="003574BF">
        <w:rPr>
          <w:rFonts w:cstheme="minorHAnsi"/>
        </w:rPr>
        <w:t>the ICTR TC</w:t>
      </w:r>
      <w:r>
        <w:rPr>
          <w:rFonts w:cstheme="minorHAnsi"/>
        </w:rPr>
        <w:t xml:space="preserve"> found that</w:t>
      </w:r>
      <w:r w:rsidRPr="003574BF">
        <w:rPr>
          <w:rFonts w:cstheme="minorHAnsi"/>
        </w:rPr>
        <w:t xml:space="preserve"> “Sexual violence was an </w:t>
      </w:r>
      <w:r w:rsidRPr="003574BF">
        <w:rPr>
          <w:rFonts w:cstheme="minorHAnsi"/>
          <w:i/>
          <w:iCs/>
        </w:rPr>
        <w:t>integral part of</w:t>
      </w:r>
      <w:r w:rsidRPr="003574BF">
        <w:rPr>
          <w:rFonts w:cstheme="minorHAnsi"/>
        </w:rPr>
        <w:t xml:space="preserve"> the process of destruction, specifically targeting Tutsi women and specifically contributing to their destruction and to the destruction of the Tutsi group as a whole.”</w:t>
      </w:r>
      <w:r w:rsidRPr="003574BF">
        <w:rPr>
          <w:rStyle w:val="Refdenotaalpie"/>
          <w:rFonts w:cstheme="minorHAnsi"/>
        </w:rPr>
        <w:footnoteReference w:id="100"/>
      </w:r>
      <w:r w:rsidRPr="003574BF">
        <w:rPr>
          <w:rFonts w:cstheme="minorHAnsi"/>
        </w:rPr>
        <w:t xml:space="preserve"> Concerning crimes against humanity, in </w:t>
      </w:r>
      <w:r w:rsidRPr="003574BF">
        <w:rPr>
          <w:rFonts w:cstheme="minorHAnsi"/>
          <w:i/>
          <w:iCs/>
        </w:rPr>
        <w:t>Kunarac</w:t>
      </w:r>
      <w:r>
        <w:rPr>
          <w:rFonts w:cstheme="minorHAnsi"/>
          <w:i/>
          <w:iCs/>
        </w:rPr>
        <w:t xml:space="preserve"> </w:t>
      </w:r>
      <w:r w:rsidRPr="003574BF">
        <w:rPr>
          <w:rFonts w:cstheme="minorHAnsi"/>
        </w:rPr>
        <w:t>the TC found</w:t>
      </w:r>
      <w:r>
        <w:rPr>
          <w:rFonts w:cstheme="minorHAnsi"/>
        </w:rPr>
        <w:t xml:space="preserve">, </w:t>
      </w:r>
      <w:r w:rsidRPr="003574BF">
        <w:rPr>
          <w:rFonts w:cstheme="minorHAnsi"/>
        </w:rPr>
        <w:t>addressing the contextual element</w:t>
      </w:r>
      <w:r>
        <w:rPr>
          <w:rFonts w:cstheme="minorHAnsi"/>
        </w:rPr>
        <w:t xml:space="preserve"> </w:t>
      </w:r>
      <w:r w:rsidRPr="003574BF">
        <w:rPr>
          <w:rFonts w:cstheme="minorHAnsi"/>
        </w:rPr>
        <w:t>`attack´ that</w:t>
      </w:r>
      <w:r w:rsidR="00BB293D">
        <w:rPr>
          <w:rFonts w:cstheme="minorHAnsi"/>
        </w:rPr>
        <w:t>,</w:t>
      </w:r>
      <w:r w:rsidRPr="003574BF">
        <w:rPr>
          <w:rFonts w:cstheme="minorHAnsi"/>
        </w:rPr>
        <w:t xml:space="preserve"> through SGBV “They </w:t>
      </w:r>
      <w:r>
        <w:rPr>
          <w:rFonts w:cstheme="minorHAnsi"/>
        </w:rPr>
        <w:t>[perpetrators]</w:t>
      </w:r>
      <w:r w:rsidRPr="003574BF">
        <w:rPr>
          <w:rFonts w:cstheme="minorHAnsi"/>
        </w:rPr>
        <w:t xml:space="preserve"> fully embraced the ethnicity-based aggression of the Serbs against the Muslim civilians, and all their criminal actions </w:t>
      </w:r>
      <w:r w:rsidRPr="00BB293D">
        <w:rPr>
          <w:rFonts w:cstheme="minorHAnsi"/>
        </w:rPr>
        <w:t>were clearly</w:t>
      </w:r>
      <w:r w:rsidRPr="003574BF">
        <w:rPr>
          <w:rFonts w:cstheme="minorHAnsi"/>
          <w:i/>
          <w:iCs/>
        </w:rPr>
        <w:t xml:space="preserve"> part of </w:t>
      </w:r>
      <w:r w:rsidRPr="00BB293D">
        <w:rPr>
          <w:rFonts w:cstheme="minorHAnsi"/>
        </w:rPr>
        <w:t>and had the</w:t>
      </w:r>
      <w:r w:rsidRPr="003574BF">
        <w:rPr>
          <w:rFonts w:cstheme="minorHAnsi"/>
          <w:i/>
          <w:iCs/>
        </w:rPr>
        <w:t xml:space="preserve"> effect of perpetuating the attack </w:t>
      </w:r>
      <w:r w:rsidRPr="003574BF">
        <w:rPr>
          <w:rFonts w:cstheme="minorHAnsi"/>
        </w:rPr>
        <w:t>against the Muslim civilian population”.</w:t>
      </w:r>
      <w:r w:rsidRPr="003574BF">
        <w:rPr>
          <w:rStyle w:val="Refdenotaalpie"/>
          <w:rFonts w:cstheme="minorHAnsi"/>
        </w:rPr>
        <w:footnoteReference w:id="101"/>
      </w:r>
      <w:r w:rsidRPr="003574BF">
        <w:rPr>
          <w:rFonts w:cstheme="minorHAnsi"/>
        </w:rPr>
        <w:t xml:space="preserve"> </w:t>
      </w:r>
      <w:r w:rsidR="00447773">
        <w:rPr>
          <w:rFonts w:cstheme="minorHAnsi"/>
        </w:rPr>
        <w:t xml:space="preserve">As explained, dealing with </w:t>
      </w:r>
      <w:r w:rsidRPr="003574BF">
        <w:rPr>
          <w:rFonts w:cstheme="minorHAnsi"/>
        </w:rPr>
        <w:t xml:space="preserve">the war crime of terrorism, </w:t>
      </w:r>
      <w:r w:rsidRPr="003574BF">
        <w:rPr>
          <w:rFonts w:cstheme="minorHAnsi"/>
          <w:i/>
          <w:iCs/>
        </w:rPr>
        <w:t>RUF</w:t>
      </w:r>
      <w:r w:rsidR="00447773">
        <w:rPr>
          <w:rFonts w:cstheme="minorHAnsi"/>
        </w:rPr>
        <w:t xml:space="preserve"> </w:t>
      </w:r>
      <w:r>
        <w:rPr>
          <w:rFonts w:cstheme="minorHAnsi"/>
        </w:rPr>
        <w:t xml:space="preserve">trial </w:t>
      </w:r>
      <w:r w:rsidR="00447773">
        <w:rPr>
          <w:rFonts w:cstheme="minorHAnsi"/>
        </w:rPr>
        <w:t xml:space="preserve">judges </w:t>
      </w:r>
      <w:r w:rsidRPr="003574BF">
        <w:rPr>
          <w:rFonts w:cstheme="minorHAnsi"/>
        </w:rPr>
        <w:t>found that</w:t>
      </w:r>
      <w:r w:rsidR="00447773">
        <w:rPr>
          <w:rFonts w:cstheme="minorHAnsi"/>
        </w:rPr>
        <w:t>,</w:t>
      </w:r>
      <w:r w:rsidRPr="003574BF">
        <w:rPr>
          <w:rFonts w:cstheme="minorHAnsi"/>
        </w:rPr>
        <w:t xml:space="preserve"> </w:t>
      </w:r>
      <w:r>
        <w:rPr>
          <w:rFonts w:cstheme="minorHAnsi"/>
        </w:rPr>
        <w:t xml:space="preserve">by </w:t>
      </w:r>
      <w:r w:rsidRPr="003574BF">
        <w:rPr>
          <w:rFonts w:cstheme="minorHAnsi"/>
        </w:rPr>
        <w:t>br</w:t>
      </w:r>
      <w:r>
        <w:rPr>
          <w:rFonts w:cstheme="minorHAnsi"/>
        </w:rPr>
        <w:t>eaking</w:t>
      </w:r>
      <w:r w:rsidRPr="003574BF">
        <w:rPr>
          <w:rFonts w:cstheme="minorHAnsi"/>
        </w:rPr>
        <w:t xml:space="preserve"> </w:t>
      </w:r>
      <w:r>
        <w:rPr>
          <w:rFonts w:cstheme="minorHAnsi"/>
        </w:rPr>
        <w:t xml:space="preserve">the </w:t>
      </w:r>
      <w:r w:rsidRPr="003574BF">
        <w:rPr>
          <w:rFonts w:cstheme="minorHAnsi"/>
        </w:rPr>
        <w:t>family nucleus and cultural values</w:t>
      </w:r>
      <w:r>
        <w:rPr>
          <w:rFonts w:cstheme="minorHAnsi"/>
        </w:rPr>
        <w:t xml:space="preserve"> SGBV</w:t>
      </w:r>
      <w:r w:rsidRPr="003574BF">
        <w:rPr>
          <w:rFonts w:cstheme="minorHAnsi"/>
        </w:rPr>
        <w:t xml:space="preserve"> “effectively disempowered the civilian population and had the direct effect of instilling fear”</w:t>
      </w:r>
      <w:r w:rsidR="00447773">
        <w:rPr>
          <w:rFonts w:cstheme="minorHAnsi"/>
        </w:rPr>
        <w:t xml:space="preserve">, it was therefore </w:t>
      </w:r>
      <w:r>
        <w:rPr>
          <w:rFonts w:cstheme="minorHAnsi"/>
        </w:rPr>
        <w:t xml:space="preserve">deliberately used with </w:t>
      </w:r>
      <w:r w:rsidRPr="003574BF">
        <w:rPr>
          <w:rFonts w:cstheme="minorHAnsi"/>
        </w:rPr>
        <w:t>the intent to terrorise.</w:t>
      </w:r>
      <w:r w:rsidRPr="003574BF">
        <w:rPr>
          <w:rStyle w:val="Refdenotaalpie"/>
          <w:rFonts w:cstheme="minorHAnsi"/>
        </w:rPr>
        <w:footnoteReference w:id="102"/>
      </w:r>
      <w:r w:rsidRPr="003574BF">
        <w:rPr>
          <w:rFonts w:cstheme="minorHAnsi"/>
        </w:rPr>
        <w:t xml:space="preserve"> </w:t>
      </w:r>
    </w:p>
    <w:p w14:paraId="532800D3" w14:textId="4A6AC613" w:rsidR="00580209" w:rsidRDefault="00057487" w:rsidP="00CD1C27">
      <w:pPr>
        <w:spacing w:line="276" w:lineRule="auto"/>
        <w:jc w:val="both"/>
      </w:pPr>
      <w:r>
        <w:rPr>
          <w:rFonts w:cstheme="minorHAnsi"/>
        </w:rPr>
        <w:t xml:space="preserve">Uncovering </w:t>
      </w:r>
      <w:r w:rsidR="00580209" w:rsidRPr="009E30A9">
        <w:rPr>
          <w:rFonts w:cstheme="minorHAnsi"/>
        </w:rPr>
        <w:t>the</w:t>
      </w:r>
      <w:r w:rsidR="00580209">
        <w:rPr>
          <w:rFonts w:cstheme="minorHAnsi"/>
        </w:rPr>
        <w:t xml:space="preserve"> </w:t>
      </w:r>
      <w:r w:rsidR="00580209" w:rsidRPr="009B1E2D">
        <w:rPr>
          <w:rFonts w:cstheme="minorHAnsi"/>
        </w:rPr>
        <w:t>nexus</w:t>
      </w:r>
      <w:r w:rsidR="00580209" w:rsidRPr="003574BF">
        <w:rPr>
          <w:rFonts w:cstheme="minorHAnsi"/>
          <w:i/>
          <w:iCs/>
        </w:rPr>
        <w:t xml:space="preserve"> </w:t>
      </w:r>
      <w:r w:rsidR="00580209">
        <w:rPr>
          <w:rFonts w:cstheme="minorHAnsi"/>
        </w:rPr>
        <w:t xml:space="preserve">between </w:t>
      </w:r>
      <w:r w:rsidR="00580209" w:rsidRPr="003574BF">
        <w:rPr>
          <w:rFonts w:cstheme="minorHAnsi"/>
        </w:rPr>
        <w:t xml:space="preserve">SGBV and </w:t>
      </w:r>
      <w:r w:rsidR="003710A4">
        <w:rPr>
          <w:rFonts w:cstheme="minorHAnsi"/>
        </w:rPr>
        <w:t>the broader ‘</w:t>
      </w:r>
      <w:r w:rsidR="00580209">
        <w:rPr>
          <w:rFonts w:cstheme="minorHAnsi"/>
        </w:rPr>
        <w:t>attack</w:t>
      </w:r>
      <w:r w:rsidR="003710A4">
        <w:rPr>
          <w:rFonts w:cstheme="minorHAnsi"/>
        </w:rPr>
        <w:t xml:space="preserve">’ </w:t>
      </w:r>
      <w:r w:rsidR="00580209">
        <w:rPr>
          <w:rFonts w:cstheme="minorHAnsi"/>
        </w:rPr>
        <w:t>in</w:t>
      </w:r>
      <w:r w:rsidR="00580209" w:rsidRPr="007E2F79">
        <w:rPr>
          <w:rFonts w:cstheme="minorHAnsi"/>
          <w:i/>
          <w:iCs/>
        </w:rPr>
        <w:t xml:space="preserve"> </w:t>
      </w:r>
      <w:r w:rsidR="00580209" w:rsidRPr="003574BF">
        <w:rPr>
          <w:rFonts w:cstheme="minorHAnsi"/>
          <w:i/>
          <w:iCs/>
        </w:rPr>
        <w:t>Al Hassan</w:t>
      </w:r>
      <w:r w:rsidR="00580209">
        <w:rPr>
          <w:rFonts w:cstheme="minorHAnsi"/>
        </w:rPr>
        <w:t xml:space="preserve"> </w:t>
      </w:r>
      <w:r w:rsidR="00580209" w:rsidRPr="005725DB">
        <w:rPr>
          <w:rFonts w:cstheme="minorHAnsi"/>
        </w:rPr>
        <w:t>require</w:t>
      </w:r>
      <w:r w:rsidR="003710A4">
        <w:rPr>
          <w:rFonts w:cstheme="minorHAnsi"/>
        </w:rPr>
        <w:t>s</w:t>
      </w:r>
      <w:r w:rsidR="00FA3617">
        <w:rPr>
          <w:rFonts w:cstheme="minorHAnsi"/>
        </w:rPr>
        <w:t xml:space="preserve"> articulating </w:t>
      </w:r>
      <w:r w:rsidR="00580209" w:rsidRPr="005725DB">
        <w:rPr>
          <w:rFonts w:cstheme="minorHAnsi"/>
        </w:rPr>
        <w:t>the intersection</w:t>
      </w:r>
      <w:r w:rsidR="00580209" w:rsidRPr="00452DBB">
        <w:rPr>
          <w:rFonts w:cstheme="minorHAnsi"/>
          <w:b/>
          <w:bCs/>
        </w:rPr>
        <w:t xml:space="preserve"> </w:t>
      </w:r>
      <w:r w:rsidR="00580209">
        <w:rPr>
          <w:rFonts w:cstheme="minorHAnsi"/>
        </w:rPr>
        <w:t>of religious and gender discrimination</w:t>
      </w:r>
      <w:r w:rsidR="00682E84">
        <w:rPr>
          <w:rFonts w:cstheme="minorHAnsi"/>
        </w:rPr>
        <w:t xml:space="preserve">, explaining </w:t>
      </w:r>
      <w:r w:rsidR="00FA3617">
        <w:rPr>
          <w:rFonts w:cstheme="minorHAnsi"/>
        </w:rPr>
        <w:t>why</w:t>
      </w:r>
      <w:r w:rsidR="00682E84">
        <w:rPr>
          <w:rFonts w:cstheme="minorHAnsi"/>
        </w:rPr>
        <w:t xml:space="preserve"> SGBV was strategic </w:t>
      </w:r>
      <w:r w:rsidR="00580209">
        <w:rPr>
          <w:rFonts w:cstheme="minorHAnsi"/>
        </w:rPr>
        <w:t xml:space="preserve">to further the attack </w:t>
      </w:r>
      <w:r w:rsidR="00682E84">
        <w:rPr>
          <w:rFonts w:cstheme="minorHAnsi"/>
        </w:rPr>
        <w:t xml:space="preserve">and how this was mirrored in the facts. </w:t>
      </w:r>
      <w:r w:rsidR="003710A4">
        <w:rPr>
          <w:rFonts w:cstheme="minorHAnsi"/>
        </w:rPr>
        <w:t>T</w:t>
      </w:r>
      <w:r w:rsidR="00682E84">
        <w:rPr>
          <w:rFonts w:cstheme="minorHAnsi"/>
        </w:rPr>
        <w:t>he</w:t>
      </w:r>
      <w:r w:rsidR="003710A4">
        <w:rPr>
          <w:rFonts w:cstheme="minorHAnsi"/>
        </w:rPr>
        <w:t xml:space="preserve"> </w:t>
      </w:r>
      <w:r w:rsidR="00580209">
        <w:t xml:space="preserve">task would benefit from </w:t>
      </w:r>
      <w:r w:rsidR="00682E84">
        <w:t xml:space="preserve">substantiating </w:t>
      </w:r>
      <w:r w:rsidR="00580209">
        <w:t>the</w:t>
      </w:r>
      <w:r w:rsidR="00682E84">
        <w:t xml:space="preserve"> element</w:t>
      </w:r>
      <w:r w:rsidR="00580209" w:rsidRPr="004D7235">
        <w:t xml:space="preserve"> </w:t>
      </w:r>
      <w:r w:rsidR="003710A4">
        <w:t>‘</w:t>
      </w:r>
      <w:r w:rsidR="00580209">
        <w:t>attack</w:t>
      </w:r>
      <w:r w:rsidR="003710A4">
        <w:t>’</w:t>
      </w:r>
      <w:r w:rsidR="00580209">
        <w:t xml:space="preserve"> </w:t>
      </w:r>
      <w:r w:rsidR="00FA3617">
        <w:t xml:space="preserve">against the civilian population </w:t>
      </w:r>
      <w:r w:rsidR="00580209" w:rsidRPr="004D7235">
        <w:t>around the inte</w:t>
      </w:r>
      <w:r w:rsidR="00580209">
        <w:t>rtwining</w:t>
      </w:r>
      <w:r w:rsidR="00580209" w:rsidRPr="004D7235">
        <w:t xml:space="preserve"> of religious and gender discrimination</w:t>
      </w:r>
      <w:r w:rsidR="00580209">
        <w:t xml:space="preserve">, bringing to the fore the </w:t>
      </w:r>
      <w:r w:rsidR="00682E84">
        <w:t xml:space="preserve">deliberate use </w:t>
      </w:r>
      <w:r w:rsidR="00580209">
        <w:t>of SGBV</w:t>
      </w:r>
      <w:r w:rsidR="00682E84">
        <w:t xml:space="preserve"> under the </w:t>
      </w:r>
      <w:r w:rsidR="00682E84">
        <w:lastRenderedPageBreak/>
        <w:t>religious veil</w:t>
      </w:r>
      <w:r w:rsidR="00580209">
        <w:t xml:space="preserve"> </w:t>
      </w:r>
      <w:r w:rsidR="00682E84">
        <w:t xml:space="preserve">to </w:t>
      </w:r>
      <w:r w:rsidR="00580209">
        <w:t>operationaliz</w:t>
      </w:r>
      <w:r w:rsidR="00682E84">
        <w:t>e</w:t>
      </w:r>
      <w:r w:rsidR="00580209">
        <w:t xml:space="preserve"> the organizational policy. </w:t>
      </w:r>
      <w:r w:rsidR="00580209" w:rsidRPr="004134FC">
        <w:rPr>
          <w:color w:val="FF0000"/>
        </w:rPr>
        <w:t xml:space="preserve">Critical in this regard is </w:t>
      </w:r>
      <w:r w:rsidR="003710A4">
        <w:rPr>
          <w:color w:val="FF0000"/>
        </w:rPr>
        <w:t xml:space="preserve">deconstructing the meaning of the organized system of </w:t>
      </w:r>
      <w:r w:rsidR="00580209" w:rsidRPr="004134FC">
        <w:rPr>
          <w:color w:val="FF0000"/>
        </w:rPr>
        <w:t>forced marriages</w:t>
      </w:r>
      <w:r w:rsidR="003710A4">
        <w:rPr>
          <w:color w:val="FF0000"/>
        </w:rPr>
        <w:t xml:space="preserve"> </w:t>
      </w:r>
      <w:r w:rsidR="00E6309D">
        <w:rPr>
          <w:color w:val="FF0000"/>
        </w:rPr>
        <w:t>(</w:t>
      </w:r>
      <w:r w:rsidR="00580209" w:rsidRPr="004134FC">
        <w:rPr>
          <w:color w:val="FF0000"/>
        </w:rPr>
        <w:t xml:space="preserve">wisely qualified by the Prosecutor as a “passerelle” to SGBV </w:t>
      </w:r>
      <w:r w:rsidR="00682E84">
        <w:rPr>
          <w:color w:val="FF0000"/>
        </w:rPr>
        <w:t xml:space="preserve">including </w:t>
      </w:r>
      <w:r w:rsidR="00580209" w:rsidRPr="004134FC">
        <w:rPr>
          <w:color w:val="FF0000"/>
        </w:rPr>
        <w:t>rape and sexual slavery</w:t>
      </w:r>
      <w:r w:rsidR="00E6309D">
        <w:rPr>
          <w:color w:val="FF0000"/>
        </w:rPr>
        <w:t>)</w:t>
      </w:r>
      <w:r w:rsidR="00580209" w:rsidRPr="004134FC">
        <w:rPr>
          <w:rStyle w:val="Refdenotaalpie"/>
          <w:color w:val="FF0000"/>
        </w:rPr>
        <w:footnoteReference w:id="103"/>
      </w:r>
      <w:r w:rsidR="00580209" w:rsidRPr="004134FC">
        <w:rPr>
          <w:color w:val="FF0000"/>
        </w:rPr>
        <w:t xml:space="preserve">  </w:t>
      </w:r>
      <w:r w:rsidR="003710A4">
        <w:rPr>
          <w:color w:val="FF0000"/>
        </w:rPr>
        <w:t>as the cornerstone of perpetrators´</w:t>
      </w:r>
      <w:r w:rsidR="006149BA">
        <w:rPr>
          <w:color w:val="FF0000"/>
        </w:rPr>
        <w:t xml:space="preserve"> strategy</w:t>
      </w:r>
      <w:r w:rsidR="003710A4">
        <w:rPr>
          <w:color w:val="FF0000"/>
        </w:rPr>
        <w:t>,</w:t>
      </w:r>
      <w:r w:rsidR="00580209" w:rsidRPr="004134FC">
        <w:rPr>
          <w:color w:val="FF0000"/>
        </w:rPr>
        <w:t xml:space="preserve"> explaining how </w:t>
      </w:r>
      <w:r w:rsidR="00682E84">
        <w:rPr>
          <w:color w:val="FF0000"/>
        </w:rPr>
        <w:t xml:space="preserve">this system contributed to the criminal aims. </w:t>
      </w:r>
      <w:r w:rsidR="00E6309D">
        <w:rPr>
          <w:color w:val="FF0000"/>
        </w:rPr>
        <w:t xml:space="preserve">The </w:t>
      </w:r>
      <w:r w:rsidR="00580209" w:rsidRPr="004134FC">
        <w:rPr>
          <w:color w:val="FF0000"/>
        </w:rPr>
        <w:t xml:space="preserve">facts </w:t>
      </w:r>
      <w:r w:rsidR="00E6309D">
        <w:rPr>
          <w:color w:val="FF0000"/>
        </w:rPr>
        <w:t xml:space="preserve">in </w:t>
      </w:r>
      <w:r w:rsidR="00E6309D">
        <w:rPr>
          <w:i/>
          <w:iCs/>
          <w:color w:val="FF0000"/>
        </w:rPr>
        <w:t xml:space="preserve">Al Hassan </w:t>
      </w:r>
      <w:r w:rsidR="006149BA">
        <w:rPr>
          <w:color w:val="FF0000"/>
        </w:rPr>
        <w:t xml:space="preserve">allowed inferring multiple </w:t>
      </w:r>
      <w:r w:rsidR="00580209" w:rsidRPr="004134FC">
        <w:rPr>
          <w:i/>
          <w:iCs/>
          <w:color w:val="FF0000"/>
        </w:rPr>
        <w:t xml:space="preserve">linkages </w:t>
      </w:r>
      <w:r w:rsidR="00580209" w:rsidRPr="004134FC">
        <w:rPr>
          <w:color w:val="FF0000"/>
        </w:rPr>
        <w:t>between the organized system of SGBV and the broader attack</w:t>
      </w:r>
      <w:r w:rsidR="00273A47">
        <w:rPr>
          <w:color w:val="FF0000"/>
        </w:rPr>
        <w:t>. These</w:t>
      </w:r>
      <w:r w:rsidR="00E6309D">
        <w:rPr>
          <w:color w:val="FF0000"/>
        </w:rPr>
        <w:t xml:space="preserve"> linkages resonate with strategic uses of SGBV in the context of religious extremism and</w:t>
      </w:r>
      <w:r w:rsidR="00273A47">
        <w:rPr>
          <w:color w:val="FF0000"/>
        </w:rPr>
        <w:t xml:space="preserve"> have been mentioned above</w:t>
      </w:r>
      <w:r w:rsidR="00E6309D">
        <w:rPr>
          <w:color w:val="FF0000"/>
        </w:rPr>
        <w:t xml:space="preserve"> (section 3.1)</w:t>
      </w:r>
      <w:r w:rsidR="00273A47">
        <w:rPr>
          <w:color w:val="FF0000"/>
        </w:rPr>
        <w:t xml:space="preserve"> includ</w:t>
      </w:r>
      <w:r w:rsidR="00E6309D">
        <w:rPr>
          <w:color w:val="FF0000"/>
        </w:rPr>
        <w:t>ing</w:t>
      </w:r>
      <w:r w:rsidR="00273A47">
        <w:rPr>
          <w:color w:val="FF0000"/>
        </w:rPr>
        <w:t xml:space="preserve">: </w:t>
      </w:r>
      <w:r w:rsidR="00E6309D">
        <w:rPr>
          <w:color w:val="FF0000"/>
        </w:rPr>
        <w:t xml:space="preserve">using SGBV to </w:t>
      </w:r>
      <w:r w:rsidR="00580209" w:rsidRPr="004134FC">
        <w:rPr>
          <w:color w:val="FF0000"/>
        </w:rPr>
        <w:t>impos</w:t>
      </w:r>
      <w:r w:rsidR="00E6309D">
        <w:rPr>
          <w:color w:val="FF0000"/>
        </w:rPr>
        <w:t>e a</w:t>
      </w:r>
      <w:r w:rsidR="00580209" w:rsidRPr="004134FC">
        <w:rPr>
          <w:color w:val="FF0000"/>
        </w:rPr>
        <w:t xml:space="preserve"> religious ideology,</w:t>
      </w:r>
      <w:r w:rsidR="00E6309D">
        <w:rPr>
          <w:color w:val="FF0000"/>
        </w:rPr>
        <w:t xml:space="preserve"> to recruit fighters, to</w:t>
      </w:r>
      <w:r w:rsidR="00580209" w:rsidRPr="004134FC">
        <w:rPr>
          <w:color w:val="FF0000"/>
        </w:rPr>
        <w:t xml:space="preserve"> entrench military control</w:t>
      </w:r>
      <w:r w:rsidR="00E6309D">
        <w:rPr>
          <w:color w:val="FF0000"/>
        </w:rPr>
        <w:t>, and to achieve statehood</w:t>
      </w:r>
      <w:r w:rsidR="00273A47">
        <w:rPr>
          <w:color w:val="FF0000"/>
        </w:rPr>
        <w:t>. These strategic uses</w:t>
      </w:r>
      <w:r w:rsidR="00E6309D">
        <w:rPr>
          <w:color w:val="FF0000"/>
        </w:rPr>
        <w:t xml:space="preserve"> of SGBV</w:t>
      </w:r>
      <w:r w:rsidR="00273A47">
        <w:rPr>
          <w:color w:val="FF0000"/>
        </w:rPr>
        <w:t xml:space="preserve"> </w:t>
      </w:r>
      <w:r w:rsidR="00580209" w:rsidRPr="004134FC">
        <w:rPr>
          <w:color w:val="FF0000"/>
        </w:rPr>
        <w:t>required articulation to</w:t>
      </w:r>
      <w:r w:rsidR="006149BA">
        <w:rPr>
          <w:color w:val="FF0000"/>
        </w:rPr>
        <w:t xml:space="preserve"> uncover the </w:t>
      </w:r>
      <w:r w:rsidR="003F090C">
        <w:rPr>
          <w:color w:val="FF0000"/>
        </w:rPr>
        <w:t xml:space="preserve">real </w:t>
      </w:r>
      <w:r w:rsidR="00580209" w:rsidRPr="004134FC">
        <w:rPr>
          <w:color w:val="FF0000"/>
        </w:rPr>
        <w:t>nature</w:t>
      </w:r>
      <w:r>
        <w:rPr>
          <w:color w:val="FF0000"/>
        </w:rPr>
        <w:t xml:space="preserve"> and gravity</w:t>
      </w:r>
      <w:r w:rsidR="00580209" w:rsidRPr="004134FC">
        <w:rPr>
          <w:color w:val="FF0000"/>
        </w:rPr>
        <w:t xml:space="preserve"> of SGBV</w:t>
      </w:r>
      <w:r w:rsidR="00580209">
        <w:t xml:space="preserve">.  </w:t>
      </w:r>
    </w:p>
    <w:p w14:paraId="765596AA" w14:textId="77777777" w:rsidR="00580209" w:rsidRPr="00893ED2" w:rsidRDefault="00580209" w:rsidP="00CD1C27">
      <w:pPr>
        <w:spacing w:line="276" w:lineRule="auto"/>
        <w:jc w:val="both"/>
      </w:pPr>
    </w:p>
    <w:p w14:paraId="2659BA0C" w14:textId="7F799990" w:rsidR="00580209" w:rsidRPr="00D86EDB" w:rsidRDefault="00580209" w:rsidP="00CD1C27">
      <w:pPr>
        <w:spacing w:line="276" w:lineRule="auto"/>
        <w:jc w:val="both"/>
        <w:rPr>
          <w:rFonts w:cstheme="minorHAnsi"/>
          <w:b/>
          <w:bCs/>
        </w:rPr>
      </w:pPr>
      <w:r w:rsidRPr="006A237E">
        <w:rPr>
          <w:rFonts w:cstheme="minorHAnsi"/>
          <w:b/>
          <w:bCs/>
        </w:rPr>
        <w:t>3.2.2. Persecution: Intersectional</w:t>
      </w:r>
      <w:r w:rsidRPr="00D86EDB">
        <w:rPr>
          <w:rFonts w:cstheme="minorHAnsi"/>
          <w:b/>
          <w:bCs/>
        </w:rPr>
        <w:t xml:space="preserve"> </w:t>
      </w:r>
      <w:r w:rsidRPr="00D86EDB">
        <w:rPr>
          <w:rFonts w:cstheme="minorHAnsi"/>
          <w:b/>
          <w:bCs/>
          <w:i/>
          <w:iCs/>
        </w:rPr>
        <w:t>versus</w:t>
      </w:r>
      <w:r w:rsidRPr="00D86EDB">
        <w:rPr>
          <w:rFonts w:cstheme="minorHAnsi"/>
          <w:b/>
          <w:bCs/>
        </w:rPr>
        <w:t xml:space="preserve"> Cumulative Discrimination</w:t>
      </w:r>
    </w:p>
    <w:p w14:paraId="265C2173" w14:textId="6B13A360" w:rsidR="00580209" w:rsidRDefault="00580209" w:rsidP="00CD1C27">
      <w:pPr>
        <w:spacing w:line="276" w:lineRule="auto"/>
        <w:jc w:val="both"/>
        <w:rPr>
          <w:rFonts w:cstheme="minorHAnsi"/>
        </w:rPr>
      </w:pPr>
      <w:r>
        <w:rPr>
          <w:i/>
          <w:iCs/>
        </w:rPr>
        <w:t>Al Hassan</w:t>
      </w:r>
      <w:r w:rsidRPr="00414436">
        <w:t>´s</w:t>
      </w:r>
      <w:r>
        <w:rPr>
          <w:i/>
          <w:iCs/>
        </w:rPr>
        <w:t xml:space="preserve"> </w:t>
      </w:r>
      <w:r>
        <w:t>broader attack against civilians has been confirmed by the PTC as</w:t>
      </w:r>
      <w:r w:rsidR="006A237E">
        <w:t xml:space="preserve"> involving the crime against humanity</w:t>
      </w:r>
      <w:r>
        <w:t xml:space="preserve"> of </w:t>
      </w:r>
      <w:r w:rsidRPr="00B07364">
        <w:t>persecution,</w:t>
      </w:r>
      <w:r>
        <w:t xml:space="preserve"> an  umbrella crime whose</w:t>
      </w:r>
      <w:r w:rsidRPr="006263A4">
        <w:t xml:space="preserve"> specific </w:t>
      </w:r>
      <w:r w:rsidRPr="00414436">
        <w:t xml:space="preserve">discriminatory </w:t>
      </w:r>
      <w:r w:rsidRPr="006263A4">
        <w:t xml:space="preserve">intent </w:t>
      </w:r>
      <w:r>
        <w:t xml:space="preserve">is well-suited </w:t>
      </w:r>
      <w:r w:rsidRPr="006263A4">
        <w:t xml:space="preserve">to integrate </w:t>
      </w:r>
      <w:r>
        <w:t xml:space="preserve">the </w:t>
      </w:r>
      <w:r w:rsidRPr="00814E24">
        <w:t xml:space="preserve">intersection </w:t>
      </w:r>
      <w:r w:rsidR="00814E24">
        <w:t xml:space="preserve">of </w:t>
      </w:r>
      <w:r>
        <w:t>different grounds of discrimination</w:t>
      </w:r>
      <w:r w:rsidR="006A237E">
        <w:t>.</w:t>
      </w:r>
      <w:r>
        <w:rPr>
          <w:rStyle w:val="Refdenotaalpie"/>
        </w:rPr>
        <w:footnoteReference w:id="104"/>
      </w:r>
      <w:r>
        <w:t xml:space="preserve"> </w:t>
      </w:r>
      <w:r w:rsidRPr="006263A4">
        <w:t xml:space="preserve">ICL </w:t>
      </w:r>
      <w:r>
        <w:t xml:space="preserve">has already </w:t>
      </w:r>
      <w:r w:rsidRPr="006263A4">
        <w:t>recogni</w:t>
      </w:r>
      <w:r>
        <w:t>zed</w:t>
      </w:r>
      <w:r w:rsidRPr="006263A4">
        <w:t xml:space="preserve"> that </w:t>
      </w:r>
      <w:r>
        <w:t xml:space="preserve">persecution </w:t>
      </w:r>
      <w:r w:rsidRPr="006263A4">
        <w:t>may involve intersectional discrimination</w:t>
      </w:r>
      <w:r>
        <w:t xml:space="preserve">, although international courts </w:t>
      </w:r>
      <w:r w:rsidR="006A237E">
        <w:t xml:space="preserve">and tribunals </w:t>
      </w:r>
      <w:r>
        <w:t xml:space="preserve">have </w:t>
      </w:r>
      <w:r w:rsidRPr="006263A4">
        <w:t>never adjudicat</w:t>
      </w:r>
      <w:r>
        <w:t>ed persecution</w:t>
      </w:r>
      <w:r w:rsidRPr="006263A4">
        <w:t xml:space="preserve"> on gender grounds</w:t>
      </w:r>
      <w:r w:rsidR="006A237E">
        <w:t xml:space="preserve"> even </w:t>
      </w:r>
      <w:r w:rsidR="00814E24">
        <w:t xml:space="preserve">in </w:t>
      </w:r>
      <w:r w:rsidR="006A237E">
        <w:t xml:space="preserve">those attacks </w:t>
      </w:r>
      <w:r w:rsidR="00814E24">
        <w:t>where women and girls were</w:t>
      </w:r>
      <w:r>
        <w:t xml:space="preserve"> particularly target</w:t>
      </w:r>
      <w:r w:rsidR="00814E24">
        <w:t xml:space="preserve">ed. </w:t>
      </w:r>
      <w:r w:rsidRPr="00FE4B32">
        <w:t>In the</w:t>
      </w:r>
      <w:r w:rsidRPr="006263A4">
        <w:t xml:space="preserve"> </w:t>
      </w:r>
      <w:r w:rsidRPr="006263A4">
        <w:rPr>
          <w:i/>
          <w:iCs/>
        </w:rPr>
        <w:t>Media</w:t>
      </w:r>
      <w:r w:rsidRPr="006263A4">
        <w:t xml:space="preserve"> case, ICTR </w:t>
      </w:r>
      <w:r>
        <w:t xml:space="preserve">trial judges were </w:t>
      </w:r>
      <w:r w:rsidRPr="006263A4">
        <w:t xml:space="preserve">not allowed to </w:t>
      </w:r>
      <w:r w:rsidR="006A237E">
        <w:t>adjudicate on</w:t>
      </w:r>
      <w:r w:rsidRPr="006263A4">
        <w:t xml:space="preserve"> </w:t>
      </w:r>
      <w:r>
        <w:t xml:space="preserve">gender-based </w:t>
      </w:r>
      <w:r w:rsidRPr="006263A4">
        <w:t>persecution</w:t>
      </w:r>
      <w:r w:rsidR="006A237E">
        <w:t xml:space="preserve"> because this</w:t>
      </w:r>
      <w:r>
        <w:t xml:space="preserve"> ground </w:t>
      </w:r>
      <w:r w:rsidR="006A237E">
        <w:t xml:space="preserve">was </w:t>
      </w:r>
      <w:r w:rsidRPr="006263A4">
        <w:t xml:space="preserve">not recognized by the </w:t>
      </w:r>
      <w:r>
        <w:t xml:space="preserve">ICTR </w:t>
      </w:r>
      <w:r w:rsidRPr="006263A4">
        <w:t>Statute.</w:t>
      </w:r>
      <w:r>
        <w:rPr>
          <w:rStyle w:val="Refdenotaalpie"/>
        </w:rPr>
        <w:footnoteReference w:id="105"/>
      </w:r>
      <w:r w:rsidRPr="006263A4">
        <w:t xml:space="preserve"> </w:t>
      </w:r>
      <w:r>
        <w:t>Although t</w:t>
      </w:r>
      <w:r w:rsidRPr="006263A4">
        <w:t xml:space="preserve">he </w:t>
      </w:r>
      <w:r w:rsidR="00F10A81">
        <w:t xml:space="preserve">trial judges </w:t>
      </w:r>
      <w:r>
        <w:t xml:space="preserve">acknowledged </w:t>
      </w:r>
      <w:r w:rsidRPr="006263A4">
        <w:t>that the persecutory intent “</w:t>
      </w:r>
      <w:r w:rsidRPr="002A13F7">
        <w:rPr>
          <w:rFonts w:cstheme="minorHAnsi"/>
          <w:i/>
          <w:iCs/>
        </w:rPr>
        <w:t>merged</w:t>
      </w:r>
      <w:r w:rsidRPr="006263A4">
        <w:rPr>
          <w:rFonts w:cstheme="minorHAnsi"/>
        </w:rPr>
        <w:t xml:space="preserve"> political and ethnic identity</w:t>
      </w:r>
      <w:r>
        <w:rPr>
          <w:rFonts w:cstheme="minorHAnsi"/>
        </w:rPr>
        <w:t xml:space="preserve">”, </w:t>
      </w:r>
      <w:r w:rsidRPr="006263A4">
        <w:rPr>
          <w:rFonts w:cstheme="minorHAnsi"/>
        </w:rPr>
        <w:t xml:space="preserve"> </w:t>
      </w:r>
      <w:r>
        <w:rPr>
          <w:rFonts w:cstheme="minorHAnsi"/>
        </w:rPr>
        <w:t>it</w:t>
      </w:r>
      <w:r w:rsidRPr="006263A4">
        <w:rPr>
          <w:rFonts w:cstheme="minorHAnsi"/>
        </w:rPr>
        <w:t xml:space="preserve"> was silent on gender</w:t>
      </w:r>
      <w:r w:rsidR="006A237E">
        <w:rPr>
          <w:rFonts w:cstheme="minorHAnsi"/>
        </w:rPr>
        <w:t xml:space="preserve"> identity and discrimination</w:t>
      </w:r>
      <w:r w:rsidRPr="006263A4">
        <w:t xml:space="preserve"> despite </w:t>
      </w:r>
      <w:r>
        <w:t xml:space="preserve">noting that </w:t>
      </w:r>
      <w:r w:rsidRPr="006263A4">
        <w:t>“</w:t>
      </w:r>
      <w:r w:rsidRPr="006263A4">
        <w:rPr>
          <w:rFonts w:cstheme="minorHAnsi"/>
        </w:rPr>
        <w:t>Tutsi women</w:t>
      </w:r>
      <w:r>
        <w:rPr>
          <w:rFonts w:cstheme="minorHAnsi"/>
        </w:rPr>
        <w:t>,</w:t>
      </w:r>
      <w:r w:rsidRPr="006263A4">
        <w:rPr>
          <w:rFonts w:cstheme="minorHAnsi"/>
        </w:rPr>
        <w:t xml:space="preserve"> in particular, were targeted for persecution.”</w:t>
      </w:r>
      <w:r w:rsidRPr="006263A4">
        <w:rPr>
          <w:rStyle w:val="Refdenotaalpie"/>
          <w:rFonts w:cstheme="minorHAnsi"/>
        </w:rPr>
        <w:footnoteReference w:id="106"/>
      </w:r>
      <w:r w:rsidRPr="006263A4">
        <w:rPr>
          <w:rFonts w:cstheme="minorHAnsi"/>
        </w:rPr>
        <w:t xml:space="preserve"> </w:t>
      </w:r>
      <w:r>
        <w:rPr>
          <w:rFonts w:cstheme="minorHAnsi"/>
        </w:rPr>
        <w:t xml:space="preserve">Another example </w:t>
      </w:r>
      <w:r w:rsidR="00814E24">
        <w:rPr>
          <w:rFonts w:cstheme="minorHAnsi"/>
        </w:rPr>
        <w:t xml:space="preserve">of how the gender grounds </w:t>
      </w:r>
      <w:r>
        <w:rPr>
          <w:rFonts w:cstheme="minorHAnsi"/>
        </w:rPr>
        <w:t>of persecution</w:t>
      </w:r>
      <w:r w:rsidR="006A237E">
        <w:rPr>
          <w:rFonts w:cstheme="minorHAnsi"/>
        </w:rPr>
        <w:t xml:space="preserve"> </w:t>
      </w:r>
      <w:r w:rsidR="00814E24">
        <w:rPr>
          <w:rFonts w:cstheme="minorHAnsi"/>
        </w:rPr>
        <w:t xml:space="preserve">is obscured </w:t>
      </w:r>
      <w:r>
        <w:rPr>
          <w:rFonts w:cstheme="minorHAnsi"/>
        </w:rPr>
        <w:t>is</w:t>
      </w:r>
      <w:r w:rsidRPr="006263A4">
        <w:rPr>
          <w:rFonts w:cstheme="minorHAnsi"/>
        </w:rPr>
        <w:t xml:space="preserve"> </w:t>
      </w:r>
      <w:r w:rsidRPr="006263A4">
        <w:rPr>
          <w:rFonts w:cstheme="minorHAnsi"/>
          <w:i/>
          <w:iCs/>
        </w:rPr>
        <w:t>Mbarushimana</w:t>
      </w:r>
      <w:r>
        <w:rPr>
          <w:rFonts w:cstheme="minorHAnsi"/>
          <w:i/>
          <w:iCs/>
        </w:rPr>
        <w:t xml:space="preserve">. </w:t>
      </w:r>
      <w:r>
        <w:rPr>
          <w:rFonts w:cstheme="minorHAnsi"/>
        </w:rPr>
        <w:t>T</w:t>
      </w:r>
      <w:r w:rsidRPr="006263A4">
        <w:rPr>
          <w:rFonts w:cstheme="minorHAnsi"/>
        </w:rPr>
        <w:t xml:space="preserve">he ICC Prosecutor requested an arrest warrant alleging a persecutory attack on gender and political grounds, stressing that SGBV was a “particularly efficient” manner to create an humanitarian catastrophe </w:t>
      </w:r>
      <w:r>
        <w:rPr>
          <w:rFonts w:cstheme="minorHAnsi"/>
        </w:rPr>
        <w:t xml:space="preserve">considering </w:t>
      </w:r>
      <w:r w:rsidRPr="006263A4">
        <w:rPr>
          <w:rFonts w:cstheme="minorHAnsi"/>
        </w:rPr>
        <w:t>its effects</w:t>
      </w:r>
      <w:r>
        <w:rPr>
          <w:rFonts w:cstheme="minorHAnsi"/>
        </w:rPr>
        <w:t xml:space="preserve"> </w:t>
      </w:r>
      <w:r w:rsidRPr="006263A4">
        <w:rPr>
          <w:rFonts w:cstheme="minorHAnsi"/>
        </w:rPr>
        <w:t>“to provoke</w:t>
      </w:r>
      <w:r>
        <w:rPr>
          <w:rFonts w:cstheme="minorHAnsi"/>
        </w:rPr>
        <w:t xml:space="preserve"> the</w:t>
      </w:r>
      <w:r w:rsidRPr="006263A4">
        <w:rPr>
          <w:rFonts w:cstheme="minorHAnsi"/>
        </w:rPr>
        <w:t xml:space="preserve"> ostracisation of those violated, to break down communities, and to spread disease.”</w:t>
      </w:r>
      <w:r w:rsidRPr="006263A4">
        <w:rPr>
          <w:rStyle w:val="Refdenotaalpie"/>
          <w:rFonts w:cstheme="minorHAnsi"/>
        </w:rPr>
        <w:footnoteReference w:id="107"/>
      </w:r>
      <w:r w:rsidRPr="006263A4">
        <w:rPr>
          <w:rFonts w:cstheme="minorHAnsi"/>
        </w:rPr>
        <w:t xml:space="preserve"> </w:t>
      </w:r>
      <w:r w:rsidR="006A237E">
        <w:rPr>
          <w:rFonts w:cstheme="minorHAnsi"/>
        </w:rPr>
        <w:t>However, w</w:t>
      </w:r>
      <w:r>
        <w:rPr>
          <w:rFonts w:cstheme="minorHAnsi"/>
        </w:rPr>
        <w:t>hen bringing the charges, t</w:t>
      </w:r>
      <w:r w:rsidRPr="006263A4">
        <w:rPr>
          <w:rFonts w:cstheme="minorHAnsi"/>
        </w:rPr>
        <w:t>he Prosecutor dropped gender as a</w:t>
      </w:r>
      <w:r w:rsidR="00814E24">
        <w:rPr>
          <w:rFonts w:cstheme="minorHAnsi"/>
        </w:rPr>
        <w:t xml:space="preserve"> persecution ground despite patterns of SGBV pointing at its </w:t>
      </w:r>
      <w:r w:rsidR="00814E24">
        <w:rPr>
          <w:rFonts w:cstheme="minorHAnsi"/>
        </w:rPr>
        <w:lastRenderedPageBreak/>
        <w:t xml:space="preserve">strategic use by perpetrators. </w:t>
      </w:r>
      <w:r>
        <w:rPr>
          <w:rFonts w:cstheme="minorHAnsi"/>
        </w:rPr>
        <w:t>The PTC did not confirm the charges arguing the absence of substantial evidence of the existence of an organizational policy.</w:t>
      </w:r>
      <w:r>
        <w:rPr>
          <w:rStyle w:val="Refdenotaalpie"/>
          <w:rFonts w:cstheme="minorHAnsi"/>
        </w:rPr>
        <w:footnoteReference w:id="108"/>
      </w:r>
    </w:p>
    <w:p w14:paraId="27F1A217" w14:textId="77777777" w:rsidR="00814E24" w:rsidRDefault="00580209" w:rsidP="00CD1C27">
      <w:pPr>
        <w:spacing w:line="276" w:lineRule="auto"/>
        <w:jc w:val="both"/>
      </w:pPr>
      <w:r w:rsidRPr="006263A4">
        <w:rPr>
          <w:i/>
          <w:iCs/>
        </w:rPr>
        <w:t xml:space="preserve">Al Hassan </w:t>
      </w:r>
      <w:r>
        <w:t xml:space="preserve">presents an opportunity to articulate, for the first time in ICL, persecution as a crime where gender intersects with </w:t>
      </w:r>
      <w:r w:rsidRPr="004D7235">
        <w:t>other grounds of discrimination</w:t>
      </w:r>
      <w:r>
        <w:t xml:space="preserve">, unpacking the role of SGBV in furthering </w:t>
      </w:r>
      <w:r w:rsidR="00814E24">
        <w:t xml:space="preserve">the </w:t>
      </w:r>
      <w:r>
        <w:t xml:space="preserve">attack, </w:t>
      </w:r>
      <w:r w:rsidR="006A237E">
        <w:t xml:space="preserve">and </w:t>
      </w:r>
      <w:r>
        <w:t xml:space="preserve">ending the historical silencing of gender-based persecution. </w:t>
      </w:r>
      <w:r>
        <w:rPr>
          <w:i/>
          <w:iCs/>
        </w:rPr>
        <w:t>Al Hassan</w:t>
      </w:r>
      <w:r>
        <w:t xml:space="preserve">´s DCC charged persecution on religious </w:t>
      </w:r>
      <w:r w:rsidRPr="00C13A68">
        <w:rPr>
          <w:i/>
          <w:iCs/>
        </w:rPr>
        <w:t>and</w:t>
      </w:r>
      <w:r>
        <w:t xml:space="preserve"> gender</w:t>
      </w:r>
      <w:r w:rsidR="00814E24">
        <w:t xml:space="preserve"> grounds</w:t>
      </w:r>
      <w:r>
        <w:t>. However, these grounds where analysed separately</w:t>
      </w:r>
      <w:r w:rsidR="006A237E">
        <w:t>,</w:t>
      </w:r>
      <w:r>
        <w:t xml:space="preserve"> overlooking the way gender and religion interplayed and co-constructed</w:t>
      </w:r>
      <w:r w:rsidR="006A237E">
        <w:t xml:space="preserve"> one another</w:t>
      </w:r>
      <w:r>
        <w:t>.</w:t>
      </w:r>
      <w:r w:rsidR="006A237E">
        <w:t xml:space="preserve"> </w:t>
      </w:r>
      <w:r w:rsidR="006A237E">
        <w:rPr>
          <w:color w:val="FF0000"/>
        </w:rPr>
        <w:t xml:space="preserve">Accordingly, the DCC charged </w:t>
      </w:r>
      <w:r w:rsidR="00814E24">
        <w:rPr>
          <w:color w:val="FF0000"/>
        </w:rPr>
        <w:t xml:space="preserve">the two grounds of </w:t>
      </w:r>
      <w:r w:rsidR="006A237E">
        <w:rPr>
          <w:color w:val="FF0000"/>
        </w:rPr>
        <w:t xml:space="preserve">persecution in a cumulative </w:t>
      </w:r>
      <w:r w:rsidRPr="00814E24">
        <w:rPr>
          <w:color w:val="FF0000"/>
        </w:rPr>
        <w:t>(non-intersectional) manner that did not account for the real nature of discrimination</w:t>
      </w:r>
      <w:r w:rsidRPr="005933E7">
        <w:t>.</w:t>
      </w:r>
      <w:r w:rsidRPr="005933E7">
        <w:rPr>
          <w:rStyle w:val="Refdenotaalpie"/>
        </w:rPr>
        <w:footnoteReference w:id="109"/>
      </w:r>
      <w:r w:rsidRPr="005933E7">
        <w:t xml:space="preserve"> </w:t>
      </w:r>
    </w:p>
    <w:p w14:paraId="624E2839" w14:textId="23296ECB" w:rsidR="00580209" w:rsidRPr="001625F2" w:rsidRDefault="00814E24" w:rsidP="00CD1C27">
      <w:pPr>
        <w:spacing w:line="276" w:lineRule="auto"/>
        <w:jc w:val="both"/>
      </w:pPr>
      <w:r>
        <w:t>I</w:t>
      </w:r>
      <w:r w:rsidR="006A237E">
        <w:t xml:space="preserve">t is important that </w:t>
      </w:r>
      <w:r w:rsidR="00580209">
        <w:t xml:space="preserve">the Court </w:t>
      </w:r>
      <w:r w:rsidR="006A237E">
        <w:t xml:space="preserve">does </w:t>
      </w:r>
      <w:r w:rsidR="00580209">
        <w:t xml:space="preserve">not lose sight of the real nature of </w:t>
      </w:r>
      <w:r w:rsidR="00580209" w:rsidRPr="00581EAD">
        <w:t>discrimination</w:t>
      </w:r>
      <w:r w:rsidR="00580209">
        <w:t xml:space="preserve">. </w:t>
      </w:r>
      <w:r w:rsidR="00580209" w:rsidRPr="00581EAD">
        <w:t>First,</w:t>
      </w:r>
      <w:r w:rsidR="00580209">
        <w:t xml:space="preserve"> the discriminat</w:t>
      </w:r>
      <w:r w:rsidR="006A237E">
        <w:t>ion of the</w:t>
      </w:r>
      <w:r>
        <w:t xml:space="preserve"> persecutory intent in </w:t>
      </w:r>
      <w:r>
        <w:rPr>
          <w:i/>
          <w:iCs/>
        </w:rPr>
        <w:t xml:space="preserve">Al Hassan </w:t>
      </w:r>
      <w:r w:rsidR="00580209">
        <w:t xml:space="preserve">should reflect the discriminatory nature of the ‘attack’ against the civilian population. </w:t>
      </w:r>
      <w:r w:rsidR="00580209" w:rsidRPr="0088023E">
        <w:rPr>
          <w:color w:val="FF0000"/>
        </w:rPr>
        <w:t xml:space="preserve">As explained above, </w:t>
      </w:r>
      <w:r w:rsidR="0088023E" w:rsidRPr="0088023E">
        <w:rPr>
          <w:color w:val="FF0000"/>
        </w:rPr>
        <w:t>there wer</w:t>
      </w:r>
      <w:r w:rsidR="0088023E">
        <w:rPr>
          <w:color w:val="FF0000"/>
        </w:rPr>
        <w:t>e strong indices that gender discrimination</w:t>
      </w:r>
      <w:r>
        <w:rPr>
          <w:color w:val="FF0000"/>
        </w:rPr>
        <w:t xml:space="preserve"> (</w:t>
      </w:r>
      <w:r w:rsidR="0088023E">
        <w:rPr>
          <w:color w:val="FF0000"/>
        </w:rPr>
        <w:t>through the system forced marriage</w:t>
      </w:r>
      <w:r>
        <w:rPr>
          <w:color w:val="FF0000"/>
        </w:rPr>
        <w:t>s</w:t>
      </w:r>
      <w:r w:rsidR="0088023E">
        <w:rPr>
          <w:color w:val="FF0000"/>
        </w:rPr>
        <w:t xml:space="preserve"> and sexual exploitation</w:t>
      </w:r>
      <w:r>
        <w:rPr>
          <w:color w:val="FF0000"/>
        </w:rPr>
        <w:t>)</w:t>
      </w:r>
      <w:r w:rsidR="0088023E">
        <w:rPr>
          <w:color w:val="FF0000"/>
        </w:rPr>
        <w:t xml:space="preserve"> </w:t>
      </w:r>
      <w:r w:rsidR="008D781B">
        <w:rPr>
          <w:color w:val="FF0000"/>
        </w:rPr>
        <w:t xml:space="preserve">was at the centre of </w:t>
      </w:r>
      <w:r w:rsidR="0088023E">
        <w:rPr>
          <w:color w:val="FF0000"/>
        </w:rPr>
        <w:t>the organizational policy and the attack led by the religious ideology. SGBV was strategically used to impose religious ideology, to recruit fighters and to achieve military strategy by controlling the population and melting with it to ensure a new generation of fighters.</w:t>
      </w:r>
      <w:r w:rsidR="001C582B">
        <w:rPr>
          <w:rStyle w:val="Refdenotaalpie"/>
          <w:color w:val="FF0000"/>
        </w:rPr>
        <w:footnoteReference w:id="110"/>
      </w:r>
      <w:r w:rsidR="0088023E">
        <w:rPr>
          <w:color w:val="FF0000"/>
        </w:rPr>
        <w:t xml:space="preserve"> </w:t>
      </w:r>
      <w:r w:rsidR="00580209">
        <w:t xml:space="preserve">It is </w:t>
      </w:r>
      <w:r w:rsidR="0088023E">
        <w:t xml:space="preserve">then </w:t>
      </w:r>
      <w:r w:rsidR="00580209">
        <w:t xml:space="preserve">logical that </w:t>
      </w:r>
      <w:r w:rsidR="0088023E">
        <w:t xml:space="preserve">the </w:t>
      </w:r>
      <w:r w:rsidR="00580209">
        <w:t xml:space="preserve">intersection of discrimination underpinning the </w:t>
      </w:r>
      <w:r w:rsidR="0088023E">
        <w:t xml:space="preserve">organizational </w:t>
      </w:r>
      <w:r w:rsidR="00580209">
        <w:t xml:space="preserve">policy </w:t>
      </w:r>
      <w:r w:rsidR="0088023E">
        <w:t xml:space="preserve">and the attack be </w:t>
      </w:r>
      <w:r w:rsidR="00580209">
        <w:t xml:space="preserve">reflected in the articulation of the criminal intent </w:t>
      </w:r>
      <w:r w:rsidR="0088023E">
        <w:t>of</w:t>
      </w:r>
      <w:r w:rsidR="00580209">
        <w:t xml:space="preserve"> persecution. </w:t>
      </w:r>
      <w:r>
        <w:t>T</w:t>
      </w:r>
      <w:r w:rsidR="0088023E">
        <w:t xml:space="preserve">he </w:t>
      </w:r>
      <w:r w:rsidR="00580209">
        <w:t xml:space="preserve">organizational policy and the criminal intent are communicating glasses. </w:t>
      </w:r>
      <w:r w:rsidR="00580209" w:rsidRPr="002311DF">
        <w:t>As the</w:t>
      </w:r>
      <w:r w:rsidR="00580209">
        <w:t xml:space="preserve"> ICTY</w:t>
      </w:r>
      <w:r w:rsidR="00580209" w:rsidRPr="002311DF">
        <w:t xml:space="preserve"> Appeals Chamber noted in </w:t>
      </w:r>
      <w:r w:rsidR="00580209" w:rsidRPr="002311DF">
        <w:rPr>
          <w:i/>
          <w:iCs/>
        </w:rPr>
        <w:t>Kvocka</w:t>
      </w:r>
      <w:r w:rsidR="00580209" w:rsidRPr="002311DF">
        <w:t xml:space="preserve">, </w:t>
      </w:r>
      <w:r w:rsidR="00580209">
        <w:t>“</w:t>
      </w:r>
      <w:r w:rsidR="00580209" w:rsidRPr="00CA5006">
        <w:t>the intent to contribute to the joint criminal enterprise</w:t>
      </w:r>
      <w:r w:rsidR="00580209">
        <w:t xml:space="preserve"> [i.e. plan or policy]</w:t>
      </w:r>
      <w:r w:rsidR="00580209" w:rsidRPr="00CA5006">
        <w:t xml:space="preserve"> and discriminatory intent is one and the same thing”</w:t>
      </w:r>
      <w:r w:rsidR="00580209" w:rsidRPr="002311DF">
        <w:t>.</w:t>
      </w:r>
      <w:r w:rsidR="00580209" w:rsidRPr="002311DF">
        <w:rPr>
          <w:rStyle w:val="Refdenotaalpie"/>
        </w:rPr>
        <w:footnoteReference w:id="111"/>
      </w:r>
      <w:r w:rsidR="00580209" w:rsidRPr="002311DF">
        <w:t xml:space="preserve"> Second, </w:t>
      </w:r>
      <w:r w:rsidR="0088023E">
        <w:t xml:space="preserve">charging persecution on gender and religion as intersecting grounds </w:t>
      </w:r>
      <w:r w:rsidR="006C61E9">
        <w:t xml:space="preserve">better reflects </w:t>
      </w:r>
      <w:r w:rsidR="00580209" w:rsidRPr="002311DF">
        <w:t xml:space="preserve">the gravity of SGBV. While cumulative grounds of persecution only </w:t>
      </w:r>
      <w:r w:rsidR="006C61E9">
        <w:t xml:space="preserve">explain </w:t>
      </w:r>
      <w:r w:rsidR="00580209" w:rsidRPr="002311DF">
        <w:t xml:space="preserve">SGBV as </w:t>
      </w:r>
      <w:r w:rsidR="00580209">
        <w:t>a conduct</w:t>
      </w:r>
      <w:r w:rsidR="00580209" w:rsidRPr="002311DF">
        <w:t xml:space="preserve"> </w:t>
      </w:r>
      <w:r w:rsidR="006C61E9">
        <w:t xml:space="preserve">involving </w:t>
      </w:r>
      <w:r w:rsidR="00580209" w:rsidRPr="002311DF">
        <w:t xml:space="preserve">gender discrimination, an intersectional lens </w:t>
      </w:r>
      <w:r w:rsidR="006C61E9">
        <w:t xml:space="preserve">conveys </w:t>
      </w:r>
      <w:r w:rsidR="00580209">
        <w:t xml:space="preserve">that </w:t>
      </w:r>
      <w:r w:rsidR="00580209" w:rsidRPr="002311DF">
        <w:t>discrimination was</w:t>
      </w:r>
      <w:r w:rsidR="00580209">
        <w:t xml:space="preserve"> multi-layered</w:t>
      </w:r>
      <w:r w:rsidR="00580209" w:rsidRPr="002311DF">
        <w:t xml:space="preserve">, hence </w:t>
      </w:r>
      <w:r w:rsidR="00580209">
        <w:t xml:space="preserve">of a graver nature. </w:t>
      </w:r>
      <w:r w:rsidR="00580209" w:rsidRPr="002311DF">
        <w:t xml:space="preserve">This </w:t>
      </w:r>
      <w:r w:rsidR="00580209">
        <w:t xml:space="preserve">consideration has repercussions for </w:t>
      </w:r>
      <w:r w:rsidR="00580209" w:rsidRPr="002311DF">
        <w:t>sentencing purposes</w:t>
      </w:r>
      <w:r w:rsidR="006C61E9">
        <w:t xml:space="preserve"> dealing with SGBV</w:t>
      </w:r>
      <w:r w:rsidR="00580209" w:rsidRPr="002311DF">
        <w:t xml:space="preserve">. </w:t>
      </w:r>
      <w:r w:rsidR="006C61E9">
        <w:t xml:space="preserve">It </w:t>
      </w:r>
      <w:r w:rsidR="00580209" w:rsidRPr="002311DF">
        <w:t xml:space="preserve">allows considering that the aggravating factor “any motive involving discrimination” </w:t>
      </w:r>
      <w:r w:rsidR="006C61E9">
        <w:t xml:space="preserve">provided by the Rome Statute </w:t>
      </w:r>
      <w:r w:rsidR="00580209" w:rsidRPr="002311DF">
        <w:t xml:space="preserve">was </w:t>
      </w:r>
      <w:r w:rsidR="00580209" w:rsidRPr="006C61E9">
        <w:rPr>
          <w:i/>
          <w:iCs/>
        </w:rPr>
        <w:t xml:space="preserve">compounded </w:t>
      </w:r>
      <w:r w:rsidR="00580209" w:rsidRPr="002311DF">
        <w:t>by gender and religious grounds</w:t>
      </w:r>
      <w:r>
        <w:t>,</w:t>
      </w:r>
      <w:r w:rsidR="006C61E9">
        <w:t xml:space="preserve"> </w:t>
      </w:r>
      <w:r w:rsidR="00580209" w:rsidRPr="002311DF">
        <w:t xml:space="preserve">better </w:t>
      </w:r>
      <w:r w:rsidR="00580209">
        <w:t xml:space="preserve">acknowledging the seriousness of </w:t>
      </w:r>
      <w:r w:rsidR="00580209" w:rsidRPr="002311DF">
        <w:t xml:space="preserve">SGBV as </w:t>
      </w:r>
      <w:r w:rsidR="00580209">
        <w:t xml:space="preserve">a </w:t>
      </w:r>
      <w:r w:rsidR="00580209" w:rsidRPr="002311DF">
        <w:t>political crime</w:t>
      </w:r>
      <w:r w:rsidR="00580209">
        <w:t xml:space="preserve"> </w:t>
      </w:r>
      <w:r>
        <w:t xml:space="preserve">key to implement the </w:t>
      </w:r>
      <w:r w:rsidR="00580209">
        <w:t xml:space="preserve">policy </w:t>
      </w:r>
      <w:r w:rsidR="00580209" w:rsidRPr="002311DF">
        <w:t>of the</w:t>
      </w:r>
      <w:r w:rsidR="000D7F94">
        <w:t xml:space="preserve"> armed group</w:t>
      </w:r>
      <w:r w:rsidR="00580209" w:rsidRPr="002311DF">
        <w:t>. Third</w:t>
      </w:r>
      <w:r w:rsidR="006C61E9">
        <w:t>ly</w:t>
      </w:r>
      <w:r w:rsidR="00580209" w:rsidRPr="002311DF">
        <w:t xml:space="preserve">, </w:t>
      </w:r>
      <w:r w:rsidR="000D7F94">
        <w:t xml:space="preserve">addressing the intersection of discrimination in persecution charges </w:t>
      </w:r>
      <w:r w:rsidR="00580209">
        <w:t xml:space="preserve">improves understanding of the unique harms of victims, </w:t>
      </w:r>
      <w:r w:rsidR="000D7F94">
        <w:t xml:space="preserve">whose </w:t>
      </w:r>
      <w:r w:rsidR="00580209">
        <w:t>gender and religious identities</w:t>
      </w:r>
      <w:r w:rsidR="000D7F94">
        <w:t xml:space="preserve"> were targeted</w:t>
      </w:r>
      <w:r w:rsidR="006C61E9">
        <w:t>. Th</w:t>
      </w:r>
      <w:r w:rsidR="000D7F94">
        <w:t xml:space="preserve">is </w:t>
      </w:r>
      <w:r w:rsidR="000D7F94">
        <w:lastRenderedPageBreak/>
        <w:t xml:space="preserve">sensitivity is crucial in view of providing effective </w:t>
      </w:r>
      <w:r w:rsidR="00580209">
        <w:t>reparations based on a more complete picture of</w:t>
      </w:r>
      <w:r w:rsidR="006C61E9">
        <w:t xml:space="preserve"> </w:t>
      </w:r>
      <w:r w:rsidR="000D7F94">
        <w:t>victims´ experiences and needs.</w:t>
      </w:r>
      <w:r w:rsidR="00580209" w:rsidRPr="007B55C0">
        <w:rPr>
          <w:rStyle w:val="Refdenotaalpie"/>
        </w:rPr>
        <w:footnoteReference w:id="112"/>
      </w:r>
      <w:r w:rsidR="00580209">
        <w:t xml:space="preserve"> </w:t>
      </w:r>
    </w:p>
    <w:p w14:paraId="341BC4A7" w14:textId="77777777" w:rsidR="00580209" w:rsidRDefault="00580209" w:rsidP="00CD1C27">
      <w:pPr>
        <w:spacing w:line="276" w:lineRule="auto"/>
        <w:jc w:val="both"/>
        <w:rPr>
          <w:rFonts w:cstheme="minorHAnsi"/>
        </w:rPr>
      </w:pPr>
    </w:p>
    <w:p w14:paraId="6FCEC9F3" w14:textId="4BED0251" w:rsidR="00580209" w:rsidRPr="00CC7B0E" w:rsidRDefault="00580209" w:rsidP="00CD1C27">
      <w:pPr>
        <w:spacing w:line="276" w:lineRule="auto"/>
        <w:jc w:val="both"/>
        <w:rPr>
          <w:b/>
          <w:bCs/>
          <w:color w:val="FF0000"/>
        </w:rPr>
      </w:pPr>
      <w:r w:rsidRPr="00CC7B0E">
        <w:rPr>
          <w:rFonts w:cstheme="minorHAnsi"/>
          <w:b/>
          <w:bCs/>
          <w:color w:val="FF0000"/>
        </w:rPr>
        <w:t xml:space="preserve">3.3 Uncovering the </w:t>
      </w:r>
      <w:r w:rsidR="003B1208">
        <w:rPr>
          <w:rFonts w:cstheme="minorHAnsi"/>
          <w:b/>
          <w:bCs/>
          <w:color w:val="FF0000"/>
        </w:rPr>
        <w:t>Interlink</w:t>
      </w:r>
      <w:r w:rsidRPr="00CC7B0E">
        <w:rPr>
          <w:rFonts w:cstheme="minorHAnsi"/>
          <w:b/>
          <w:bCs/>
          <w:color w:val="FF0000"/>
        </w:rPr>
        <w:t xml:space="preserve"> between Trafficking, Sexual Violence and Persecution  </w:t>
      </w:r>
    </w:p>
    <w:p w14:paraId="6F0C1719" w14:textId="16D7DB91" w:rsidR="00580209" w:rsidRDefault="00580209" w:rsidP="00CD1C27">
      <w:pPr>
        <w:spacing w:line="276" w:lineRule="auto"/>
        <w:jc w:val="both"/>
      </w:pPr>
      <w:r>
        <w:rPr>
          <w:color w:val="FF0000"/>
        </w:rPr>
        <w:t xml:space="preserve">The facts in </w:t>
      </w:r>
      <w:r w:rsidRPr="008D5E55">
        <w:rPr>
          <w:i/>
          <w:iCs/>
          <w:color w:val="FF0000"/>
        </w:rPr>
        <w:t>Al Hassan</w:t>
      </w:r>
      <w:r>
        <w:rPr>
          <w:color w:val="FF0000"/>
        </w:rPr>
        <w:t xml:space="preserve"> revealed strong indices </w:t>
      </w:r>
      <w:r w:rsidR="00BD4325">
        <w:rPr>
          <w:color w:val="FF0000"/>
        </w:rPr>
        <w:t xml:space="preserve">that ‘trafficking’ in women and girls had taken place and was interconnected with the </w:t>
      </w:r>
      <w:r w:rsidR="008D5E55">
        <w:rPr>
          <w:color w:val="FF0000"/>
        </w:rPr>
        <w:t xml:space="preserve">crimes of </w:t>
      </w:r>
      <w:r>
        <w:rPr>
          <w:color w:val="FF0000"/>
        </w:rPr>
        <w:t xml:space="preserve">SGBV and persecution. </w:t>
      </w:r>
      <w:r w:rsidRPr="008D5E55">
        <w:t xml:space="preserve">Trafficking in women and girls in the context of religious extremism </w:t>
      </w:r>
      <w:r w:rsidR="008D5E55" w:rsidRPr="008D5E55">
        <w:t xml:space="preserve">is recognized </w:t>
      </w:r>
      <w:r w:rsidRPr="008D5E55">
        <w:t xml:space="preserve">by the UN Security Council </w:t>
      </w:r>
      <w:r w:rsidR="008D5E55" w:rsidRPr="008D5E55">
        <w:t xml:space="preserve">who considers </w:t>
      </w:r>
      <w:r w:rsidRPr="008D5E55">
        <w:t>trafficking</w:t>
      </w:r>
      <w:r w:rsidR="00BD4325">
        <w:t xml:space="preserve"> </w:t>
      </w:r>
      <w:r w:rsidRPr="008D5E55">
        <w:t>“part of the strategic objectives and  ideology of, and used as a tactic” for inc</w:t>
      </w:r>
      <w:r w:rsidRPr="006C394C">
        <w:t>entivizing recruitment, destroying, punishing, subjugating, or controlling communities</w:t>
      </w:r>
      <w:r>
        <w:t>.</w:t>
      </w:r>
      <w:r w:rsidRPr="006C394C">
        <w:rPr>
          <w:rStyle w:val="Refdenotaalpie"/>
        </w:rPr>
        <w:footnoteReference w:id="113"/>
      </w:r>
      <w:r>
        <w:t xml:space="preserve"> </w:t>
      </w:r>
      <w:r w:rsidRPr="00CC7B0E">
        <w:rPr>
          <w:color w:val="FF0000"/>
        </w:rPr>
        <w:t xml:space="preserve">In this regard, </w:t>
      </w:r>
      <w:r w:rsidRPr="00CC7B0E">
        <w:rPr>
          <w:i/>
          <w:iCs/>
          <w:color w:val="FF0000"/>
        </w:rPr>
        <w:t>Al Hassan</w:t>
      </w:r>
      <w:r w:rsidRPr="00CC7B0E">
        <w:rPr>
          <w:color w:val="FF0000"/>
        </w:rPr>
        <w:t xml:space="preserve"> could benefit from the insights of the </w:t>
      </w:r>
      <w:r w:rsidRPr="008D5E55">
        <w:rPr>
          <w:i/>
          <w:iCs/>
          <w:color w:val="FF0000"/>
        </w:rPr>
        <w:t xml:space="preserve">RUF </w:t>
      </w:r>
      <w:r w:rsidRPr="00CC7B0E">
        <w:rPr>
          <w:color w:val="FF0000"/>
        </w:rPr>
        <w:t>case study where the facts</w:t>
      </w:r>
      <w:r w:rsidR="008D5E55">
        <w:rPr>
          <w:color w:val="FF0000"/>
        </w:rPr>
        <w:t xml:space="preserve"> </w:t>
      </w:r>
      <w:r w:rsidR="00BD4325">
        <w:rPr>
          <w:color w:val="FF0000"/>
        </w:rPr>
        <w:t xml:space="preserve">fitted </w:t>
      </w:r>
      <w:r w:rsidRPr="00CC7B0E">
        <w:rPr>
          <w:color w:val="FF0000"/>
        </w:rPr>
        <w:t xml:space="preserve">the elements of trafficking </w:t>
      </w:r>
      <w:r w:rsidR="008D5E55">
        <w:rPr>
          <w:color w:val="FF0000"/>
        </w:rPr>
        <w:t xml:space="preserve">for sexual exploitation interconnected with other international crimes. </w:t>
      </w:r>
    </w:p>
    <w:p w14:paraId="10CE193A" w14:textId="309CE0D9" w:rsidR="00580209" w:rsidRPr="00D5032C" w:rsidRDefault="00580209" w:rsidP="00CD1C27">
      <w:pPr>
        <w:spacing w:line="276" w:lineRule="auto"/>
        <w:jc w:val="both"/>
        <w:rPr>
          <w:b/>
          <w:bCs/>
          <w:color w:val="FF0000"/>
        </w:rPr>
      </w:pPr>
      <w:r>
        <w:rPr>
          <w:color w:val="FF0000"/>
        </w:rPr>
        <w:t xml:space="preserve">The facts submitted in </w:t>
      </w:r>
      <w:r w:rsidRPr="003B1C00">
        <w:rPr>
          <w:i/>
          <w:iCs/>
          <w:color w:val="FF0000"/>
        </w:rPr>
        <w:t>Al Hassan</w:t>
      </w:r>
      <w:r w:rsidR="008D5E55">
        <w:rPr>
          <w:color w:val="FF0000"/>
        </w:rPr>
        <w:t>`s DCC</w:t>
      </w:r>
      <w:r w:rsidRPr="003B1C00">
        <w:rPr>
          <w:i/>
          <w:iCs/>
          <w:color w:val="FF0000"/>
        </w:rPr>
        <w:t xml:space="preserve"> </w:t>
      </w:r>
      <w:r>
        <w:rPr>
          <w:color w:val="FF0000"/>
        </w:rPr>
        <w:t xml:space="preserve">that the armed group had established </w:t>
      </w:r>
      <w:r w:rsidR="00BD4325">
        <w:rPr>
          <w:color w:val="FF0000"/>
        </w:rPr>
        <w:t xml:space="preserve">an </w:t>
      </w:r>
      <w:r>
        <w:rPr>
          <w:color w:val="FF0000"/>
        </w:rPr>
        <w:t xml:space="preserve">organized system of “recruitment” for forced marriage </w:t>
      </w:r>
      <w:r w:rsidR="008D5E55">
        <w:rPr>
          <w:color w:val="FF0000"/>
        </w:rPr>
        <w:t xml:space="preserve">and </w:t>
      </w:r>
      <w:r>
        <w:rPr>
          <w:color w:val="FF0000"/>
        </w:rPr>
        <w:t>sexual exploitation</w:t>
      </w:r>
      <w:r w:rsidR="008D5E55">
        <w:t xml:space="preserve"> </w:t>
      </w:r>
      <w:r w:rsidRPr="00D5032C">
        <w:rPr>
          <w:color w:val="FF0000"/>
        </w:rPr>
        <w:t>matched the elements of the crime of trafficking.</w:t>
      </w:r>
      <w:r>
        <w:rPr>
          <w:color w:val="FF0000"/>
        </w:rPr>
        <w:t xml:space="preserve"> </w:t>
      </w:r>
      <w:r w:rsidRPr="00D5032C">
        <w:t>According to the DCC</w:t>
      </w:r>
      <w:r w:rsidR="008D5E55">
        <w:t xml:space="preserve">, </w:t>
      </w:r>
      <w:r w:rsidRPr="00D5032C">
        <w:t xml:space="preserve">the </w:t>
      </w:r>
      <w:r>
        <w:t>system of forced recruitment involved actions such as: the active search for women house by house, exerting pressure over families, not toleration of families</w:t>
      </w:r>
      <w:r w:rsidR="008D5E55">
        <w:t xml:space="preserve"> who </w:t>
      </w:r>
      <w:r>
        <w:t>refus</w:t>
      </w:r>
      <w:r w:rsidR="008D5E55">
        <w:t xml:space="preserve">ed </w:t>
      </w:r>
      <w:r>
        <w:t>hand</w:t>
      </w:r>
      <w:r w:rsidR="008D5E55">
        <w:t>ing</w:t>
      </w:r>
      <w:r>
        <w:t xml:space="preserve"> in women and girls, the establishment of a fund to pay dots, mediators that facilitated the forced unions, and deprivation of movement </w:t>
      </w:r>
      <w:r w:rsidR="00BD4325">
        <w:t xml:space="preserve">of the </w:t>
      </w:r>
      <w:r>
        <w:t xml:space="preserve">women and </w:t>
      </w:r>
      <w:r w:rsidRPr="00643107">
        <w:t>girls</w:t>
      </w:r>
      <w:r w:rsidR="008D5E55">
        <w:t xml:space="preserve"> recruited</w:t>
      </w:r>
      <w:r w:rsidRPr="00643107">
        <w:t>.</w:t>
      </w:r>
      <w:r w:rsidRPr="00643107">
        <w:rPr>
          <w:rStyle w:val="Refdenotaalpie"/>
        </w:rPr>
        <w:footnoteReference w:id="114"/>
      </w:r>
      <w:r w:rsidRPr="00643107">
        <w:t xml:space="preserve"> </w:t>
      </w:r>
      <w:r>
        <w:t>These facts</w:t>
      </w:r>
      <w:r w:rsidR="00BD4325">
        <w:t xml:space="preserve"> can be subsumed under the </w:t>
      </w:r>
      <w:r>
        <w:t xml:space="preserve">elements of trafficking </w:t>
      </w:r>
      <w:r w:rsidR="00BD4325">
        <w:t xml:space="preserve">provided by </w:t>
      </w:r>
      <w:r>
        <w:t>the Palermo Protocol</w:t>
      </w:r>
      <w:r w:rsidR="008D5E55">
        <w:t xml:space="preserve">, namely,  </w:t>
      </w:r>
      <w:r>
        <w:t>the movement of persons by force or coercion for the purpose of exploitation</w:t>
      </w:r>
      <w:r w:rsidR="00967E68">
        <w:t>, including sexual exploitation</w:t>
      </w:r>
      <w:r w:rsidR="008D5E55">
        <w:t xml:space="preserve">. </w:t>
      </w:r>
      <w:r w:rsidR="00967E68">
        <w:t xml:space="preserve">What is more, </w:t>
      </w:r>
      <w:r>
        <w:t>the Palermo Protocol expressly considers “recruitment” as a trafficking conduct when accompanied by force and for the purpose of exploitation.</w:t>
      </w:r>
      <w:r>
        <w:rPr>
          <w:rStyle w:val="Refdenotaalpie"/>
        </w:rPr>
        <w:footnoteReference w:id="115"/>
      </w:r>
      <w:r>
        <w:t xml:space="preserve"> </w:t>
      </w:r>
    </w:p>
    <w:p w14:paraId="715EB969" w14:textId="13AC4C7D" w:rsidR="00B71D98" w:rsidRPr="00EC6FC3" w:rsidRDefault="00580209" w:rsidP="00CD1C27">
      <w:pPr>
        <w:spacing w:line="276" w:lineRule="auto"/>
        <w:jc w:val="both"/>
        <w:rPr>
          <w:color w:val="FF0000"/>
        </w:rPr>
      </w:pPr>
      <w:r>
        <w:rPr>
          <w:color w:val="FF0000"/>
        </w:rPr>
        <w:t xml:space="preserve">The </w:t>
      </w:r>
      <w:r w:rsidR="00561EF8">
        <w:rPr>
          <w:color w:val="FF0000"/>
        </w:rPr>
        <w:t xml:space="preserve">establishment of an </w:t>
      </w:r>
      <w:r>
        <w:rPr>
          <w:color w:val="FF0000"/>
        </w:rPr>
        <w:t>organized</w:t>
      </w:r>
      <w:r w:rsidRPr="008D5E55">
        <w:rPr>
          <w:i/>
          <w:iCs/>
          <w:color w:val="FF0000"/>
        </w:rPr>
        <w:t xml:space="preserve"> </w:t>
      </w:r>
      <w:r w:rsidRPr="00967E68">
        <w:rPr>
          <w:color w:val="FF0000"/>
        </w:rPr>
        <w:t>system</w:t>
      </w:r>
      <w:r>
        <w:rPr>
          <w:color w:val="FF0000"/>
        </w:rPr>
        <w:t xml:space="preserve"> of forced recruitment</w:t>
      </w:r>
      <w:r w:rsidRPr="008D5E55">
        <w:rPr>
          <w:i/>
          <w:iCs/>
          <w:color w:val="FF0000"/>
        </w:rPr>
        <w:t xml:space="preserve"> for</w:t>
      </w:r>
      <w:r>
        <w:rPr>
          <w:color w:val="FF0000"/>
        </w:rPr>
        <w:t xml:space="preserve"> sexual exploitation </w:t>
      </w:r>
      <w:r w:rsidR="00561EF8">
        <w:rPr>
          <w:color w:val="FF0000"/>
        </w:rPr>
        <w:t xml:space="preserve">is </w:t>
      </w:r>
      <w:r>
        <w:rPr>
          <w:color w:val="FF0000"/>
        </w:rPr>
        <w:t>a critical conduct demonstrating the interlinkages between the crimes of trafficking, SGBV and the persecutory attack</w:t>
      </w:r>
      <w:r w:rsidRPr="003B1208">
        <w:t xml:space="preserve">. As the Prosecutor submitted, the </w:t>
      </w:r>
      <w:r>
        <w:t xml:space="preserve">purpose of </w:t>
      </w:r>
      <w:r>
        <w:rPr>
          <w:i/>
          <w:iCs/>
        </w:rPr>
        <w:t xml:space="preserve">recruiting </w:t>
      </w:r>
      <w:r>
        <w:t>women and girls for marriage was to allow fighters access to sex according to religious commands within a system that, in practice, enabled sexual exploitation</w:t>
      </w:r>
      <w:r w:rsidR="00561EF8">
        <w:t>,</w:t>
      </w:r>
      <w:r>
        <w:t xml:space="preserve"> and to consolidate control over the city by merging with the population.</w:t>
      </w:r>
      <w:r>
        <w:rPr>
          <w:rStyle w:val="Refdenotaalpie"/>
        </w:rPr>
        <w:footnoteReference w:id="116"/>
      </w:r>
      <w:r>
        <w:t xml:space="preserve"> </w:t>
      </w:r>
      <w:r w:rsidR="002B3330" w:rsidRPr="00EC6FC3">
        <w:rPr>
          <w:color w:val="FF0000"/>
        </w:rPr>
        <w:t xml:space="preserve">These actions clearly reflect the interlink between trafficking, SGBV and the broader attack </w:t>
      </w:r>
      <w:r w:rsidR="00561EF8">
        <w:rPr>
          <w:color w:val="FF0000"/>
        </w:rPr>
        <w:t xml:space="preserve">aiming </w:t>
      </w:r>
      <w:r w:rsidR="002B3330" w:rsidRPr="00EC6FC3">
        <w:rPr>
          <w:color w:val="FF0000"/>
        </w:rPr>
        <w:t xml:space="preserve">to consolidate statehood and ideology for which purpose the control </w:t>
      </w:r>
      <w:r w:rsidR="002B3330" w:rsidRPr="00EC6FC3">
        <w:rPr>
          <w:color w:val="FF0000"/>
        </w:rPr>
        <w:lastRenderedPageBreak/>
        <w:t>over the sexuality was crucial.</w:t>
      </w:r>
      <w:r w:rsidR="001C582B">
        <w:rPr>
          <w:rStyle w:val="Refdenotaalpie"/>
          <w:color w:val="FF0000"/>
        </w:rPr>
        <w:footnoteReference w:id="117"/>
      </w:r>
      <w:r w:rsidR="002B3330" w:rsidRPr="00EC6FC3">
        <w:rPr>
          <w:color w:val="FF0000"/>
        </w:rPr>
        <w:t xml:space="preserve"> In other words, </w:t>
      </w:r>
      <w:r w:rsidR="00002CB6">
        <w:rPr>
          <w:color w:val="FF0000"/>
        </w:rPr>
        <w:t xml:space="preserve">the </w:t>
      </w:r>
      <w:r w:rsidR="002B3330" w:rsidRPr="00EC6FC3">
        <w:rPr>
          <w:color w:val="FF0000"/>
        </w:rPr>
        <w:t xml:space="preserve">organized recruitment </w:t>
      </w:r>
      <w:r w:rsidR="00D73A96" w:rsidRPr="00EC6FC3">
        <w:rPr>
          <w:color w:val="FF0000"/>
        </w:rPr>
        <w:t xml:space="preserve">of women and girls </w:t>
      </w:r>
      <w:r w:rsidR="00561EF8">
        <w:rPr>
          <w:color w:val="FF0000"/>
        </w:rPr>
        <w:t xml:space="preserve">for </w:t>
      </w:r>
      <w:r w:rsidR="00D73A96" w:rsidRPr="00EC6FC3">
        <w:rPr>
          <w:color w:val="FF0000"/>
        </w:rPr>
        <w:t xml:space="preserve">forced marriage </w:t>
      </w:r>
      <w:r w:rsidR="00561EF8">
        <w:rPr>
          <w:color w:val="FF0000"/>
        </w:rPr>
        <w:t>and</w:t>
      </w:r>
      <w:r w:rsidR="002B3330" w:rsidRPr="00EC6FC3">
        <w:rPr>
          <w:color w:val="FF0000"/>
        </w:rPr>
        <w:t xml:space="preserve"> </w:t>
      </w:r>
      <w:r w:rsidR="00561EF8">
        <w:rPr>
          <w:color w:val="FF0000"/>
        </w:rPr>
        <w:t xml:space="preserve">access to sex </w:t>
      </w:r>
      <w:r w:rsidR="00002CB6">
        <w:rPr>
          <w:color w:val="FF0000"/>
        </w:rPr>
        <w:t xml:space="preserve">in compliance with </w:t>
      </w:r>
      <w:r w:rsidR="00967E68">
        <w:rPr>
          <w:color w:val="FF0000"/>
        </w:rPr>
        <w:t>religio</w:t>
      </w:r>
      <w:r w:rsidR="00002CB6">
        <w:rPr>
          <w:color w:val="FF0000"/>
        </w:rPr>
        <w:t xml:space="preserve">us views (i.e. trafficking for sexual exploitation) </w:t>
      </w:r>
      <w:r w:rsidR="00561EF8">
        <w:rPr>
          <w:color w:val="FF0000"/>
        </w:rPr>
        <w:t xml:space="preserve">clearly </w:t>
      </w:r>
      <w:r w:rsidR="00967E68">
        <w:rPr>
          <w:color w:val="FF0000"/>
        </w:rPr>
        <w:t xml:space="preserve">conveys </w:t>
      </w:r>
      <w:r w:rsidR="00561EF8">
        <w:rPr>
          <w:color w:val="FF0000"/>
        </w:rPr>
        <w:t>the intersection of gender and religious discrimination running through the organizational policy</w:t>
      </w:r>
      <w:r w:rsidR="00967E68">
        <w:rPr>
          <w:color w:val="FF0000"/>
        </w:rPr>
        <w:t xml:space="preserve"> of the armed group</w:t>
      </w:r>
      <w:r w:rsidR="00561EF8">
        <w:rPr>
          <w:i/>
          <w:iCs/>
          <w:color w:val="FF0000"/>
        </w:rPr>
        <w:t>.</w:t>
      </w:r>
      <w:r w:rsidR="00967E68">
        <w:rPr>
          <w:color w:val="FF0000"/>
        </w:rPr>
        <w:t xml:space="preserve"> As </w:t>
      </w:r>
      <w:r w:rsidR="00D83754">
        <w:rPr>
          <w:color w:val="FF0000"/>
        </w:rPr>
        <w:t xml:space="preserve">the </w:t>
      </w:r>
      <w:r w:rsidR="00D83754">
        <w:rPr>
          <w:i/>
          <w:iCs/>
          <w:color w:val="FF0000"/>
        </w:rPr>
        <w:t xml:space="preserve">RUF </w:t>
      </w:r>
      <w:r w:rsidR="00D83754">
        <w:rPr>
          <w:color w:val="FF0000"/>
        </w:rPr>
        <w:t xml:space="preserve">precedent demonstrates, tackling the intersection of discrimination on gender and the identity of the target group </w:t>
      </w:r>
      <w:r w:rsidR="00002CB6">
        <w:rPr>
          <w:color w:val="FF0000"/>
        </w:rPr>
        <w:t>can be</w:t>
      </w:r>
      <w:r w:rsidR="00D83754">
        <w:rPr>
          <w:color w:val="FF0000"/>
        </w:rPr>
        <w:t xml:space="preserve"> a useful technique to shed light on the</w:t>
      </w:r>
      <w:r w:rsidR="00002CB6">
        <w:rPr>
          <w:color w:val="FF0000"/>
        </w:rPr>
        <w:t xml:space="preserve"> interlinkages of SGBV and its gravity</w:t>
      </w:r>
      <w:r w:rsidR="00D83754">
        <w:rPr>
          <w:color w:val="FF0000"/>
        </w:rPr>
        <w:t xml:space="preserve"> as a political crime</w:t>
      </w:r>
      <w:r w:rsidR="00A762AA">
        <w:rPr>
          <w:color w:val="FF0000"/>
        </w:rPr>
        <w:t xml:space="preserve">, at the centre of </w:t>
      </w:r>
      <w:r w:rsidR="00C66CAC" w:rsidRPr="00EC6FC3">
        <w:rPr>
          <w:color w:val="FF0000"/>
        </w:rPr>
        <w:t xml:space="preserve">perpetrators´ strategy. </w:t>
      </w:r>
    </w:p>
    <w:p w14:paraId="25CF54CD" w14:textId="77777777" w:rsidR="00D86EDB" w:rsidRDefault="00D86EDB" w:rsidP="00CD1C27">
      <w:pPr>
        <w:spacing w:line="276" w:lineRule="auto"/>
        <w:jc w:val="both"/>
        <w:rPr>
          <w:b/>
          <w:bCs/>
        </w:rPr>
      </w:pPr>
    </w:p>
    <w:p w14:paraId="70984CCB" w14:textId="6A8100E9" w:rsidR="00D57E82" w:rsidRDefault="009D5C5A" w:rsidP="00CD1C27">
      <w:pPr>
        <w:spacing w:line="276" w:lineRule="auto"/>
        <w:jc w:val="both"/>
        <w:rPr>
          <w:b/>
          <w:bCs/>
        </w:rPr>
      </w:pPr>
      <w:r>
        <w:rPr>
          <w:b/>
          <w:bCs/>
        </w:rPr>
        <w:t>4</w:t>
      </w:r>
      <w:r w:rsidR="00A552A1">
        <w:rPr>
          <w:b/>
          <w:bCs/>
        </w:rPr>
        <w:t>. Conclusion</w:t>
      </w:r>
      <w:r w:rsidR="00250D59">
        <w:rPr>
          <w:b/>
          <w:bCs/>
        </w:rPr>
        <w:t xml:space="preserve">  </w:t>
      </w:r>
    </w:p>
    <w:p w14:paraId="5D12CBC2" w14:textId="3039622E" w:rsidR="00A434AD" w:rsidRPr="009D5C5A" w:rsidRDefault="009D5C5A" w:rsidP="00CD1C27">
      <w:pPr>
        <w:spacing w:line="276" w:lineRule="auto"/>
        <w:jc w:val="both"/>
        <w:rPr>
          <w:color w:val="FF0000"/>
        </w:rPr>
      </w:pPr>
      <w:r>
        <w:rPr>
          <w:color w:val="FF0000"/>
        </w:rPr>
        <w:t xml:space="preserve">This paper has explained that SGBV is often interconnected with other violations of ICL as part of a broader attack on group identity, and that the reason for that interlink is the fact that gender (a social construct) intersects with other identities, normally those of the target group. Uncovering this dynamic </w:t>
      </w:r>
      <w:r>
        <w:rPr>
          <w:i/>
          <w:iCs/>
          <w:color w:val="FF0000"/>
        </w:rPr>
        <w:t>‘intersectional discrimination leading to interlinked offences´</w:t>
      </w:r>
      <w:r>
        <w:rPr>
          <w:color w:val="FF0000"/>
        </w:rPr>
        <w:t xml:space="preserve"> helps understanding the real nature of SGBV: SGBV crimes are revealed not only as crimes of gender discrimination but</w:t>
      </w:r>
      <w:r w:rsidRPr="009E7A74">
        <w:rPr>
          <w:color w:val="FF0000"/>
        </w:rPr>
        <w:t xml:space="preserve"> </w:t>
      </w:r>
      <w:r w:rsidR="009E7A74">
        <w:rPr>
          <w:color w:val="FF0000"/>
        </w:rPr>
        <w:t>‘</w:t>
      </w:r>
      <w:r w:rsidRPr="009E7A74">
        <w:rPr>
          <w:color w:val="FF0000"/>
        </w:rPr>
        <w:t>simultaneously</w:t>
      </w:r>
      <w:r w:rsidR="009E7A74">
        <w:rPr>
          <w:color w:val="FF0000"/>
        </w:rPr>
        <w:t>’</w:t>
      </w:r>
      <w:r>
        <w:rPr>
          <w:i/>
          <w:iCs/>
          <w:color w:val="FF0000"/>
        </w:rPr>
        <w:t xml:space="preserve"> </w:t>
      </w:r>
      <w:r>
        <w:rPr>
          <w:color w:val="FF0000"/>
        </w:rPr>
        <w:t xml:space="preserve">as crimes that </w:t>
      </w:r>
      <w:r w:rsidR="009636EE">
        <w:rPr>
          <w:color w:val="FF0000"/>
        </w:rPr>
        <w:t xml:space="preserve">are key to </w:t>
      </w:r>
      <w:r>
        <w:rPr>
          <w:color w:val="FF0000"/>
        </w:rPr>
        <w:t xml:space="preserve">perpetrators´ strategy to achieve the criminal aims. This dynamic has been examined with regard to two case studies: the SCSL </w:t>
      </w:r>
      <w:r w:rsidRPr="00A24401">
        <w:rPr>
          <w:i/>
          <w:iCs/>
          <w:color w:val="FF0000"/>
        </w:rPr>
        <w:t>RUF</w:t>
      </w:r>
      <w:r>
        <w:rPr>
          <w:color w:val="FF0000"/>
        </w:rPr>
        <w:t xml:space="preserve"> trial judgment dealing with the interlink of SGBV and the war crime carrying out acts of terrorism, and the ICC </w:t>
      </w:r>
      <w:r w:rsidRPr="00A24401">
        <w:rPr>
          <w:i/>
          <w:iCs/>
          <w:color w:val="FF0000"/>
        </w:rPr>
        <w:t>Al Hassan</w:t>
      </w:r>
      <w:r>
        <w:rPr>
          <w:color w:val="FF0000"/>
        </w:rPr>
        <w:t xml:space="preserve"> case dealing with the interlink of SGBV and the crime against humanity of persecution. </w:t>
      </w:r>
      <w:r w:rsidR="00A434AD">
        <w:rPr>
          <w:color w:val="FF0000"/>
        </w:rPr>
        <w:t xml:space="preserve">Based on the above, this paper argues that ICL would benefit from integrating an intersectional approach to the gender analysis of SGBV where any conceptualization of intersectionality must consider the interplay of the categories ‘identity (including gender), </w:t>
      </w:r>
      <w:r w:rsidR="009E7A74">
        <w:rPr>
          <w:color w:val="FF0000"/>
        </w:rPr>
        <w:t>discrimination,</w:t>
      </w:r>
      <w:r w:rsidR="00A434AD">
        <w:rPr>
          <w:color w:val="FF0000"/>
        </w:rPr>
        <w:t xml:space="preserve"> and crime’</w:t>
      </w:r>
      <w:r w:rsidR="009E7A74">
        <w:rPr>
          <w:color w:val="FF0000"/>
        </w:rPr>
        <w:t xml:space="preserve"> because these </w:t>
      </w:r>
      <w:r w:rsidR="00A434AD">
        <w:rPr>
          <w:color w:val="FF0000"/>
        </w:rPr>
        <w:t xml:space="preserve">underpin SGBV in ‘peacetime’ and reinforce one another </w:t>
      </w:r>
      <w:r w:rsidR="00731539">
        <w:rPr>
          <w:color w:val="FF0000"/>
        </w:rPr>
        <w:t>during ‘conflict.’</w:t>
      </w:r>
      <w:r w:rsidR="00A434AD">
        <w:rPr>
          <w:color w:val="FF0000"/>
        </w:rPr>
        <w:t xml:space="preserve"> </w:t>
      </w:r>
    </w:p>
    <w:p w14:paraId="73558165" w14:textId="77777777" w:rsidR="0048665C" w:rsidRPr="0048665C" w:rsidRDefault="0048665C" w:rsidP="00CD1C27">
      <w:pPr>
        <w:spacing w:line="276" w:lineRule="auto"/>
        <w:jc w:val="both"/>
      </w:pPr>
    </w:p>
    <w:p w14:paraId="42072EE4" w14:textId="77777777" w:rsidR="009E7293" w:rsidRPr="00573D2D" w:rsidRDefault="009E7293" w:rsidP="00CD1C27">
      <w:pPr>
        <w:spacing w:line="276" w:lineRule="auto"/>
        <w:jc w:val="both"/>
        <w:rPr>
          <w:color w:val="FF0000"/>
        </w:rPr>
      </w:pPr>
    </w:p>
    <w:p w14:paraId="04A4647F" w14:textId="4F5768A6" w:rsidR="008470A2" w:rsidRPr="008470A2" w:rsidRDefault="008470A2" w:rsidP="00CD1C27">
      <w:pPr>
        <w:spacing w:line="276" w:lineRule="auto"/>
        <w:jc w:val="both"/>
        <w:rPr>
          <w:b/>
          <w:bCs/>
        </w:rPr>
      </w:pPr>
    </w:p>
    <w:sectPr w:rsidR="008470A2" w:rsidRPr="008470A2" w:rsidSect="00F6696C">
      <w:footerReference w:type="default" r:id="rId9"/>
      <w:endnotePr>
        <w:numFmt w:val="decimal"/>
      </w:endnote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35789" w14:textId="77777777" w:rsidR="000A2CFF" w:rsidRDefault="000A2CFF" w:rsidP="005F0381">
      <w:pPr>
        <w:spacing w:after="0" w:line="240" w:lineRule="auto"/>
      </w:pPr>
      <w:r>
        <w:separator/>
      </w:r>
    </w:p>
  </w:endnote>
  <w:endnote w:type="continuationSeparator" w:id="0">
    <w:p w14:paraId="5A93E6B1" w14:textId="77777777" w:rsidR="000A2CFF" w:rsidRDefault="000A2CFF" w:rsidP="005F0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ADGI+Arial">
    <w:altName w:val="Arial"/>
    <w:panose1 w:val="00000000000000000000"/>
    <w:charset w:val="00"/>
    <w:family w:val="swiss"/>
    <w:notTrueType/>
    <w:pitch w:val="default"/>
    <w:sig w:usb0="00000003" w:usb1="00000000" w:usb2="00000000" w:usb3="00000000" w:csb0="00000001" w:csb1="00000000"/>
  </w:font>
  <w:font w:name="Brill">
    <w:altName w:val="Cambria"/>
    <w:panose1 w:val="00000000000000000000"/>
    <w:charset w:val="00"/>
    <w:family w:val="roman"/>
    <w:notTrueType/>
    <w:pitch w:val="default"/>
    <w:sig w:usb0="00000003" w:usb1="00000000" w:usb2="00000000" w:usb3="00000000" w:csb0="00000001" w:csb1="00000000"/>
  </w:font>
  <w:font w:name="Palatino-Light">
    <w:altName w:val="Palatino Linotype"/>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2693085"/>
      <w:docPartObj>
        <w:docPartGallery w:val="Page Numbers (Bottom of Page)"/>
        <w:docPartUnique/>
      </w:docPartObj>
    </w:sdtPr>
    <w:sdtEndPr/>
    <w:sdtContent>
      <w:p w14:paraId="71FF25AC" w14:textId="34ECE52F" w:rsidR="00B77019" w:rsidRDefault="00B77019">
        <w:pPr>
          <w:pStyle w:val="Piedepgina"/>
          <w:jc w:val="center"/>
        </w:pPr>
        <w:r>
          <w:fldChar w:fldCharType="begin"/>
        </w:r>
        <w:r>
          <w:instrText>PAGE   \* MERGEFORMAT</w:instrText>
        </w:r>
        <w:r>
          <w:fldChar w:fldCharType="separate"/>
        </w:r>
        <w:r>
          <w:rPr>
            <w:lang w:val="es-ES"/>
          </w:rPr>
          <w:t>2</w:t>
        </w:r>
        <w:r>
          <w:fldChar w:fldCharType="end"/>
        </w:r>
      </w:p>
    </w:sdtContent>
  </w:sdt>
  <w:p w14:paraId="1BA88FCC" w14:textId="77777777" w:rsidR="00B77019" w:rsidRDefault="00B7701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D1101" w14:textId="77777777" w:rsidR="000A2CFF" w:rsidRDefault="000A2CFF" w:rsidP="005F0381">
      <w:pPr>
        <w:spacing w:after="0" w:line="240" w:lineRule="auto"/>
      </w:pPr>
      <w:r>
        <w:separator/>
      </w:r>
    </w:p>
  </w:footnote>
  <w:footnote w:type="continuationSeparator" w:id="0">
    <w:p w14:paraId="1CD6B972" w14:textId="77777777" w:rsidR="000A2CFF" w:rsidRDefault="000A2CFF" w:rsidP="005F0381">
      <w:pPr>
        <w:spacing w:after="0" w:line="240" w:lineRule="auto"/>
      </w:pPr>
      <w:r>
        <w:continuationSeparator/>
      </w:r>
    </w:p>
  </w:footnote>
  <w:footnote w:id="1">
    <w:p w14:paraId="3971B98B" w14:textId="1323A0DF" w:rsidR="00B77019" w:rsidRPr="00757DB0" w:rsidRDefault="00B77019" w:rsidP="00757DB0">
      <w:pPr>
        <w:pStyle w:val="Textonotapie"/>
      </w:pPr>
      <w:r>
        <w:rPr>
          <w:rStyle w:val="Refdenotaalpie"/>
        </w:rPr>
        <w:footnoteRef/>
      </w:r>
      <w:r>
        <w:t xml:space="preserve"> K Campbell</w:t>
      </w:r>
      <w:r w:rsidRPr="006C1297">
        <w:t>, ‘Producing Knowledge in the Field of Sexual Vio</w:t>
      </w:r>
      <w:r>
        <w:t>lence in Armed Conflict Research: Objects, Methods, Politics and Gender Justice Methodology’ (2018) 25:1 Social Politics</w:t>
      </w:r>
      <w:r w:rsidRPr="006C1297">
        <w:t xml:space="preserve"> 481</w:t>
      </w:r>
      <w:r>
        <w:t>.</w:t>
      </w:r>
    </w:p>
  </w:footnote>
  <w:footnote w:id="2">
    <w:p w14:paraId="4F4DBADF" w14:textId="762AC1D9" w:rsidR="00B77019" w:rsidRPr="00322D16" w:rsidRDefault="00B77019" w:rsidP="00E00C68">
      <w:pPr>
        <w:pStyle w:val="Textonotapie"/>
      </w:pPr>
      <w:r>
        <w:rPr>
          <w:rStyle w:val="Refdenotaalpie"/>
        </w:rPr>
        <w:footnoteRef/>
      </w:r>
      <w:r>
        <w:t xml:space="preserve"> </w:t>
      </w:r>
      <w:r w:rsidRPr="00FC4DD4">
        <w:rPr>
          <w:i/>
          <w:iCs/>
        </w:rPr>
        <w:t>The Prosecutor v Issa Hassan Sesay, Morris Kallon and Augustine Gbao</w:t>
      </w:r>
      <w:r>
        <w:t xml:space="preserve"> (Trial Judgment) </w:t>
      </w:r>
      <w:r w:rsidRPr="007D4048">
        <w:t>SCSL-04-15-T</w:t>
      </w:r>
      <w:r>
        <w:t xml:space="preserve"> ‘RUF Case’ (</w:t>
      </w:r>
      <w:r w:rsidRPr="007D4048">
        <w:t>2 March 2009</w:t>
      </w:r>
      <w:r>
        <w:t>).</w:t>
      </w:r>
    </w:p>
  </w:footnote>
  <w:footnote w:id="3">
    <w:p w14:paraId="7D977539" w14:textId="51A4BF77" w:rsidR="00B77019" w:rsidRPr="00322D16" w:rsidRDefault="00B77019">
      <w:pPr>
        <w:pStyle w:val="Textonotapie"/>
      </w:pPr>
      <w:r>
        <w:rPr>
          <w:rStyle w:val="Refdenotaalpie"/>
        </w:rPr>
        <w:footnoteRef/>
      </w:r>
      <w:r>
        <w:t xml:space="preserve"> </w:t>
      </w:r>
      <w:r w:rsidRPr="00FC4DD4">
        <w:rPr>
          <w:i/>
          <w:iCs/>
        </w:rPr>
        <w:t>The Procureur c Al Hassan Ag Abdoul Aziz Ag Mohamed Ag Mahmoud</w:t>
      </w:r>
      <w:r>
        <w:t xml:space="preserve"> (Pre-Trial Chamber) </w:t>
      </w:r>
      <w:r w:rsidRPr="00C46C71">
        <w:t>Version publique expurgée de la “Version amendée et corrigée du Document contenant les charges” ICC-01/12-01/18</w:t>
      </w:r>
      <w:r>
        <w:t xml:space="preserve"> </w:t>
      </w:r>
      <w:r w:rsidRPr="00B851C5">
        <w:t xml:space="preserve">‘Al-Hassan </w:t>
      </w:r>
      <w:r>
        <w:t>Document Containing the Charges</w:t>
      </w:r>
      <w:r w:rsidRPr="00B851C5">
        <w:t xml:space="preserve">’ </w:t>
      </w:r>
      <w:r>
        <w:t>(</w:t>
      </w:r>
      <w:r w:rsidRPr="00C46C71">
        <w:t xml:space="preserve">2 </w:t>
      </w:r>
      <w:r>
        <w:t xml:space="preserve">July 2019). </w:t>
      </w:r>
      <w:r w:rsidR="00B07F36">
        <w:t xml:space="preserve">References to Al Hassan’s Document Containing the Charges have been freely translated from the French by the author. </w:t>
      </w:r>
    </w:p>
  </w:footnote>
  <w:footnote w:id="4">
    <w:p w14:paraId="0175EEF5" w14:textId="58A2E7F5" w:rsidR="00B77019" w:rsidRPr="00EF0ACB" w:rsidRDefault="00B77019" w:rsidP="00EB0512">
      <w:pPr>
        <w:pStyle w:val="Textonotapie"/>
        <w:rPr>
          <w:color w:val="000000"/>
        </w:rPr>
      </w:pPr>
      <w:r>
        <w:rPr>
          <w:rStyle w:val="Refdenotaalpie"/>
        </w:rPr>
        <w:footnoteRef/>
      </w:r>
      <w:r w:rsidRPr="009C6895">
        <w:t xml:space="preserve">J </w:t>
      </w:r>
      <w:r w:rsidRPr="009C6895">
        <w:rPr>
          <w:color w:val="000000"/>
        </w:rPr>
        <w:t>Butler</w:t>
      </w:r>
      <w:r>
        <w:rPr>
          <w:color w:val="000000"/>
        </w:rPr>
        <w:t>, ‘</w:t>
      </w:r>
      <w:r w:rsidRPr="009C6895">
        <w:rPr>
          <w:color w:val="000000"/>
        </w:rPr>
        <w:t>Subjects of Sex/gender/Desire</w:t>
      </w:r>
      <w:r>
        <w:rPr>
          <w:color w:val="000000"/>
        </w:rPr>
        <w:t xml:space="preserve">’ in </w:t>
      </w:r>
      <w:r w:rsidRPr="009C6895">
        <w:rPr>
          <w:color w:val="000000"/>
        </w:rPr>
        <w:t>A Phillips</w:t>
      </w:r>
      <w:r>
        <w:rPr>
          <w:color w:val="000000"/>
        </w:rPr>
        <w:t xml:space="preserve"> (eds), </w:t>
      </w:r>
      <w:r w:rsidRPr="00063B45">
        <w:rPr>
          <w:i/>
          <w:iCs/>
          <w:color w:val="000000"/>
        </w:rPr>
        <w:t>Feminism &amp; Politics</w:t>
      </w:r>
      <w:r w:rsidRPr="009C6895">
        <w:rPr>
          <w:color w:val="000000"/>
        </w:rPr>
        <w:t xml:space="preserve"> (O</w:t>
      </w:r>
      <w:r>
        <w:rPr>
          <w:color w:val="000000"/>
        </w:rPr>
        <w:t xml:space="preserve">UP </w:t>
      </w:r>
      <w:r w:rsidRPr="009C6895">
        <w:rPr>
          <w:color w:val="000000"/>
        </w:rPr>
        <w:t>1998)</w:t>
      </w:r>
      <w:r>
        <w:rPr>
          <w:color w:val="000000"/>
        </w:rPr>
        <w:t xml:space="preserve">. </w:t>
      </w:r>
      <w:r w:rsidRPr="001D29F9">
        <w:rPr>
          <w:color w:val="000000"/>
        </w:rPr>
        <w:t>Butler questions an “essentialist” (reductionist) interpretation of gender</w:t>
      </w:r>
      <w:r>
        <w:rPr>
          <w:color w:val="000000"/>
          <w:sz w:val="27"/>
          <w:szCs w:val="27"/>
        </w:rPr>
        <w:t xml:space="preserve"> </w:t>
      </w:r>
      <w:r w:rsidRPr="001D29F9">
        <w:rPr>
          <w:color w:val="000000"/>
        </w:rPr>
        <w:t xml:space="preserve">by feminism, asking and answering the question: </w:t>
      </w:r>
      <w:r>
        <w:rPr>
          <w:color w:val="000000"/>
        </w:rPr>
        <w:t>I</w:t>
      </w:r>
      <w:r w:rsidRPr="001D29F9">
        <w:rPr>
          <w:color w:val="000000"/>
        </w:rPr>
        <w:t>s gender constructed with variation or does it imply determinism that forecloses agency and undercuts feminist goals?</w:t>
      </w:r>
      <w:r w:rsidRPr="000461AB">
        <w:rPr>
          <w:color w:val="000000"/>
          <w:sz w:val="27"/>
          <w:szCs w:val="27"/>
        </w:rPr>
        <w:t xml:space="preserve"> </w:t>
      </w:r>
      <w:r w:rsidRPr="00DE4937">
        <w:rPr>
          <w:color w:val="000000"/>
        </w:rPr>
        <w:t>C Smart</w:t>
      </w:r>
      <w:r>
        <w:rPr>
          <w:color w:val="000000"/>
        </w:rPr>
        <w:t>,</w:t>
      </w:r>
      <w:r w:rsidRPr="00DE4937">
        <w:rPr>
          <w:color w:val="000000"/>
        </w:rPr>
        <w:t xml:space="preserve"> ‘Law´s Power, the Sexed Body, and Feminist Discourse’ (1990) 17 </w:t>
      </w:r>
      <w:r w:rsidRPr="00332137">
        <w:rPr>
          <w:color w:val="000000"/>
        </w:rPr>
        <w:t>Journal of Law and Society</w:t>
      </w:r>
      <w:r>
        <w:rPr>
          <w:color w:val="000000"/>
        </w:rPr>
        <w:t>.</w:t>
      </w:r>
      <w:r w:rsidRPr="00DE4937">
        <w:rPr>
          <w:color w:val="000000"/>
        </w:rPr>
        <w:t xml:space="preserve"> Building on the essentialist critique, Smart notes that assuming women as inherently gendered identifies them with a ‘sexed body’ and vulnerability, fragmenting their identity and depriving them of agency.</w:t>
      </w:r>
      <w:r>
        <w:rPr>
          <w:color w:val="000000"/>
        </w:rPr>
        <w:t xml:space="preserve"> </w:t>
      </w:r>
    </w:p>
  </w:footnote>
  <w:footnote w:id="5">
    <w:p w14:paraId="0E22A168" w14:textId="75E6FAF9" w:rsidR="00B77019" w:rsidRPr="00017303" w:rsidRDefault="00B77019">
      <w:pPr>
        <w:pStyle w:val="Textonotapie"/>
      </w:pPr>
      <w:r>
        <w:rPr>
          <w:rStyle w:val="Refdenotaalpie"/>
        </w:rPr>
        <w:footnoteRef/>
      </w:r>
      <w:r>
        <w:t xml:space="preserve"> </w:t>
      </w:r>
      <w:r w:rsidRPr="001C0B9F">
        <w:t>UN W</w:t>
      </w:r>
      <w:r>
        <w:t>omen, Gender Mainstreaming</w:t>
      </w:r>
      <w:r w:rsidRPr="001C0B9F">
        <w:t xml:space="preserve"> </w:t>
      </w:r>
      <w:r>
        <w:t>‘</w:t>
      </w:r>
      <w:r w:rsidRPr="001C0B9F">
        <w:t xml:space="preserve">Concepts and </w:t>
      </w:r>
      <w:r>
        <w:t>definitions’</w:t>
      </w:r>
      <w:r>
        <w:rPr>
          <w:sz w:val="18"/>
          <w:szCs w:val="18"/>
        </w:rPr>
        <w:t xml:space="preserve"> </w:t>
      </w:r>
      <w:r>
        <w:t>&lt;</w:t>
      </w:r>
      <w:hyperlink r:id="rId1" w:history="1">
        <w:r w:rsidRPr="00912E1A">
          <w:rPr>
            <w:rStyle w:val="Hipervnculo"/>
          </w:rPr>
          <w:t>https://www.un.org/womenwatch/osagi/conceptsandefinitions.htm</w:t>
        </w:r>
      </w:hyperlink>
      <w:r>
        <w:rPr>
          <w:sz w:val="18"/>
          <w:szCs w:val="18"/>
        </w:rPr>
        <w:t xml:space="preserve"> &gt; </w:t>
      </w:r>
      <w:r w:rsidRPr="009E494B">
        <w:t>accessed 18 May 2020</w:t>
      </w:r>
      <w:r>
        <w:t xml:space="preserve">. More generally, stressing gender as a social construction and subject to variation, see, V Oosterveld, ‘The Definition of “Gender” in the Rome Statute of the International Criminal Court: A Step Forward or Back for International Criminal Justice?’ (2005) 18 </w:t>
      </w:r>
      <w:r w:rsidRPr="006B7A34">
        <w:t>Harvard Human Rights Journal</w:t>
      </w:r>
      <w:r>
        <w:rPr>
          <w:i/>
          <w:iCs/>
        </w:rPr>
        <w:t xml:space="preserve"> </w:t>
      </w:r>
      <w:r>
        <w:t>67. World Bank, ‘Engendering Development Through Gender Equality in Rights, Resources and Voice, A World Bank Policy Research Report’ (2001) 2 &lt;</w:t>
      </w:r>
      <w:r w:rsidRPr="007B32B1">
        <w:t xml:space="preserve"> </w:t>
      </w:r>
      <w:hyperlink r:id="rId2" w:history="1">
        <w:r>
          <w:rPr>
            <w:rStyle w:val="Hipervnculo"/>
          </w:rPr>
          <w:t>http://documents.worldbank.org/curated/en/512911468327401785/pdf/multi-page.pdf</w:t>
        </w:r>
      </w:hyperlink>
      <w:r>
        <w:t xml:space="preserve"> &gt; accessed 18 June 2020. </w:t>
      </w:r>
      <w:r w:rsidRPr="00E02DEF">
        <w:t>World Health Organization,</w:t>
      </w:r>
      <w:r>
        <w:t xml:space="preserve"> ‘Gender and Health’ </w:t>
      </w:r>
      <w:r w:rsidRPr="00E02DEF">
        <w:rPr>
          <w:rFonts w:cstheme="minorHAnsi"/>
        </w:rPr>
        <w:t xml:space="preserve">others </w:t>
      </w:r>
      <w:r>
        <w:t>&lt;</w:t>
      </w:r>
      <w:hyperlink r:id="rId3" w:history="1">
        <w:r>
          <w:rPr>
            <w:rStyle w:val="Hipervnculo"/>
          </w:rPr>
          <w:t>https://www.who.int/health-topics/gender</w:t>
        </w:r>
      </w:hyperlink>
      <w:r>
        <w:t>&gt; accessed 18 June 2020: ‘</w:t>
      </w:r>
      <w:r w:rsidRPr="00E02DEF">
        <w:rPr>
          <w:rFonts w:cstheme="minorHAnsi"/>
        </w:rPr>
        <w:t>Gender</w:t>
      </w:r>
      <w:r>
        <w:rPr>
          <w:rFonts w:cstheme="minorHAnsi"/>
        </w:rPr>
        <w:t xml:space="preserve">-based </w:t>
      </w:r>
      <w:r w:rsidRPr="002B301A">
        <w:rPr>
          <w:rFonts w:cstheme="minorHAnsi"/>
        </w:rPr>
        <w:t>discrimination intersects</w:t>
      </w:r>
      <w:r w:rsidRPr="00E02DEF">
        <w:rPr>
          <w:rFonts w:cstheme="minorHAnsi"/>
        </w:rPr>
        <w:t xml:space="preserve"> with other factors </w:t>
      </w:r>
      <w:r>
        <w:rPr>
          <w:rFonts w:cstheme="minorHAnsi"/>
        </w:rPr>
        <w:t xml:space="preserve">of discrimination, such as ethnicity, </w:t>
      </w:r>
      <w:r w:rsidRPr="00E02DEF">
        <w:rPr>
          <w:rFonts w:cstheme="minorHAnsi"/>
        </w:rPr>
        <w:t>socioeconomic status, disability, age, geographic location</w:t>
      </w:r>
      <w:r>
        <w:rPr>
          <w:rFonts w:cstheme="minorHAnsi"/>
        </w:rPr>
        <w:t xml:space="preserve">, gender identity and </w:t>
      </w:r>
      <w:r w:rsidRPr="00E02DEF">
        <w:rPr>
          <w:rFonts w:cstheme="minorHAnsi"/>
        </w:rPr>
        <w:t>sexual orientation, among others</w:t>
      </w:r>
      <w:r>
        <w:rPr>
          <w:rFonts w:cstheme="minorHAnsi"/>
        </w:rPr>
        <w:t>. This is referred to as intersectionality’</w:t>
      </w:r>
      <w:r>
        <w:t>.</w:t>
      </w:r>
    </w:p>
  </w:footnote>
  <w:footnote w:id="6">
    <w:p w14:paraId="5F5E361B" w14:textId="36587CCC" w:rsidR="00B77019" w:rsidRPr="00332137" w:rsidRDefault="00B77019" w:rsidP="000C4421">
      <w:pPr>
        <w:shd w:val="clear" w:color="auto" w:fill="FFFFFF"/>
        <w:spacing w:after="0"/>
        <w:rPr>
          <w:rFonts w:cstheme="minorHAnsi"/>
          <w:sz w:val="20"/>
          <w:szCs w:val="20"/>
        </w:rPr>
      </w:pPr>
      <w:r w:rsidRPr="00C81729">
        <w:rPr>
          <w:rStyle w:val="Refdenotaalpie"/>
          <w:sz w:val="20"/>
          <w:szCs w:val="20"/>
        </w:rPr>
        <w:footnoteRef/>
      </w:r>
      <w:r w:rsidRPr="00C81729">
        <w:rPr>
          <w:sz w:val="20"/>
          <w:szCs w:val="20"/>
        </w:rPr>
        <w:t xml:space="preserve"> K Crenshaw</w:t>
      </w:r>
      <w:r>
        <w:rPr>
          <w:sz w:val="20"/>
          <w:szCs w:val="20"/>
        </w:rPr>
        <w:t>,</w:t>
      </w:r>
      <w:r w:rsidRPr="00C81729">
        <w:rPr>
          <w:sz w:val="20"/>
          <w:szCs w:val="20"/>
        </w:rPr>
        <w:t xml:space="preserve"> ‘Demarginalizing the Intersection of Race and Sex: A Black Feminist Critique of Antidiscrimination Doctrine</w:t>
      </w:r>
      <w:r>
        <w:rPr>
          <w:sz w:val="20"/>
          <w:szCs w:val="20"/>
        </w:rPr>
        <w:t xml:space="preserve"> </w:t>
      </w:r>
      <w:r w:rsidRPr="00C81729">
        <w:rPr>
          <w:sz w:val="20"/>
          <w:szCs w:val="20"/>
        </w:rPr>
        <w:t>Feminist Theory and Antiracist Politics</w:t>
      </w:r>
      <w:r>
        <w:rPr>
          <w:sz w:val="20"/>
          <w:szCs w:val="20"/>
        </w:rPr>
        <w:t xml:space="preserve">’ (1989) 1 </w:t>
      </w:r>
      <w:r w:rsidRPr="00332137">
        <w:rPr>
          <w:sz w:val="20"/>
          <w:szCs w:val="20"/>
        </w:rPr>
        <w:t>University of Chicago Legal Forum</w:t>
      </w:r>
      <w:r>
        <w:rPr>
          <w:sz w:val="20"/>
          <w:szCs w:val="20"/>
        </w:rPr>
        <w:t>.</w:t>
      </w:r>
    </w:p>
    <w:p w14:paraId="3C4E82D3" w14:textId="77777777" w:rsidR="00B77019" w:rsidRPr="00063B45" w:rsidRDefault="00B77019" w:rsidP="000C4421">
      <w:pPr>
        <w:shd w:val="clear" w:color="auto" w:fill="FFFFFF"/>
        <w:spacing w:after="0"/>
        <w:rPr>
          <w:rFonts w:eastAsia="Times New Roman" w:cstheme="minorHAnsi"/>
          <w:color w:val="000000" w:themeColor="text1"/>
          <w:sz w:val="20"/>
          <w:szCs w:val="20"/>
          <w:lang w:eastAsia="en-GB"/>
        </w:rPr>
      </w:pPr>
      <w:r w:rsidRPr="006007FF">
        <w:rPr>
          <w:rFonts w:cstheme="minorHAnsi"/>
          <w:sz w:val="20"/>
          <w:szCs w:val="20"/>
        </w:rPr>
        <w:t>K Crenshaw</w:t>
      </w:r>
      <w:r>
        <w:rPr>
          <w:rFonts w:cstheme="minorHAnsi"/>
          <w:sz w:val="20"/>
          <w:szCs w:val="20"/>
        </w:rPr>
        <w:t>,</w:t>
      </w:r>
      <w:r w:rsidRPr="006007FF">
        <w:rPr>
          <w:rFonts w:cstheme="minorHAnsi"/>
          <w:sz w:val="20"/>
          <w:szCs w:val="20"/>
        </w:rPr>
        <w:t xml:space="preserve"> ‘Mapping the Margins: Intersectionaltiy, Identity Politics, and Violence against Women of Color’ (1991)</w:t>
      </w:r>
      <w:r>
        <w:rPr>
          <w:rFonts w:cstheme="minorHAnsi"/>
          <w:sz w:val="20"/>
          <w:szCs w:val="20"/>
        </w:rPr>
        <w:t xml:space="preserve"> 43:6 </w:t>
      </w:r>
      <w:r w:rsidRPr="00063B45">
        <w:rPr>
          <w:rFonts w:eastAsia="Times New Roman" w:cstheme="minorHAnsi"/>
          <w:color w:val="000000" w:themeColor="text1"/>
          <w:sz w:val="20"/>
          <w:szCs w:val="20"/>
          <w:lang w:eastAsia="en-GB"/>
        </w:rPr>
        <w:t>Stanford Law Review</w:t>
      </w:r>
      <w:r w:rsidRPr="00063B45">
        <w:rPr>
          <w:rFonts w:eastAsia="Times New Roman" w:cstheme="minorHAnsi"/>
          <w:color w:val="000000" w:themeColor="text1"/>
          <w:sz w:val="21"/>
          <w:szCs w:val="21"/>
          <w:lang w:eastAsia="en-GB"/>
        </w:rPr>
        <w:t>.</w:t>
      </w:r>
    </w:p>
  </w:footnote>
  <w:footnote w:id="7">
    <w:p w14:paraId="2AFDAA67" w14:textId="77777777" w:rsidR="00B77019" w:rsidRPr="00063B45" w:rsidRDefault="00B77019" w:rsidP="000C4421">
      <w:pPr>
        <w:pStyle w:val="Textonotapie"/>
        <w:rPr>
          <w:i/>
          <w:iCs/>
          <w:color w:val="000000" w:themeColor="text1"/>
        </w:rPr>
      </w:pPr>
      <w:r w:rsidRPr="00063B45">
        <w:rPr>
          <w:rStyle w:val="Refdenotaalpie"/>
          <w:color w:val="000000" w:themeColor="text1"/>
        </w:rPr>
        <w:footnoteRef/>
      </w:r>
      <w:r w:rsidRPr="00063B45">
        <w:rPr>
          <w:color w:val="000000" w:themeColor="text1"/>
        </w:rPr>
        <w:t xml:space="preserve"> ibid </w:t>
      </w:r>
    </w:p>
  </w:footnote>
  <w:footnote w:id="8">
    <w:p w14:paraId="607EEB69" w14:textId="270605C3" w:rsidR="00B77019" w:rsidRPr="00E0194B" w:rsidRDefault="00B77019" w:rsidP="000C4421">
      <w:pPr>
        <w:pStyle w:val="Textonotapie"/>
        <w:rPr>
          <w:i/>
          <w:iCs/>
        </w:rPr>
      </w:pPr>
      <w:r>
        <w:rPr>
          <w:rStyle w:val="Refdenotaalpie"/>
        </w:rPr>
        <w:footnoteRef/>
      </w:r>
      <w:r>
        <w:t xml:space="preserve"> </w:t>
      </w:r>
      <w:r w:rsidRPr="00372328">
        <w:t>ibid</w:t>
      </w:r>
      <w:r>
        <w:rPr>
          <w:i/>
          <w:iCs/>
        </w:rPr>
        <w:t xml:space="preserve">. </w:t>
      </w:r>
      <w:r>
        <w:t xml:space="preserve">E Rooney and F Nı´Aoláin, ‘Transitional Justice from the Margins: Intersections of Identities, Power and Human Rights’ (2018) 12 </w:t>
      </w:r>
      <w:r w:rsidRPr="006B7A34">
        <w:t>International Journal of Transitional Justice</w:t>
      </w:r>
      <w:r>
        <w:t>.</w:t>
      </w:r>
    </w:p>
  </w:footnote>
  <w:footnote w:id="9">
    <w:p w14:paraId="4914F5BA" w14:textId="679C4280" w:rsidR="00B77019" w:rsidRPr="000461AB" w:rsidRDefault="00B77019" w:rsidP="00C516AC">
      <w:pPr>
        <w:pStyle w:val="Textonotapie"/>
      </w:pPr>
      <w:r>
        <w:rPr>
          <w:rStyle w:val="Refdenotaalpie"/>
        </w:rPr>
        <w:footnoteRef/>
      </w:r>
      <w:r>
        <w:t xml:space="preserve"> </w:t>
      </w:r>
      <w:r w:rsidRPr="000461AB">
        <w:t xml:space="preserve">H </w:t>
      </w:r>
      <w:r w:rsidRPr="000461AB">
        <w:rPr>
          <w:color w:val="000000"/>
        </w:rPr>
        <w:t>Charlesworth and C Chinkin</w:t>
      </w:r>
      <w:r w:rsidRPr="00FD3069">
        <w:rPr>
          <w:color w:val="000000"/>
        </w:rPr>
        <w:t xml:space="preserve">, </w:t>
      </w:r>
      <w:r w:rsidRPr="00063B45">
        <w:rPr>
          <w:i/>
          <w:iCs/>
          <w:color w:val="000000"/>
        </w:rPr>
        <w:t>The Boundaries of International Law: A Feminist Analysis</w:t>
      </w:r>
      <w:r w:rsidRPr="00FD3069">
        <w:rPr>
          <w:color w:val="000000"/>
        </w:rPr>
        <w:t xml:space="preserve"> </w:t>
      </w:r>
      <w:r w:rsidRPr="000461AB">
        <w:rPr>
          <w:color w:val="000000"/>
        </w:rPr>
        <w:t>(Manchester University Press 2000)</w:t>
      </w:r>
      <w:r>
        <w:rPr>
          <w:color w:val="000000"/>
        </w:rPr>
        <w:t xml:space="preserve"> 60, 308. </w:t>
      </w:r>
      <w:r w:rsidRPr="000461AB">
        <w:rPr>
          <w:color w:val="000000"/>
        </w:rPr>
        <w:t xml:space="preserve">The authors question the objectivity of IL </w:t>
      </w:r>
      <w:r>
        <w:rPr>
          <w:color w:val="000000"/>
        </w:rPr>
        <w:t xml:space="preserve">for </w:t>
      </w:r>
      <w:r w:rsidRPr="000461AB">
        <w:rPr>
          <w:color w:val="000000"/>
        </w:rPr>
        <w:t>exclud</w:t>
      </w:r>
      <w:r>
        <w:rPr>
          <w:color w:val="000000"/>
        </w:rPr>
        <w:t>ing</w:t>
      </w:r>
      <w:r w:rsidRPr="000461AB">
        <w:rPr>
          <w:color w:val="000000"/>
        </w:rPr>
        <w:t xml:space="preserve"> women from its substance, methodologies</w:t>
      </w:r>
      <w:r>
        <w:rPr>
          <w:color w:val="000000"/>
        </w:rPr>
        <w:t>,</w:t>
      </w:r>
      <w:r w:rsidRPr="000461AB">
        <w:rPr>
          <w:color w:val="000000"/>
        </w:rPr>
        <w:t xml:space="preserve"> and processes</w:t>
      </w:r>
      <w:r>
        <w:rPr>
          <w:color w:val="000000"/>
        </w:rPr>
        <w:t>. They</w:t>
      </w:r>
      <w:r w:rsidRPr="000461AB">
        <w:rPr>
          <w:color w:val="000000"/>
        </w:rPr>
        <w:t xml:space="preserve"> argu</w:t>
      </w:r>
      <w:r>
        <w:rPr>
          <w:color w:val="000000"/>
        </w:rPr>
        <w:t>e</w:t>
      </w:r>
      <w:r w:rsidRPr="000461AB">
        <w:rPr>
          <w:color w:val="000000"/>
        </w:rPr>
        <w:t xml:space="preserve"> that a feminist analysis </w:t>
      </w:r>
      <w:r>
        <w:rPr>
          <w:color w:val="000000"/>
        </w:rPr>
        <w:t xml:space="preserve">of </w:t>
      </w:r>
      <w:r w:rsidRPr="000461AB">
        <w:rPr>
          <w:color w:val="000000"/>
        </w:rPr>
        <w:t>IL should have two roles: ‘deconstructing’ values not inclusive of women, and ‘reconstructing’ IL in ways that include and support women</w:t>
      </w:r>
      <w:r>
        <w:rPr>
          <w:color w:val="000000"/>
        </w:rPr>
        <w:t>.</w:t>
      </w:r>
    </w:p>
  </w:footnote>
  <w:footnote w:id="10">
    <w:p w14:paraId="47FBB595" w14:textId="7C2FFBC3" w:rsidR="00B77019" w:rsidRPr="006828AC" w:rsidRDefault="00B77019" w:rsidP="00735345">
      <w:pPr>
        <w:pStyle w:val="Textonotapie"/>
      </w:pPr>
      <w:r>
        <w:rPr>
          <w:rStyle w:val="Refdenotaalpie"/>
        </w:rPr>
        <w:footnoteRef/>
      </w:r>
      <w:r w:rsidRPr="00AB0A5C">
        <w:t xml:space="preserve"> </w:t>
      </w:r>
      <w:bookmarkStart w:id="0" w:name="_Hlk16235907"/>
      <w:r w:rsidRPr="006828AC">
        <w:t xml:space="preserve">J Gardam, </w:t>
      </w:r>
      <w:r>
        <w:t>‘</w:t>
      </w:r>
      <w:r w:rsidRPr="006828AC">
        <w:t>The Challenges in the Rules that Regulate Women During Times of Armed Conflict</w:t>
      </w:r>
      <w:r>
        <w:t>’ in</w:t>
      </w:r>
      <w:r w:rsidRPr="006828AC">
        <w:t xml:space="preserve"> F Ní Aoláin, N Cahn, DF Haynes, N</w:t>
      </w:r>
      <w:r>
        <w:t xml:space="preserve"> </w:t>
      </w:r>
      <w:r w:rsidRPr="006828AC">
        <w:t xml:space="preserve">Valji </w:t>
      </w:r>
      <w:r>
        <w:t xml:space="preserve"> (eds), </w:t>
      </w:r>
      <w:r w:rsidRPr="00063B45">
        <w:rPr>
          <w:i/>
          <w:iCs/>
        </w:rPr>
        <w:t>The Oxford Handbook of Gender and Conflict</w:t>
      </w:r>
      <w:r w:rsidRPr="006828AC">
        <w:t xml:space="preserve"> </w:t>
      </w:r>
      <w:r>
        <w:t xml:space="preserve">(OUP </w:t>
      </w:r>
      <w:r w:rsidRPr="006828AC">
        <w:t>2018</w:t>
      </w:r>
      <w:r>
        <w:t>)</w:t>
      </w:r>
      <w:r w:rsidRPr="006828AC">
        <w:t xml:space="preserve"> 35-47</w:t>
      </w:r>
      <w:bookmarkEnd w:id="0"/>
      <w:r>
        <w:t>.</w:t>
      </w:r>
    </w:p>
  </w:footnote>
  <w:footnote w:id="11">
    <w:p w14:paraId="3FD1CD43" w14:textId="29EC4A6D" w:rsidR="00B77019" w:rsidRPr="00953342" w:rsidRDefault="00B77019">
      <w:pPr>
        <w:pStyle w:val="Textonotapie"/>
        <w:rPr>
          <w:rFonts w:cs="Brill"/>
          <w:color w:val="000000"/>
        </w:rPr>
      </w:pPr>
      <w:r w:rsidRPr="00B804CE">
        <w:rPr>
          <w:rStyle w:val="Refdenotaalpie"/>
        </w:rPr>
        <w:footnoteRef/>
      </w:r>
      <w:r w:rsidRPr="00B804CE">
        <w:t xml:space="preserve"> </w:t>
      </w:r>
      <w:r w:rsidRPr="00B804CE">
        <w:rPr>
          <w:rFonts w:cs="Palatino-Light"/>
        </w:rPr>
        <w:t>R Copelon</w:t>
      </w:r>
      <w:r>
        <w:rPr>
          <w:rFonts w:cs="Palatino-Light"/>
        </w:rPr>
        <w:t>,</w:t>
      </w:r>
      <w:r w:rsidRPr="00B804CE">
        <w:rPr>
          <w:rFonts w:cs="Palatino-Light"/>
        </w:rPr>
        <w:t xml:space="preserve"> </w:t>
      </w:r>
      <w:r>
        <w:rPr>
          <w:rFonts w:cs="Palatino-Light"/>
        </w:rPr>
        <w:t>‘</w:t>
      </w:r>
      <w:r w:rsidRPr="00B804CE">
        <w:rPr>
          <w:rFonts w:cs="Arial"/>
        </w:rPr>
        <w:t>Gender Crimes as War Crimes: Integrating Crimes against Women into International Criminal Law</w:t>
      </w:r>
      <w:r>
        <w:rPr>
          <w:rFonts w:cs="Arial"/>
        </w:rPr>
        <w:t>’</w:t>
      </w:r>
      <w:r w:rsidRPr="00B804CE">
        <w:rPr>
          <w:rFonts w:cs="Arial"/>
        </w:rPr>
        <w:t xml:space="preserve"> (2000) 46 </w:t>
      </w:r>
      <w:r w:rsidRPr="001140C7">
        <w:rPr>
          <w:rFonts w:cs="Arial"/>
        </w:rPr>
        <w:t>McGill L. J.</w:t>
      </w:r>
      <w:r w:rsidRPr="00B804CE">
        <w:rPr>
          <w:rFonts w:cs="Arial"/>
        </w:rPr>
        <w:t xml:space="preserve"> 217</w:t>
      </w:r>
      <w:r>
        <w:rPr>
          <w:rFonts w:cs="Arial"/>
        </w:rPr>
        <w:t>,228, 239</w:t>
      </w:r>
      <w:r w:rsidRPr="00B804CE">
        <w:rPr>
          <w:rFonts w:cs="Palatino-Light"/>
        </w:rPr>
        <w:t xml:space="preserve">. Copelon stresses that </w:t>
      </w:r>
      <w:r w:rsidRPr="00B804CE">
        <w:t xml:space="preserve">there is not </w:t>
      </w:r>
      <w:r>
        <w:t xml:space="preserve">such a </w:t>
      </w:r>
      <w:r w:rsidRPr="00B804CE">
        <w:t>difference between sexual violence in war and in everyday life. Both are rooted in gender discrimination, hence the need to continually make the connection between gender violence in armed conflict and the small places close to home, 228,239</w:t>
      </w:r>
      <w:r>
        <w:t xml:space="preserve">. D </w:t>
      </w:r>
      <w:r w:rsidRPr="00735345">
        <w:rPr>
          <w:rFonts w:cs="Brill"/>
          <w:color w:val="000000"/>
        </w:rPr>
        <w:t>Buss, ‘Knowing Women: Translating Patriarchy in Inter</w:t>
      </w:r>
      <w:r w:rsidRPr="00735345">
        <w:rPr>
          <w:rFonts w:cs="Brill"/>
          <w:color w:val="000000"/>
        </w:rPr>
        <w:softHyphen/>
        <w:t xml:space="preserve">national Criminal Law?’ </w:t>
      </w:r>
      <w:r>
        <w:rPr>
          <w:rFonts w:cs="Brill"/>
          <w:color w:val="000000"/>
        </w:rPr>
        <w:t xml:space="preserve">(2014) </w:t>
      </w:r>
      <w:r w:rsidRPr="00735345">
        <w:rPr>
          <w:rFonts w:cs="Brill"/>
          <w:color w:val="000000"/>
        </w:rPr>
        <w:t>23</w:t>
      </w:r>
      <w:r>
        <w:rPr>
          <w:rFonts w:cs="Brill"/>
          <w:color w:val="000000"/>
        </w:rPr>
        <w:t>:</w:t>
      </w:r>
      <w:r w:rsidRPr="00735345">
        <w:rPr>
          <w:rFonts w:cs="Brill"/>
          <w:color w:val="000000"/>
        </w:rPr>
        <w:t>1</w:t>
      </w:r>
      <w:r>
        <w:rPr>
          <w:rFonts w:cs="Brill"/>
          <w:color w:val="000000"/>
        </w:rPr>
        <w:t xml:space="preserve"> </w:t>
      </w:r>
      <w:r w:rsidRPr="001140C7">
        <w:rPr>
          <w:rFonts w:cs="Brill"/>
          <w:color w:val="000000"/>
        </w:rPr>
        <w:t>Social &amp; Legal Studies</w:t>
      </w:r>
      <w:r>
        <w:rPr>
          <w:rFonts w:cs="Brill"/>
          <w:color w:val="000000"/>
        </w:rPr>
        <w:t xml:space="preserve"> 73-75. Buss posits that courts must convey official knowledge about the experiences of harm of men and women in </w:t>
      </w:r>
      <w:r w:rsidRPr="002E459E">
        <w:rPr>
          <w:rFonts w:cs="Brill"/>
          <w:color w:val="000000"/>
        </w:rPr>
        <w:t xml:space="preserve">conflict, </w:t>
      </w:r>
      <w:r>
        <w:rPr>
          <w:rFonts w:cs="Brill"/>
          <w:color w:val="000000"/>
        </w:rPr>
        <w:t xml:space="preserve">which is critical to address their </w:t>
      </w:r>
      <w:r w:rsidRPr="002E459E">
        <w:rPr>
          <w:rFonts w:cs="Brill"/>
          <w:color w:val="000000"/>
        </w:rPr>
        <w:t xml:space="preserve">harms </w:t>
      </w:r>
      <w:r>
        <w:rPr>
          <w:rFonts w:cs="Brill"/>
          <w:color w:val="000000"/>
        </w:rPr>
        <w:t>in transition.</w:t>
      </w:r>
    </w:p>
  </w:footnote>
  <w:footnote w:id="12">
    <w:p w14:paraId="7E80D209" w14:textId="2E1A5390" w:rsidR="00B77019" w:rsidRPr="00C00F68" w:rsidRDefault="00B77019">
      <w:pPr>
        <w:pStyle w:val="Textonotapie"/>
      </w:pPr>
      <w:r w:rsidRPr="00FD3826">
        <w:rPr>
          <w:rStyle w:val="Refdenotaalpie"/>
        </w:rPr>
        <w:footnoteRef/>
      </w:r>
      <w:r w:rsidRPr="00FD3826">
        <w:t xml:space="preserve"> R Copelon</w:t>
      </w:r>
      <w:r>
        <w:t>, ‘Surfacing Gender: Re-Engraving Crimes Against Women in Humanitarian Law’ (1994</w:t>
      </w:r>
      <w:r>
        <w:rPr>
          <w:rFonts w:cs="Brill"/>
        </w:rPr>
        <w:t xml:space="preserve">) 5:2 </w:t>
      </w:r>
      <w:r w:rsidRPr="001140C7">
        <w:rPr>
          <w:rFonts w:cs="Brill"/>
        </w:rPr>
        <w:t>Hastings Women´s Law Journal</w:t>
      </w:r>
      <w:r>
        <w:rPr>
          <w:color w:val="FF0000"/>
        </w:rPr>
        <w:t>.</w:t>
      </w:r>
      <w:r w:rsidRPr="00B213AF">
        <w:rPr>
          <w:rFonts w:cstheme="minorHAnsi"/>
        </w:rPr>
        <w:t xml:space="preserve"> M Jarvis </w:t>
      </w:r>
      <w:r>
        <w:rPr>
          <w:rFonts w:cstheme="minorHAnsi"/>
        </w:rPr>
        <w:t>and</w:t>
      </w:r>
      <w:r w:rsidRPr="00B213AF">
        <w:rPr>
          <w:rFonts w:cstheme="minorHAnsi"/>
        </w:rPr>
        <w:t xml:space="preserve"> E Martin Salgado</w:t>
      </w:r>
      <w:r>
        <w:rPr>
          <w:rFonts w:cstheme="minorHAnsi"/>
        </w:rPr>
        <w:t>, ‘</w:t>
      </w:r>
      <w:r w:rsidRPr="00B213AF">
        <w:rPr>
          <w:rFonts w:cstheme="minorHAnsi"/>
        </w:rPr>
        <w:t>Future Challenges to Prosecuting Sexual Violence under International Law: Insights from ICTY Practice</w:t>
      </w:r>
      <w:r>
        <w:rPr>
          <w:rFonts w:cstheme="minorHAnsi"/>
        </w:rPr>
        <w:t>’</w:t>
      </w:r>
      <w:r w:rsidRPr="00B213AF">
        <w:rPr>
          <w:rFonts w:cstheme="minorHAnsi"/>
        </w:rPr>
        <w:t xml:space="preserve"> in</w:t>
      </w:r>
      <w:r>
        <w:rPr>
          <w:rFonts w:cstheme="minorHAnsi"/>
        </w:rPr>
        <w:t xml:space="preserve"> </w:t>
      </w:r>
      <w:r w:rsidRPr="00B213AF">
        <w:rPr>
          <w:rFonts w:cstheme="minorHAnsi"/>
        </w:rPr>
        <w:t xml:space="preserve">Anne-Marie de Brouwer et al. </w:t>
      </w:r>
      <w:r>
        <w:rPr>
          <w:rFonts w:cstheme="minorHAnsi"/>
        </w:rPr>
        <w:t>(</w:t>
      </w:r>
      <w:r w:rsidRPr="00B213AF">
        <w:rPr>
          <w:rFonts w:cstheme="minorHAnsi"/>
        </w:rPr>
        <w:t>eds</w:t>
      </w:r>
      <w:r>
        <w:rPr>
          <w:rFonts w:cstheme="minorHAnsi"/>
        </w:rPr>
        <w:t xml:space="preserve">), </w:t>
      </w:r>
      <w:r w:rsidRPr="00063B45">
        <w:rPr>
          <w:rFonts w:cstheme="minorHAnsi"/>
          <w:i/>
          <w:iCs/>
        </w:rPr>
        <w:t>Sexual Violence as an International Crime: Interdisciplinary Approaches</w:t>
      </w:r>
      <w:r>
        <w:rPr>
          <w:rFonts w:cstheme="minorHAnsi"/>
        </w:rPr>
        <w:t xml:space="preserve"> </w:t>
      </w:r>
      <w:r w:rsidRPr="00953342">
        <w:rPr>
          <w:rFonts w:cstheme="minorHAnsi"/>
        </w:rPr>
        <w:t>(</w:t>
      </w:r>
      <w:r w:rsidRPr="00953342">
        <w:rPr>
          <w:rFonts w:cstheme="minorHAnsi"/>
          <w:color w:val="333333"/>
          <w:shd w:val="clear" w:color="auto" w:fill="FFFFFF"/>
        </w:rPr>
        <w:t>Intersentia</w:t>
      </w:r>
      <w:r>
        <w:rPr>
          <w:rFonts w:cstheme="minorHAnsi"/>
        </w:rPr>
        <w:t xml:space="preserve"> 2013) </w:t>
      </w:r>
      <w:r w:rsidRPr="00B213AF">
        <w:rPr>
          <w:rFonts w:cstheme="minorHAnsi"/>
        </w:rPr>
        <w:t>113</w:t>
      </w:r>
      <w:r>
        <w:rPr>
          <w:rFonts w:cstheme="minorHAnsi"/>
        </w:rPr>
        <w:t>.</w:t>
      </w:r>
    </w:p>
  </w:footnote>
  <w:footnote w:id="13">
    <w:p w14:paraId="70D9B78A" w14:textId="3025FA56" w:rsidR="00B77019" w:rsidRPr="00735345" w:rsidRDefault="00B77019">
      <w:pPr>
        <w:pStyle w:val="Textonotapie"/>
      </w:pPr>
      <w:r>
        <w:rPr>
          <w:rStyle w:val="Refdenotaalpie"/>
        </w:rPr>
        <w:footnoteRef/>
      </w:r>
      <w:r>
        <w:t xml:space="preserve"> </w:t>
      </w:r>
      <w:r w:rsidRPr="00735345">
        <w:rPr>
          <w:rFonts w:cs="Brill"/>
        </w:rPr>
        <w:t>D Buss, ‘Performing Legal Order: Some Feminist Thoughts on International Criminal Law’</w:t>
      </w:r>
      <w:r>
        <w:rPr>
          <w:rFonts w:cs="Brill"/>
        </w:rPr>
        <w:t xml:space="preserve"> (2011) </w:t>
      </w:r>
      <w:r w:rsidRPr="00735345">
        <w:rPr>
          <w:rFonts w:cs="Brill"/>
        </w:rPr>
        <w:t xml:space="preserve">11 </w:t>
      </w:r>
      <w:r w:rsidRPr="001140C7">
        <w:rPr>
          <w:rFonts w:cs="Brill"/>
        </w:rPr>
        <w:t>International Criminal Law Review</w:t>
      </w:r>
      <w:r w:rsidRPr="00735345">
        <w:rPr>
          <w:rFonts w:cs="Brill"/>
          <w:i/>
          <w:iCs/>
        </w:rPr>
        <w:t xml:space="preserve"> </w:t>
      </w:r>
      <w:r w:rsidRPr="00735345">
        <w:t>417</w:t>
      </w:r>
      <w:r>
        <w:t>-</w:t>
      </w:r>
      <w:r w:rsidRPr="00735345">
        <w:t>418</w:t>
      </w:r>
      <w:r>
        <w:t>.</w:t>
      </w:r>
    </w:p>
  </w:footnote>
  <w:footnote w:id="14">
    <w:p w14:paraId="10A4B600" w14:textId="77777777" w:rsidR="00B77019" w:rsidRPr="00503D0D" w:rsidRDefault="00B77019" w:rsidP="00EC1187">
      <w:pPr>
        <w:pStyle w:val="Textonotapie"/>
      </w:pPr>
      <w:r>
        <w:rPr>
          <w:rStyle w:val="Refdenotaalpie"/>
        </w:rPr>
        <w:footnoteRef/>
      </w:r>
      <w:r w:rsidRPr="00503D0D">
        <w:t xml:space="preserve"> </w:t>
      </w:r>
      <w:r w:rsidRPr="003F65E2">
        <w:t>C Chinkin and M Kaldor</w:t>
      </w:r>
      <w:r>
        <w:t>,</w:t>
      </w:r>
      <w:r w:rsidRPr="003F65E2">
        <w:t xml:space="preserve"> </w:t>
      </w:r>
      <w:r>
        <w:t>‘</w:t>
      </w:r>
      <w:r w:rsidRPr="003F65E2">
        <w:t>Gender and New Wars</w:t>
      </w:r>
      <w:r>
        <w:t>’</w:t>
      </w:r>
      <w:r w:rsidRPr="003F65E2">
        <w:t xml:space="preserve"> (2013)</w:t>
      </w:r>
      <w:r>
        <w:t xml:space="preserve"> </w:t>
      </w:r>
      <w:r w:rsidRPr="003F65E2">
        <w:t xml:space="preserve">67:1 </w:t>
      </w:r>
      <w:r w:rsidRPr="001140C7">
        <w:t>Journal of International Affairs</w:t>
      </w:r>
      <w:r>
        <w:rPr>
          <w:i/>
          <w:iCs/>
        </w:rPr>
        <w:t xml:space="preserve"> </w:t>
      </w:r>
      <w:r w:rsidRPr="003F65E2">
        <w:t>171</w:t>
      </w:r>
      <w:r>
        <w:t>.</w:t>
      </w:r>
    </w:p>
  </w:footnote>
  <w:footnote w:id="15">
    <w:p w14:paraId="6F9FA8A5" w14:textId="5B4199B9" w:rsidR="00B77019" w:rsidRPr="00B11880" w:rsidRDefault="00B77019" w:rsidP="00D80BB9">
      <w:pPr>
        <w:spacing w:after="0"/>
        <w:rPr>
          <w:b/>
          <w:bCs/>
        </w:rPr>
      </w:pPr>
      <w:r>
        <w:rPr>
          <w:rStyle w:val="Refdenotaalpie"/>
        </w:rPr>
        <w:footnoteRef/>
      </w:r>
      <w:r w:rsidRPr="0068311F">
        <w:rPr>
          <w:sz w:val="20"/>
          <w:szCs w:val="20"/>
        </w:rPr>
        <w:t>S SáCouto</w:t>
      </w:r>
      <w:r>
        <w:rPr>
          <w:sz w:val="20"/>
          <w:szCs w:val="20"/>
        </w:rPr>
        <w:t>, ‘</w:t>
      </w:r>
      <w:r w:rsidRPr="0068311F">
        <w:rPr>
          <w:sz w:val="20"/>
          <w:szCs w:val="20"/>
        </w:rPr>
        <w:t>Advances and Missed Opportunities in the International Prosecution of Gender-Based Crimes</w:t>
      </w:r>
      <w:r>
        <w:rPr>
          <w:sz w:val="20"/>
          <w:szCs w:val="20"/>
        </w:rPr>
        <w:t xml:space="preserve">’ </w:t>
      </w:r>
      <w:r w:rsidRPr="0068311F">
        <w:rPr>
          <w:sz w:val="20"/>
          <w:szCs w:val="20"/>
        </w:rPr>
        <w:t xml:space="preserve">(2006-2007) 10: 1 </w:t>
      </w:r>
      <w:r w:rsidRPr="00147A0B">
        <w:rPr>
          <w:sz w:val="20"/>
          <w:szCs w:val="20"/>
        </w:rPr>
        <w:t>Gonz. J. Int´L</w:t>
      </w:r>
      <w:r>
        <w:rPr>
          <w:sz w:val="20"/>
          <w:szCs w:val="20"/>
        </w:rPr>
        <w:t xml:space="preserve"> 51.</w:t>
      </w:r>
    </w:p>
  </w:footnote>
  <w:footnote w:id="16">
    <w:p w14:paraId="65D16B69" w14:textId="6DC5B29B" w:rsidR="00B77019" w:rsidRPr="002A6CEF" w:rsidRDefault="00B77019" w:rsidP="000941D2">
      <w:pPr>
        <w:pStyle w:val="Textonotapie"/>
        <w:rPr>
          <w:rFonts w:cstheme="minorHAnsi"/>
          <w:color w:val="000000" w:themeColor="text1"/>
        </w:rPr>
      </w:pPr>
      <w:r>
        <w:rPr>
          <w:rStyle w:val="Refdenotaalpie"/>
        </w:rPr>
        <w:footnoteRef/>
      </w:r>
      <w:r w:rsidRPr="00851E88">
        <w:t xml:space="preserve"> </w:t>
      </w:r>
      <w:r w:rsidRPr="00D056B6">
        <w:rPr>
          <w:rFonts w:cstheme="minorHAnsi"/>
          <w:color w:val="000000" w:themeColor="text1"/>
          <w:sz w:val="19"/>
          <w:szCs w:val="19"/>
        </w:rPr>
        <w:t>CEDAW</w:t>
      </w:r>
      <w:r>
        <w:rPr>
          <w:rFonts w:cstheme="minorHAnsi"/>
          <w:color w:val="000000" w:themeColor="text1"/>
          <w:sz w:val="19"/>
          <w:szCs w:val="19"/>
        </w:rPr>
        <w:t>, ‘</w:t>
      </w:r>
      <w:r w:rsidRPr="002A6CEF">
        <w:rPr>
          <w:rFonts w:cstheme="minorHAnsi"/>
          <w:color w:val="000000" w:themeColor="text1"/>
          <w:sz w:val="19"/>
          <w:szCs w:val="19"/>
        </w:rPr>
        <w:t>General Recommendation No. 28 on the Core Obligations of States Parties under Article 2 of the Convention on the Elimination of All Forms of Discrimination against Women</w:t>
      </w:r>
      <w:r>
        <w:rPr>
          <w:rFonts w:cstheme="minorHAnsi"/>
          <w:color w:val="000000" w:themeColor="text1"/>
          <w:sz w:val="19"/>
          <w:szCs w:val="19"/>
        </w:rPr>
        <w:t>’</w:t>
      </w:r>
      <w:r w:rsidRPr="002A6CEF">
        <w:rPr>
          <w:rFonts w:cstheme="minorHAnsi"/>
          <w:color w:val="000000" w:themeColor="text1"/>
          <w:sz w:val="19"/>
          <w:szCs w:val="19"/>
        </w:rPr>
        <w:t xml:space="preserve"> </w:t>
      </w:r>
      <w:r w:rsidRPr="00D056B6">
        <w:rPr>
          <w:rFonts w:cstheme="minorHAnsi"/>
          <w:color w:val="000000" w:themeColor="text1"/>
          <w:sz w:val="19"/>
          <w:szCs w:val="19"/>
        </w:rPr>
        <w:t>(</w:t>
      </w:r>
      <w:r>
        <w:rPr>
          <w:rFonts w:cstheme="minorHAnsi"/>
          <w:color w:val="000000" w:themeColor="text1"/>
          <w:sz w:val="19"/>
          <w:szCs w:val="19"/>
        </w:rPr>
        <w:t xml:space="preserve">16 December </w:t>
      </w:r>
      <w:r w:rsidRPr="00D056B6">
        <w:rPr>
          <w:rFonts w:cstheme="minorHAnsi"/>
          <w:color w:val="000000" w:themeColor="text1"/>
          <w:sz w:val="19"/>
          <w:szCs w:val="19"/>
        </w:rPr>
        <w:t>2010) CEDAW/C/GC/28</w:t>
      </w:r>
      <w:r w:rsidRPr="00D056B6">
        <w:rPr>
          <w:rFonts w:cstheme="minorHAnsi"/>
          <w:color w:val="000000" w:themeColor="text1"/>
        </w:rPr>
        <w:t xml:space="preserve"> para 18. Also, </w:t>
      </w:r>
      <w:r w:rsidRPr="002A6CEF">
        <w:rPr>
          <w:rFonts w:cstheme="minorHAnsi"/>
          <w:color w:val="000000" w:themeColor="text1"/>
        </w:rPr>
        <w:t>CEDAW</w:t>
      </w:r>
      <w:r>
        <w:rPr>
          <w:rFonts w:cstheme="minorHAnsi"/>
          <w:color w:val="000000" w:themeColor="text1"/>
        </w:rPr>
        <w:t>, ‘</w:t>
      </w:r>
      <w:r w:rsidRPr="002A6CEF">
        <w:rPr>
          <w:rFonts w:cstheme="minorHAnsi"/>
          <w:color w:val="000000" w:themeColor="text1"/>
        </w:rPr>
        <w:t>General recommendation No. 35 on gender-based violence against women, updating general recommendation No. 19</w:t>
      </w:r>
      <w:r>
        <w:rPr>
          <w:rFonts w:cstheme="minorHAnsi"/>
          <w:color w:val="000000" w:themeColor="text1"/>
        </w:rPr>
        <w:t>’</w:t>
      </w:r>
      <w:r w:rsidRPr="002A6CEF">
        <w:rPr>
          <w:rFonts w:cstheme="minorHAnsi"/>
          <w:color w:val="000000" w:themeColor="text1"/>
        </w:rPr>
        <w:t xml:space="preserve"> (</w:t>
      </w:r>
      <w:r>
        <w:rPr>
          <w:rFonts w:cstheme="minorHAnsi"/>
          <w:color w:val="000000" w:themeColor="text1"/>
        </w:rPr>
        <w:t xml:space="preserve">14 July </w:t>
      </w:r>
      <w:r w:rsidRPr="002A6CEF">
        <w:rPr>
          <w:rFonts w:cstheme="minorHAnsi"/>
          <w:color w:val="000000" w:themeColor="text1"/>
        </w:rPr>
        <w:t>2017) CEDAW/C/GC/35 para</w:t>
      </w:r>
      <w:r>
        <w:rPr>
          <w:rFonts w:cstheme="minorHAnsi"/>
          <w:color w:val="000000" w:themeColor="text1"/>
        </w:rPr>
        <w:t xml:space="preserve"> </w:t>
      </w:r>
      <w:r w:rsidRPr="002A6CEF">
        <w:rPr>
          <w:rFonts w:cstheme="minorHAnsi"/>
          <w:color w:val="000000" w:themeColor="text1"/>
        </w:rPr>
        <w:t>12</w:t>
      </w:r>
      <w:r>
        <w:rPr>
          <w:rFonts w:cstheme="minorHAnsi"/>
          <w:color w:val="000000" w:themeColor="text1"/>
        </w:rPr>
        <w:t>.</w:t>
      </w:r>
    </w:p>
  </w:footnote>
  <w:footnote w:id="17">
    <w:p w14:paraId="2407E2CA" w14:textId="2C29DC20" w:rsidR="00B77019" w:rsidRPr="00BF4323" w:rsidRDefault="00B77019" w:rsidP="00EA0413">
      <w:pPr>
        <w:pStyle w:val="Textonotapie"/>
        <w:rPr>
          <w:rFonts w:cstheme="minorHAnsi"/>
        </w:rPr>
      </w:pPr>
      <w:r w:rsidRPr="002A6CEF">
        <w:rPr>
          <w:rStyle w:val="Refdenotaalpie"/>
          <w:rFonts w:cstheme="minorHAnsi"/>
          <w:color w:val="000000" w:themeColor="text1"/>
        </w:rPr>
        <w:footnoteRef/>
      </w:r>
      <w:r w:rsidRPr="002A6CEF">
        <w:rPr>
          <w:rFonts w:cstheme="minorHAnsi"/>
          <w:color w:val="000000" w:themeColor="text1"/>
        </w:rPr>
        <w:t>CEDAW</w:t>
      </w:r>
      <w:r>
        <w:rPr>
          <w:rFonts w:cstheme="minorHAnsi"/>
          <w:color w:val="000000" w:themeColor="text1"/>
        </w:rPr>
        <w:t>, ‘</w:t>
      </w:r>
      <w:r w:rsidRPr="002A6CEF">
        <w:rPr>
          <w:rFonts w:cstheme="minorHAnsi"/>
          <w:color w:val="000000" w:themeColor="text1"/>
        </w:rPr>
        <w:t>General recommendation on women’s access to justice</w:t>
      </w:r>
      <w:r>
        <w:rPr>
          <w:rFonts w:cstheme="minorHAnsi"/>
          <w:color w:val="000000" w:themeColor="text1"/>
        </w:rPr>
        <w:t xml:space="preserve">’ (23 July 2015) </w:t>
      </w:r>
      <w:r w:rsidRPr="00D056B6">
        <w:rPr>
          <w:rFonts w:cstheme="minorHAnsi"/>
          <w:color w:val="000000" w:themeColor="text1"/>
        </w:rPr>
        <w:t>CEDAW/C/GC/33</w:t>
      </w:r>
      <w:r>
        <w:rPr>
          <w:rFonts w:cstheme="minorHAnsi"/>
          <w:color w:val="000000" w:themeColor="text1"/>
        </w:rPr>
        <w:t xml:space="preserve"> </w:t>
      </w:r>
      <w:r w:rsidRPr="00D056B6">
        <w:rPr>
          <w:rFonts w:cstheme="minorHAnsi"/>
          <w:color w:val="000000" w:themeColor="text1"/>
        </w:rPr>
        <w:t>paras 3, 8,60 (c)</w:t>
      </w:r>
      <w:r>
        <w:rPr>
          <w:rFonts w:cstheme="minorHAnsi"/>
          <w:color w:val="000000" w:themeColor="text1"/>
        </w:rPr>
        <w:t>.</w:t>
      </w:r>
    </w:p>
  </w:footnote>
  <w:footnote w:id="18">
    <w:p w14:paraId="79AFBA9F" w14:textId="51D17C4A" w:rsidR="00B77019" w:rsidRPr="002F529A" w:rsidRDefault="00B77019">
      <w:pPr>
        <w:pStyle w:val="Textonotapie"/>
      </w:pPr>
      <w:r>
        <w:rPr>
          <w:rStyle w:val="Refdenotaalpie"/>
        </w:rPr>
        <w:footnoteRef/>
      </w:r>
      <w:r w:rsidRPr="002F529A">
        <w:rPr>
          <w:lang w:val="es-ES"/>
        </w:rPr>
        <w:t xml:space="preserve"> </w:t>
      </w:r>
      <w:r w:rsidRPr="00931128">
        <w:rPr>
          <w:i/>
          <w:lang w:val="es-ES"/>
        </w:rPr>
        <w:t>Gonzales Lluy et al v Ecuador</w:t>
      </w:r>
      <w:r>
        <w:rPr>
          <w:i/>
          <w:lang w:val="es-ES"/>
        </w:rPr>
        <w:t xml:space="preserve"> </w:t>
      </w:r>
      <w:r>
        <w:rPr>
          <w:iCs/>
          <w:lang w:val="es-ES"/>
        </w:rPr>
        <w:t>(</w:t>
      </w:r>
      <w:r>
        <w:rPr>
          <w:lang w:val="es-ES"/>
        </w:rPr>
        <w:t xml:space="preserve">Judgment) </w:t>
      </w:r>
      <w:r w:rsidRPr="002B7EA9">
        <w:rPr>
          <w:lang w:val="es-ES"/>
        </w:rPr>
        <w:t>IACtHR (</w:t>
      </w:r>
      <w:r>
        <w:rPr>
          <w:lang w:val="es-ES"/>
        </w:rPr>
        <w:t xml:space="preserve">1 September </w:t>
      </w:r>
      <w:r w:rsidRPr="002B7EA9">
        <w:rPr>
          <w:lang w:val="es-ES"/>
        </w:rPr>
        <w:t xml:space="preserve">2015) para </w:t>
      </w:r>
      <w:r w:rsidRPr="00C147B0">
        <w:rPr>
          <w:lang w:val="es-ES"/>
        </w:rPr>
        <w:t xml:space="preserve">290. </w:t>
      </w:r>
      <w:r>
        <w:rPr>
          <w:rFonts w:cs="Calibri"/>
        </w:rPr>
        <w:t xml:space="preserve">The </w:t>
      </w:r>
      <w:r w:rsidRPr="002F529A">
        <w:rPr>
          <w:rFonts w:cs="Calibri"/>
        </w:rPr>
        <w:t>IACtHR</w:t>
      </w:r>
      <w:r>
        <w:rPr>
          <w:rFonts w:cs="Calibri"/>
        </w:rPr>
        <w:t xml:space="preserve"> </w:t>
      </w:r>
      <w:r w:rsidRPr="002F529A">
        <w:rPr>
          <w:rFonts w:cs="Calibri"/>
        </w:rPr>
        <w:t>expressly adjudicated based on “intersectional discrimination” the</w:t>
      </w:r>
      <w:r>
        <w:rPr>
          <w:rFonts w:cs="Calibri"/>
        </w:rPr>
        <w:t xml:space="preserve"> violations of the Convention concerning the </w:t>
      </w:r>
      <w:r w:rsidRPr="002F529A">
        <w:rPr>
          <w:rFonts w:cs="Calibri"/>
        </w:rPr>
        <w:t xml:space="preserve"> treatment of the applicant, a girl with HIV and low economic status</w:t>
      </w:r>
      <w:r>
        <w:rPr>
          <w:rFonts w:cs="Calibri"/>
        </w:rPr>
        <w:t>, considered</w:t>
      </w:r>
      <w:r w:rsidRPr="002F529A">
        <w:rPr>
          <w:rFonts w:cs="Calibri"/>
        </w:rPr>
        <w:t xml:space="preserve"> a violation of articles 1 (prohibition of discrimination) and 25 (access to justice). </w:t>
      </w:r>
      <w:r w:rsidRPr="00931128">
        <w:t>Concurring Opinion of Judge Eduardo Ferrer Mac-Gregor Poisot</w:t>
      </w:r>
      <w:r w:rsidRPr="00DE7A3E">
        <w:t xml:space="preserve"> para. 11</w:t>
      </w:r>
      <w:r w:rsidRPr="002F529A">
        <w:t>. In his Concurrent Opinion, Judge Eduardo Ferrer Mac-Gregor Poisot explained that intersectionality is “important because it underscores the particularities of the discrimination suffered</w:t>
      </w:r>
      <w:r w:rsidRPr="002F529A">
        <w:rPr>
          <w:i/>
        </w:rPr>
        <w:t xml:space="preserve"> </w:t>
      </w:r>
      <w:r w:rsidRPr="002F529A">
        <w:t>by groups that, historically, have been discriminated against for more than one of the prohibited reasons”</w:t>
      </w:r>
      <w:r>
        <w:t>. The Judge noted that intersectionality has</w:t>
      </w:r>
      <w:r w:rsidRPr="002F529A">
        <w:t xml:space="preserve"> two salient characteristics: “analytically inseparable” factors because the experience of discrimination cannot be disaggregated, and “different qualitative experiences” for those affected than for those subject to only one form of discrimination</w:t>
      </w:r>
      <w:r>
        <w:t>.</w:t>
      </w:r>
    </w:p>
  </w:footnote>
  <w:footnote w:id="19">
    <w:p w14:paraId="75E5C3E5" w14:textId="19399A22" w:rsidR="00B77019" w:rsidRPr="002F529A" w:rsidRDefault="00B77019">
      <w:pPr>
        <w:pStyle w:val="Textonotapie"/>
      </w:pPr>
      <w:r>
        <w:rPr>
          <w:rStyle w:val="Refdenotaalpie"/>
        </w:rPr>
        <w:footnoteRef/>
      </w:r>
      <w:r w:rsidRPr="00EA73F7">
        <w:rPr>
          <w:lang w:val="es-ES"/>
        </w:rPr>
        <w:t xml:space="preserve"> </w:t>
      </w:r>
      <w:r w:rsidRPr="00C147B0">
        <w:rPr>
          <w:i/>
          <w:iCs/>
          <w:lang w:val="es-ES"/>
        </w:rPr>
        <w:t>Carvalho Pinto de Sousa Morais v. Portugal</w:t>
      </w:r>
      <w:r>
        <w:rPr>
          <w:i/>
          <w:lang w:val="es-ES"/>
        </w:rPr>
        <w:t xml:space="preserve"> </w:t>
      </w:r>
      <w:r>
        <w:rPr>
          <w:lang w:val="es-ES"/>
        </w:rPr>
        <w:t>(</w:t>
      </w:r>
      <w:r w:rsidRPr="00EA73F7">
        <w:rPr>
          <w:lang w:val="es-ES"/>
        </w:rPr>
        <w:t>Judgment</w:t>
      </w:r>
      <w:r>
        <w:rPr>
          <w:lang w:val="es-ES"/>
        </w:rPr>
        <w:t>)</w:t>
      </w:r>
      <w:r w:rsidRPr="00EA73F7">
        <w:rPr>
          <w:lang w:val="es-ES"/>
        </w:rPr>
        <w:t xml:space="preserve"> ECtHR</w:t>
      </w:r>
      <w:r>
        <w:rPr>
          <w:lang w:val="es-ES"/>
        </w:rPr>
        <w:t xml:space="preserve"> </w:t>
      </w:r>
      <w:r w:rsidRPr="00EA73F7">
        <w:rPr>
          <w:lang w:val="es-ES"/>
        </w:rPr>
        <w:t>17484/15 (27 October 2017)</w:t>
      </w:r>
      <w:r>
        <w:rPr>
          <w:lang w:val="es-ES"/>
        </w:rPr>
        <w:t xml:space="preserve"> </w:t>
      </w:r>
      <w:r w:rsidRPr="00EA73F7">
        <w:rPr>
          <w:lang w:val="es-ES"/>
        </w:rPr>
        <w:t>paras 52</w:t>
      </w:r>
      <w:r>
        <w:rPr>
          <w:lang w:val="es-ES"/>
        </w:rPr>
        <w:t>-</w:t>
      </w:r>
      <w:r w:rsidRPr="00EA73F7">
        <w:rPr>
          <w:lang w:val="es-ES"/>
        </w:rPr>
        <w:t xml:space="preserve"> 53. </w:t>
      </w:r>
      <w:r>
        <w:t xml:space="preserve">The Court </w:t>
      </w:r>
      <w:r w:rsidRPr="00EA73F7">
        <w:t xml:space="preserve">found discriminatory on gender </w:t>
      </w:r>
      <w:r>
        <w:t>‘</w:t>
      </w:r>
      <w:r w:rsidRPr="00C147B0">
        <w:t>and</w:t>
      </w:r>
      <w:r>
        <w:t>’</w:t>
      </w:r>
      <w:r w:rsidRPr="00EA73F7">
        <w:t xml:space="preserve"> age grounds that domestic judges reduced the amount of compensation of the applicant, who claimed disability for sexual relations after a failed surgery. The Court held that “</w:t>
      </w:r>
      <w:r w:rsidRPr="00EA73F7">
        <w:rPr>
          <w:rFonts w:eastAsia="Times New Roman" w:cstheme="minorHAnsi"/>
          <w:i/>
          <w:lang w:eastAsia="es-ES"/>
        </w:rPr>
        <w:t xml:space="preserve">age and sex </w:t>
      </w:r>
      <w:r w:rsidRPr="00EA73F7">
        <w:rPr>
          <w:rFonts w:eastAsia="Times New Roman" w:cstheme="minorHAnsi"/>
          <w:lang w:eastAsia="es-ES"/>
        </w:rPr>
        <w:t>appear to have been decisive factors in the final decision,</w:t>
      </w:r>
      <w:r w:rsidRPr="00EA73F7">
        <w:rPr>
          <w:rFonts w:eastAsia="Times New Roman" w:cstheme="minorHAnsi"/>
          <w:i/>
          <w:lang w:eastAsia="es-ES"/>
        </w:rPr>
        <w:t xml:space="preserve"> </w:t>
      </w:r>
      <w:r w:rsidRPr="00EA73F7">
        <w:rPr>
          <w:rFonts w:eastAsia="Times New Roman" w:cstheme="minorHAnsi"/>
          <w:iCs/>
          <w:lang w:eastAsia="es-ES"/>
        </w:rPr>
        <w:t>in</w:t>
      </w:r>
      <w:r w:rsidRPr="00EA73F7">
        <w:rPr>
          <w:rFonts w:eastAsia="Times New Roman" w:cstheme="minorHAnsi"/>
          <w:lang w:eastAsia="es-ES"/>
        </w:rPr>
        <w:t xml:space="preserve">troducing a difference of treatment based on those grounds.” </w:t>
      </w:r>
      <w:r w:rsidRPr="00EA73F7">
        <w:t xml:space="preserve">Backing the intersectional approach of the Court in this case see, L </w:t>
      </w:r>
      <w:r w:rsidRPr="00EA73F7">
        <w:rPr>
          <w:rFonts w:cstheme="minorHAnsi"/>
          <w:lang w:val="en-US"/>
        </w:rPr>
        <w:t>Peroni, ‘Age and Gender Discrimination</w:t>
      </w:r>
      <w:r>
        <w:rPr>
          <w:rFonts w:cstheme="minorHAnsi"/>
          <w:lang w:val="en-US"/>
        </w:rPr>
        <w:t>: Laudable Anti-Stereotyping Reasoning in Carvalho Pinto v Portugal’ (</w:t>
      </w:r>
      <w:r w:rsidRPr="002B7EA9">
        <w:rPr>
          <w:rFonts w:cstheme="minorHAnsi"/>
          <w:lang w:val="en-US"/>
        </w:rPr>
        <w:t xml:space="preserve">Strasbourg Observers </w:t>
      </w:r>
      <w:r>
        <w:rPr>
          <w:rFonts w:cstheme="minorHAnsi"/>
          <w:lang w:val="en-US"/>
        </w:rPr>
        <w:t>2017) &lt;</w:t>
      </w:r>
      <w:r w:rsidRPr="001A6A63">
        <w:t xml:space="preserve"> </w:t>
      </w:r>
      <w:hyperlink r:id="rId4" w:history="1">
        <w:r>
          <w:rPr>
            <w:rStyle w:val="Hipervnculo"/>
          </w:rPr>
          <w:t>https://strasbourgobservers.com/2017/09/28/age-and-gender-discrimination-laudable-anti-stereotyping-reasoning-in-carvalho-pinto-v-portugal/</w:t>
        </w:r>
      </w:hyperlink>
      <w:r>
        <w:t>&gt; accessed 14 May 2020</w:t>
      </w:r>
      <w:r>
        <w:rPr>
          <w:rFonts w:cstheme="minorHAnsi"/>
        </w:rPr>
        <w:t>.</w:t>
      </w:r>
      <w:r>
        <w:rPr>
          <w:rFonts w:cstheme="minorHAnsi"/>
          <w:lang w:val="en-US"/>
        </w:rPr>
        <w:t xml:space="preserve"> </w:t>
      </w:r>
      <w:r>
        <w:t>G Senem, ‘Challenging Gender Stereotyping before the ECtHR: Case of Carvalho Pinto v Portugal’ (</w:t>
      </w:r>
      <w:r w:rsidRPr="00C147B0">
        <w:t>EJIL:Talk!</w:t>
      </w:r>
      <w:r>
        <w:t xml:space="preserve"> 21 September2017) &lt;</w:t>
      </w:r>
      <w:r w:rsidRPr="001A6A63">
        <w:t xml:space="preserve"> </w:t>
      </w:r>
      <w:hyperlink r:id="rId5" w:history="1">
        <w:r>
          <w:rPr>
            <w:rStyle w:val="Hipervnculo"/>
          </w:rPr>
          <w:t>https://www.ejiltalk.org/challenging-gender-stereotyping-before-the-ecthr-case-of-carvalho-pinto-v-portugal/</w:t>
        </w:r>
      </w:hyperlink>
      <w:r>
        <w:rPr>
          <w:sz w:val="18"/>
          <w:szCs w:val="18"/>
        </w:rPr>
        <w:t>&gt;</w:t>
      </w:r>
      <w:r>
        <w:t xml:space="preserve"> accessed 14 May 2020. </w:t>
      </w:r>
      <w:r w:rsidRPr="002B7EA9">
        <w:t>Also,</w:t>
      </w:r>
      <w:r w:rsidRPr="001357F2">
        <w:t xml:space="preserve"> reflecting an intersectional understanding of d</w:t>
      </w:r>
      <w:r>
        <w:t xml:space="preserve">iscrimination see </w:t>
      </w:r>
      <w:r w:rsidRPr="00C147B0">
        <w:rPr>
          <w:i/>
          <w:lang w:val="en-US"/>
        </w:rPr>
        <w:t>B.S. v Spain</w:t>
      </w:r>
      <w:r>
        <w:rPr>
          <w:iCs/>
          <w:lang w:val="en-US"/>
        </w:rPr>
        <w:t xml:space="preserve"> (Judgment) </w:t>
      </w:r>
      <w:r w:rsidRPr="00DE7A3E">
        <w:rPr>
          <w:lang w:val="en-US"/>
        </w:rPr>
        <w:t>ECtHR 47159/0</w:t>
      </w:r>
      <w:r>
        <w:rPr>
          <w:lang w:val="en-US"/>
        </w:rPr>
        <w:t>8 (24 July 2012)</w:t>
      </w:r>
      <w:r w:rsidRPr="00C147B0">
        <w:rPr>
          <w:rFonts w:cstheme="minorHAnsi"/>
        </w:rPr>
        <w:t xml:space="preserve"> </w:t>
      </w:r>
      <w:r>
        <w:rPr>
          <w:rFonts w:cstheme="minorHAnsi"/>
        </w:rPr>
        <w:t>paras 58, 62-63.</w:t>
      </w:r>
      <w:r>
        <w:rPr>
          <w:lang w:val="en-US"/>
        </w:rPr>
        <w:t xml:space="preserve"> </w:t>
      </w:r>
      <w:r>
        <w:t xml:space="preserve"> The ECtHR considered a breach of article 14 (prohibition of discrimination) in conjunction with article 3 (prohibition of torture) that domestic authorities had not investigated potential discrimination by the police against the applicant. According to the ECtHR </w:t>
      </w:r>
      <w:r w:rsidRPr="00851109">
        <w:rPr>
          <w:lang w:val="en-US"/>
        </w:rPr>
        <w:t>“</w:t>
      </w:r>
      <w:r>
        <w:rPr>
          <w:rFonts w:cstheme="minorHAnsi"/>
          <w:lang w:val="en-US"/>
        </w:rPr>
        <w:t>[T]</w:t>
      </w:r>
      <w:r w:rsidRPr="00851109">
        <w:rPr>
          <w:rFonts w:cstheme="minorHAnsi"/>
        </w:rPr>
        <w:t xml:space="preserve">he decisions made by the domestic courts failed to take account of the applicant’s particular </w:t>
      </w:r>
      <w:r w:rsidRPr="0099196B">
        <w:rPr>
          <w:rFonts w:cstheme="minorHAnsi"/>
          <w:i/>
        </w:rPr>
        <w:t>vulnerability</w:t>
      </w:r>
      <w:r w:rsidRPr="00851109">
        <w:rPr>
          <w:rFonts w:cstheme="minorHAnsi"/>
        </w:rPr>
        <w:t xml:space="preserve"> </w:t>
      </w:r>
      <w:r w:rsidRPr="00851109">
        <w:rPr>
          <w:rFonts w:cstheme="minorHAnsi"/>
          <w:i/>
        </w:rPr>
        <w:t>inherent in her position</w:t>
      </w:r>
      <w:r w:rsidRPr="00851109">
        <w:rPr>
          <w:rFonts w:cstheme="minorHAnsi"/>
        </w:rPr>
        <w:t xml:space="preserve"> </w:t>
      </w:r>
      <w:r w:rsidRPr="00851109">
        <w:rPr>
          <w:rFonts w:cstheme="minorHAnsi"/>
          <w:i/>
        </w:rPr>
        <w:t>as an African woman working as a prostitute</w:t>
      </w:r>
      <w:r w:rsidRPr="00851109">
        <w:rPr>
          <w:rFonts w:cstheme="minorHAnsi"/>
        </w:rPr>
        <w:t>. The authorities failed to comply with their duty under Article 14</w:t>
      </w:r>
      <w:r>
        <w:rPr>
          <w:rFonts w:cstheme="minorHAnsi"/>
        </w:rPr>
        <w:t xml:space="preserve"> [prohibition of discrimination]</w:t>
      </w:r>
      <w:r w:rsidRPr="00851109">
        <w:rPr>
          <w:rFonts w:cstheme="minorHAnsi"/>
        </w:rPr>
        <w:t xml:space="preserve"> of the Convention taken in conjunction with Article 3 </w:t>
      </w:r>
      <w:r>
        <w:rPr>
          <w:rFonts w:cstheme="minorHAnsi"/>
        </w:rPr>
        <w:t>[prohibition of torture]</w:t>
      </w:r>
      <w:r w:rsidRPr="00851109">
        <w:rPr>
          <w:rFonts w:cstheme="minorHAnsi"/>
        </w:rPr>
        <w:t>to take all possible steps to ascertain whether or not a discriminatory attitude might have played a role in the events”</w:t>
      </w:r>
      <w:r>
        <w:rPr>
          <w:rFonts w:cstheme="minorHAnsi"/>
        </w:rPr>
        <w:t xml:space="preserve"> </w:t>
      </w:r>
      <w:r>
        <w:t>(e</w:t>
      </w:r>
      <w:r w:rsidRPr="00BF4323">
        <w:t>mphasis added</w:t>
      </w:r>
      <w:r>
        <w:t>).</w:t>
      </w:r>
    </w:p>
  </w:footnote>
  <w:footnote w:id="20">
    <w:p w14:paraId="373B83D1" w14:textId="27A33585" w:rsidR="00B77019" w:rsidRPr="00EA73F7" w:rsidRDefault="00B77019">
      <w:pPr>
        <w:pStyle w:val="Textonotapie"/>
      </w:pPr>
      <w:r w:rsidRPr="002165A8">
        <w:rPr>
          <w:rStyle w:val="Refdenotaalpie"/>
          <w:i/>
          <w:iCs/>
        </w:rPr>
        <w:footnoteRef/>
      </w:r>
      <w:r w:rsidRPr="002165A8">
        <w:rPr>
          <w:i/>
          <w:iCs/>
        </w:rPr>
        <w:t xml:space="preserve"> Egyptian Initiative for Personal Rights and Interrights v Egypt</w:t>
      </w:r>
      <w:r>
        <w:rPr>
          <w:i/>
          <w:iCs/>
        </w:rPr>
        <w:t xml:space="preserve"> </w:t>
      </w:r>
      <w:r>
        <w:t>(Communication n</w:t>
      </w:r>
      <w:r w:rsidRPr="00E6276C">
        <w:t xml:space="preserve"> 323/2006</w:t>
      </w:r>
      <w:r>
        <w:t xml:space="preserve">) </w:t>
      </w:r>
      <w:r w:rsidRPr="00E6276C">
        <w:t>ACHPR</w:t>
      </w:r>
      <w:r>
        <w:t xml:space="preserve"> 85</w:t>
      </w:r>
      <w:r w:rsidRPr="00E6276C">
        <w:t xml:space="preserve"> (</w:t>
      </w:r>
      <w:r>
        <w:t xml:space="preserve">16 December </w:t>
      </w:r>
      <w:r w:rsidRPr="00E6276C">
        <w:t>2011)</w:t>
      </w:r>
      <w:r>
        <w:t xml:space="preserve"> paras 152, 165 - 167</w:t>
      </w:r>
      <w:r w:rsidRPr="00E6276C">
        <w:t>.</w:t>
      </w:r>
      <w:r>
        <w:t xml:space="preserve"> T</w:t>
      </w:r>
      <w:r w:rsidRPr="00EA73F7">
        <w:t>he African Commission of Human and People´s Rights (ACHPR</w:t>
      </w:r>
      <w:r w:rsidRPr="00EA73F7">
        <w:rPr>
          <w:rFonts w:cstheme="minorHAnsi"/>
        </w:rPr>
        <w:t xml:space="preserve">) relied on an intersectional approach </w:t>
      </w:r>
      <w:r>
        <w:rPr>
          <w:rFonts w:cstheme="minorHAnsi"/>
        </w:rPr>
        <w:t xml:space="preserve">dealing with </w:t>
      </w:r>
      <w:r w:rsidRPr="00EA73F7">
        <w:rPr>
          <w:rFonts w:cstheme="minorHAnsi"/>
        </w:rPr>
        <w:t>the sexual assault of Arab Muslim women by the police. The Commission stressed the social and political dimensions of gender discrimination by deliberately targeting the virtue of Arab Muslim women in the context of the Egyptian society, “to deter their activism in political affairs”</w:t>
      </w:r>
      <w:r>
        <w:rPr>
          <w:rFonts w:cstheme="minorHAnsi"/>
        </w:rPr>
        <w:t xml:space="preserve">. It found </w:t>
      </w:r>
      <w:r w:rsidRPr="00EA73F7">
        <w:rPr>
          <w:rFonts w:cstheme="minorHAnsi"/>
        </w:rPr>
        <w:t>a breach of articles 2 (prohibition of discrimination) and 18(3)(elimination of discrimination against women).</w:t>
      </w:r>
      <w:r w:rsidRPr="00EA73F7">
        <w:t xml:space="preserve"> </w:t>
      </w:r>
    </w:p>
  </w:footnote>
  <w:footnote w:id="21">
    <w:p w14:paraId="724BB08E" w14:textId="642203CA" w:rsidR="00B77019" w:rsidRPr="00ED1964" w:rsidRDefault="00B77019" w:rsidP="00436A10">
      <w:pPr>
        <w:pStyle w:val="Textonotapie"/>
      </w:pPr>
      <w:r w:rsidRPr="007F457C">
        <w:rPr>
          <w:rStyle w:val="Refdenotaalpie"/>
        </w:rPr>
        <w:footnoteRef/>
      </w:r>
      <w:r w:rsidRPr="007F457C">
        <w:t xml:space="preserve"> </w:t>
      </w:r>
      <w:r>
        <w:t xml:space="preserve">WA </w:t>
      </w:r>
      <w:r w:rsidRPr="0038426F">
        <w:t>Schabas</w:t>
      </w:r>
      <w:r>
        <w:t xml:space="preserve">, </w:t>
      </w:r>
      <w:r w:rsidRPr="002165A8">
        <w:rPr>
          <w:i/>
        </w:rPr>
        <w:t>The International Criminal Court: A Commentary on the Rome Statute</w:t>
      </w:r>
      <w:r>
        <w:rPr>
          <w:i/>
        </w:rPr>
        <w:t xml:space="preserve"> </w:t>
      </w:r>
      <w:r w:rsidRPr="0038426F">
        <w:t>(OUP</w:t>
      </w:r>
      <w:r>
        <w:t xml:space="preserve"> </w:t>
      </w:r>
      <w:r w:rsidRPr="0038426F">
        <w:t>2010) 385</w:t>
      </w:r>
      <w:r>
        <w:t xml:space="preserve">. R </w:t>
      </w:r>
      <w:r w:rsidRPr="0038426F">
        <w:t>Young</w:t>
      </w:r>
      <w:r>
        <w:t>, ‘</w:t>
      </w:r>
      <w:r w:rsidRPr="0038426F">
        <w:t>Internationally Recognized Human Rights Before the International Criminal Court</w:t>
      </w:r>
      <w:r>
        <w:t xml:space="preserve">’ </w:t>
      </w:r>
      <w:r w:rsidRPr="0038426F">
        <w:t xml:space="preserve">(2011) 60 </w:t>
      </w:r>
      <w:r w:rsidRPr="00B95A3B">
        <w:rPr>
          <w:iCs/>
        </w:rPr>
        <w:t>ICLQ</w:t>
      </w:r>
      <w:r>
        <w:rPr>
          <w:iCs/>
        </w:rPr>
        <w:t xml:space="preserve"> </w:t>
      </w:r>
      <w:r w:rsidRPr="0038426F">
        <w:t>193</w:t>
      </w:r>
      <w:r>
        <w:t xml:space="preserve">. Young notes that while article 21 paragraphs (1) and (2) of the Rome Statute establish the applicable law, a plain reading of article 21(3) recognizes its role as an overriding, mandatory, general rule of interpretation of </w:t>
      </w:r>
      <w:r w:rsidRPr="00910331">
        <w:t xml:space="preserve">all </w:t>
      </w:r>
      <w:r>
        <w:t>sources under the Statute.</w:t>
      </w:r>
    </w:p>
  </w:footnote>
  <w:footnote w:id="22">
    <w:p w14:paraId="6CDB05D3" w14:textId="53C0EB08" w:rsidR="00B77019" w:rsidRPr="00A5044D" w:rsidRDefault="00B77019" w:rsidP="00F925EB">
      <w:pPr>
        <w:pStyle w:val="Textonotapie"/>
      </w:pPr>
      <w:r w:rsidRPr="00A5044D">
        <w:rPr>
          <w:rStyle w:val="Refdenotaalpie"/>
        </w:rPr>
        <w:footnoteRef/>
      </w:r>
      <w:r w:rsidRPr="00A5044D">
        <w:t xml:space="preserve"> R</w:t>
      </w:r>
      <w:r>
        <w:t>ome Statute of the International Criminal Court (1998) A/CONF.183/9, Art 21(3) states: “The application and interpretation of law pursuant to this article must be consistent with internationally recognized human rights, and be without any adverse distinction founded on grounds such as gender as defined in article 7, paragraph 3, age, race, colour, language, religion or belief, political or other opinion, national, ethnic or social origin, wealth, birth or other status”.</w:t>
      </w:r>
    </w:p>
  </w:footnote>
  <w:footnote w:id="23">
    <w:p w14:paraId="7FF1F121" w14:textId="51C9CDA6" w:rsidR="00B77019" w:rsidRPr="00ED1964" w:rsidRDefault="00B77019" w:rsidP="00F925EB">
      <w:pPr>
        <w:pStyle w:val="Textonotapie"/>
      </w:pPr>
      <w:r>
        <w:rPr>
          <w:rStyle w:val="Refdenotaalpie"/>
        </w:rPr>
        <w:footnoteRef/>
      </w:r>
      <w:r w:rsidRPr="00ED1964">
        <w:t xml:space="preserve"> </w:t>
      </w:r>
      <w:r>
        <w:t>ibid A</w:t>
      </w:r>
      <w:r w:rsidRPr="00ED1964">
        <w:t>rt</w:t>
      </w:r>
      <w:r>
        <w:t xml:space="preserve"> </w:t>
      </w:r>
      <w:r w:rsidRPr="00ED1964">
        <w:t>22</w:t>
      </w:r>
      <w:r>
        <w:t>(2): “The definition of a crime shall be strictly construed and shall not be extended by analogy. In case of ambiguity, the definition shall be interpreted in favour of the person being investigated, prosecuted or convicted.”</w:t>
      </w:r>
    </w:p>
  </w:footnote>
  <w:footnote w:id="24">
    <w:p w14:paraId="7FBC7A51" w14:textId="0BAF23AF" w:rsidR="00B77019" w:rsidRPr="00611630" w:rsidRDefault="00B77019" w:rsidP="00F925EB">
      <w:pPr>
        <w:spacing w:after="0"/>
        <w:rPr>
          <w:sz w:val="20"/>
          <w:szCs w:val="20"/>
        </w:rPr>
      </w:pPr>
      <w:r w:rsidRPr="00A80AEC">
        <w:rPr>
          <w:rStyle w:val="Refdenotaalpie"/>
          <w:sz w:val="20"/>
          <w:szCs w:val="20"/>
        </w:rPr>
        <w:footnoteRef/>
      </w:r>
      <w:r w:rsidRPr="00A80AEC">
        <w:rPr>
          <w:sz w:val="20"/>
          <w:szCs w:val="20"/>
        </w:rPr>
        <w:t xml:space="preserve"> D Robinson</w:t>
      </w:r>
      <w:r>
        <w:rPr>
          <w:sz w:val="20"/>
          <w:szCs w:val="20"/>
        </w:rPr>
        <w:t>,</w:t>
      </w:r>
      <w:r w:rsidRPr="00A80AEC">
        <w:rPr>
          <w:sz w:val="20"/>
          <w:szCs w:val="20"/>
        </w:rPr>
        <w:t xml:space="preserve"> </w:t>
      </w:r>
      <w:r>
        <w:rPr>
          <w:sz w:val="20"/>
          <w:szCs w:val="20"/>
        </w:rPr>
        <w:t>‘</w:t>
      </w:r>
      <w:r w:rsidRPr="00A80AEC">
        <w:rPr>
          <w:sz w:val="20"/>
          <w:szCs w:val="20"/>
        </w:rPr>
        <w:t>The Identity of International Criminal Law</w:t>
      </w:r>
      <w:r>
        <w:rPr>
          <w:sz w:val="20"/>
          <w:szCs w:val="20"/>
        </w:rPr>
        <w:t xml:space="preserve">’ </w:t>
      </w:r>
      <w:r w:rsidRPr="00A80AEC">
        <w:rPr>
          <w:sz w:val="20"/>
          <w:szCs w:val="20"/>
        </w:rPr>
        <w:t xml:space="preserve">(2008) </w:t>
      </w:r>
      <w:r>
        <w:rPr>
          <w:sz w:val="20"/>
          <w:szCs w:val="20"/>
        </w:rPr>
        <w:t xml:space="preserve">21 </w:t>
      </w:r>
      <w:r w:rsidRPr="00B95A3B">
        <w:rPr>
          <w:iCs/>
          <w:sz w:val="20"/>
          <w:szCs w:val="20"/>
        </w:rPr>
        <w:t>Leiden Journal of International Law</w:t>
      </w:r>
      <w:r>
        <w:rPr>
          <w:sz w:val="20"/>
          <w:szCs w:val="20"/>
        </w:rPr>
        <w:t>. Robinson is critical that the import of IHRL and IHL standards directly into ICL has overlooked the different telos of these branches of law resulted in the erosion of individual criminal responsibility.</w:t>
      </w:r>
    </w:p>
  </w:footnote>
  <w:footnote w:id="25">
    <w:p w14:paraId="7CAD7506" w14:textId="539830F7" w:rsidR="00B77019" w:rsidRPr="000A77B4" w:rsidRDefault="00B77019" w:rsidP="00F925EB">
      <w:pPr>
        <w:spacing w:after="0"/>
        <w:rPr>
          <w:sz w:val="20"/>
          <w:szCs w:val="20"/>
        </w:rPr>
      </w:pPr>
      <w:r>
        <w:rPr>
          <w:rStyle w:val="Refdenotaalpie"/>
        </w:rPr>
        <w:footnoteRef/>
      </w:r>
      <w:r w:rsidRPr="00611630">
        <w:rPr>
          <w:sz w:val="20"/>
          <w:szCs w:val="20"/>
        </w:rPr>
        <w:t xml:space="preserve"> P Pinto Soares </w:t>
      </w:r>
      <w:r>
        <w:rPr>
          <w:sz w:val="20"/>
          <w:szCs w:val="20"/>
        </w:rPr>
        <w:t>`</w:t>
      </w:r>
      <w:r w:rsidRPr="00611630">
        <w:rPr>
          <w:sz w:val="20"/>
          <w:szCs w:val="20"/>
        </w:rPr>
        <w:t>Tangling Human Rights and International Criminal Law: The Practice of International Tribunals and the Call for Rationalized Legal Pluralism</w:t>
      </w:r>
      <w:r>
        <w:rPr>
          <w:sz w:val="20"/>
          <w:szCs w:val="20"/>
        </w:rPr>
        <w:t xml:space="preserve">’ </w:t>
      </w:r>
      <w:r w:rsidRPr="00611630">
        <w:rPr>
          <w:sz w:val="20"/>
          <w:szCs w:val="20"/>
        </w:rPr>
        <w:t xml:space="preserve">(2012) 23 </w:t>
      </w:r>
      <w:r w:rsidRPr="00B95A3B">
        <w:rPr>
          <w:iCs/>
          <w:sz w:val="20"/>
          <w:szCs w:val="20"/>
        </w:rPr>
        <w:t>Criminal Law Forum</w:t>
      </w:r>
      <w:r>
        <w:rPr>
          <w:sz w:val="20"/>
          <w:szCs w:val="20"/>
        </w:rPr>
        <w:t xml:space="preserve"> 186-187. </w:t>
      </w:r>
      <w:r w:rsidRPr="000A77B4">
        <w:rPr>
          <w:sz w:val="20"/>
          <w:szCs w:val="20"/>
        </w:rPr>
        <w:t xml:space="preserve">L Grover </w:t>
      </w:r>
      <w:r>
        <w:rPr>
          <w:sz w:val="20"/>
          <w:szCs w:val="20"/>
        </w:rPr>
        <w:t>‘</w:t>
      </w:r>
      <w:r w:rsidRPr="000A77B4">
        <w:rPr>
          <w:sz w:val="20"/>
          <w:szCs w:val="20"/>
        </w:rPr>
        <w:t>A Call to Arms: Fundamental Dilemmas Confronting the Interpretation of Crimes in the Rome Statute of the International Criminal Court</w:t>
      </w:r>
      <w:r>
        <w:rPr>
          <w:sz w:val="20"/>
          <w:szCs w:val="20"/>
        </w:rPr>
        <w:t>’</w:t>
      </w:r>
      <w:r w:rsidRPr="000A77B4">
        <w:rPr>
          <w:sz w:val="20"/>
          <w:szCs w:val="20"/>
        </w:rPr>
        <w:t xml:space="preserve"> (2010) 21:</w:t>
      </w:r>
      <w:r w:rsidRPr="00B95A3B">
        <w:rPr>
          <w:sz w:val="20"/>
          <w:szCs w:val="20"/>
        </w:rPr>
        <w:t xml:space="preserve">3 </w:t>
      </w:r>
      <w:r w:rsidRPr="002165A8">
        <w:rPr>
          <w:i/>
          <w:iCs/>
          <w:sz w:val="20"/>
          <w:szCs w:val="20"/>
        </w:rPr>
        <w:t>EJIL</w:t>
      </w:r>
      <w:r>
        <w:rPr>
          <w:sz w:val="20"/>
          <w:szCs w:val="20"/>
        </w:rPr>
        <w:t>.</w:t>
      </w:r>
    </w:p>
  </w:footnote>
  <w:footnote w:id="26">
    <w:p w14:paraId="43A1535D" w14:textId="65F5B8D0" w:rsidR="00B77019" w:rsidRPr="000A77B4" w:rsidRDefault="00B77019" w:rsidP="00D02CEE">
      <w:pPr>
        <w:pStyle w:val="Textonotapie"/>
        <w:rPr>
          <w:i/>
          <w:iCs/>
        </w:rPr>
      </w:pPr>
      <w:r>
        <w:rPr>
          <w:rStyle w:val="Refdenotaalpie"/>
        </w:rPr>
        <w:footnoteRef/>
      </w:r>
      <w:r w:rsidRPr="000A77B4">
        <w:t xml:space="preserve"> Grover</w:t>
      </w:r>
      <w:r>
        <w:t xml:space="preserve"> (n 25).</w:t>
      </w:r>
    </w:p>
  </w:footnote>
  <w:footnote w:id="27">
    <w:p w14:paraId="01663ABE" w14:textId="77777777" w:rsidR="00B77019" w:rsidRPr="00CB4781" w:rsidRDefault="00B77019" w:rsidP="00DB6A2E">
      <w:pPr>
        <w:pStyle w:val="Textonotapie"/>
        <w:rPr>
          <w:i/>
          <w:iCs/>
        </w:rPr>
      </w:pPr>
      <w:r w:rsidRPr="00CB4781">
        <w:rPr>
          <w:rStyle w:val="Refdenotaalpie"/>
        </w:rPr>
        <w:footnoteRef/>
      </w:r>
      <w:r w:rsidRPr="00CB4781">
        <w:t xml:space="preserve"> </w:t>
      </w:r>
      <w:r w:rsidRPr="002165A8">
        <w:rPr>
          <w:rFonts w:cstheme="minorHAnsi"/>
          <w:i/>
          <w:iCs/>
        </w:rPr>
        <w:t>The Prosecutor v Bosco Ntaganda</w:t>
      </w:r>
      <w:r>
        <w:rPr>
          <w:rFonts w:cstheme="minorHAnsi"/>
          <w:i/>
          <w:iCs/>
        </w:rPr>
        <w:t xml:space="preserve"> </w:t>
      </w:r>
      <w:r>
        <w:rPr>
          <w:rFonts w:cstheme="minorHAnsi"/>
        </w:rPr>
        <w:t>(Appeal Judgment)</w:t>
      </w:r>
      <w:r w:rsidRPr="00856827">
        <w:rPr>
          <w:rFonts w:cstheme="minorHAnsi"/>
          <w:color w:val="000000"/>
        </w:rPr>
        <w:t xml:space="preserve"> ICC-01/04-02/06 OA5</w:t>
      </w:r>
      <w:r>
        <w:rPr>
          <w:rFonts w:cstheme="minorHAnsi"/>
          <w:color w:val="000000"/>
        </w:rPr>
        <w:t xml:space="preserve"> (</w:t>
      </w:r>
      <w:r w:rsidRPr="00856827">
        <w:rPr>
          <w:rFonts w:cstheme="minorHAnsi"/>
          <w:color w:val="000000"/>
        </w:rPr>
        <w:t>15 June 2017</w:t>
      </w:r>
      <w:r>
        <w:rPr>
          <w:rFonts w:cstheme="minorHAnsi"/>
          <w:color w:val="000000"/>
        </w:rPr>
        <w:t>) Key finding (emphasis added).</w:t>
      </w:r>
    </w:p>
  </w:footnote>
  <w:footnote w:id="28">
    <w:p w14:paraId="1D1017E3" w14:textId="1F3953A6" w:rsidR="00B77019" w:rsidRPr="00FE32F1" w:rsidRDefault="00B77019" w:rsidP="00F925EB">
      <w:pPr>
        <w:pStyle w:val="Textonotapie"/>
        <w:rPr>
          <w:rFonts w:cstheme="minorHAnsi"/>
          <w:i/>
          <w:iCs/>
        </w:rPr>
      </w:pPr>
      <w:r>
        <w:rPr>
          <w:rStyle w:val="Refdenotaalpie"/>
        </w:rPr>
        <w:footnoteRef/>
      </w:r>
      <w:r w:rsidRPr="004F40BB">
        <w:t xml:space="preserve"> CEDAW GR 35</w:t>
      </w:r>
      <w:r>
        <w:t xml:space="preserve"> </w:t>
      </w:r>
      <w:r w:rsidRPr="004F40BB">
        <w:t>(</w:t>
      </w:r>
      <w:r>
        <w:t xml:space="preserve">n. 16) </w:t>
      </w:r>
      <w:r w:rsidRPr="004F40BB">
        <w:t xml:space="preserve">para 2: </w:t>
      </w:r>
      <w:r>
        <w:t xml:space="preserve">“The </w:t>
      </w:r>
      <w:r w:rsidRPr="002165A8">
        <w:t>opinio juris</w:t>
      </w:r>
      <w:r>
        <w:t xml:space="preserve"> and State practice suggest that the prohibition of gender-based violence against women has evolved into a principle of customary international law. general recommendation No. 19 has been a key catalyst for this process”. </w:t>
      </w:r>
      <w:r w:rsidRPr="002165A8">
        <w:rPr>
          <w:i/>
          <w:iCs/>
        </w:rPr>
        <w:t>Volodina v. Russia</w:t>
      </w:r>
      <w:r>
        <w:t xml:space="preserve"> (Judgment) </w:t>
      </w:r>
      <w:r w:rsidRPr="00FE32F1">
        <w:t>ECtHR</w:t>
      </w:r>
      <w:r>
        <w:t xml:space="preserve"> </w:t>
      </w:r>
      <w:hyperlink r:id="rId6" w:anchor="{%22appno%22:[%2241261/17%22]}" w:tgtFrame="_blank" w:history="1">
        <w:r w:rsidRPr="00FE32F1">
          <w:rPr>
            <w:rStyle w:val="Hipervnculo"/>
            <w:rFonts w:cstheme="minorHAnsi"/>
            <w:color w:val="auto"/>
            <w:u w:val="none"/>
            <w:shd w:val="clear" w:color="auto" w:fill="FFFFFF"/>
          </w:rPr>
          <w:t>41261/17</w:t>
        </w:r>
      </w:hyperlink>
      <w:r>
        <w:rPr>
          <w:rFonts w:cstheme="minorHAnsi"/>
        </w:rPr>
        <w:t xml:space="preserve"> (9 July 2019) para 55</w:t>
      </w:r>
      <w:r w:rsidRPr="00FE32F1">
        <w:rPr>
          <w:rFonts w:cstheme="minorHAnsi"/>
        </w:rPr>
        <w:t xml:space="preserve">: </w:t>
      </w:r>
      <w:r>
        <w:rPr>
          <w:rFonts w:cstheme="minorHAnsi"/>
        </w:rPr>
        <w:t>“</w:t>
      </w:r>
      <w:r>
        <w:rPr>
          <w:rStyle w:val="sb8d990e2"/>
          <w:rFonts w:cstheme="minorHAnsi"/>
          <w:color w:val="000000"/>
          <w:shd w:val="clear" w:color="auto" w:fill="FFFFFF"/>
        </w:rPr>
        <w:t>I</w:t>
      </w:r>
      <w:r w:rsidRPr="00FE32F1">
        <w:rPr>
          <w:rStyle w:val="sb8d990e2"/>
          <w:rFonts w:cstheme="minorHAnsi"/>
          <w:color w:val="000000"/>
          <w:shd w:val="clear" w:color="auto" w:fill="FFFFFF"/>
        </w:rPr>
        <w:t>n 2017, the CEDAW Committee adopted General recommendation No. 35 on gender-based violence against women, updating General recommendation No. 19. It noted that the interpretation of discrimination given in the former recommendation had been affirmed by all States and that the </w:t>
      </w:r>
      <w:r w:rsidRPr="00CB4781">
        <w:rPr>
          <w:rStyle w:val="s6b621b36"/>
          <w:rFonts w:cstheme="minorHAnsi"/>
          <w:color w:val="000000"/>
          <w:shd w:val="clear" w:color="auto" w:fill="FFFFFF"/>
        </w:rPr>
        <w:t>opinio juris</w:t>
      </w:r>
      <w:r w:rsidRPr="00FE32F1">
        <w:rPr>
          <w:rStyle w:val="sb8d990e2"/>
          <w:rFonts w:cstheme="minorHAnsi"/>
          <w:color w:val="000000"/>
          <w:shd w:val="clear" w:color="auto" w:fill="FFFFFF"/>
        </w:rPr>
        <w:t> and State practice suggested that the prohibition of gender-based violence against women had evolved into a principle of customary international law</w:t>
      </w:r>
      <w:r>
        <w:rPr>
          <w:rStyle w:val="sb8d990e2"/>
          <w:rFonts w:cstheme="minorHAnsi"/>
          <w:color w:val="000000"/>
          <w:shd w:val="clear" w:color="auto" w:fill="FFFFFF"/>
        </w:rPr>
        <w:t>”.</w:t>
      </w:r>
    </w:p>
  </w:footnote>
  <w:footnote w:id="29">
    <w:p w14:paraId="1FAD744A" w14:textId="0FACFB14" w:rsidR="00B77019" w:rsidRPr="00E6276C" w:rsidRDefault="00B77019" w:rsidP="00FA6208">
      <w:pPr>
        <w:pStyle w:val="Textonotapie"/>
      </w:pPr>
      <w:r>
        <w:rPr>
          <w:rStyle w:val="Refdenotaalpie"/>
        </w:rPr>
        <w:footnoteRef/>
      </w:r>
      <w:r w:rsidRPr="00EB034E">
        <w:t xml:space="preserve"> CEDAW</w:t>
      </w:r>
      <w:r>
        <w:t xml:space="preserve">, </w:t>
      </w:r>
      <w:r w:rsidRPr="00E6276C">
        <w:t>General recommendation No. 30</w:t>
      </w:r>
      <w:r w:rsidRPr="00EB034E">
        <w:rPr>
          <w:i/>
          <w:iCs/>
        </w:rPr>
        <w:t xml:space="preserve"> </w:t>
      </w:r>
      <w:r w:rsidRPr="00E6276C">
        <w:t>on women in conflict prevention, conflict</w:t>
      </w:r>
      <w:r>
        <w:t>,</w:t>
      </w:r>
      <w:r w:rsidRPr="00E6276C">
        <w:t xml:space="preserve"> and post-conflict situations</w:t>
      </w:r>
      <w:r>
        <w:t>’</w:t>
      </w:r>
      <w:r>
        <w:rPr>
          <w:i/>
          <w:iCs/>
        </w:rPr>
        <w:t xml:space="preserve"> </w:t>
      </w:r>
      <w:r>
        <w:t xml:space="preserve">(1 November 2013) CEDAW/C/GC/30 para 34. </w:t>
      </w:r>
      <w:r w:rsidRPr="00A5044D">
        <w:rPr>
          <w:rFonts w:cstheme="minorHAnsi"/>
          <w:shd w:val="clear" w:color="auto" w:fill="FFFFFF"/>
        </w:rPr>
        <w:t>A</w:t>
      </w:r>
      <w:r>
        <w:rPr>
          <w:rFonts w:cstheme="minorHAnsi"/>
          <w:shd w:val="clear" w:color="auto" w:fill="FFFFFF"/>
        </w:rPr>
        <w:t xml:space="preserve"> </w:t>
      </w:r>
      <w:r w:rsidRPr="00A5044D">
        <w:rPr>
          <w:rFonts w:cstheme="minorHAnsi"/>
          <w:shd w:val="clear" w:color="auto" w:fill="FFFFFF"/>
        </w:rPr>
        <w:t>Swaine and C O’Rourke</w:t>
      </w:r>
      <w:r>
        <w:rPr>
          <w:rFonts w:cstheme="minorHAnsi"/>
          <w:shd w:val="clear" w:color="auto" w:fill="FFFFFF"/>
        </w:rPr>
        <w:t>, ‘</w:t>
      </w:r>
      <w:r w:rsidRPr="00E6276C">
        <w:rPr>
          <w:rFonts w:eastAsia="Times New Roman" w:cstheme="minorHAnsi"/>
          <w:kern w:val="36"/>
          <w:lang w:eastAsia="en-GB"/>
        </w:rPr>
        <w:t xml:space="preserve">Guidebook on CEDAW </w:t>
      </w:r>
      <w:r>
        <w:rPr>
          <w:rFonts w:eastAsia="Times New Roman" w:cstheme="minorHAnsi"/>
          <w:kern w:val="36"/>
          <w:lang w:eastAsia="en-GB"/>
        </w:rPr>
        <w:t>G</w:t>
      </w:r>
      <w:r w:rsidRPr="00E6276C">
        <w:rPr>
          <w:rFonts w:eastAsia="Times New Roman" w:cstheme="minorHAnsi"/>
          <w:kern w:val="36"/>
          <w:lang w:eastAsia="en-GB"/>
        </w:rPr>
        <w:t xml:space="preserve">eneral </w:t>
      </w:r>
      <w:r>
        <w:rPr>
          <w:rFonts w:eastAsia="Times New Roman" w:cstheme="minorHAnsi"/>
          <w:kern w:val="36"/>
          <w:lang w:eastAsia="en-GB"/>
        </w:rPr>
        <w:t>R</w:t>
      </w:r>
      <w:r w:rsidRPr="00E6276C">
        <w:rPr>
          <w:rFonts w:eastAsia="Times New Roman" w:cstheme="minorHAnsi"/>
          <w:kern w:val="36"/>
          <w:lang w:eastAsia="en-GB"/>
        </w:rPr>
        <w:t xml:space="preserve">ecommendation no. 30 and the UN Security Council resolutions on </w:t>
      </w:r>
      <w:r>
        <w:rPr>
          <w:rFonts w:eastAsia="Times New Roman" w:cstheme="minorHAnsi"/>
          <w:kern w:val="36"/>
          <w:lang w:eastAsia="en-GB"/>
        </w:rPr>
        <w:t>W</w:t>
      </w:r>
      <w:r w:rsidRPr="00E6276C">
        <w:rPr>
          <w:rFonts w:eastAsia="Times New Roman" w:cstheme="minorHAnsi"/>
          <w:kern w:val="36"/>
          <w:lang w:eastAsia="en-GB"/>
        </w:rPr>
        <w:t xml:space="preserve">omen, </w:t>
      </w:r>
      <w:r>
        <w:rPr>
          <w:rFonts w:eastAsia="Times New Roman" w:cstheme="minorHAnsi"/>
          <w:kern w:val="36"/>
          <w:lang w:eastAsia="en-GB"/>
        </w:rPr>
        <w:t>P</w:t>
      </w:r>
      <w:r w:rsidRPr="00E6276C">
        <w:rPr>
          <w:rFonts w:eastAsia="Times New Roman" w:cstheme="minorHAnsi"/>
          <w:kern w:val="36"/>
          <w:lang w:eastAsia="en-GB"/>
        </w:rPr>
        <w:t xml:space="preserve">eace and </w:t>
      </w:r>
      <w:r>
        <w:rPr>
          <w:rFonts w:eastAsia="Times New Roman" w:cstheme="minorHAnsi"/>
          <w:kern w:val="36"/>
          <w:lang w:eastAsia="en-GB"/>
        </w:rPr>
        <w:t>S</w:t>
      </w:r>
      <w:r w:rsidRPr="00E6276C">
        <w:rPr>
          <w:rFonts w:eastAsia="Times New Roman" w:cstheme="minorHAnsi"/>
          <w:kern w:val="36"/>
          <w:lang w:eastAsia="en-GB"/>
        </w:rPr>
        <w:t>ecurity</w:t>
      </w:r>
      <w:r>
        <w:rPr>
          <w:rFonts w:eastAsia="Times New Roman" w:cstheme="minorHAnsi"/>
          <w:kern w:val="36"/>
          <w:lang w:eastAsia="en-GB"/>
        </w:rPr>
        <w:t xml:space="preserve">, UN Women (2015) 12. </w:t>
      </w:r>
      <w:r w:rsidRPr="00B95A3B">
        <w:t xml:space="preserve">CEDAW GR 28 (n </w:t>
      </w:r>
      <w:r>
        <w:t>1</w:t>
      </w:r>
      <w:r w:rsidRPr="00B95A3B">
        <w:t>6)</w:t>
      </w:r>
      <w:r w:rsidRPr="00A5044D">
        <w:t xml:space="preserve"> par</w:t>
      </w:r>
      <w:r>
        <w:t>a</w:t>
      </w:r>
      <w:r w:rsidRPr="00A5044D">
        <w:t xml:space="preserve"> </w:t>
      </w:r>
      <w:r w:rsidRPr="00503D0D">
        <w:t>18</w:t>
      </w:r>
      <w:r>
        <w:t xml:space="preserve">. </w:t>
      </w:r>
      <w:r w:rsidRPr="00503D0D">
        <w:t>CEDAW GR 35</w:t>
      </w:r>
      <w:r>
        <w:t xml:space="preserve"> (n 16) </w:t>
      </w:r>
      <w:r w:rsidRPr="00503D0D">
        <w:t>para</w:t>
      </w:r>
      <w:r>
        <w:t xml:space="preserve"> </w:t>
      </w:r>
      <w:r w:rsidRPr="00503D0D">
        <w:t>12</w:t>
      </w:r>
      <w:r>
        <w:t>.</w:t>
      </w:r>
    </w:p>
  </w:footnote>
  <w:footnote w:id="30">
    <w:p w14:paraId="3AA871E8" w14:textId="4473EB4C" w:rsidR="00B77019" w:rsidRPr="003E2533" w:rsidRDefault="00B77019">
      <w:pPr>
        <w:pStyle w:val="Textonotapie"/>
      </w:pPr>
      <w:r>
        <w:rPr>
          <w:rStyle w:val="Refdenotaalpie"/>
        </w:rPr>
        <w:footnoteRef/>
      </w:r>
      <w:r>
        <w:t xml:space="preserve"> </w:t>
      </w:r>
      <w:bookmarkStart w:id="2" w:name="_Hlk33084264"/>
      <w:r w:rsidRPr="002C7225">
        <w:t>C Lingaas</w:t>
      </w:r>
      <w:r>
        <w:t xml:space="preserve">, </w:t>
      </w:r>
      <w:r w:rsidRPr="002C7225">
        <w:rPr>
          <w:i/>
          <w:iCs/>
        </w:rPr>
        <w:t>The Concept of Race in International Criminal Law</w:t>
      </w:r>
      <w:r>
        <w:t xml:space="preserve"> (</w:t>
      </w:r>
      <w:r w:rsidRPr="002C7225">
        <w:t>Routledge 2020</w:t>
      </w:r>
      <w:r>
        <w:t>) 3. The author defends that for crimes such as</w:t>
      </w:r>
      <w:bookmarkStart w:id="3" w:name="_Hlk33084339"/>
      <w:bookmarkEnd w:id="2"/>
      <w:r w:rsidRPr="002C7225">
        <w:t xml:space="preserve"> genocide, apartheid, and persecution, the victims´ racial group membership is “inherently linked” to processes of discrimination, stigmatisation, inferiorisation and “othering” that perpetrators perceive as a threat to their dominant position as a group</w:t>
      </w:r>
      <w:r>
        <w:t>.</w:t>
      </w:r>
      <w:bookmarkEnd w:id="3"/>
    </w:p>
  </w:footnote>
  <w:footnote w:id="31">
    <w:p w14:paraId="2E26FB6C" w14:textId="07A7EA16" w:rsidR="00B77019" w:rsidRPr="00667958" w:rsidRDefault="00B77019">
      <w:pPr>
        <w:pStyle w:val="Textonotapie"/>
      </w:pPr>
      <w:r>
        <w:rPr>
          <w:rStyle w:val="Refdenotaalpie"/>
        </w:rPr>
        <w:footnoteRef/>
      </w:r>
      <w:r>
        <w:t xml:space="preserve"> OTP, ‘Policy Paper on Sexual and Gender-Based Crimes’ (June 2014) para 27.</w:t>
      </w:r>
    </w:p>
  </w:footnote>
  <w:footnote w:id="32">
    <w:p w14:paraId="49EB4E15" w14:textId="77777777" w:rsidR="00B77019" w:rsidRPr="009E7293" w:rsidRDefault="00B77019" w:rsidP="000C0DA0">
      <w:pPr>
        <w:pStyle w:val="Textonotapie"/>
      </w:pPr>
      <w:r>
        <w:rPr>
          <w:rStyle w:val="Refdenotaalpie"/>
        </w:rPr>
        <w:footnoteRef/>
      </w:r>
      <w:r w:rsidRPr="00243269">
        <w:t xml:space="preserve"> </w:t>
      </w:r>
      <w:r w:rsidRPr="00215049">
        <w:rPr>
          <w:i/>
          <w:iCs/>
        </w:rPr>
        <w:t>The Prosecutor v Jean Paul Akayesu</w:t>
      </w:r>
      <w:r>
        <w:rPr>
          <w:i/>
          <w:iCs/>
        </w:rPr>
        <w:t xml:space="preserve"> </w:t>
      </w:r>
      <w:r>
        <w:t>(</w:t>
      </w:r>
      <w:r w:rsidRPr="00147A0B">
        <w:t>Trial Judgment</w:t>
      </w:r>
      <w:r>
        <w:t>)</w:t>
      </w:r>
      <w:r w:rsidRPr="009907B1">
        <w:t xml:space="preserve"> ICTR-96-4-T</w:t>
      </w:r>
      <w:r>
        <w:t xml:space="preserve"> (2 September </w:t>
      </w:r>
      <w:r w:rsidRPr="009907B1">
        <w:t>1998</w:t>
      </w:r>
      <w:r>
        <w:t xml:space="preserve">) </w:t>
      </w:r>
      <w:r w:rsidRPr="009907B1">
        <w:t xml:space="preserve">para </w:t>
      </w:r>
      <w:r>
        <w:t>731</w:t>
      </w:r>
      <w:bookmarkStart w:id="4" w:name="_Hlk40637225"/>
      <w:r>
        <w:t xml:space="preserve"> (e</w:t>
      </w:r>
      <w:r w:rsidRPr="002A6CEF">
        <w:t>mphasis</w:t>
      </w:r>
      <w:r>
        <w:t xml:space="preserve"> added). </w:t>
      </w:r>
      <w:bookmarkEnd w:id="4"/>
    </w:p>
  </w:footnote>
  <w:footnote w:id="33">
    <w:p w14:paraId="631F4B5A" w14:textId="22FADC04" w:rsidR="00B77019" w:rsidRPr="003B754F" w:rsidRDefault="00B77019" w:rsidP="000C0DA0">
      <w:pPr>
        <w:pStyle w:val="Textonotapie"/>
      </w:pPr>
      <w:r w:rsidRPr="002A6CEF">
        <w:rPr>
          <w:rStyle w:val="Refdenotaalpie"/>
        </w:rPr>
        <w:footnoteRef/>
      </w:r>
      <w:r w:rsidRPr="002A6CEF">
        <w:t xml:space="preserve"> </w:t>
      </w:r>
      <w:bookmarkStart w:id="5" w:name="_Hlk22313199"/>
      <w:r w:rsidRPr="00215049">
        <w:rPr>
          <w:i/>
          <w:iCs/>
        </w:rPr>
        <w:t>The Prosecutor v Dragoljub Kunarac, Radomir Kovac, and Zoran Vukovic</w:t>
      </w:r>
      <w:r>
        <w:t xml:space="preserve"> (Trial Judgment) </w:t>
      </w:r>
      <w:r w:rsidRPr="00EA2666">
        <w:t>IT-96-23 &amp; IT</w:t>
      </w:r>
      <w:r>
        <w:t>-</w:t>
      </w:r>
      <w:r w:rsidRPr="00EA2666">
        <w:t>96-23/1-</w:t>
      </w:r>
      <w:r>
        <w:t xml:space="preserve">T (22 February </w:t>
      </w:r>
      <w:r w:rsidRPr="00EA2666">
        <w:t>200</w:t>
      </w:r>
      <w:r>
        <w:t>1) paras 587, 591, 592 (emphasis added).</w:t>
      </w:r>
      <w:r w:rsidRPr="00EA2666">
        <w:t xml:space="preserve"> </w:t>
      </w:r>
      <w:bookmarkEnd w:id="5"/>
      <w:r>
        <w:t xml:space="preserve">SáCouto (n 15).  </w:t>
      </w:r>
    </w:p>
  </w:footnote>
  <w:footnote w:id="34">
    <w:p w14:paraId="429A9FBA" w14:textId="77777777" w:rsidR="00B77019" w:rsidRPr="003B754F" w:rsidRDefault="00B77019" w:rsidP="000C0DA0">
      <w:pPr>
        <w:pStyle w:val="Textonotapie"/>
      </w:pPr>
      <w:r w:rsidRPr="00215049">
        <w:rPr>
          <w:rStyle w:val="Refdenotaalpie"/>
          <w:i/>
          <w:iCs/>
        </w:rPr>
        <w:footnoteRef/>
      </w:r>
      <w:r w:rsidRPr="00215049">
        <w:rPr>
          <w:i/>
          <w:iCs/>
        </w:rPr>
        <w:t xml:space="preserve"> The Prosecutor v. Issa Hassan Sesay, Morris Kallon, Augustine Gbao</w:t>
      </w:r>
      <w:r>
        <w:t xml:space="preserve"> (Trial </w:t>
      </w:r>
      <w:r w:rsidRPr="007D4048">
        <w:t>Judgement</w:t>
      </w:r>
      <w:r>
        <w:t xml:space="preserve">) </w:t>
      </w:r>
      <w:r w:rsidRPr="007D4048">
        <w:t>SCSL-04-15-T</w:t>
      </w:r>
      <w:r>
        <w:t xml:space="preserve"> (8 April </w:t>
      </w:r>
      <w:r w:rsidRPr="007D4048">
        <w:t>2009</w:t>
      </w:r>
      <w:r>
        <w:t>) paras 1347-1352.</w:t>
      </w:r>
    </w:p>
  </w:footnote>
  <w:footnote w:id="35">
    <w:p w14:paraId="7AE7B661" w14:textId="300B4EA0" w:rsidR="00B77019" w:rsidRPr="00EC0E4D" w:rsidRDefault="00B77019" w:rsidP="00921EB6">
      <w:pPr>
        <w:pStyle w:val="Textonotapie"/>
        <w:rPr>
          <w:bCs/>
          <w:iCs/>
        </w:rPr>
      </w:pPr>
      <w:r>
        <w:rPr>
          <w:rStyle w:val="Refdenotaalpie"/>
        </w:rPr>
        <w:footnoteRef/>
      </w:r>
      <w:r w:rsidRPr="009F01E2">
        <w:t xml:space="preserve"> </w:t>
      </w:r>
      <w:r w:rsidRPr="00BE7DE6">
        <w:rPr>
          <w:i/>
          <w:iCs/>
        </w:rPr>
        <w:t xml:space="preserve">The </w:t>
      </w:r>
      <w:r w:rsidRPr="00BE7DE6">
        <w:rPr>
          <w:bCs/>
          <w:i/>
          <w:iCs/>
        </w:rPr>
        <w:t>Prosecutor v Sam Hinga Norman, Moinina Fofana and Allieu Kondewa</w:t>
      </w:r>
      <w:r>
        <w:rPr>
          <w:bCs/>
        </w:rPr>
        <w:t xml:space="preserve"> (Decision on the Admissibility of Evidence)</w:t>
      </w:r>
      <w:r>
        <w:rPr>
          <w:bCs/>
          <w:i/>
          <w:iCs/>
        </w:rPr>
        <w:t xml:space="preserve"> </w:t>
      </w:r>
      <w:r w:rsidRPr="00160102">
        <w:rPr>
          <w:bCs/>
        </w:rPr>
        <w:t>SCSL-04-14-PT</w:t>
      </w:r>
      <w:r>
        <w:rPr>
          <w:bCs/>
        </w:rPr>
        <w:t xml:space="preserve"> (24 May 2005)</w:t>
      </w:r>
      <w:r w:rsidRPr="00160102">
        <w:rPr>
          <w:bCs/>
          <w:i/>
        </w:rPr>
        <w:t xml:space="preserve"> </w:t>
      </w:r>
      <w:r w:rsidRPr="00CB4781">
        <w:rPr>
          <w:bCs/>
          <w:iCs/>
        </w:rPr>
        <w:t>Separate Concurring Opinion of Hon. Justice Benjamin Mutanga Itoe</w:t>
      </w:r>
      <w:r>
        <w:rPr>
          <w:bCs/>
          <w:iCs/>
        </w:rPr>
        <w:t xml:space="preserve">; </w:t>
      </w:r>
      <w:r w:rsidRPr="00CB4781">
        <w:rPr>
          <w:bCs/>
          <w:iCs/>
        </w:rPr>
        <w:t xml:space="preserve">Dissenting Opinion of Justice Pierre Boutet. </w:t>
      </w:r>
      <w:r w:rsidRPr="00160102">
        <w:rPr>
          <w:bCs/>
        </w:rPr>
        <w:t>The Prosecutor requested to amend the indictment to introduce evidence of sexual violence</w:t>
      </w:r>
      <w:r>
        <w:rPr>
          <w:bCs/>
        </w:rPr>
        <w:t>. Th</w:t>
      </w:r>
      <w:r w:rsidRPr="00160102">
        <w:rPr>
          <w:bCs/>
        </w:rPr>
        <w:t xml:space="preserve">e </w:t>
      </w:r>
      <w:r>
        <w:rPr>
          <w:bCs/>
        </w:rPr>
        <w:t xml:space="preserve">Trial Chamber </w:t>
      </w:r>
      <w:r w:rsidRPr="00160102">
        <w:rPr>
          <w:bCs/>
        </w:rPr>
        <w:t xml:space="preserve">dismissed the request because it had not been introduced in a timely manner. </w:t>
      </w:r>
      <w:r w:rsidR="00BE7DE6">
        <w:rPr>
          <w:bCs/>
        </w:rPr>
        <w:t>T</w:t>
      </w:r>
      <w:r w:rsidRPr="00160102">
        <w:rPr>
          <w:bCs/>
        </w:rPr>
        <w:t xml:space="preserve">he Appeals Chamber concluded that “evidence of sexual violence was relevant to charges in the Indictment and that the Trial Chamber was in error in prospectively denying the admittance of such evidence”, see </w:t>
      </w:r>
      <w:r w:rsidRPr="00BE7DE6">
        <w:rPr>
          <w:bCs/>
          <w:i/>
        </w:rPr>
        <w:t>The Prosecutor v Moinina Fofana and Allieu Kondewa</w:t>
      </w:r>
      <w:r w:rsidRPr="0060299C">
        <w:rPr>
          <w:bCs/>
          <w:iCs/>
        </w:rPr>
        <w:t xml:space="preserve"> (Appeals Judgment)</w:t>
      </w:r>
      <w:r w:rsidRPr="00EC0E4D">
        <w:rPr>
          <w:bCs/>
          <w:iCs/>
        </w:rPr>
        <w:t xml:space="preserve"> SCSL-04-14-A</w:t>
      </w:r>
      <w:r>
        <w:rPr>
          <w:bCs/>
          <w:iCs/>
        </w:rPr>
        <w:t xml:space="preserve"> (</w:t>
      </w:r>
      <w:r w:rsidRPr="00EC0E4D">
        <w:rPr>
          <w:bCs/>
          <w:iCs/>
        </w:rPr>
        <w:t>28 May 2008</w:t>
      </w:r>
      <w:r>
        <w:rPr>
          <w:bCs/>
          <w:iCs/>
        </w:rPr>
        <w:t xml:space="preserve">) </w:t>
      </w:r>
      <w:r w:rsidRPr="00EC0E4D">
        <w:rPr>
          <w:bCs/>
          <w:iCs/>
        </w:rPr>
        <w:t>para 445</w:t>
      </w:r>
    </w:p>
  </w:footnote>
  <w:footnote w:id="36">
    <w:p w14:paraId="264CA592" w14:textId="77777777" w:rsidR="00B77019" w:rsidRPr="00160102" w:rsidRDefault="00B77019" w:rsidP="00921EB6">
      <w:pPr>
        <w:spacing w:after="0"/>
        <w:rPr>
          <w:sz w:val="20"/>
          <w:szCs w:val="20"/>
        </w:rPr>
      </w:pPr>
      <w:r w:rsidRPr="00EC0E4D">
        <w:rPr>
          <w:rStyle w:val="Refdenotaalpie"/>
          <w:iCs/>
          <w:sz w:val="20"/>
          <w:szCs w:val="20"/>
        </w:rPr>
        <w:footnoteRef/>
      </w:r>
      <w:r w:rsidRPr="00EC0E4D">
        <w:rPr>
          <w:iCs/>
          <w:sz w:val="20"/>
          <w:szCs w:val="20"/>
        </w:rPr>
        <w:t xml:space="preserve"> </w:t>
      </w:r>
      <w:r w:rsidRPr="00BE7DE6">
        <w:rPr>
          <w:i/>
          <w:sz w:val="20"/>
          <w:szCs w:val="20"/>
        </w:rPr>
        <w:t>The Prosecutor Against Alex Tamba Brima, Ibrahim Bazzi Kamara and Santigie Borbor Kanu</w:t>
      </w:r>
      <w:r>
        <w:rPr>
          <w:i/>
          <w:sz w:val="20"/>
          <w:szCs w:val="20"/>
        </w:rPr>
        <w:t xml:space="preserve"> </w:t>
      </w:r>
      <w:r>
        <w:rPr>
          <w:iCs/>
          <w:sz w:val="20"/>
          <w:szCs w:val="20"/>
        </w:rPr>
        <w:t xml:space="preserve">(Trial </w:t>
      </w:r>
      <w:r w:rsidRPr="00160102">
        <w:rPr>
          <w:sz w:val="20"/>
          <w:szCs w:val="20"/>
        </w:rPr>
        <w:t>Judgment</w:t>
      </w:r>
      <w:r>
        <w:rPr>
          <w:sz w:val="20"/>
          <w:szCs w:val="20"/>
        </w:rPr>
        <w:t xml:space="preserve">) </w:t>
      </w:r>
      <w:r w:rsidRPr="00160102">
        <w:rPr>
          <w:sz w:val="20"/>
          <w:szCs w:val="20"/>
        </w:rPr>
        <w:t>SCSL-04-16-T</w:t>
      </w:r>
      <w:r>
        <w:rPr>
          <w:sz w:val="20"/>
          <w:szCs w:val="20"/>
        </w:rPr>
        <w:t xml:space="preserve"> (</w:t>
      </w:r>
      <w:r w:rsidRPr="00160102">
        <w:rPr>
          <w:sz w:val="20"/>
          <w:szCs w:val="20"/>
        </w:rPr>
        <w:t>20 June 2007</w:t>
      </w:r>
      <w:r>
        <w:rPr>
          <w:sz w:val="20"/>
          <w:szCs w:val="20"/>
        </w:rPr>
        <w:t>).</w:t>
      </w:r>
      <w:r w:rsidRPr="00160102">
        <w:rPr>
          <w:sz w:val="20"/>
          <w:szCs w:val="20"/>
        </w:rPr>
        <w:t xml:space="preserve"> </w:t>
      </w:r>
      <w:r>
        <w:rPr>
          <w:sz w:val="20"/>
          <w:szCs w:val="20"/>
        </w:rPr>
        <w:t>R</w:t>
      </w:r>
      <w:r w:rsidRPr="00160102">
        <w:rPr>
          <w:sz w:val="20"/>
          <w:szCs w:val="20"/>
        </w:rPr>
        <w:t>eferring to sexual slavery, the Chamber found that it  “was committed by the AFRC troops to take advantage of the spoils of war, by treating women as property and using them to satisfy their sexual desires and to fulfil other conjugal needs” para 1459</w:t>
      </w:r>
    </w:p>
  </w:footnote>
  <w:footnote w:id="37">
    <w:p w14:paraId="5F44D676" w14:textId="668AA500" w:rsidR="00B77019" w:rsidRPr="007D4048" w:rsidRDefault="00B77019" w:rsidP="00310E29">
      <w:pPr>
        <w:pStyle w:val="Textonotapie"/>
      </w:pPr>
      <w:r w:rsidRPr="0060299C">
        <w:rPr>
          <w:rStyle w:val="Refdenotaalpie"/>
        </w:rPr>
        <w:footnoteRef/>
      </w:r>
      <w:r w:rsidRPr="0060299C">
        <w:t xml:space="preserve"> </w:t>
      </w:r>
      <w:r w:rsidRPr="00BE7DE6">
        <w:rPr>
          <w:i/>
          <w:iCs/>
        </w:rPr>
        <w:t>RUF</w:t>
      </w:r>
      <w:r>
        <w:t xml:space="preserve"> (</w:t>
      </w:r>
      <w:r w:rsidRPr="007D4048">
        <w:t>Corrected Amended Consolidated Indictment</w:t>
      </w:r>
      <w:r>
        <w:t xml:space="preserve">) </w:t>
      </w:r>
      <w:r w:rsidRPr="007D4048">
        <w:t>SCSL-04-15-PT</w:t>
      </w:r>
      <w:r>
        <w:t xml:space="preserve"> (</w:t>
      </w:r>
      <w:r w:rsidRPr="007D4048">
        <w:t>2 August 2006</w:t>
      </w:r>
      <w:r>
        <w:t xml:space="preserve">) </w:t>
      </w:r>
      <w:r w:rsidRPr="007D4048">
        <w:t>paras</w:t>
      </w:r>
      <w:r>
        <w:t xml:space="preserve"> </w:t>
      </w:r>
      <w:r w:rsidRPr="007D4048">
        <w:t>945-947</w:t>
      </w:r>
      <w:r w:rsidRPr="00C64C5C">
        <w:t xml:space="preserve">. The attack developed three stages: the mistreatment of civilians in the diamond-rich Kailahun District (November 1996 - May 1997); </w:t>
      </w:r>
      <w:r w:rsidR="00BE7DE6">
        <w:t xml:space="preserve">the </w:t>
      </w:r>
      <w:r w:rsidRPr="00C64C5C">
        <w:t>brutal suppression of perceived opposition during the joint AFRC/RUF Junta (May 1997 - February 1998), and large-scale military action in multiple locations (February 1998 - January 2000)</w:t>
      </w:r>
      <w:r>
        <w:t>.</w:t>
      </w:r>
    </w:p>
  </w:footnote>
  <w:footnote w:id="38">
    <w:p w14:paraId="3E0FF57B" w14:textId="164BCFFB" w:rsidR="00B77019" w:rsidRPr="00B96228" w:rsidRDefault="00B77019">
      <w:pPr>
        <w:pStyle w:val="Textonotapie"/>
      </w:pPr>
      <w:r>
        <w:rPr>
          <w:rStyle w:val="Refdenotaalpie"/>
        </w:rPr>
        <w:footnoteRef/>
      </w:r>
      <w:r>
        <w:t xml:space="preserve"> ib</w:t>
      </w:r>
      <w:r w:rsidRPr="0060299C">
        <w:t xml:space="preserve">id </w:t>
      </w:r>
      <w:r>
        <w:t>para 947.</w:t>
      </w:r>
    </w:p>
  </w:footnote>
  <w:footnote w:id="39">
    <w:p w14:paraId="5E5F7FA1" w14:textId="511B16D6" w:rsidR="00B77019" w:rsidRPr="001B03BA" w:rsidRDefault="00B77019" w:rsidP="00AB21E3">
      <w:pPr>
        <w:spacing w:after="0"/>
        <w:rPr>
          <w:i/>
          <w:iCs/>
          <w:sz w:val="20"/>
          <w:szCs w:val="20"/>
        </w:rPr>
      </w:pPr>
      <w:r w:rsidRPr="001B03BA">
        <w:rPr>
          <w:rStyle w:val="Refdenotaalpie"/>
          <w:sz w:val="20"/>
          <w:szCs w:val="20"/>
        </w:rPr>
        <w:footnoteRef/>
      </w:r>
      <w:r w:rsidRPr="001B03BA">
        <w:rPr>
          <w:sz w:val="20"/>
          <w:szCs w:val="20"/>
        </w:rPr>
        <w:t xml:space="preserve"> </w:t>
      </w:r>
      <w:r w:rsidRPr="00BE7DE6">
        <w:rPr>
          <w:i/>
          <w:iCs/>
          <w:sz w:val="20"/>
          <w:szCs w:val="20"/>
        </w:rPr>
        <w:t xml:space="preserve">RUF </w:t>
      </w:r>
      <w:r>
        <w:rPr>
          <w:sz w:val="20"/>
          <w:szCs w:val="20"/>
        </w:rPr>
        <w:t>(</w:t>
      </w:r>
      <w:r w:rsidRPr="001B03BA">
        <w:rPr>
          <w:sz w:val="20"/>
          <w:szCs w:val="20"/>
        </w:rPr>
        <w:t>Corrected Amended Consolidated Indictment</w:t>
      </w:r>
      <w:r>
        <w:rPr>
          <w:sz w:val="20"/>
          <w:szCs w:val="20"/>
        </w:rPr>
        <w:t xml:space="preserve">) </w:t>
      </w:r>
      <w:r w:rsidRPr="001B03BA">
        <w:rPr>
          <w:sz w:val="20"/>
          <w:szCs w:val="20"/>
        </w:rPr>
        <w:t>SCSL-2004-15-PT</w:t>
      </w:r>
      <w:r>
        <w:rPr>
          <w:sz w:val="20"/>
          <w:szCs w:val="20"/>
        </w:rPr>
        <w:t xml:space="preserve"> (</w:t>
      </w:r>
      <w:r w:rsidRPr="001B03BA">
        <w:rPr>
          <w:sz w:val="20"/>
          <w:szCs w:val="20"/>
        </w:rPr>
        <w:t>2 March 2009</w:t>
      </w:r>
      <w:r>
        <w:rPr>
          <w:sz w:val="20"/>
          <w:szCs w:val="20"/>
        </w:rPr>
        <w:t>).</w:t>
      </w:r>
    </w:p>
  </w:footnote>
  <w:footnote w:id="40">
    <w:p w14:paraId="2C159D00" w14:textId="440363DE" w:rsidR="00B77019" w:rsidRPr="00867E1D" w:rsidRDefault="00B77019" w:rsidP="00AB21E3">
      <w:pPr>
        <w:pStyle w:val="Textonotapie"/>
      </w:pPr>
      <w:r w:rsidRPr="007D4048">
        <w:rPr>
          <w:rStyle w:val="Refdenotaalpie"/>
        </w:rPr>
        <w:footnoteRef/>
      </w:r>
      <w:r w:rsidRPr="00867E1D">
        <w:t xml:space="preserve"> ibid.</w:t>
      </w:r>
      <w:r w:rsidRPr="00867E1D">
        <w:rPr>
          <w:i/>
          <w:iCs/>
        </w:rPr>
        <w:t xml:space="preserve"> </w:t>
      </w:r>
    </w:p>
  </w:footnote>
  <w:footnote w:id="41">
    <w:p w14:paraId="3C97840D" w14:textId="07EB8D65" w:rsidR="00B77019" w:rsidRPr="00867E1D" w:rsidRDefault="00B77019" w:rsidP="00497017">
      <w:pPr>
        <w:pStyle w:val="Textonotapie"/>
      </w:pPr>
      <w:r w:rsidRPr="007D4048">
        <w:rPr>
          <w:rStyle w:val="Refdenotaalpie"/>
        </w:rPr>
        <w:footnoteRef/>
      </w:r>
      <w:r w:rsidRPr="00867E1D">
        <w:t xml:space="preserve"> </w:t>
      </w:r>
      <w:r w:rsidRPr="00BE7DE6">
        <w:rPr>
          <w:i/>
          <w:iCs/>
        </w:rPr>
        <w:t>RUF,</w:t>
      </w:r>
      <w:r w:rsidRPr="00867E1D">
        <w:t xml:space="preserve"> ‘Trial Judgment’ (n </w:t>
      </w:r>
      <w:r w:rsidR="00FC4DD4">
        <w:t>2</w:t>
      </w:r>
      <w:r w:rsidRPr="00867E1D">
        <w:t>) Disposition, 676-687.</w:t>
      </w:r>
    </w:p>
  </w:footnote>
  <w:footnote w:id="42">
    <w:p w14:paraId="29293323" w14:textId="21B15213" w:rsidR="00B77019" w:rsidRPr="00D93E1C" w:rsidRDefault="00B77019" w:rsidP="00160102">
      <w:pPr>
        <w:tabs>
          <w:tab w:val="left" w:pos="980"/>
          <w:tab w:val="left" w:pos="1370"/>
        </w:tabs>
        <w:spacing w:after="0"/>
        <w:rPr>
          <w:sz w:val="20"/>
          <w:szCs w:val="20"/>
        </w:rPr>
      </w:pPr>
      <w:r w:rsidRPr="007D4048">
        <w:rPr>
          <w:rStyle w:val="Refdenotaalpie"/>
          <w:sz w:val="20"/>
          <w:szCs w:val="20"/>
        </w:rPr>
        <w:footnoteRef/>
      </w:r>
      <w:r w:rsidRPr="007D4048">
        <w:rPr>
          <w:sz w:val="20"/>
          <w:szCs w:val="20"/>
        </w:rPr>
        <w:t xml:space="preserve"> </w:t>
      </w:r>
      <w:r w:rsidRPr="00BE7DE6">
        <w:rPr>
          <w:i/>
          <w:sz w:val="20"/>
          <w:szCs w:val="20"/>
        </w:rPr>
        <w:t>RUF</w:t>
      </w:r>
      <w:r>
        <w:rPr>
          <w:iCs/>
          <w:sz w:val="20"/>
          <w:szCs w:val="20"/>
        </w:rPr>
        <w:t xml:space="preserve"> (</w:t>
      </w:r>
      <w:r>
        <w:rPr>
          <w:sz w:val="20"/>
          <w:szCs w:val="20"/>
        </w:rPr>
        <w:t>Appeals</w:t>
      </w:r>
      <w:r w:rsidRPr="007D4048">
        <w:rPr>
          <w:sz w:val="20"/>
          <w:szCs w:val="20"/>
        </w:rPr>
        <w:t xml:space="preserve"> Judgement</w:t>
      </w:r>
      <w:r>
        <w:rPr>
          <w:sz w:val="20"/>
          <w:szCs w:val="20"/>
        </w:rPr>
        <w:t xml:space="preserve">) </w:t>
      </w:r>
      <w:r w:rsidRPr="00D93E1C">
        <w:rPr>
          <w:sz w:val="20"/>
          <w:szCs w:val="20"/>
        </w:rPr>
        <w:t>SCSL-04-15-A</w:t>
      </w:r>
      <w:r>
        <w:rPr>
          <w:sz w:val="20"/>
          <w:szCs w:val="20"/>
        </w:rPr>
        <w:t xml:space="preserve"> (</w:t>
      </w:r>
      <w:r w:rsidRPr="00D93E1C">
        <w:rPr>
          <w:sz w:val="20"/>
          <w:szCs w:val="20"/>
        </w:rPr>
        <w:t>26 October 2009</w:t>
      </w:r>
      <w:r>
        <w:rPr>
          <w:sz w:val="20"/>
          <w:szCs w:val="20"/>
        </w:rPr>
        <w:t>).</w:t>
      </w:r>
    </w:p>
  </w:footnote>
  <w:footnote w:id="43">
    <w:p w14:paraId="329DFBA0" w14:textId="7A4745DB" w:rsidR="00B77019" w:rsidRPr="008C2EB9" w:rsidRDefault="00B77019" w:rsidP="009A456A">
      <w:pPr>
        <w:pStyle w:val="Textonotapie"/>
      </w:pPr>
      <w:r>
        <w:rPr>
          <w:rStyle w:val="Refdenotaalpie"/>
        </w:rPr>
        <w:footnoteRef/>
      </w:r>
      <w:r>
        <w:t xml:space="preserve"> P Chalk, ‘The Nature of Contemporary Terrorism: Problems of Definition’ in West European Terrorism and Counter-Terrorism (Macmillan 1996) 9, 10. Noting that most definitions of terrorism consider it “political acts of violence carried out by non-state actors” and stressing terrorism as a “symbolic and invariably indiscriminate form of psychological political communication”. </w:t>
      </w:r>
      <w:r w:rsidRPr="00686F44">
        <w:t>D E Georges-Abeyie</w:t>
      </w:r>
      <w:r>
        <w:t>,</w:t>
      </w:r>
      <w:r w:rsidRPr="00686F44">
        <w:t xml:space="preserve"> ‘Political Crime an</w:t>
      </w:r>
      <w:r>
        <w:t xml:space="preserve">d Terrorism – Toward an Understanding’ (1980) NCJRS 71075, including the study of guerrilla warfare in internal conflicts, </w:t>
      </w:r>
      <w:r w:rsidR="008933E8">
        <w:t xml:space="preserve">the author </w:t>
      </w:r>
      <w:r>
        <w:t>stresses the political purpose of the specific intent of terrorism</w:t>
      </w:r>
      <w:r w:rsidR="008933E8">
        <w:t>, namely,</w:t>
      </w:r>
      <w:r>
        <w:t xml:space="preserve"> to change a governmental policy through an illegal act or threat of violence. S Shukla, ‘Emerging New Trends of Terrorism: Challenges Before the United Nations’ (2006) 67:1 The Indian Journal of Political Science 166, outlining a literature review </w:t>
      </w:r>
      <w:r w:rsidR="008933E8">
        <w:t xml:space="preserve">supporting </w:t>
      </w:r>
      <w:r>
        <w:t xml:space="preserve">the political nature of terrorism. </w:t>
      </w:r>
    </w:p>
  </w:footnote>
  <w:footnote w:id="44">
    <w:p w14:paraId="4D0E2E3C" w14:textId="697FE4F6" w:rsidR="00B77019" w:rsidRPr="00D056B6" w:rsidRDefault="00B77019" w:rsidP="00160102">
      <w:pPr>
        <w:pStyle w:val="Textonotapie"/>
      </w:pPr>
      <w:r>
        <w:rPr>
          <w:rStyle w:val="Refdenotaalpie"/>
        </w:rPr>
        <w:footnoteRef/>
      </w:r>
      <w:r w:rsidRPr="00D056B6">
        <w:t xml:space="preserve"> </w:t>
      </w:r>
      <w:r w:rsidRPr="00FC4DD4">
        <w:rPr>
          <w:i/>
          <w:iCs/>
        </w:rPr>
        <w:t>RUF</w:t>
      </w:r>
      <w:r w:rsidRPr="00867E1D">
        <w:t xml:space="preserve">, ‘Trial Judgment’ (n </w:t>
      </w:r>
      <w:r w:rsidR="00FC4DD4">
        <w:t>2</w:t>
      </w:r>
      <w:r w:rsidRPr="00867E1D">
        <w:t xml:space="preserve">) </w:t>
      </w:r>
      <w:r w:rsidRPr="00D056B6">
        <w:t>paras 112, 121, 149, 161.</w:t>
      </w:r>
    </w:p>
  </w:footnote>
  <w:footnote w:id="45">
    <w:p w14:paraId="04C6D35E" w14:textId="01C9CC36" w:rsidR="00B77019" w:rsidRPr="00A9054F" w:rsidRDefault="00B77019" w:rsidP="00160102">
      <w:pPr>
        <w:pStyle w:val="Textonotapie"/>
      </w:pPr>
      <w:r>
        <w:rPr>
          <w:rStyle w:val="Refdenotaalpie"/>
        </w:rPr>
        <w:footnoteRef/>
      </w:r>
      <w:r w:rsidRPr="00A9054F">
        <w:t xml:space="preserve"> </w:t>
      </w:r>
      <w:r w:rsidRPr="00867E1D">
        <w:t>ibid</w:t>
      </w:r>
      <w:r>
        <w:rPr>
          <w:i/>
          <w:iCs/>
        </w:rPr>
        <w:t xml:space="preserve"> </w:t>
      </w:r>
      <w:r w:rsidRPr="00A9054F">
        <w:t xml:space="preserve">para </w:t>
      </w:r>
      <w:r w:rsidRPr="00B00E01">
        <w:t>116</w:t>
      </w:r>
      <w:r>
        <w:t>.</w:t>
      </w:r>
      <w:r w:rsidRPr="00B00E01">
        <w:t xml:space="preserve"> </w:t>
      </w:r>
      <w:r w:rsidRPr="00FC4DD4">
        <w:rPr>
          <w:i/>
          <w:iCs/>
        </w:rPr>
        <w:t>The Prosecutor v Stanislav Galic</w:t>
      </w:r>
      <w:r>
        <w:t xml:space="preserve"> (Appeals Judgment) IT-98-29-A (30 November 2006) </w:t>
      </w:r>
      <w:r w:rsidRPr="00B00E01">
        <w:t>para</w:t>
      </w:r>
      <w:r>
        <w:t xml:space="preserve"> </w:t>
      </w:r>
      <w:r w:rsidRPr="00A9054F">
        <w:t>102</w:t>
      </w:r>
      <w:r>
        <w:t>.</w:t>
      </w:r>
    </w:p>
  </w:footnote>
  <w:footnote w:id="46">
    <w:p w14:paraId="7F9EDC06" w14:textId="2C2034A1" w:rsidR="00B77019" w:rsidRPr="00D93E1C" w:rsidRDefault="00B77019">
      <w:pPr>
        <w:pStyle w:val="Textonotapie"/>
      </w:pPr>
      <w:r>
        <w:rPr>
          <w:rStyle w:val="Refdenotaalpie"/>
        </w:rPr>
        <w:footnoteRef/>
      </w:r>
      <w:r w:rsidRPr="00867E1D">
        <w:t xml:space="preserve"> </w:t>
      </w:r>
      <w:r w:rsidRPr="00FC4DD4">
        <w:rPr>
          <w:i/>
          <w:iCs/>
        </w:rPr>
        <w:t>RUF</w:t>
      </w:r>
      <w:r w:rsidRPr="00867E1D">
        <w:t xml:space="preserve">, ‘Trial Judgment’ (n </w:t>
      </w:r>
      <w:r w:rsidR="00FC4DD4">
        <w:t>2</w:t>
      </w:r>
      <w:r w:rsidRPr="00867E1D">
        <w:t xml:space="preserve">) paras 121. </w:t>
      </w:r>
      <w:r w:rsidRPr="00FC4DD4">
        <w:rPr>
          <w:i/>
          <w:iCs/>
        </w:rPr>
        <w:t>Galic,</w:t>
      </w:r>
      <w:r w:rsidRPr="00867E1D">
        <w:t xml:space="preserve"> ‘Appeal Judgment’ (n </w:t>
      </w:r>
      <w:r w:rsidR="00FC4DD4">
        <w:t>45</w:t>
      </w:r>
      <w:r w:rsidRPr="00867E1D">
        <w:t xml:space="preserve">) para </w:t>
      </w:r>
      <w:r w:rsidRPr="00D93E1C">
        <w:t>104</w:t>
      </w:r>
      <w:r>
        <w:t xml:space="preserve"> (e</w:t>
      </w:r>
      <w:r w:rsidRPr="00D93E1C">
        <w:t>mphasis added</w:t>
      </w:r>
      <w:r>
        <w:t>)</w:t>
      </w:r>
      <w:r w:rsidRPr="00D93E1C">
        <w:t>.</w:t>
      </w:r>
    </w:p>
  </w:footnote>
  <w:footnote w:id="47">
    <w:p w14:paraId="0D2BFBAB" w14:textId="2C794C61" w:rsidR="00B77019" w:rsidRPr="00D93E1C" w:rsidRDefault="00B77019" w:rsidP="001E124D">
      <w:pPr>
        <w:pStyle w:val="Textonotapie"/>
      </w:pPr>
      <w:r>
        <w:rPr>
          <w:rStyle w:val="Refdenotaalpie"/>
        </w:rPr>
        <w:footnoteRef/>
      </w:r>
      <w:r w:rsidRPr="00D93E1C">
        <w:t xml:space="preserve"> </w:t>
      </w:r>
      <w:r w:rsidRPr="00FC4DD4">
        <w:rPr>
          <w:i/>
          <w:iCs/>
        </w:rPr>
        <w:t>RUF</w:t>
      </w:r>
      <w:r w:rsidRPr="00867E1D">
        <w:t xml:space="preserve">, ‘Trial Judgment’ (n </w:t>
      </w:r>
      <w:r w:rsidR="00FC4DD4">
        <w:t>2</w:t>
      </w:r>
      <w:r>
        <w:t xml:space="preserve">) </w:t>
      </w:r>
      <w:r w:rsidRPr="00D93E1C">
        <w:t xml:space="preserve">para 156. </w:t>
      </w:r>
    </w:p>
  </w:footnote>
  <w:footnote w:id="48">
    <w:p w14:paraId="50DCA059" w14:textId="5D95C931" w:rsidR="00F10A81" w:rsidRPr="003E2533" w:rsidRDefault="00F10A81">
      <w:pPr>
        <w:pStyle w:val="Textonotapie"/>
      </w:pPr>
      <w:r>
        <w:rPr>
          <w:rStyle w:val="Refdenotaalpie"/>
        </w:rPr>
        <w:footnoteRef/>
      </w:r>
      <w:r w:rsidRPr="003E2533">
        <w:t xml:space="preserve"> SáCouto (n 15).</w:t>
      </w:r>
    </w:p>
  </w:footnote>
  <w:footnote w:id="49">
    <w:p w14:paraId="41B4A383" w14:textId="1CEEC8EF" w:rsidR="00B77019" w:rsidRPr="00E653A8" w:rsidRDefault="00B77019" w:rsidP="00B110AB">
      <w:pPr>
        <w:pStyle w:val="Textonotapie"/>
      </w:pPr>
      <w:r>
        <w:rPr>
          <w:rStyle w:val="Refdenotaalpie"/>
        </w:rPr>
        <w:footnoteRef/>
      </w:r>
      <w:r w:rsidRPr="00E653A8">
        <w:t xml:space="preserve"> </w:t>
      </w:r>
      <w:r w:rsidRPr="00D975F1">
        <w:rPr>
          <w:i/>
          <w:iCs/>
        </w:rPr>
        <w:t>RUF</w:t>
      </w:r>
      <w:r w:rsidRPr="00DD443A">
        <w:t xml:space="preserve">, ‘Trial Judgment’ (n </w:t>
      </w:r>
      <w:r w:rsidR="00AA7C08">
        <w:t>2</w:t>
      </w:r>
      <w:r w:rsidRPr="00DD443A">
        <w:t xml:space="preserve">) </w:t>
      </w:r>
      <w:r w:rsidRPr="00E653A8">
        <w:t>para 1352</w:t>
      </w:r>
      <w:r w:rsidR="0084773D">
        <w:t>.</w:t>
      </w:r>
    </w:p>
  </w:footnote>
  <w:footnote w:id="50">
    <w:p w14:paraId="49F1BE9B" w14:textId="3B6A4C7F" w:rsidR="00B77019" w:rsidRPr="00F85A0E" w:rsidRDefault="00B77019" w:rsidP="00B110AB">
      <w:pPr>
        <w:pStyle w:val="Textonotapie"/>
      </w:pPr>
      <w:r>
        <w:rPr>
          <w:rStyle w:val="Refdenotaalpie"/>
        </w:rPr>
        <w:footnoteRef/>
      </w:r>
      <w:r w:rsidRPr="00F85A0E">
        <w:t xml:space="preserve"> </w:t>
      </w:r>
      <w:r w:rsidR="00D975F1" w:rsidRPr="002C6350">
        <w:t>V Oo</w:t>
      </w:r>
      <w:r w:rsidR="00D975F1">
        <w:t xml:space="preserve">sterveld, ‘The Gender Jurisprudence of the Special Court for Sierra Leone: Progress in the Revolutionary United Front </w:t>
      </w:r>
      <w:r w:rsidR="00D975F1" w:rsidRPr="00E653A8">
        <w:t xml:space="preserve">Judgments’ </w:t>
      </w:r>
      <w:r w:rsidR="00D975F1">
        <w:t xml:space="preserve">44 (2011) </w:t>
      </w:r>
      <w:r w:rsidR="00D975F1" w:rsidRPr="00E653A8">
        <w:t>Cornell International Law Journal</w:t>
      </w:r>
      <w:r w:rsidR="00D975F1">
        <w:t xml:space="preserve"> </w:t>
      </w:r>
      <w:r w:rsidRPr="00F85A0E">
        <w:t>66,73, 75</w:t>
      </w:r>
      <w:r w:rsidR="00AA7C08">
        <w:t>.</w:t>
      </w:r>
    </w:p>
  </w:footnote>
  <w:footnote w:id="51">
    <w:p w14:paraId="5A2A1294" w14:textId="2D8507F3" w:rsidR="00B77019" w:rsidRPr="00E653A8" w:rsidRDefault="00B77019" w:rsidP="00B110AB">
      <w:pPr>
        <w:pStyle w:val="Textonotapie"/>
      </w:pPr>
      <w:r>
        <w:rPr>
          <w:rStyle w:val="Refdenotaalpie"/>
        </w:rPr>
        <w:footnoteRef/>
      </w:r>
      <w:r w:rsidRPr="00E653A8">
        <w:t xml:space="preserve"> </w:t>
      </w:r>
      <w:r w:rsidRPr="00AA7C08">
        <w:rPr>
          <w:i/>
          <w:iCs/>
        </w:rPr>
        <w:t>RUF,</w:t>
      </w:r>
      <w:r w:rsidRPr="00DD443A">
        <w:t xml:space="preserve"> ‘Trial Judgment’ (n </w:t>
      </w:r>
      <w:r w:rsidR="00AA7C08">
        <w:t>2</w:t>
      </w:r>
      <w:r w:rsidRPr="00DD443A">
        <w:t xml:space="preserve">) </w:t>
      </w:r>
      <w:r w:rsidRPr="00E653A8">
        <w:t>paras 1353-1355.</w:t>
      </w:r>
    </w:p>
  </w:footnote>
  <w:footnote w:id="52">
    <w:p w14:paraId="1B17A28B" w14:textId="1929A1CF" w:rsidR="00B77019" w:rsidRPr="00D93E1C" w:rsidRDefault="00B77019" w:rsidP="00B110AB">
      <w:pPr>
        <w:pStyle w:val="Textonotapie"/>
        <w:rPr>
          <w:lang w:val="es-ES"/>
        </w:rPr>
      </w:pPr>
      <w:r>
        <w:rPr>
          <w:rStyle w:val="Refdenotaalpie"/>
        </w:rPr>
        <w:footnoteRef/>
      </w:r>
      <w:r w:rsidRPr="00A55F4A">
        <w:rPr>
          <w:i/>
          <w:iCs/>
        </w:rPr>
        <w:t xml:space="preserve"> </w:t>
      </w:r>
      <w:r w:rsidRPr="00E653A8">
        <w:t xml:space="preserve">ibid </w:t>
      </w:r>
      <w:r w:rsidRPr="00BD166D">
        <w:t xml:space="preserve">para </w:t>
      </w:r>
      <w:r w:rsidRPr="00026B3A">
        <w:t xml:space="preserve">1350. </w:t>
      </w:r>
      <w:r w:rsidRPr="0039732E">
        <w:t>Also, r</w:t>
      </w:r>
      <w:r>
        <w:t>egarding the gendered effects of rape upon the community</w:t>
      </w:r>
      <w:r w:rsidR="0084773D">
        <w:t>, see para 1602</w:t>
      </w:r>
      <w:r>
        <w:t>: “</w:t>
      </w:r>
      <w:r w:rsidRPr="004A7A3D">
        <w:t>The deliberate and concerted campaign to rape women constitutes an extension of the battlefield to the women’s bodies, a degrading treatment that inflicts physical, mental and sexual suffering to the victims and to their community.</w:t>
      </w:r>
      <w:r w:rsidRPr="00CB53EF">
        <w:t xml:space="preserve"> </w:t>
      </w:r>
      <w:r w:rsidRPr="00D93E1C">
        <w:rPr>
          <w:lang w:val="es-ES"/>
        </w:rPr>
        <w:t xml:space="preserve">“ </w:t>
      </w:r>
    </w:p>
  </w:footnote>
  <w:footnote w:id="53">
    <w:p w14:paraId="74C35BC0" w14:textId="77777777" w:rsidR="00B77019" w:rsidRPr="00A55F4A" w:rsidRDefault="00B77019" w:rsidP="00B110AB">
      <w:pPr>
        <w:pStyle w:val="Textonotapie"/>
        <w:rPr>
          <w:lang w:val="es-ES"/>
        </w:rPr>
      </w:pPr>
      <w:r>
        <w:rPr>
          <w:rStyle w:val="Refdenotaalpie"/>
        </w:rPr>
        <w:footnoteRef/>
      </w:r>
      <w:r w:rsidRPr="00E653A8">
        <w:rPr>
          <w:lang w:val="es-ES"/>
        </w:rPr>
        <w:t xml:space="preserve"> ibid</w:t>
      </w:r>
      <w:r w:rsidRPr="00A55F4A">
        <w:rPr>
          <w:lang w:val="es-ES"/>
        </w:rPr>
        <w:t xml:space="preserve"> paras 1351, 1356.</w:t>
      </w:r>
    </w:p>
  </w:footnote>
  <w:footnote w:id="54">
    <w:p w14:paraId="05A3C9DE" w14:textId="77777777" w:rsidR="00B77019" w:rsidRPr="00A55F4A" w:rsidRDefault="00B77019" w:rsidP="00B110AB">
      <w:pPr>
        <w:pStyle w:val="Textonotapie"/>
        <w:rPr>
          <w:lang w:val="es-ES"/>
        </w:rPr>
      </w:pPr>
      <w:r>
        <w:rPr>
          <w:rStyle w:val="Refdenotaalpie"/>
        </w:rPr>
        <w:footnoteRef/>
      </w:r>
      <w:r w:rsidRPr="00A55F4A">
        <w:rPr>
          <w:lang w:val="es-ES"/>
        </w:rPr>
        <w:t xml:space="preserve"> </w:t>
      </w:r>
      <w:r w:rsidRPr="00E653A8">
        <w:rPr>
          <w:lang w:val="es-ES"/>
        </w:rPr>
        <w:t>ibid</w:t>
      </w:r>
      <w:r w:rsidRPr="00A55F4A">
        <w:rPr>
          <w:lang w:val="es-ES"/>
        </w:rPr>
        <w:t xml:space="preserve"> para 1351.</w:t>
      </w:r>
    </w:p>
  </w:footnote>
  <w:footnote w:id="55">
    <w:p w14:paraId="7783F986" w14:textId="7F17DB87" w:rsidR="00B77019" w:rsidRPr="00A55F4A" w:rsidRDefault="00B77019" w:rsidP="00B110AB">
      <w:pPr>
        <w:pStyle w:val="Textonotapie"/>
        <w:rPr>
          <w:lang w:val="es-ES"/>
        </w:rPr>
      </w:pPr>
      <w:r>
        <w:rPr>
          <w:rStyle w:val="Refdenotaalpie"/>
        </w:rPr>
        <w:footnoteRef/>
      </w:r>
      <w:r w:rsidRPr="00A55F4A">
        <w:rPr>
          <w:lang w:val="es-ES"/>
        </w:rPr>
        <w:t xml:space="preserve"> </w:t>
      </w:r>
      <w:r w:rsidRPr="00E653A8">
        <w:rPr>
          <w:lang w:val="es-ES"/>
        </w:rPr>
        <w:t>ibid</w:t>
      </w:r>
      <w:r w:rsidRPr="00A55F4A">
        <w:rPr>
          <w:lang w:val="es-ES"/>
        </w:rPr>
        <w:t xml:space="preserve"> para 1466</w:t>
      </w:r>
      <w:r w:rsidR="004C055C">
        <w:rPr>
          <w:lang w:val="es-ES"/>
        </w:rPr>
        <w:t xml:space="preserve"> (emphasis added)</w:t>
      </w:r>
      <w:r w:rsidRPr="00A55F4A">
        <w:rPr>
          <w:lang w:val="es-ES"/>
        </w:rPr>
        <w:t>.</w:t>
      </w:r>
    </w:p>
  </w:footnote>
  <w:footnote w:id="56">
    <w:p w14:paraId="1D088C82" w14:textId="77777777" w:rsidR="00B77019" w:rsidRPr="00F85A0E" w:rsidRDefault="00B77019" w:rsidP="00B110AB">
      <w:pPr>
        <w:pStyle w:val="Textonotapie"/>
        <w:rPr>
          <w:lang w:val="es-ES"/>
        </w:rPr>
      </w:pPr>
      <w:r>
        <w:rPr>
          <w:rStyle w:val="Refdenotaalpie"/>
        </w:rPr>
        <w:footnoteRef/>
      </w:r>
      <w:r w:rsidRPr="00F85A0E">
        <w:rPr>
          <w:lang w:val="es-ES"/>
        </w:rPr>
        <w:t xml:space="preserve"> ibid</w:t>
      </w:r>
      <w:r w:rsidRPr="00F85A0E">
        <w:rPr>
          <w:i/>
          <w:iCs/>
          <w:lang w:val="es-ES"/>
        </w:rPr>
        <w:t xml:space="preserve"> </w:t>
      </w:r>
      <w:r w:rsidRPr="00F85A0E">
        <w:rPr>
          <w:lang w:val="es-ES"/>
        </w:rPr>
        <w:t>para 1351.</w:t>
      </w:r>
    </w:p>
  </w:footnote>
  <w:footnote w:id="57">
    <w:p w14:paraId="100638C6" w14:textId="68E1BE88" w:rsidR="00B77019" w:rsidRPr="003D5CAC" w:rsidRDefault="00B77019" w:rsidP="00E0507F">
      <w:pPr>
        <w:pStyle w:val="Textonotapie"/>
      </w:pPr>
      <w:r>
        <w:rPr>
          <w:rStyle w:val="Refdenotaalpie"/>
        </w:rPr>
        <w:footnoteRef/>
      </w:r>
      <w:r w:rsidRPr="003D5CAC">
        <w:t xml:space="preserve">  </w:t>
      </w:r>
      <w:r w:rsidR="003D5CAC" w:rsidRPr="002C6350">
        <w:t>Oo</w:t>
      </w:r>
      <w:r w:rsidR="003D5CAC">
        <w:t>sterveld</w:t>
      </w:r>
      <w:r w:rsidR="00D975F1">
        <w:t xml:space="preserve"> (n 50) </w:t>
      </w:r>
      <w:r w:rsidR="003D5CAC">
        <w:t xml:space="preserve"> </w:t>
      </w:r>
      <w:r w:rsidRPr="003D5CAC">
        <w:t>66, 73.</w:t>
      </w:r>
    </w:p>
  </w:footnote>
  <w:footnote w:id="58">
    <w:p w14:paraId="7D117501" w14:textId="3178DE7A" w:rsidR="00B77019" w:rsidRPr="003033DE" w:rsidRDefault="00B77019" w:rsidP="00E0507F">
      <w:pPr>
        <w:pStyle w:val="Textonotapie"/>
      </w:pPr>
      <w:r>
        <w:rPr>
          <w:rStyle w:val="Refdenotaalpie"/>
        </w:rPr>
        <w:footnoteRef/>
      </w:r>
      <w:r>
        <w:t xml:space="preserve"> </w:t>
      </w:r>
      <w:r w:rsidR="003D5CAC">
        <w:t xml:space="preserve">ibid </w:t>
      </w:r>
      <w:r>
        <w:t>74.</w:t>
      </w:r>
    </w:p>
  </w:footnote>
  <w:footnote w:id="59">
    <w:p w14:paraId="503AB6B9" w14:textId="73D08375" w:rsidR="00B77019" w:rsidRPr="00D93E1C" w:rsidRDefault="00B77019" w:rsidP="00380B30">
      <w:pPr>
        <w:pStyle w:val="Textonotapie"/>
      </w:pPr>
      <w:r>
        <w:rPr>
          <w:rStyle w:val="Refdenotaalpie"/>
        </w:rPr>
        <w:footnoteRef/>
      </w:r>
      <w:r w:rsidRPr="00D93E1C">
        <w:t xml:space="preserve"> </w:t>
      </w:r>
      <w:r w:rsidRPr="00D975F1">
        <w:rPr>
          <w:i/>
          <w:iCs/>
        </w:rPr>
        <w:t>RUF</w:t>
      </w:r>
      <w:r w:rsidRPr="00DD443A">
        <w:t xml:space="preserve">, ‘Trial Judgment’ (n </w:t>
      </w:r>
      <w:r w:rsidR="003D5CAC">
        <w:t>2</w:t>
      </w:r>
      <w:r w:rsidRPr="00DD443A">
        <w:t xml:space="preserve">) </w:t>
      </w:r>
      <w:r w:rsidRPr="00D93E1C">
        <w:t>para 1349</w:t>
      </w:r>
      <w:r w:rsidR="003D5CAC">
        <w:t>.</w:t>
      </w:r>
    </w:p>
  </w:footnote>
  <w:footnote w:id="60">
    <w:p w14:paraId="3CEE9D86" w14:textId="7411A79B" w:rsidR="00B77019" w:rsidRPr="004B4A25" w:rsidRDefault="00B77019">
      <w:pPr>
        <w:pStyle w:val="Textonotapie"/>
      </w:pPr>
      <w:r>
        <w:rPr>
          <w:rStyle w:val="Refdenotaalpie"/>
        </w:rPr>
        <w:footnoteRef/>
      </w:r>
      <w:r>
        <w:t xml:space="preserve"> ibid </w:t>
      </w:r>
      <w:r w:rsidRPr="00DD52A6">
        <w:t>paras 1155, 1178, 1211-1214, 1580</w:t>
      </w:r>
      <w:r w:rsidR="0089035D">
        <w:t>.</w:t>
      </w:r>
    </w:p>
  </w:footnote>
  <w:footnote w:id="61">
    <w:p w14:paraId="7B051FC3" w14:textId="5EDD8C70" w:rsidR="00B77019" w:rsidRPr="00DD52A6" w:rsidRDefault="00B77019">
      <w:pPr>
        <w:pStyle w:val="Textonotapie"/>
      </w:pPr>
      <w:r w:rsidRPr="00726DF1">
        <w:rPr>
          <w:rStyle w:val="Refdenotaalpie"/>
        </w:rPr>
        <w:footnoteRef/>
      </w:r>
      <w:r w:rsidRPr="00726DF1">
        <w:t xml:space="preserve"> </w:t>
      </w:r>
      <w:r w:rsidRPr="0089035D">
        <w:rPr>
          <w:i/>
          <w:iCs/>
        </w:rPr>
        <w:t xml:space="preserve">The Prosecutor v Dragoljub Kunarac, Radomir Kovac, and Zoran Vukovic </w:t>
      </w:r>
      <w:r>
        <w:t xml:space="preserve">(Appeals Judgment) </w:t>
      </w:r>
      <w:r w:rsidRPr="00EA2666">
        <w:t>IT-96-23 &amp; IT</w:t>
      </w:r>
      <w:r>
        <w:t>-</w:t>
      </w:r>
      <w:r w:rsidRPr="00EA2666">
        <w:t>96-23/1-</w:t>
      </w:r>
      <w:r>
        <w:t xml:space="preserve">A (12 June </w:t>
      </w:r>
      <w:r w:rsidRPr="00EA2666">
        <w:t>200</w:t>
      </w:r>
      <w:r>
        <w:t xml:space="preserve">2) paras 117-119. Rome Statute (n </w:t>
      </w:r>
      <w:r w:rsidR="0089035D">
        <w:t>22</w:t>
      </w:r>
      <w:r>
        <w:t>) Art 7(2)(c) provides "Enslavement" means the exercise of any or all of the powers attaching to the right of ownership over a person and includes the exercise of such power in the course of trafficking in persons, in particular women and children”. Supplementary Convention on the Abolition of Slavery, the Slave Trade, and Institutions and Practices Similar to Slavery (adopted 30 April 1956, entry into force 30 April 1957) 266 UNTS 3, Art3</w:t>
      </w:r>
      <w:r w:rsidR="0089035D">
        <w:t>.</w:t>
      </w:r>
    </w:p>
  </w:footnote>
  <w:footnote w:id="62">
    <w:p w14:paraId="1EF449EB" w14:textId="74619EAB" w:rsidR="00B77019" w:rsidRPr="00FF72AC" w:rsidRDefault="00B77019" w:rsidP="003A04FC">
      <w:pPr>
        <w:pStyle w:val="Textonotapie"/>
      </w:pPr>
      <w:r>
        <w:rPr>
          <w:rStyle w:val="Refdenotaalpie"/>
        </w:rPr>
        <w:footnoteRef/>
      </w:r>
      <w:r>
        <w:t xml:space="preserve"> United Nations Protocol to Prevent, Suppress and Punish Trafficking in Persons Especially Women and Children (adopted 15 November 2000, entered into force 25 December 2003) 2237 UNTS 319 (Palermo Protocol) Art 3 (a).</w:t>
      </w:r>
    </w:p>
  </w:footnote>
  <w:footnote w:id="63">
    <w:p w14:paraId="7313F1BC" w14:textId="6B187318" w:rsidR="00B77019" w:rsidRPr="007E446A" w:rsidRDefault="00B77019">
      <w:pPr>
        <w:pStyle w:val="Textonotapie"/>
      </w:pPr>
      <w:r>
        <w:rPr>
          <w:rStyle w:val="Refdenotaalpie"/>
        </w:rPr>
        <w:footnoteRef/>
      </w:r>
      <w:r>
        <w:t xml:space="preserve"> </w:t>
      </w:r>
      <w:r w:rsidRPr="00B708FC">
        <w:rPr>
          <w:i/>
          <w:iCs/>
        </w:rPr>
        <w:t>RUF</w:t>
      </w:r>
      <w:r w:rsidRPr="00DD443A">
        <w:t xml:space="preserve">, ‘Trial Judgment’ (n </w:t>
      </w:r>
      <w:r w:rsidR="0089035D">
        <w:t>2</w:t>
      </w:r>
      <w:r w:rsidRPr="00DD443A">
        <w:t xml:space="preserve">) </w:t>
      </w:r>
      <w:r w:rsidRPr="00D93E1C">
        <w:t>para</w:t>
      </w:r>
      <w:r>
        <w:t xml:space="preserve">s </w:t>
      </w:r>
      <w:r w:rsidRPr="00DD52A6">
        <w:t>1155, 1178, 1211-1214, 1580</w:t>
      </w:r>
      <w:r w:rsidR="0089035D">
        <w:t>.</w:t>
      </w:r>
    </w:p>
  </w:footnote>
  <w:footnote w:id="64">
    <w:p w14:paraId="3710F4FB" w14:textId="24043F1B" w:rsidR="00B77019" w:rsidRPr="007E446A" w:rsidRDefault="00B77019">
      <w:pPr>
        <w:pStyle w:val="Textonotapie"/>
      </w:pPr>
      <w:r>
        <w:rPr>
          <w:rStyle w:val="Refdenotaalpie"/>
        </w:rPr>
        <w:footnoteRef/>
      </w:r>
      <w:r>
        <w:t xml:space="preserve"> ibid </w:t>
      </w:r>
      <w:r w:rsidRPr="00256FF4">
        <w:t>paras 1406 -1408</w:t>
      </w:r>
      <w:r w:rsidR="0089035D">
        <w:t>.</w:t>
      </w:r>
    </w:p>
  </w:footnote>
  <w:footnote w:id="65">
    <w:p w14:paraId="63538F89" w14:textId="71894FAF" w:rsidR="00B77019" w:rsidRPr="00256FF4" w:rsidRDefault="00B77019" w:rsidP="00256FF4">
      <w:pPr>
        <w:pStyle w:val="Textonotapie"/>
      </w:pPr>
      <w:r>
        <w:rPr>
          <w:rStyle w:val="Refdenotaalpie"/>
        </w:rPr>
        <w:footnoteRef/>
      </w:r>
      <w:r>
        <w:t xml:space="preserve"> M De Guzmán, ‘</w:t>
      </w:r>
      <w:r w:rsidRPr="00256FF4">
        <w:rPr>
          <w:rFonts w:cstheme="minorHAnsi"/>
        </w:rPr>
        <w:t>Choosing to Prosecute: Expressive Selection at the International</w:t>
      </w:r>
      <w:r>
        <w:t xml:space="preserve"> </w:t>
      </w:r>
      <w:r w:rsidRPr="00256FF4">
        <w:rPr>
          <w:rFonts w:cstheme="minorHAnsi"/>
        </w:rPr>
        <w:t>Criminal Court</w:t>
      </w:r>
      <w:r>
        <w:rPr>
          <w:rFonts w:cstheme="minorHAnsi"/>
        </w:rPr>
        <w:t>’ (2012) 33:2 Michigan Journal of International Law 313.</w:t>
      </w:r>
    </w:p>
  </w:footnote>
  <w:footnote w:id="66">
    <w:p w14:paraId="3FA32A08" w14:textId="639CD8F0" w:rsidR="00B77019" w:rsidRPr="00035FF2" w:rsidRDefault="00B77019">
      <w:pPr>
        <w:pStyle w:val="Textonotapie"/>
      </w:pPr>
      <w:r>
        <w:rPr>
          <w:rStyle w:val="Refdenotaalpie"/>
        </w:rPr>
        <w:footnoteRef/>
      </w:r>
      <w:r w:rsidRPr="00035FF2">
        <w:t xml:space="preserve"> UN</w:t>
      </w:r>
      <w:r w:rsidRPr="00035FF2">
        <w:rPr>
          <w:rFonts w:cs="Calibri"/>
        </w:rPr>
        <w:t>SC Res 2331 (20 December 2016) UN Doc/S</w:t>
      </w:r>
      <w:r>
        <w:rPr>
          <w:rFonts w:cs="Calibri"/>
        </w:rPr>
        <w:t>/RES/2331 (2016) OP 8.</w:t>
      </w:r>
    </w:p>
  </w:footnote>
  <w:footnote w:id="67">
    <w:p w14:paraId="5C8BCE11" w14:textId="2671DCBF" w:rsidR="00B77019" w:rsidRPr="008C465D" w:rsidRDefault="00B77019">
      <w:pPr>
        <w:pStyle w:val="Textonotapie"/>
      </w:pPr>
      <w:r>
        <w:rPr>
          <w:rStyle w:val="Refdenotaalpie"/>
        </w:rPr>
        <w:footnoteRef/>
      </w:r>
      <w:r>
        <w:t xml:space="preserve"> </w:t>
      </w:r>
      <w:r w:rsidRPr="005A28B3">
        <w:rPr>
          <w:rFonts w:cs="Calibri"/>
        </w:rPr>
        <w:t>C Kenny</w:t>
      </w:r>
      <w:r>
        <w:rPr>
          <w:rFonts w:cs="Calibri"/>
        </w:rPr>
        <w:t xml:space="preserve"> and</w:t>
      </w:r>
      <w:r w:rsidRPr="005A28B3">
        <w:rPr>
          <w:rFonts w:cs="Calibri"/>
        </w:rPr>
        <w:t xml:space="preserve"> N Malik, </w:t>
      </w:r>
      <w:r>
        <w:rPr>
          <w:rFonts w:cs="Calibri"/>
        </w:rPr>
        <w:t>‘</w:t>
      </w:r>
      <w:r w:rsidRPr="005A28B3">
        <w:rPr>
          <w:rFonts w:cs="Calibri"/>
        </w:rPr>
        <w:t>Trafficking Terror and Sexual Violence: Accountability for Human Trafficking and Sexual and Gender-Based Violence by Terrorist Groups under the Rome Statute</w:t>
      </w:r>
      <w:r>
        <w:rPr>
          <w:rFonts w:cs="Calibri"/>
        </w:rPr>
        <w:t xml:space="preserve">’ </w:t>
      </w:r>
      <w:r w:rsidRPr="005A28B3">
        <w:rPr>
          <w:rFonts w:cs="Calibri"/>
        </w:rPr>
        <w:t>(2019</w:t>
      </w:r>
      <w:r w:rsidRPr="005A28B3">
        <w:rPr>
          <w:rFonts w:cs="Calibri"/>
          <w:i/>
          <w:iCs/>
        </w:rPr>
        <w:t>)</w:t>
      </w:r>
      <w:r>
        <w:rPr>
          <w:rFonts w:cs="Calibri"/>
        </w:rPr>
        <w:t xml:space="preserve"> 43</w:t>
      </w:r>
      <w:r w:rsidRPr="005A28B3">
        <w:rPr>
          <w:rFonts w:cs="Calibri"/>
        </w:rPr>
        <w:t>:</w:t>
      </w:r>
      <w:r w:rsidRPr="00C140A8">
        <w:rPr>
          <w:rFonts w:cs="Calibri"/>
        </w:rPr>
        <w:t>52 Vanderbilt Journal of Transnatlantic Law</w:t>
      </w:r>
      <w:r>
        <w:rPr>
          <w:rFonts w:cs="Calibri"/>
        </w:rPr>
        <w:t xml:space="preserve"> 43</w:t>
      </w:r>
      <w:r w:rsidR="00B708FC">
        <w:rPr>
          <w:rFonts w:cs="Calibri"/>
        </w:rPr>
        <w:t>.</w:t>
      </w:r>
    </w:p>
  </w:footnote>
  <w:footnote w:id="68">
    <w:p w14:paraId="663080ED" w14:textId="2D6A4617" w:rsidR="00B77019" w:rsidRPr="00FC1127" w:rsidRDefault="00B77019">
      <w:pPr>
        <w:pStyle w:val="Textonotapie"/>
      </w:pPr>
      <w:r>
        <w:rPr>
          <w:rStyle w:val="Refdenotaalpie"/>
        </w:rPr>
        <w:footnoteRef/>
      </w:r>
      <w:r>
        <w:t xml:space="preserve"> Oosterveld (n </w:t>
      </w:r>
      <w:r w:rsidR="00D975F1">
        <w:t>50</w:t>
      </w:r>
      <w:r>
        <w:t>) 66, 73,75</w:t>
      </w:r>
      <w:r w:rsidR="00B708FC">
        <w:t>.</w:t>
      </w:r>
    </w:p>
  </w:footnote>
  <w:footnote w:id="69">
    <w:p w14:paraId="7CB6619C" w14:textId="1BA86360" w:rsidR="00B77019" w:rsidRPr="00ED0C0B" w:rsidRDefault="00B77019" w:rsidP="00C54B23">
      <w:pPr>
        <w:pStyle w:val="Textonotapie"/>
      </w:pPr>
      <w:r>
        <w:rPr>
          <w:rStyle w:val="Refdenotaalpie"/>
        </w:rPr>
        <w:footnoteRef/>
      </w:r>
      <w:r>
        <w:t xml:space="preserve"> </w:t>
      </w:r>
      <w:r w:rsidRPr="00D975F1">
        <w:rPr>
          <w:i/>
          <w:iCs/>
        </w:rPr>
        <w:t>RUF</w:t>
      </w:r>
      <w:r>
        <w:t xml:space="preserve"> Case (</w:t>
      </w:r>
      <w:r w:rsidRPr="00ED0C0B">
        <w:t>Sentencing</w:t>
      </w:r>
      <w:r w:rsidRPr="007D4048">
        <w:t xml:space="preserve"> Judgement</w:t>
      </w:r>
      <w:r>
        <w:t xml:space="preserve">) </w:t>
      </w:r>
      <w:r w:rsidRPr="007D4048">
        <w:t>SCSL-04-15-T</w:t>
      </w:r>
      <w:r>
        <w:t xml:space="preserve"> (</w:t>
      </w:r>
      <w:r w:rsidRPr="0093715A">
        <w:t>8 April 2009</w:t>
      </w:r>
      <w:r>
        <w:t xml:space="preserve">) </w:t>
      </w:r>
      <w:r w:rsidRPr="0093715A">
        <w:t xml:space="preserve">paras. </w:t>
      </w:r>
      <w:r w:rsidRPr="00ED0C0B">
        <w:t>129, 131</w:t>
      </w:r>
      <w:r>
        <w:t xml:space="preserve"> (emphasis added).</w:t>
      </w:r>
    </w:p>
  </w:footnote>
  <w:footnote w:id="70">
    <w:p w14:paraId="7BCBAAC2" w14:textId="02066BEB" w:rsidR="00B77019" w:rsidRPr="00ED0C0B" w:rsidRDefault="00B77019" w:rsidP="00C54B23">
      <w:pPr>
        <w:pStyle w:val="Textonotapie"/>
      </w:pPr>
      <w:r>
        <w:rPr>
          <w:rStyle w:val="Refdenotaalpie"/>
        </w:rPr>
        <w:footnoteRef/>
      </w:r>
      <w:r>
        <w:t xml:space="preserve"> </w:t>
      </w:r>
      <w:r w:rsidRPr="00E90296">
        <w:t xml:space="preserve">ibid </w:t>
      </w:r>
      <w:r w:rsidRPr="00ED0C0B">
        <w:t>para</w:t>
      </w:r>
      <w:r>
        <w:t xml:space="preserve"> 132.</w:t>
      </w:r>
    </w:p>
  </w:footnote>
  <w:footnote w:id="71">
    <w:p w14:paraId="4F62D5E1" w14:textId="70BC3BE8" w:rsidR="00B77019" w:rsidRPr="00D93E1C" w:rsidRDefault="00B77019" w:rsidP="00C54B23">
      <w:pPr>
        <w:pStyle w:val="Textonotapie"/>
      </w:pPr>
      <w:r>
        <w:rPr>
          <w:rStyle w:val="Refdenotaalpie"/>
        </w:rPr>
        <w:footnoteRef/>
      </w:r>
      <w:r>
        <w:t xml:space="preserve"> </w:t>
      </w:r>
      <w:r w:rsidRPr="00E90296">
        <w:t>ibid</w:t>
      </w:r>
      <w:r w:rsidRPr="00D93E1C">
        <w:t xml:space="preserve"> para 133</w:t>
      </w:r>
      <w:r>
        <w:t>.</w:t>
      </w:r>
    </w:p>
  </w:footnote>
  <w:footnote w:id="72">
    <w:p w14:paraId="52C62115" w14:textId="0D9AC354" w:rsidR="00B77019" w:rsidRPr="001263FB" w:rsidRDefault="00B77019">
      <w:pPr>
        <w:pStyle w:val="Textonotapie"/>
      </w:pPr>
      <w:r w:rsidRPr="001263FB">
        <w:rPr>
          <w:rStyle w:val="Refdenotaalpie"/>
        </w:rPr>
        <w:footnoteRef/>
      </w:r>
      <w:r w:rsidRPr="001263FB">
        <w:t xml:space="preserve"> </w:t>
      </w:r>
      <w:r>
        <w:t xml:space="preserve">F </w:t>
      </w:r>
      <w:r w:rsidRPr="001263FB">
        <w:t>Ní Aoláin</w:t>
      </w:r>
      <w:r>
        <w:t>, ‘</w:t>
      </w:r>
      <w:r w:rsidRPr="001263FB">
        <w:t>Sex-Based Violence and the Holocaust</w:t>
      </w:r>
      <w:r>
        <w:t xml:space="preserve"> – A </w:t>
      </w:r>
      <w:r w:rsidR="00C55BA5">
        <w:t>Revaluation</w:t>
      </w:r>
      <w:r>
        <w:t xml:space="preserve"> of Harms and Rights in International Law’ (2000) 12:43 Yale Journal of Law and Feminism </w:t>
      </w:r>
      <w:r w:rsidRPr="001263FB">
        <w:t>57</w:t>
      </w:r>
      <w:r>
        <w:t>.</w:t>
      </w:r>
    </w:p>
  </w:footnote>
  <w:footnote w:id="73">
    <w:p w14:paraId="34598B72" w14:textId="40202F85" w:rsidR="00B77019" w:rsidRPr="00170277" w:rsidRDefault="00B77019" w:rsidP="007A04A9">
      <w:pPr>
        <w:pStyle w:val="Textonotapie"/>
        <w:rPr>
          <w:color w:val="FF0000"/>
        </w:rPr>
      </w:pPr>
      <w:r>
        <w:rPr>
          <w:rStyle w:val="Refdenotaalpie"/>
        </w:rPr>
        <w:footnoteRef/>
      </w:r>
      <w:r>
        <w:t xml:space="preserve"> </w:t>
      </w:r>
      <w:r w:rsidRPr="00D35646">
        <w:t xml:space="preserve">ibid </w:t>
      </w:r>
      <w:r w:rsidRPr="00E86B51">
        <w:t xml:space="preserve">61 </w:t>
      </w:r>
    </w:p>
  </w:footnote>
  <w:footnote w:id="74">
    <w:p w14:paraId="73E9F87B" w14:textId="2D460852" w:rsidR="00B77019" w:rsidRPr="00C5735A" w:rsidRDefault="00B77019" w:rsidP="00122526">
      <w:pPr>
        <w:spacing w:after="0" w:line="240" w:lineRule="auto"/>
        <w:jc w:val="both"/>
        <w:rPr>
          <w:sz w:val="20"/>
          <w:szCs w:val="20"/>
        </w:rPr>
      </w:pPr>
      <w:r w:rsidRPr="00D8189C">
        <w:rPr>
          <w:rStyle w:val="Refdenotaalpie"/>
          <w:sz w:val="20"/>
          <w:szCs w:val="20"/>
        </w:rPr>
        <w:footnoteRef/>
      </w:r>
      <w:r w:rsidRPr="00D8189C">
        <w:rPr>
          <w:sz w:val="20"/>
          <w:szCs w:val="20"/>
        </w:rPr>
        <w:t xml:space="preserve"> </w:t>
      </w:r>
      <w:r w:rsidRPr="00726DF1">
        <w:rPr>
          <w:i/>
          <w:iCs/>
          <w:sz w:val="20"/>
          <w:szCs w:val="20"/>
        </w:rPr>
        <w:t>Al Hassan</w:t>
      </w:r>
      <w:r>
        <w:rPr>
          <w:sz w:val="20"/>
          <w:szCs w:val="20"/>
        </w:rPr>
        <w:t xml:space="preserve"> Case (</w:t>
      </w:r>
      <w:r w:rsidRPr="00C5735A">
        <w:rPr>
          <w:sz w:val="20"/>
          <w:szCs w:val="20"/>
        </w:rPr>
        <w:t>Decision on the Prosecutor’s Application for the Issuance of a Warrant of Arrest</w:t>
      </w:r>
      <w:r>
        <w:rPr>
          <w:sz w:val="20"/>
          <w:szCs w:val="20"/>
        </w:rPr>
        <w:t>)</w:t>
      </w:r>
      <w:r w:rsidRPr="00C5735A">
        <w:rPr>
          <w:sz w:val="20"/>
          <w:szCs w:val="20"/>
        </w:rPr>
        <w:t xml:space="preserve"> ICC-01/12-01/18</w:t>
      </w:r>
      <w:r>
        <w:rPr>
          <w:sz w:val="20"/>
          <w:szCs w:val="20"/>
        </w:rPr>
        <w:t xml:space="preserve"> (</w:t>
      </w:r>
      <w:r w:rsidRPr="00C5735A">
        <w:rPr>
          <w:sz w:val="20"/>
          <w:szCs w:val="20"/>
        </w:rPr>
        <w:t>22 May 2018</w:t>
      </w:r>
      <w:r>
        <w:rPr>
          <w:sz w:val="20"/>
          <w:szCs w:val="20"/>
        </w:rPr>
        <w:t>)</w:t>
      </w:r>
      <w:r w:rsidRPr="00C5735A">
        <w:rPr>
          <w:sz w:val="20"/>
          <w:szCs w:val="20"/>
        </w:rPr>
        <w:t xml:space="preserve"> para</w:t>
      </w:r>
      <w:r>
        <w:rPr>
          <w:sz w:val="20"/>
          <w:szCs w:val="20"/>
        </w:rPr>
        <w:t xml:space="preserve"> </w:t>
      </w:r>
      <w:r w:rsidRPr="00C5735A">
        <w:rPr>
          <w:sz w:val="20"/>
          <w:szCs w:val="20"/>
        </w:rPr>
        <w:t>90</w:t>
      </w:r>
      <w:r>
        <w:rPr>
          <w:sz w:val="20"/>
          <w:szCs w:val="20"/>
        </w:rPr>
        <w:t>.</w:t>
      </w:r>
    </w:p>
  </w:footnote>
  <w:footnote w:id="75">
    <w:p w14:paraId="6F43A0B4" w14:textId="3C7DB9E0" w:rsidR="00B77019" w:rsidRPr="00CF22CD" w:rsidRDefault="00B35818" w:rsidP="00122526">
      <w:pPr>
        <w:pStyle w:val="Textonotapie"/>
        <w:jc w:val="both"/>
      </w:pPr>
      <w:r>
        <w:rPr>
          <w:rStyle w:val="Refdenotaalpie"/>
        </w:rPr>
        <w:footnoteRef/>
      </w:r>
      <w:r w:rsidRPr="00726DF1">
        <w:rPr>
          <w:i/>
          <w:iCs/>
        </w:rPr>
        <w:t>Al Hassan</w:t>
      </w:r>
      <w:r>
        <w:t xml:space="preserve"> ‘Document Containing the Charges’ (n 3) para 153</w:t>
      </w:r>
      <w:r>
        <w:t>.</w:t>
      </w:r>
    </w:p>
  </w:footnote>
  <w:footnote w:id="76">
    <w:p w14:paraId="10791F71" w14:textId="2F4C7C4B" w:rsidR="00B77019" w:rsidRPr="00CF22CD" w:rsidRDefault="00B77019" w:rsidP="00122526">
      <w:pPr>
        <w:pStyle w:val="Textonotapie"/>
        <w:jc w:val="both"/>
      </w:pPr>
      <w:r>
        <w:rPr>
          <w:rStyle w:val="Refdenotaalpie"/>
        </w:rPr>
        <w:footnoteRef/>
      </w:r>
      <w:r w:rsidRPr="00CF22CD">
        <w:t xml:space="preserve"> </w:t>
      </w:r>
      <w:r>
        <w:t xml:space="preserve">ibid </w:t>
      </w:r>
      <w:r w:rsidRPr="00CF22CD">
        <w:t>para 155.</w:t>
      </w:r>
    </w:p>
  </w:footnote>
  <w:footnote w:id="77">
    <w:p w14:paraId="0465AF95" w14:textId="3FCFFD3A" w:rsidR="00B77019" w:rsidRPr="00CF22CD" w:rsidRDefault="00B77019" w:rsidP="00C46C71">
      <w:pPr>
        <w:autoSpaceDE w:val="0"/>
        <w:autoSpaceDN w:val="0"/>
        <w:adjustRightInd w:val="0"/>
        <w:spacing w:after="0" w:line="240" w:lineRule="auto"/>
        <w:rPr>
          <w:rFonts w:cstheme="minorHAnsi"/>
          <w:sz w:val="20"/>
          <w:szCs w:val="20"/>
        </w:rPr>
      </w:pPr>
      <w:r w:rsidRPr="00CF22CD">
        <w:rPr>
          <w:rStyle w:val="Refdenotaalpie"/>
          <w:rFonts w:cstheme="minorHAnsi"/>
          <w:color w:val="000000" w:themeColor="text1"/>
          <w:sz w:val="20"/>
          <w:szCs w:val="20"/>
        </w:rPr>
        <w:footnoteRef/>
      </w:r>
      <w:r w:rsidRPr="00CF22CD">
        <w:rPr>
          <w:rFonts w:cstheme="minorHAnsi"/>
          <w:color w:val="000000" w:themeColor="text1"/>
          <w:sz w:val="20"/>
          <w:szCs w:val="20"/>
        </w:rPr>
        <w:t xml:space="preserve">  </w:t>
      </w:r>
      <w:r w:rsidRPr="00726DF1">
        <w:rPr>
          <w:i/>
          <w:iCs/>
          <w:sz w:val="20"/>
          <w:szCs w:val="20"/>
        </w:rPr>
        <w:t>Al Hassan</w:t>
      </w:r>
      <w:r>
        <w:rPr>
          <w:sz w:val="20"/>
          <w:szCs w:val="20"/>
        </w:rPr>
        <w:t xml:space="preserve"> Case, ‘</w:t>
      </w:r>
      <w:r w:rsidRPr="00CF22CD">
        <w:rPr>
          <w:rFonts w:cstheme="minorHAnsi"/>
          <w:color w:val="000000" w:themeColor="text1"/>
          <w:sz w:val="20"/>
          <w:szCs w:val="20"/>
        </w:rPr>
        <w:t>Rectificatif à la Décision relative à la confirmation des charges</w:t>
      </w:r>
      <w:r>
        <w:rPr>
          <w:rFonts w:cstheme="minorHAnsi"/>
          <w:color w:val="000000" w:themeColor="text1"/>
          <w:sz w:val="20"/>
          <w:szCs w:val="20"/>
        </w:rPr>
        <w:t xml:space="preserve">’ </w:t>
      </w:r>
      <w:r w:rsidRPr="00CF22CD">
        <w:rPr>
          <w:rFonts w:cstheme="minorHAnsi"/>
          <w:color w:val="000000" w:themeColor="text1"/>
          <w:sz w:val="20"/>
          <w:szCs w:val="20"/>
        </w:rPr>
        <w:t>ICC-01/12-01/18</w:t>
      </w:r>
      <w:r>
        <w:rPr>
          <w:rFonts w:cstheme="minorHAnsi"/>
          <w:color w:val="000000" w:themeColor="text1"/>
          <w:sz w:val="20"/>
          <w:szCs w:val="20"/>
        </w:rPr>
        <w:t xml:space="preserve"> (</w:t>
      </w:r>
      <w:r w:rsidRPr="00CF22CD">
        <w:rPr>
          <w:rFonts w:cstheme="minorHAnsi"/>
          <w:color w:val="000000" w:themeColor="text1"/>
          <w:sz w:val="20"/>
          <w:szCs w:val="20"/>
        </w:rPr>
        <w:t>30 September 2019</w:t>
      </w:r>
      <w:r>
        <w:rPr>
          <w:rFonts w:cstheme="minorHAnsi"/>
          <w:color w:val="000000" w:themeColor="text1"/>
          <w:sz w:val="20"/>
          <w:szCs w:val="20"/>
        </w:rPr>
        <w:t>)</w:t>
      </w:r>
      <w:r w:rsidRPr="00CF22CD">
        <w:rPr>
          <w:rFonts w:cstheme="minorHAnsi"/>
          <w:color w:val="000000" w:themeColor="text1"/>
          <w:sz w:val="20"/>
          <w:szCs w:val="20"/>
        </w:rPr>
        <w:t>.</w:t>
      </w:r>
    </w:p>
  </w:footnote>
  <w:footnote w:id="78">
    <w:p w14:paraId="64458463" w14:textId="6DC80C3C" w:rsidR="00B77019" w:rsidRPr="00122526" w:rsidRDefault="00B77019">
      <w:pPr>
        <w:pStyle w:val="Textonotapie"/>
      </w:pPr>
      <w:r w:rsidRPr="00122526">
        <w:rPr>
          <w:rStyle w:val="Refdenotaalpie"/>
        </w:rPr>
        <w:footnoteRef/>
      </w:r>
      <w:r w:rsidRPr="00122526">
        <w:t xml:space="preserve"> </w:t>
      </w:r>
      <w:r>
        <w:t>i</w:t>
      </w:r>
      <w:r w:rsidRPr="00122526">
        <w:t>bid.</w:t>
      </w:r>
    </w:p>
  </w:footnote>
  <w:footnote w:id="79">
    <w:p w14:paraId="5701B4E4" w14:textId="10F9B939" w:rsidR="00B77019" w:rsidRPr="00122526" w:rsidRDefault="00B77019" w:rsidP="00B905C3">
      <w:pPr>
        <w:pStyle w:val="Textonotapie"/>
        <w:rPr>
          <w:rFonts w:cstheme="minorHAnsi"/>
        </w:rPr>
      </w:pPr>
      <w:r w:rsidRPr="00675253">
        <w:rPr>
          <w:rStyle w:val="Refdenotaalpie"/>
          <w:rFonts w:cstheme="minorHAnsi"/>
        </w:rPr>
        <w:footnoteRef/>
      </w:r>
      <w:r w:rsidRPr="00675253">
        <w:rPr>
          <w:rFonts w:cstheme="minorHAnsi"/>
        </w:rPr>
        <w:t xml:space="preserve"> </w:t>
      </w:r>
      <w:r>
        <w:rPr>
          <w:rFonts w:cstheme="minorHAnsi"/>
        </w:rPr>
        <w:t xml:space="preserve">UNSC, ‘Letter from the Secretary-General addressed to the President of the Security Council annexing the Special Report of the Office of the Special Representative of the Secretary General on Sexual Violence in Conflict’ </w:t>
      </w:r>
      <w:r w:rsidRPr="00675253">
        <w:rPr>
          <w:rFonts w:cstheme="minorHAnsi"/>
        </w:rPr>
        <w:t>U</w:t>
      </w:r>
      <w:r>
        <w:rPr>
          <w:rFonts w:cstheme="minorHAnsi"/>
        </w:rPr>
        <w:t xml:space="preserve">N </w:t>
      </w:r>
      <w:r w:rsidRPr="00675253">
        <w:rPr>
          <w:rFonts w:cstheme="minorHAnsi"/>
        </w:rPr>
        <w:t xml:space="preserve">Doc. </w:t>
      </w:r>
      <w:r w:rsidRPr="00122526">
        <w:rPr>
          <w:rFonts w:cstheme="minorHAnsi"/>
        </w:rPr>
        <w:t>S/2016/1090</w:t>
      </w:r>
      <w:r>
        <w:rPr>
          <w:rFonts w:cstheme="minorHAnsi"/>
        </w:rPr>
        <w:t xml:space="preserve">, </w:t>
      </w:r>
      <w:r w:rsidRPr="00122526">
        <w:rPr>
          <w:rFonts w:cstheme="minorHAnsi"/>
        </w:rPr>
        <w:t>21</w:t>
      </w:r>
      <w:r>
        <w:rPr>
          <w:rFonts w:cstheme="minorHAnsi"/>
        </w:rPr>
        <w:t xml:space="preserve"> December </w:t>
      </w:r>
      <w:r w:rsidRPr="00122526">
        <w:rPr>
          <w:rFonts w:cstheme="minorHAnsi"/>
        </w:rPr>
        <w:t>2016</w:t>
      </w:r>
      <w:r>
        <w:rPr>
          <w:rFonts w:cstheme="minorHAnsi"/>
        </w:rPr>
        <w:t xml:space="preserve">, </w:t>
      </w:r>
      <w:r w:rsidRPr="00122526">
        <w:rPr>
          <w:rFonts w:cstheme="minorHAnsi"/>
        </w:rPr>
        <w:t>7</w:t>
      </w:r>
      <w:r>
        <w:rPr>
          <w:rFonts w:cstheme="minorHAnsi"/>
        </w:rPr>
        <w:t>.</w:t>
      </w:r>
    </w:p>
  </w:footnote>
  <w:footnote w:id="80">
    <w:p w14:paraId="5D31DC19" w14:textId="4E652FF2" w:rsidR="00B77019" w:rsidRPr="00F85A0E" w:rsidRDefault="00B77019" w:rsidP="00B905C3">
      <w:pPr>
        <w:pStyle w:val="Textonotapie"/>
        <w:rPr>
          <w:rFonts w:cstheme="minorHAnsi"/>
        </w:rPr>
      </w:pPr>
      <w:r>
        <w:rPr>
          <w:rStyle w:val="Refdenotaalpie"/>
        </w:rPr>
        <w:footnoteRef/>
      </w:r>
      <w:r w:rsidRPr="00F02930">
        <w:t xml:space="preserve"> </w:t>
      </w:r>
      <w:r w:rsidRPr="00DB3D43">
        <w:rPr>
          <w:rFonts w:cstheme="minorHAnsi"/>
        </w:rPr>
        <w:t>UNSC, ‘Report of the Secretary-General on Conflict-Related Sexual Violence’ UN Doc. S/2015/203, 23 March 2015 para</w:t>
      </w:r>
      <w:r>
        <w:rPr>
          <w:rFonts w:cstheme="minorHAnsi"/>
        </w:rPr>
        <w:t xml:space="preserve"> </w:t>
      </w:r>
      <w:r w:rsidRPr="00DB3D43">
        <w:rPr>
          <w:rFonts w:cstheme="minorHAnsi"/>
        </w:rPr>
        <w:t>84.</w:t>
      </w:r>
    </w:p>
  </w:footnote>
  <w:footnote w:id="81">
    <w:p w14:paraId="156E017A" w14:textId="6B403F1E" w:rsidR="00B77019" w:rsidRPr="00DB3D43" w:rsidRDefault="00B77019" w:rsidP="00B905C3">
      <w:pPr>
        <w:pStyle w:val="Textonotapie"/>
        <w:rPr>
          <w:rFonts w:cstheme="minorHAnsi"/>
        </w:rPr>
      </w:pPr>
      <w:r w:rsidRPr="00675253">
        <w:rPr>
          <w:rStyle w:val="Refdenotaalpie"/>
          <w:rFonts w:cstheme="minorHAnsi"/>
        </w:rPr>
        <w:footnoteRef/>
      </w:r>
      <w:r w:rsidRPr="00DB3D43">
        <w:rPr>
          <w:rFonts w:cstheme="minorHAnsi"/>
        </w:rPr>
        <w:t xml:space="preserve"> UNSC Res 2331 (n </w:t>
      </w:r>
      <w:r w:rsidR="00D975F1">
        <w:rPr>
          <w:rFonts w:cstheme="minorHAnsi"/>
        </w:rPr>
        <w:t>66</w:t>
      </w:r>
      <w:r w:rsidRPr="00DB3D43">
        <w:rPr>
          <w:rFonts w:cstheme="minorHAnsi"/>
        </w:rPr>
        <w:t>). UNSC, ‘Report of the Secretary-General on Conflict-Related Sexual Violence’ UN Doc.</w:t>
      </w:r>
      <w:bookmarkStart w:id="9" w:name="_Hlk36810111"/>
      <w:r>
        <w:rPr>
          <w:rFonts w:cstheme="minorHAnsi"/>
        </w:rPr>
        <w:t xml:space="preserve"> </w:t>
      </w:r>
      <w:r w:rsidRPr="00F85A0E">
        <w:rPr>
          <w:rFonts w:cs="Calibri"/>
        </w:rPr>
        <w:t>S/2017/249</w:t>
      </w:r>
      <w:bookmarkEnd w:id="9"/>
      <w:r w:rsidRPr="00F85A0E">
        <w:rPr>
          <w:rFonts w:cs="Calibri"/>
        </w:rPr>
        <w:t xml:space="preserve">, 15 April 2017 para 8. </w:t>
      </w:r>
    </w:p>
  </w:footnote>
  <w:footnote w:id="82">
    <w:p w14:paraId="383B5700" w14:textId="22E551F7" w:rsidR="00B77019" w:rsidRPr="005134CF" w:rsidRDefault="00B77019" w:rsidP="00C55BA5">
      <w:pPr>
        <w:pStyle w:val="Textonotapie"/>
        <w:ind w:left="720" w:hanging="720"/>
        <w:rPr>
          <w:rFonts w:cstheme="minorHAnsi"/>
        </w:rPr>
      </w:pPr>
      <w:r w:rsidRPr="00675253">
        <w:rPr>
          <w:rStyle w:val="Refdenotaalpie"/>
          <w:rFonts w:cstheme="minorHAnsi"/>
        </w:rPr>
        <w:footnoteRef/>
      </w:r>
      <w:r w:rsidRPr="005134CF">
        <w:rPr>
          <w:rFonts w:cstheme="minorHAnsi"/>
        </w:rPr>
        <w:t xml:space="preserve"> </w:t>
      </w:r>
      <w:r>
        <w:rPr>
          <w:rFonts w:cstheme="minorHAnsi"/>
        </w:rPr>
        <w:t xml:space="preserve">UNSC ‘Letter from the Secretary-General, Annex’ (n </w:t>
      </w:r>
      <w:r w:rsidR="00C55BA5">
        <w:rPr>
          <w:rFonts w:cstheme="minorHAnsi"/>
        </w:rPr>
        <w:t>91</w:t>
      </w:r>
      <w:r>
        <w:rPr>
          <w:rFonts w:cstheme="minorHAnsi"/>
        </w:rPr>
        <w:t>) 5-6</w:t>
      </w:r>
      <w:r w:rsidRPr="005134CF">
        <w:rPr>
          <w:rFonts w:cstheme="minorHAnsi"/>
        </w:rPr>
        <w:t>.</w:t>
      </w:r>
    </w:p>
  </w:footnote>
  <w:footnote w:id="83">
    <w:p w14:paraId="5D0EFF73" w14:textId="483F2595" w:rsidR="00B77019" w:rsidRPr="0074753B" w:rsidRDefault="00B77019" w:rsidP="00B905C3">
      <w:pPr>
        <w:pStyle w:val="Textonotapie"/>
        <w:rPr>
          <w:lang w:val="es-ES"/>
        </w:rPr>
      </w:pPr>
      <w:r>
        <w:rPr>
          <w:rStyle w:val="Refdenotaalpie"/>
        </w:rPr>
        <w:footnoteRef/>
      </w:r>
      <w:r w:rsidRPr="0074753B">
        <w:rPr>
          <w:lang w:val="es-ES"/>
        </w:rPr>
        <w:t xml:space="preserve"> </w:t>
      </w:r>
      <w:r w:rsidR="00C55BA5" w:rsidRPr="00542423">
        <w:rPr>
          <w:rFonts w:cs="Calibri"/>
          <w:lang w:val="es-ES"/>
        </w:rPr>
        <w:t xml:space="preserve">UN Secretary-General, Conflict Related Sexual Violence, UN. Doc. </w:t>
      </w:r>
      <w:r w:rsidR="00C55BA5" w:rsidRPr="00D93E1C">
        <w:rPr>
          <w:rFonts w:cs="Calibri"/>
          <w:lang w:val="es-ES"/>
        </w:rPr>
        <w:t>S/2017/249 (15</w:t>
      </w:r>
      <w:r w:rsidR="00C55BA5">
        <w:rPr>
          <w:rFonts w:cs="Calibri"/>
          <w:lang w:val="es-ES"/>
        </w:rPr>
        <w:t xml:space="preserve"> April</w:t>
      </w:r>
      <w:r w:rsidR="00C55BA5" w:rsidRPr="00D93E1C">
        <w:rPr>
          <w:rFonts w:cs="Calibri"/>
          <w:lang w:val="es-ES"/>
        </w:rPr>
        <w:t xml:space="preserve"> 2017) </w:t>
      </w:r>
      <w:r w:rsidR="00C55BA5" w:rsidRPr="00D93E1C">
        <w:rPr>
          <w:rFonts w:cstheme="minorHAnsi"/>
          <w:lang w:val="es-ES"/>
        </w:rPr>
        <w:t xml:space="preserve">para </w:t>
      </w:r>
      <w:r w:rsidR="00C55BA5">
        <w:rPr>
          <w:rFonts w:cstheme="minorHAnsi"/>
          <w:lang w:val="es-ES"/>
        </w:rPr>
        <w:t>8</w:t>
      </w:r>
      <w:r>
        <w:rPr>
          <w:rFonts w:cs="Calibri"/>
          <w:lang w:val="es-ES"/>
        </w:rPr>
        <w:t>.</w:t>
      </w:r>
    </w:p>
  </w:footnote>
  <w:footnote w:id="84">
    <w:p w14:paraId="236AB7DF" w14:textId="39918FDF" w:rsidR="00B77019" w:rsidRPr="00B905C3" w:rsidRDefault="00B77019" w:rsidP="00B905C3">
      <w:pPr>
        <w:pStyle w:val="Textonotapie"/>
        <w:rPr>
          <w:lang w:val="es-ES"/>
        </w:rPr>
      </w:pPr>
      <w:r>
        <w:rPr>
          <w:rStyle w:val="Refdenotaalpie"/>
        </w:rPr>
        <w:footnoteRef/>
      </w:r>
      <w:r w:rsidR="00C55BA5">
        <w:rPr>
          <w:rFonts w:cs="Calibri"/>
          <w:lang w:val="es-ES"/>
        </w:rPr>
        <w:t xml:space="preserve"> </w:t>
      </w:r>
      <w:r w:rsidRPr="005134CF">
        <w:rPr>
          <w:rFonts w:cs="Calibri"/>
          <w:lang w:val="es-ES"/>
        </w:rPr>
        <w:t xml:space="preserve">ibid </w:t>
      </w:r>
      <w:r w:rsidRPr="0074753B">
        <w:rPr>
          <w:rFonts w:cs="Calibri"/>
          <w:lang w:val="es-ES"/>
        </w:rPr>
        <w:t xml:space="preserve">para </w:t>
      </w:r>
      <w:r w:rsidRPr="00B905C3">
        <w:rPr>
          <w:rFonts w:cs="Calibri"/>
          <w:lang w:val="es-ES"/>
        </w:rPr>
        <w:t>10</w:t>
      </w:r>
      <w:r>
        <w:rPr>
          <w:rFonts w:cs="Calibri"/>
          <w:lang w:val="es-ES"/>
        </w:rPr>
        <w:t>.</w:t>
      </w:r>
    </w:p>
  </w:footnote>
  <w:footnote w:id="85">
    <w:p w14:paraId="501C985D" w14:textId="20492BCA" w:rsidR="00B77019" w:rsidRPr="005134CF" w:rsidRDefault="00B77019" w:rsidP="00B905C3">
      <w:pPr>
        <w:pStyle w:val="Textonotapie"/>
        <w:rPr>
          <w:lang w:val="es-ES"/>
        </w:rPr>
      </w:pPr>
      <w:r w:rsidRPr="005134CF">
        <w:rPr>
          <w:rStyle w:val="Refdenotaalpie"/>
        </w:rPr>
        <w:footnoteRef/>
      </w:r>
      <w:r w:rsidRPr="005134CF">
        <w:rPr>
          <w:lang w:val="es-ES"/>
        </w:rPr>
        <w:t xml:space="preserve"> </w:t>
      </w:r>
      <w:r w:rsidRPr="005134CF">
        <w:rPr>
          <w:rFonts w:cs="Calibri"/>
          <w:lang w:val="es-ES"/>
        </w:rPr>
        <w:t>ibid</w:t>
      </w:r>
      <w:r>
        <w:rPr>
          <w:rFonts w:cs="Calibri"/>
          <w:lang w:val="es-ES"/>
        </w:rPr>
        <w:t>.</w:t>
      </w:r>
    </w:p>
  </w:footnote>
  <w:footnote w:id="86">
    <w:p w14:paraId="2F233D6C" w14:textId="008B1D7F" w:rsidR="00B77019" w:rsidRPr="00B504BA" w:rsidRDefault="00B77019" w:rsidP="003C190A">
      <w:pPr>
        <w:pStyle w:val="Textonotapie"/>
        <w:rPr>
          <w:lang w:val="es-ES"/>
        </w:rPr>
      </w:pPr>
      <w:r>
        <w:rPr>
          <w:rStyle w:val="Refdenotaalpie"/>
        </w:rPr>
        <w:footnoteRef/>
      </w:r>
      <w:r w:rsidRPr="00E2335E">
        <w:rPr>
          <w:lang w:val="es-ES"/>
        </w:rPr>
        <w:t xml:space="preserve"> </w:t>
      </w:r>
      <w:r w:rsidRPr="00B504BA">
        <w:rPr>
          <w:lang w:val="es-ES"/>
        </w:rPr>
        <w:t xml:space="preserve">UNSC Res 2331 (2016) (n </w:t>
      </w:r>
      <w:r w:rsidR="00D975F1">
        <w:rPr>
          <w:lang w:val="es-ES"/>
        </w:rPr>
        <w:t>66</w:t>
      </w:r>
      <w:r w:rsidRPr="00B504BA">
        <w:rPr>
          <w:lang w:val="es-ES"/>
        </w:rPr>
        <w:t>).</w:t>
      </w:r>
    </w:p>
  </w:footnote>
  <w:footnote w:id="87">
    <w:p w14:paraId="58BD24A8" w14:textId="41F6221F" w:rsidR="00B77019" w:rsidRPr="00B35818" w:rsidRDefault="00B77019" w:rsidP="00B905C3">
      <w:pPr>
        <w:pStyle w:val="Textonotapie"/>
        <w:rPr>
          <w:rFonts w:cstheme="minorHAnsi"/>
        </w:rPr>
      </w:pPr>
      <w:r w:rsidRPr="00B504BA">
        <w:rPr>
          <w:rStyle w:val="Refdenotaalpie"/>
          <w:rFonts w:cstheme="minorHAnsi"/>
        </w:rPr>
        <w:footnoteRef/>
      </w:r>
      <w:r w:rsidRPr="00B35818">
        <w:rPr>
          <w:rFonts w:cstheme="minorHAnsi"/>
        </w:rPr>
        <w:t xml:space="preserve"> UNSC Doc. S/2015/203 (n </w:t>
      </w:r>
      <w:r w:rsidR="00D975F1" w:rsidRPr="00B35818">
        <w:rPr>
          <w:rFonts w:cstheme="minorHAnsi"/>
        </w:rPr>
        <w:t>80</w:t>
      </w:r>
      <w:r w:rsidRPr="00B35818">
        <w:rPr>
          <w:rFonts w:cstheme="minorHAnsi"/>
        </w:rPr>
        <w:t>) para 84.</w:t>
      </w:r>
    </w:p>
  </w:footnote>
  <w:footnote w:id="88">
    <w:p w14:paraId="15A99BDA" w14:textId="361D47BD" w:rsidR="00B77019" w:rsidRPr="00B35818" w:rsidRDefault="00B77019" w:rsidP="00B905C3">
      <w:pPr>
        <w:pStyle w:val="Textonotapie"/>
      </w:pPr>
      <w:r>
        <w:rPr>
          <w:rStyle w:val="Refdenotaalpie"/>
        </w:rPr>
        <w:footnoteRef/>
      </w:r>
      <w:r w:rsidRPr="00B35818">
        <w:t xml:space="preserve"> </w:t>
      </w:r>
      <w:r w:rsidR="00B07F36" w:rsidRPr="00B35818">
        <w:rPr>
          <w:i/>
          <w:iCs/>
        </w:rPr>
        <w:t>Al Hassan</w:t>
      </w:r>
      <w:r w:rsidR="00B07F36" w:rsidRPr="00B35818">
        <w:t>, ‘Document Containing the Charges’ (n 3)</w:t>
      </w:r>
      <w:r w:rsidRPr="00B35818">
        <w:t xml:space="preserve"> para 766.</w:t>
      </w:r>
    </w:p>
  </w:footnote>
  <w:footnote w:id="89">
    <w:p w14:paraId="26CCC9D9" w14:textId="2B491F09" w:rsidR="00B77019" w:rsidRPr="00BD166D" w:rsidRDefault="00B77019" w:rsidP="00B905C3">
      <w:pPr>
        <w:pStyle w:val="Textonotapie"/>
        <w:rPr>
          <w:lang w:val="es-ES"/>
        </w:rPr>
      </w:pPr>
      <w:r>
        <w:rPr>
          <w:rStyle w:val="Refdenotaalpie"/>
        </w:rPr>
        <w:footnoteRef/>
      </w:r>
      <w:r w:rsidRPr="000E5387">
        <w:rPr>
          <w:lang w:val="es-ES"/>
        </w:rPr>
        <w:t xml:space="preserve"> </w:t>
      </w:r>
      <w:r w:rsidRPr="0095042D">
        <w:rPr>
          <w:lang w:val="es-ES"/>
        </w:rPr>
        <w:t xml:space="preserve">ibid </w:t>
      </w:r>
      <w:r>
        <w:rPr>
          <w:lang w:val="es-ES"/>
        </w:rPr>
        <w:t xml:space="preserve">para </w:t>
      </w:r>
      <w:r w:rsidRPr="00BD166D">
        <w:rPr>
          <w:lang w:val="es-ES"/>
        </w:rPr>
        <w:t>790</w:t>
      </w:r>
      <w:r>
        <w:rPr>
          <w:lang w:val="es-ES"/>
        </w:rPr>
        <w:t>.</w:t>
      </w:r>
    </w:p>
  </w:footnote>
  <w:footnote w:id="90">
    <w:p w14:paraId="123629BE" w14:textId="6762C9F0" w:rsidR="00B77019" w:rsidRPr="002C0E5E" w:rsidRDefault="00B77019" w:rsidP="00A52D74">
      <w:pPr>
        <w:pStyle w:val="Textonotapie"/>
        <w:rPr>
          <w:lang w:val="es-ES"/>
        </w:rPr>
      </w:pPr>
      <w:r>
        <w:rPr>
          <w:rStyle w:val="Refdenotaalpie"/>
        </w:rPr>
        <w:footnoteRef/>
      </w:r>
      <w:r w:rsidRPr="002C0E5E">
        <w:rPr>
          <w:lang w:val="es-ES"/>
        </w:rPr>
        <w:t xml:space="preserve"> </w:t>
      </w:r>
      <w:r w:rsidRPr="0095042D">
        <w:rPr>
          <w:lang w:val="es-ES"/>
        </w:rPr>
        <w:t xml:space="preserve">ibid </w:t>
      </w:r>
      <w:r>
        <w:rPr>
          <w:lang w:val="es-ES"/>
        </w:rPr>
        <w:t>para 766.</w:t>
      </w:r>
    </w:p>
  </w:footnote>
  <w:footnote w:id="91">
    <w:p w14:paraId="42EC1DF0" w14:textId="53E9FCB0" w:rsidR="00B77019" w:rsidRPr="002C0E5E" w:rsidRDefault="00B77019" w:rsidP="00A52D74">
      <w:pPr>
        <w:pStyle w:val="Textonotapie"/>
        <w:rPr>
          <w:lang w:val="es-ES"/>
        </w:rPr>
      </w:pPr>
      <w:r>
        <w:rPr>
          <w:rStyle w:val="Refdenotaalpie"/>
        </w:rPr>
        <w:footnoteRef/>
      </w:r>
      <w:r w:rsidRPr="002C0E5E">
        <w:rPr>
          <w:lang w:val="es-ES"/>
        </w:rPr>
        <w:t xml:space="preserve"> </w:t>
      </w:r>
      <w:r w:rsidRPr="0095042D">
        <w:rPr>
          <w:lang w:val="es-ES"/>
        </w:rPr>
        <w:t>ibid</w:t>
      </w:r>
      <w:r w:rsidRPr="00113B0A">
        <w:rPr>
          <w:i/>
          <w:iCs/>
          <w:lang w:val="es-ES"/>
        </w:rPr>
        <w:t xml:space="preserve"> </w:t>
      </w:r>
      <w:r>
        <w:rPr>
          <w:lang w:val="es-ES"/>
        </w:rPr>
        <w:t>para 826.</w:t>
      </w:r>
    </w:p>
  </w:footnote>
  <w:footnote w:id="92">
    <w:p w14:paraId="774557B3" w14:textId="5349311E" w:rsidR="00B77019" w:rsidRPr="00BD166D" w:rsidRDefault="00B77019" w:rsidP="00A52D74">
      <w:pPr>
        <w:pStyle w:val="Textonotapie"/>
        <w:rPr>
          <w:lang w:val="es-ES"/>
        </w:rPr>
      </w:pPr>
      <w:r>
        <w:rPr>
          <w:rStyle w:val="Refdenotaalpie"/>
        </w:rPr>
        <w:footnoteRef/>
      </w:r>
      <w:r w:rsidRPr="002C0E5E">
        <w:rPr>
          <w:lang w:val="es-ES"/>
        </w:rPr>
        <w:t xml:space="preserve"> </w:t>
      </w:r>
      <w:r w:rsidRPr="0095042D">
        <w:rPr>
          <w:lang w:val="es-ES"/>
        </w:rPr>
        <w:t>ibid</w:t>
      </w:r>
      <w:r>
        <w:rPr>
          <w:lang w:val="es-ES"/>
        </w:rPr>
        <w:t xml:space="preserve"> para </w:t>
      </w:r>
      <w:r w:rsidRPr="00BD166D">
        <w:rPr>
          <w:lang w:val="es-ES"/>
        </w:rPr>
        <w:t>792</w:t>
      </w:r>
      <w:r>
        <w:rPr>
          <w:lang w:val="es-ES"/>
        </w:rPr>
        <w:t>.</w:t>
      </w:r>
    </w:p>
  </w:footnote>
  <w:footnote w:id="93">
    <w:p w14:paraId="3A427439" w14:textId="00D76266" w:rsidR="00B77019" w:rsidRPr="00BD166D" w:rsidRDefault="00B77019" w:rsidP="00A52D74">
      <w:pPr>
        <w:pStyle w:val="Textonotapie"/>
        <w:rPr>
          <w:lang w:val="es-ES"/>
        </w:rPr>
      </w:pPr>
      <w:r>
        <w:rPr>
          <w:rStyle w:val="Refdenotaalpie"/>
        </w:rPr>
        <w:footnoteRef/>
      </w:r>
      <w:r>
        <w:rPr>
          <w:lang w:val="es-ES"/>
        </w:rPr>
        <w:t xml:space="preserve"> </w:t>
      </w:r>
      <w:r w:rsidRPr="0095042D">
        <w:rPr>
          <w:lang w:val="es-ES"/>
        </w:rPr>
        <w:t xml:space="preserve">ibid </w:t>
      </w:r>
      <w:r w:rsidRPr="00BD166D">
        <w:rPr>
          <w:lang w:val="es-ES"/>
        </w:rPr>
        <w:t>para</w:t>
      </w:r>
      <w:r>
        <w:rPr>
          <w:lang w:val="es-ES"/>
        </w:rPr>
        <w:t>s180,</w:t>
      </w:r>
      <w:r w:rsidRPr="00BD166D">
        <w:rPr>
          <w:lang w:val="es-ES"/>
        </w:rPr>
        <w:t xml:space="preserve"> 825</w:t>
      </w:r>
      <w:r>
        <w:rPr>
          <w:lang w:val="es-ES"/>
        </w:rPr>
        <w:t>.</w:t>
      </w:r>
    </w:p>
  </w:footnote>
  <w:footnote w:id="94">
    <w:p w14:paraId="3181B7AA" w14:textId="34F8127E" w:rsidR="00B77019" w:rsidRPr="00BD166D" w:rsidRDefault="00B77019" w:rsidP="00F14E88">
      <w:pPr>
        <w:pStyle w:val="Textonotapie"/>
        <w:rPr>
          <w:lang w:val="es-ES"/>
        </w:rPr>
      </w:pPr>
      <w:r>
        <w:rPr>
          <w:rStyle w:val="Refdenotaalpie"/>
        </w:rPr>
        <w:footnoteRef/>
      </w:r>
      <w:r w:rsidRPr="00BD166D">
        <w:rPr>
          <w:lang w:val="es-ES"/>
        </w:rPr>
        <w:t xml:space="preserve"> </w:t>
      </w:r>
      <w:r w:rsidRPr="0095042D">
        <w:rPr>
          <w:lang w:val="es-ES"/>
        </w:rPr>
        <w:t xml:space="preserve">ibid </w:t>
      </w:r>
      <w:r w:rsidRPr="00BD166D">
        <w:rPr>
          <w:lang w:val="es-ES"/>
        </w:rPr>
        <w:t>paras 767, 790</w:t>
      </w:r>
      <w:r>
        <w:rPr>
          <w:lang w:val="es-ES"/>
        </w:rPr>
        <w:t>.</w:t>
      </w:r>
    </w:p>
  </w:footnote>
  <w:footnote w:id="95">
    <w:p w14:paraId="29FF355F" w14:textId="717CBC5F" w:rsidR="00B77019" w:rsidRPr="003710A4" w:rsidRDefault="00B77019">
      <w:pPr>
        <w:pStyle w:val="Textonotapie"/>
        <w:rPr>
          <w:lang w:val="es-ES"/>
        </w:rPr>
      </w:pPr>
      <w:r>
        <w:rPr>
          <w:rStyle w:val="Refdenotaalpie"/>
        </w:rPr>
        <w:footnoteRef/>
      </w:r>
      <w:r w:rsidRPr="003710A4">
        <w:rPr>
          <w:lang w:val="es-ES"/>
        </w:rPr>
        <w:t xml:space="preserve"> ibid para 767.</w:t>
      </w:r>
    </w:p>
  </w:footnote>
  <w:footnote w:id="96">
    <w:p w14:paraId="13AFC8C1" w14:textId="29FBF00D" w:rsidR="00B77019" w:rsidRPr="003E2533" w:rsidRDefault="00B77019" w:rsidP="007F7C17">
      <w:pPr>
        <w:pStyle w:val="Textonotapie"/>
        <w:rPr>
          <w:lang w:val="es-ES"/>
        </w:rPr>
      </w:pPr>
      <w:r>
        <w:rPr>
          <w:rStyle w:val="Refdenotaalpie"/>
        </w:rPr>
        <w:footnoteRef/>
      </w:r>
      <w:r w:rsidRPr="003E2533">
        <w:rPr>
          <w:lang w:val="es-ES"/>
        </w:rPr>
        <w:t xml:space="preserve"> </w:t>
      </w:r>
      <w:r w:rsidRPr="003E2533">
        <w:rPr>
          <w:i/>
          <w:iCs/>
          <w:lang w:val="es-ES"/>
        </w:rPr>
        <w:t>Al Hassan</w:t>
      </w:r>
      <w:r w:rsidRPr="003E2533">
        <w:rPr>
          <w:lang w:val="es-ES"/>
        </w:rPr>
        <w:t xml:space="preserve"> ‘Document Containing the Charges’ (n </w:t>
      </w:r>
      <w:r w:rsidR="00B07F36" w:rsidRPr="003E2533">
        <w:rPr>
          <w:lang w:val="es-ES"/>
        </w:rPr>
        <w:t>3</w:t>
      </w:r>
      <w:r w:rsidRPr="003E2533">
        <w:rPr>
          <w:lang w:val="es-ES"/>
        </w:rPr>
        <w:t>) paras 168-170.</w:t>
      </w:r>
    </w:p>
  </w:footnote>
  <w:footnote w:id="97">
    <w:p w14:paraId="74699F1E" w14:textId="66F09F92" w:rsidR="00B07F36" w:rsidRPr="00B07F36" w:rsidRDefault="00B07F36">
      <w:pPr>
        <w:pStyle w:val="Textonotapie"/>
        <w:rPr>
          <w:lang w:val="es-ES"/>
        </w:rPr>
      </w:pPr>
      <w:r>
        <w:rPr>
          <w:rStyle w:val="Refdenotaalpie"/>
        </w:rPr>
        <w:footnoteRef/>
      </w:r>
      <w:r w:rsidRPr="00651FA1">
        <w:rPr>
          <w:lang w:val="es-ES"/>
        </w:rPr>
        <w:t xml:space="preserve"> </w:t>
      </w:r>
      <w:r w:rsidR="00651FA1">
        <w:rPr>
          <w:lang w:val="es-ES"/>
        </w:rPr>
        <w:t>i</w:t>
      </w:r>
      <w:r>
        <w:rPr>
          <w:lang w:val="es-ES"/>
        </w:rPr>
        <w:t>bid para 185.</w:t>
      </w:r>
    </w:p>
  </w:footnote>
  <w:footnote w:id="98">
    <w:p w14:paraId="2D8864D4" w14:textId="57C0D44B" w:rsidR="00B77019" w:rsidRPr="003710A4" w:rsidRDefault="00B77019">
      <w:pPr>
        <w:pStyle w:val="Textonotapie"/>
        <w:rPr>
          <w:lang w:val="es-ES"/>
        </w:rPr>
      </w:pPr>
      <w:r>
        <w:rPr>
          <w:rStyle w:val="Refdenotaalpie"/>
        </w:rPr>
        <w:footnoteRef/>
      </w:r>
      <w:r w:rsidRPr="003710A4">
        <w:rPr>
          <w:lang w:val="es-ES"/>
        </w:rPr>
        <w:t xml:space="preserve"> ibid paras 180, 185, 195.</w:t>
      </w:r>
    </w:p>
  </w:footnote>
  <w:footnote w:id="99">
    <w:p w14:paraId="40AC9D2A" w14:textId="38268A2B" w:rsidR="00B77019" w:rsidRPr="003710A4" w:rsidRDefault="00B77019">
      <w:pPr>
        <w:pStyle w:val="Textonotapie"/>
        <w:rPr>
          <w:b/>
          <w:bCs/>
          <w:color w:val="FF0000"/>
          <w:lang w:val="es-ES"/>
        </w:rPr>
      </w:pPr>
      <w:r>
        <w:rPr>
          <w:rStyle w:val="Refdenotaalpie"/>
        </w:rPr>
        <w:footnoteRef/>
      </w:r>
      <w:r w:rsidRPr="003710A4">
        <w:rPr>
          <w:lang w:val="es-ES"/>
        </w:rPr>
        <w:t xml:space="preserve"> ibid para 195. </w:t>
      </w:r>
    </w:p>
  </w:footnote>
  <w:footnote w:id="100">
    <w:p w14:paraId="0876EC1E" w14:textId="781092E7" w:rsidR="00B77019" w:rsidRPr="003E2533" w:rsidRDefault="00B77019">
      <w:pPr>
        <w:pStyle w:val="Textonotapie"/>
        <w:rPr>
          <w:lang w:val="es-ES"/>
        </w:rPr>
      </w:pPr>
      <w:r w:rsidRPr="0095042D">
        <w:rPr>
          <w:rStyle w:val="Refdenotaalpie"/>
        </w:rPr>
        <w:footnoteRef/>
      </w:r>
      <w:r w:rsidRPr="003E2533">
        <w:rPr>
          <w:i/>
          <w:iCs/>
          <w:lang w:val="es-ES"/>
        </w:rPr>
        <w:t xml:space="preserve"> Akayesu</w:t>
      </w:r>
      <w:r w:rsidRPr="003E2533">
        <w:rPr>
          <w:lang w:val="es-ES"/>
        </w:rPr>
        <w:t xml:space="preserve"> `Trial Judgment’ (n </w:t>
      </w:r>
      <w:r w:rsidR="00651FA1" w:rsidRPr="003E2533">
        <w:rPr>
          <w:lang w:val="es-ES"/>
        </w:rPr>
        <w:t>32</w:t>
      </w:r>
      <w:r w:rsidRPr="003E2533">
        <w:rPr>
          <w:lang w:val="es-ES"/>
        </w:rPr>
        <w:t xml:space="preserve">) para 731 (emphasis added). </w:t>
      </w:r>
    </w:p>
  </w:footnote>
  <w:footnote w:id="101">
    <w:p w14:paraId="22FBA039" w14:textId="32BED1B4" w:rsidR="00B77019" w:rsidRPr="009A18EF" w:rsidRDefault="00B77019" w:rsidP="000772BF">
      <w:pPr>
        <w:pStyle w:val="Textonotapie"/>
      </w:pPr>
      <w:r>
        <w:rPr>
          <w:rStyle w:val="Refdenotaalpie"/>
        </w:rPr>
        <w:footnoteRef/>
      </w:r>
      <w:r w:rsidRPr="0095042D">
        <w:t xml:space="preserve"> </w:t>
      </w:r>
      <w:r w:rsidRPr="00651FA1">
        <w:rPr>
          <w:i/>
          <w:iCs/>
        </w:rPr>
        <w:t>Kunarac</w:t>
      </w:r>
      <w:r w:rsidRPr="0095042D">
        <w:t xml:space="preserve"> ‘Trial Judgment’ (n </w:t>
      </w:r>
      <w:r w:rsidR="00651FA1">
        <w:t>33</w:t>
      </w:r>
      <w:r w:rsidRPr="0095042D">
        <w:t>) paras 583, 592</w:t>
      </w:r>
      <w:r>
        <w:t xml:space="preserve"> (emphasis added).</w:t>
      </w:r>
    </w:p>
  </w:footnote>
  <w:footnote w:id="102">
    <w:p w14:paraId="4DAFD81B" w14:textId="524CE61F" w:rsidR="00B77019" w:rsidRPr="00410ECA" w:rsidRDefault="00B77019">
      <w:pPr>
        <w:pStyle w:val="Textonotapie"/>
      </w:pPr>
      <w:r>
        <w:rPr>
          <w:rStyle w:val="Refdenotaalpie"/>
        </w:rPr>
        <w:footnoteRef/>
      </w:r>
      <w:r w:rsidRPr="00410ECA">
        <w:t xml:space="preserve"> </w:t>
      </w:r>
      <w:r w:rsidRPr="00651FA1">
        <w:rPr>
          <w:i/>
          <w:iCs/>
        </w:rPr>
        <w:t>RUF</w:t>
      </w:r>
      <w:r w:rsidRPr="00410ECA">
        <w:t xml:space="preserve">, ‘Trial Judgment’ (n </w:t>
      </w:r>
      <w:r w:rsidR="00651FA1">
        <w:t>2</w:t>
      </w:r>
      <w:r w:rsidRPr="00410ECA">
        <w:t>) paras 1348, 1352</w:t>
      </w:r>
      <w:r w:rsidR="00651FA1">
        <w:t>.</w:t>
      </w:r>
    </w:p>
  </w:footnote>
  <w:footnote w:id="103">
    <w:p w14:paraId="0F75A328" w14:textId="06C7F7E1" w:rsidR="00B77019" w:rsidRPr="00410ECA" w:rsidRDefault="00B77019" w:rsidP="00DC55B1">
      <w:pPr>
        <w:pStyle w:val="Textonotapie"/>
      </w:pPr>
      <w:r>
        <w:rPr>
          <w:rStyle w:val="Refdenotaalpie"/>
        </w:rPr>
        <w:footnoteRef/>
      </w:r>
      <w:r w:rsidRPr="00410ECA">
        <w:t xml:space="preserve"> </w:t>
      </w:r>
      <w:r w:rsidRPr="00651FA1">
        <w:rPr>
          <w:i/>
          <w:iCs/>
        </w:rPr>
        <w:t>Al Hassan</w:t>
      </w:r>
      <w:r w:rsidRPr="0095042D">
        <w:t xml:space="preserve"> ‘Document Containing the Charges</w:t>
      </w:r>
      <w:r>
        <w:t xml:space="preserve">’ (n </w:t>
      </w:r>
      <w:r w:rsidR="00651FA1">
        <w:t>3</w:t>
      </w:r>
      <w:r>
        <w:t xml:space="preserve">) </w:t>
      </w:r>
      <w:r w:rsidRPr="00410ECA">
        <w:t>paras 170, 750, 754, 792, 834.</w:t>
      </w:r>
    </w:p>
  </w:footnote>
  <w:footnote w:id="104">
    <w:p w14:paraId="1F792F28" w14:textId="0DCB2154" w:rsidR="00B77019" w:rsidRDefault="00B77019">
      <w:pPr>
        <w:pStyle w:val="Textonotapie"/>
      </w:pPr>
      <w:r>
        <w:rPr>
          <w:rStyle w:val="Refdenotaalpie"/>
        </w:rPr>
        <w:footnoteRef/>
      </w:r>
      <w:r>
        <w:t xml:space="preserve"> </w:t>
      </w:r>
      <w:r w:rsidRPr="0095042D">
        <w:t xml:space="preserve">Rome Statute (n </w:t>
      </w:r>
      <w:r w:rsidR="000D7F94">
        <w:t>22</w:t>
      </w:r>
      <w:r w:rsidRPr="0095042D">
        <w:t>)</w:t>
      </w:r>
      <w:r>
        <w:t xml:space="preserve"> Art</w:t>
      </w:r>
      <w:r w:rsidRPr="008D01EE">
        <w:t xml:space="preserve"> 7(1)(h)</w:t>
      </w:r>
      <w:r>
        <w:t>. The specific criminal intent of p</w:t>
      </w:r>
      <w:r w:rsidRPr="00F057F3">
        <w:t>ersecution</w:t>
      </w:r>
      <w:r w:rsidRPr="00D31F56">
        <w:rPr>
          <w:b/>
          <w:bCs/>
        </w:rPr>
        <w:t xml:space="preserve"> </w:t>
      </w:r>
      <w:r w:rsidRPr="00D31F56">
        <w:t>requires</w:t>
      </w:r>
      <w:r>
        <w:t xml:space="preserve"> that:</w:t>
      </w:r>
    </w:p>
    <w:p w14:paraId="35821B26" w14:textId="5F6E87C4" w:rsidR="00B77019" w:rsidRPr="00D31F56" w:rsidRDefault="00B77019">
      <w:pPr>
        <w:pStyle w:val="Textonotapie"/>
      </w:pPr>
      <w:r>
        <w:t xml:space="preserve">(a) </w:t>
      </w:r>
      <w:r w:rsidR="000D7F94">
        <w:t>th</w:t>
      </w:r>
      <w:r>
        <w:t xml:space="preserve">e perpetrator targeted such person or persons by reason of the identity of a group or collectivity or targeted the group or collectivity as such, and (b) </w:t>
      </w:r>
      <w:r w:rsidR="000D7F94">
        <w:t>s</w:t>
      </w:r>
      <w:r>
        <w:t>uch targeting was based on political, racial, national, ethnic, cultural, religious, gender as defined in article 7, paragraph 3, of the Statute, or other grounds that are universally recognized as impermissible under international law.</w:t>
      </w:r>
    </w:p>
  </w:footnote>
  <w:footnote w:id="105">
    <w:p w14:paraId="17DB29DD" w14:textId="3E82CEAE" w:rsidR="00B77019" w:rsidRPr="00F057F3" w:rsidRDefault="00B77019">
      <w:pPr>
        <w:pStyle w:val="Textonotapie"/>
      </w:pPr>
      <w:r>
        <w:rPr>
          <w:rStyle w:val="Refdenotaalpie"/>
        </w:rPr>
        <w:footnoteRef/>
      </w:r>
      <w:r>
        <w:t xml:space="preserve"> ‘</w:t>
      </w:r>
      <w:r w:rsidRPr="00410ECA">
        <w:t>Statute</w:t>
      </w:r>
      <w:r>
        <w:t xml:space="preserve"> of the International Criminal Tribunal for Rwanda’ established pursuant to UNSC Res 955(1994) of 8 November 1994</w:t>
      </w:r>
      <w:r w:rsidR="000D7F94">
        <w:t xml:space="preserve">, </w:t>
      </w:r>
      <w:r>
        <w:t>Art.3 (h) recognizes jurisdiction for persecution on political, racial, and religious grounds.</w:t>
      </w:r>
    </w:p>
  </w:footnote>
  <w:footnote w:id="106">
    <w:p w14:paraId="32816313" w14:textId="3B3FCC0B" w:rsidR="00B77019" w:rsidRPr="005E4CE2" w:rsidRDefault="00B77019" w:rsidP="006263A4">
      <w:pPr>
        <w:autoSpaceDE w:val="0"/>
        <w:autoSpaceDN w:val="0"/>
        <w:adjustRightInd w:val="0"/>
        <w:spacing w:after="0" w:line="240" w:lineRule="auto"/>
        <w:rPr>
          <w:color w:val="000000" w:themeColor="text1"/>
          <w:sz w:val="20"/>
          <w:szCs w:val="20"/>
        </w:rPr>
      </w:pPr>
      <w:r w:rsidRPr="005E4CE2">
        <w:rPr>
          <w:rStyle w:val="Refdenotaalpie"/>
          <w:color w:val="000000" w:themeColor="text1"/>
          <w:sz w:val="20"/>
          <w:szCs w:val="20"/>
        </w:rPr>
        <w:footnoteRef/>
      </w:r>
      <w:r w:rsidRPr="005E4CE2">
        <w:rPr>
          <w:color w:val="000000" w:themeColor="text1"/>
          <w:sz w:val="20"/>
          <w:szCs w:val="20"/>
        </w:rPr>
        <w:t xml:space="preserve"> </w:t>
      </w:r>
      <w:r w:rsidRPr="000D7F94">
        <w:rPr>
          <w:rFonts w:cstheme="minorHAnsi"/>
          <w:i/>
          <w:iCs/>
          <w:sz w:val="20"/>
          <w:szCs w:val="20"/>
        </w:rPr>
        <w:t>The Prosecutor v Ferdinand Nahimana, Jean-Bosco Barayagwiza, Hassan Ngeze</w:t>
      </w:r>
      <w:r>
        <w:rPr>
          <w:rFonts w:cstheme="minorHAnsi"/>
          <w:sz w:val="20"/>
          <w:szCs w:val="20"/>
        </w:rPr>
        <w:t xml:space="preserve"> (</w:t>
      </w:r>
      <w:r w:rsidRPr="005E4CE2">
        <w:rPr>
          <w:rFonts w:cstheme="minorHAnsi"/>
          <w:sz w:val="20"/>
          <w:szCs w:val="20"/>
        </w:rPr>
        <w:t>Trial Judgment and Sentence</w:t>
      </w:r>
      <w:r>
        <w:rPr>
          <w:rFonts w:cstheme="minorHAnsi"/>
          <w:sz w:val="20"/>
          <w:szCs w:val="20"/>
        </w:rPr>
        <w:t xml:space="preserve">) </w:t>
      </w:r>
      <w:r w:rsidRPr="005E4CE2">
        <w:rPr>
          <w:rFonts w:cstheme="minorHAnsi"/>
          <w:sz w:val="20"/>
          <w:szCs w:val="20"/>
        </w:rPr>
        <w:t>ICTR-99-52-T</w:t>
      </w:r>
      <w:r>
        <w:rPr>
          <w:rFonts w:cstheme="minorHAnsi"/>
          <w:sz w:val="20"/>
          <w:szCs w:val="20"/>
        </w:rPr>
        <w:t xml:space="preserve"> (</w:t>
      </w:r>
      <w:r w:rsidRPr="005E4CE2">
        <w:rPr>
          <w:rFonts w:cstheme="minorHAnsi"/>
          <w:sz w:val="20"/>
          <w:szCs w:val="20"/>
        </w:rPr>
        <w:t>3 December 2003</w:t>
      </w:r>
      <w:r>
        <w:rPr>
          <w:rFonts w:cstheme="minorHAnsi"/>
          <w:sz w:val="20"/>
          <w:szCs w:val="20"/>
        </w:rPr>
        <w:t xml:space="preserve">) </w:t>
      </w:r>
      <w:r w:rsidRPr="005E4CE2">
        <w:rPr>
          <w:color w:val="000000" w:themeColor="text1"/>
          <w:sz w:val="20"/>
          <w:szCs w:val="20"/>
        </w:rPr>
        <w:t>para</w:t>
      </w:r>
      <w:r>
        <w:rPr>
          <w:color w:val="000000" w:themeColor="text1"/>
          <w:sz w:val="20"/>
          <w:szCs w:val="20"/>
        </w:rPr>
        <w:t xml:space="preserve"> </w:t>
      </w:r>
      <w:r w:rsidRPr="005E4CE2">
        <w:rPr>
          <w:color w:val="000000" w:themeColor="text1"/>
          <w:sz w:val="20"/>
          <w:szCs w:val="20"/>
        </w:rPr>
        <w:t xml:space="preserve">1071. </w:t>
      </w:r>
      <w:r w:rsidRPr="002A13F7">
        <w:rPr>
          <w:color w:val="000000" w:themeColor="text1"/>
          <w:sz w:val="20"/>
          <w:szCs w:val="20"/>
        </w:rPr>
        <w:t>The T</w:t>
      </w:r>
      <w:r>
        <w:rPr>
          <w:color w:val="000000" w:themeColor="text1"/>
          <w:sz w:val="20"/>
          <w:szCs w:val="20"/>
        </w:rPr>
        <w:t>rial Chamber</w:t>
      </w:r>
      <w:r w:rsidRPr="002A13F7">
        <w:rPr>
          <w:color w:val="000000" w:themeColor="text1"/>
          <w:sz w:val="20"/>
          <w:szCs w:val="20"/>
        </w:rPr>
        <w:t xml:space="preserve"> stressed the communicative value of SGBV noting “</w:t>
      </w:r>
      <w:r w:rsidRPr="002A13F7">
        <w:rPr>
          <w:rFonts w:cstheme="minorHAnsi"/>
          <w:color w:val="000000" w:themeColor="text1"/>
          <w:sz w:val="20"/>
          <w:szCs w:val="20"/>
        </w:rPr>
        <w:t xml:space="preserve">The portrayal of the Tursi woman as a </w:t>
      </w:r>
      <w:r w:rsidRPr="002A13F7">
        <w:rPr>
          <w:rFonts w:cstheme="minorHAnsi"/>
          <w:i/>
          <w:iCs/>
          <w:color w:val="000000" w:themeColor="text1"/>
          <w:sz w:val="20"/>
          <w:szCs w:val="20"/>
        </w:rPr>
        <w:t xml:space="preserve">femme fatale </w:t>
      </w:r>
      <w:r w:rsidRPr="002A13F7">
        <w:rPr>
          <w:rFonts w:cstheme="minorHAnsi"/>
          <w:color w:val="000000" w:themeColor="text1"/>
          <w:sz w:val="20"/>
          <w:szCs w:val="20"/>
        </w:rPr>
        <w:t>and the message that Tursi women were seductive agents of the enemy was conveyed repeatedly” para 1079.</w:t>
      </w:r>
    </w:p>
  </w:footnote>
  <w:footnote w:id="107">
    <w:p w14:paraId="63F2039C" w14:textId="19838BE1" w:rsidR="00B77019" w:rsidRPr="00250DB4" w:rsidRDefault="00B77019" w:rsidP="006263A4">
      <w:pPr>
        <w:pStyle w:val="Textonotapie"/>
        <w:rPr>
          <w:rFonts w:cstheme="minorHAnsi"/>
        </w:rPr>
      </w:pPr>
      <w:r w:rsidRPr="000E05D6">
        <w:rPr>
          <w:rStyle w:val="Refdenotaalpie"/>
        </w:rPr>
        <w:footnoteRef/>
      </w:r>
      <w:r w:rsidR="000D7F94">
        <w:t xml:space="preserve"> </w:t>
      </w:r>
      <w:r w:rsidRPr="000D7F94">
        <w:rPr>
          <w:i/>
          <w:iCs/>
        </w:rPr>
        <w:t>The Prosecutor v. Callixte Mbarushimana</w:t>
      </w:r>
      <w:r w:rsidRPr="00250DB4">
        <w:t xml:space="preserve"> </w:t>
      </w:r>
      <w:bookmarkStart w:id="10" w:name="_Hlk20300944"/>
      <w:r w:rsidRPr="00250DB4">
        <w:t>(Prosecution´s Application under Article 58) ICC-01/04</w:t>
      </w:r>
      <w:r>
        <w:t xml:space="preserve"> ‘</w:t>
      </w:r>
      <w:r w:rsidRPr="00250DB4">
        <w:t>Mbarushimana</w:t>
      </w:r>
      <w:r>
        <w:t xml:space="preserve"> Case’ (</w:t>
      </w:r>
      <w:r w:rsidRPr="00250DB4">
        <w:t>20 August 2010</w:t>
      </w:r>
      <w:r>
        <w:t xml:space="preserve">) </w:t>
      </w:r>
      <w:r w:rsidRPr="00250DB4">
        <w:t xml:space="preserve">para 97. In Count 11, the Prosecutor alleged the </w:t>
      </w:r>
      <w:r w:rsidRPr="00250DB4">
        <w:rPr>
          <w:rFonts w:cstheme="minorHAnsi"/>
        </w:rPr>
        <w:t>perpetration of persecution “by intentionally and in a discriminatory manner targeting women and men seen to be affiliated with the FARDC on the basis of their gender.”</w:t>
      </w:r>
      <w:bookmarkEnd w:id="10"/>
    </w:p>
  </w:footnote>
  <w:footnote w:id="108">
    <w:p w14:paraId="00AAC3B1" w14:textId="74AED74A" w:rsidR="00B77019" w:rsidRPr="00250DB4" w:rsidRDefault="00B77019" w:rsidP="006263A4">
      <w:pPr>
        <w:pStyle w:val="Textonotapie"/>
        <w:rPr>
          <w:color w:val="000000" w:themeColor="text1"/>
        </w:rPr>
      </w:pPr>
      <w:r w:rsidRPr="00250DB4">
        <w:rPr>
          <w:rStyle w:val="Refdenotaalpie"/>
        </w:rPr>
        <w:footnoteRef/>
      </w:r>
      <w:r w:rsidR="000D7F94">
        <w:t xml:space="preserve"> ‘</w:t>
      </w:r>
      <w:r w:rsidR="000D7F94" w:rsidRPr="000D7F94">
        <w:rPr>
          <w:i/>
          <w:iCs/>
        </w:rPr>
        <w:t>Mbarushimana</w:t>
      </w:r>
      <w:r w:rsidR="000D7F94">
        <w:t xml:space="preserve"> Case,</w:t>
      </w:r>
      <w:r w:rsidRPr="00250DB4">
        <w:t xml:space="preserve"> </w:t>
      </w:r>
      <w:bookmarkStart w:id="11" w:name="_Hlk20301118"/>
      <w:r>
        <w:t>‘</w:t>
      </w:r>
      <w:r w:rsidRPr="00250DB4">
        <w:rPr>
          <w:color w:val="000000" w:themeColor="text1"/>
        </w:rPr>
        <w:t>Document de notification des charges présenté par l Áccusation en application de l´article 61-3</w:t>
      </w:r>
      <w:r>
        <w:rPr>
          <w:color w:val="000000" w:themeColor="text1"/>
        </w:rPr>
        <w:t>’</w:t>
      </w:r>
      <w:r w:rsidRPr="00250DB4">
        <w:rPr>
          <w:color w:val="000000" w:themeColor="text1"/>
        </w:rPr>
        <w:t xml:space="preserve"> ICC-01/04-01/10 -AnxA</w:t>
      </w:r>
      <w:r>
        <w:rPr>
          <w:color w:val="000000" w:themeColor="text1"/>
        </w:rPr>
        <w:t xml:space="preserve"> (</w:t>
      </w:r>
      <w:r w:rsidRPr="00250DB4">
        <w:rPr>
          <w:color w:val="000000" w:themeColor="text1"/>
        </w:rPr>
        <w:t>15 juillet 2011</w:t>
      </w:r>
      <w:bookmarkStart w:id="12" w:name="_Hlk20301319"/>
      <w:r>
        <w:rPr>
          <w:color w:val="000000" w:themeColor="text1"/>
        </w:rPr>
        <w:t xml:space="preserve">); </w:t>
      </w:r>
      <w:r w:rsidR="000D7F94" w:rsidRPr="000D7F94">
        <w:rPr>
          <w:i/>
          <w:iCs/>
        </w:rPr>
        <w:t>Mbarushimana</w:t>
      </w:r>
      <w:r w:rsidR="000D7F94">
        <w:t xml:space="preserve"> Case,</w:t>
      </w:r>
      <w:r>
        <w:rPr>
          <w:color w:val="000000" w:themeColor="text1"/>
        </w:rPr>
        <w:t xml:space="preserve"> ‘</w:t>
      </w:r>
      <w:r w:rsidRPr="00250DB4">
        <w:t>Pre-Trial Chamber I</w:t>
      </w:r>
      <w:r>
        <w:t xml:space="preserve">, </w:t>
      </w:r>
      <w:r w:rsidRPr="00250DB4">
        <w:t>Decision on the Confirmation of Charges</w:t>
      </w:r>
      <w:r>
        <w:t>’</w:t>
      </w:r>
      <w:r w:rsidRPr="00250DB4">
        <w:t xml:space="preserve"> ICC-01/04-01/10</w:t>
      </w:r>
      <w:r>
        <w:t xml:space="preserve"> (</w:t>
      </w:r>
      <w:r w:rsidRPr="00250DB4">
        <w:t>16 December 2011</w:t>
      </w:r>
      <w:r>
        <w:t xml:space="preserve">) </w:t>
      </w:r>
      <w:r w:rsidRPr="00250DB4">
        <w:t>para 264</w:t>
      </w:r>
      <w:bookmarkEnd w:id="11"/>
      <w:bookmarkEnd w:id="12"/>
      <w:r>
        <w:t>.</w:t>
      </w:r>
    </w:p>
  </w:footnote>
  <w:footnote w:id="109">
    <w:p w14:paraId="1EC607A5" w14:textId="070D1A06" w:rsidR="00B77019" w:rsidRPr="001E708F" w:rsidRDefault="00B77019" w:rsidP="001625F2">
      <w:pPr>
        <w:pStyle w:val="Textonotapie"/>
      </w:pPr>
      <w:r>
        <w:rPr>
          <w:rStyle w:val="Refdenotaalpie"/>
        </w:rPr>
        <w:footnoteRef/>
      </w:r>
      <w:r w:rsidRPr="00C81548">
        <w:t xml:space="preserve"> </w:t>
      </w:r>
      <w:r w:rsidRPr="000D7F94">
        <w:rPr>
          <w:i/>
          <w:iCs/>
        </w:rPr>
        <w:t>Al Hassan</w:t>
      </w:r>
      <w:r w:rsidRPr="0095042D">
        <w:t xml:space="preserve"> ‘Document Containing the Charges</w:t>
      </w:r>
      <w:r>
        <w:t xml:space="preserve">’ (n </w:t>
      </w:r>
      <w:r w:rsidR="000D7F94">
        <w:t>3</w:t>
      </w:r>
      <w:r>
        <w:t xml:space="preserve">) </w:t>
      </w:r>
      <w:r w:rsidRPr="00C81548">
        <w:t xml:space="preserve">para 878. </w:t>
      </w:r>
      <w:r w:rsidRPr="001E708F">
        <w:t xml:space="preserve">Also, </w:t>
      </w:r>
      <w:r>
        <w:t xml:space="preserve">for the separate charging of persecution </w:t>
      </w:r>
      <w:r w:rsidR="000D7F94">
        <w:t xml:space="preserve">grounds </w:t>
      </w:r>
      <w:r>
        <w:t xml:space="preserve">refer </w:t>
      </w:r>
      <w:r w:rsidRPr="001E708F">
        <w:t>to po</w:t>
      </w:r>
      <w:r>
        <w:t>ints 8.6.2 (religious grounds) and 8.6.3 (gender grounds).</w:t>
      </w:r>
    </w:p>
  </w:footnote>
  <w:footnote w:id="110">
    <w:p w14:paraId="28F1DD23" w14:textId="0AEF26B3" w:rsidR="001C582B" w:rsidRPr="001C582B" w:rsidRDefault="001C582B">
      <w:pPr>
        <w:pStyle w:val="Textonotapie"/>
      </w:pPr>
      <w:r>
        <w:rPr>
          <w:rStyle w:val="Refdenotaalpie"/>
        </w:rPr>
        <w:footnoteRef/>
      </w:r>
      <w:r>
        <w:t xml:space="preserve"> Ibid paras 766-767,790</w:t>
      </w:r>
    </w:p>
  </w:footnote>
  <w:footnote w:id="111">
    <w:p w14:paraId="37E95D17" w14:textId="757A4C55" w:rsidR="00B77019" w:rsidRPr="00113B0A" w:rsidRDefault="00B77019">
      <w:pPr>
        <w:pStyle w:val="Textonotapie"/>
        <w:rPr>
          <w:b/>
          <w:bCs/>
          <w:color w:val="FF0000"/>
        </w:rPr>
      </w:pPr>
      <w:r>
        <w:rPr>
          <w:rStyle w:val="Refdenotaalpie"/>
        </w:rPr>
        <w:footnoteRef/>
      </w:r>
      <w:r w:rsidRPr="0001160F">
        <w:t xml:space="preserve"> </w:t>
      </w:r>
      <w:r w:rsidRPr="000D7F94">
        <w:rPr>
          <w:rFonts w:cstheme="minorHAnsi"/>
          <w:i/>
          <w:iCs/>
        </w:rPr>
        <w:t>The Prosecutor v. Miroslav Kvocka, Dragoljub Prcac, Milojica Kos, Mlado Radic, Zoran Zigic</w:t>
      </w:r>
      <w:r>
        <w:rPr>
          <w:rFonts w:cstheme="minorHAnsi"/>
        </w:rPr>
        <w:t xml:space="preserve"> (Appeals</w:t>
      </w:r>
      <w:r w:rsidRPr="0001160F">
        <w:rPr>
          <w:rFonts w:cstheme="minorHAnsi"/>
        </w:rPr>
        <w:t xml:space="preserve"> Judgement</w:t>
      </w:r>
      <w:r>
        <w:rPr>
          <w:rFonts w:cstheme="minorHAnsi"/>
        </w:rPr>
        <w:t xml:space="preserve">) </w:t>
      </w:r>
      <w:r w:rsidRPr="0001160F">
        <w:rPr>
          <w:rFonts w:cstheme="minorHAnsi"/>
        </w:rPr>
        <w:t>IT-98-30/1-</w:t>
      </w:r>
      <w:r>
        <w:rPr>
          <w:rFonts w:cstheme="minorHAnsi"/>
        </w:rPr>
        <w:t>A</w:t>
      </w:r>
      <w:r w:rsidRPr="0001160F">
        <w:t xml:space="preserve"> </w:t>
      </w:r>
      <w:r>
        <w:t xml:space="preserve">(28 February 2005) para </w:t>
      </w:r>
      <w:r w:rsidRPr="00175EEA">
        <w:t>34</w:t>
      </w:r>
      <w:r>
        <w:t>7. Addressing SGBV in the context of persecution, the Appeals Chamber stated: “</w:t>
      </w:r>
      <w:r w:rsidRPr="00175EEA">
        <w:t>the Trial Chamber did not err when it found, based on the evidence before it, that Kvoka had the intent to contribute to the joint criminal enterprise of the Omarska camp.</w:t>
      </w:r>
      <w:r w:rsidRPr="00CA5006">
        <w:t xml:space="preserve"> The Appeals Chamber is of the opinion that, in the context of the case, </w:t>
      </w:r>
      <w:r w:rsidRPr="00113B0A">
        <w:rPr>
          <w:i/>
          <w:iCs/>
        </w:rPr>
        <w:t>the intent to contribute to the joint criminal enterprise and discriminatory intent is one and the same thing</w:t>
      </w:r>
      <w:r w:rsidRPr="00CA5006">
        <w:t>”</w:t>
      </w:r>
      <w:r w:rsidR="00167154">
        <w:t xml:space="preserve"> (e</w:t>
      </w:r>
      <w:r>
        <w:t>mphasis added</w:t>
      </w:r>
      <w:r w:rsidR="00167154">
        <w:t>)</w:t>
      </w:r>
      <w:r>
        <w:t>.</w:t>
      </w:r>
    </w:p>
  </w:footnote>
  <w:footnote w:id="112">
    <w:p w14:paraId="2E2013B1" w14:textId="724D1E6F" w:rsidR="00B77019" w:rsidRPr="00167154" w:rsidRDefault="00B77019" w:rsidP="00167154">
      <w:pPr>
        <w:pStyle w:val="Textonotapie"/>
      </w:pPr>
      <w:r>
        <w:rPr>
          <w:rStyle w:val="Refdenotaalpie"/>
        </w:rPr>
        <w:footnoteRef/>
      </w:r>
      <w:r>
        <w:t xml:space="preserve"> The intersection of gender and religious identities shaped the harms of SGBV </w:t>
      </w:r>
      <w:r w:rsidR="00167154">
        <w:t xml:space="preserve">in </w:t>
      </w:r>
      <w:r w:rsidR="00167154">
        <w:rPr>
          <w:i/>
          <w:iCs/>
        </w:rPr>
        <w:t xml:space="preserve">Al </w:t>
      </w:r>
      <w:r w:rsidR="00167154" w:rsidRPr="00167154">
        <w:rPr>
          <w:i/>
          <w:iCs/>
        </w:rPr>
        <w:t>Hassan</w:t>
      </w:r>
      <w:r w:rsidR="00167154">
        <w:rPr>
          <w:i/>
          <w:iCs/>
        </w:rPr>
        <w:t>,</w:t>
      </w:r>
      <w:r w:rsidR="00167154" w:rsidRPr="00167154">
        <w:rPr>
          <w:i/>
          <w:iCs/>
        </w:rPr>
        <w:t xml:space="preserve"> </w:t>
      </w:r>
      <w:r w:rsidR="00167154">
        <w:t xml:space="preserve">which is important in view of </w:t>
      </w:r>
      <w:r>
        <w:t>reparations.  One may ask, for instance: How did religious extremism shape women´s ostracization? How did it affect women´s emotional and family harms such as motherhood or raising children in a religious extremist environment? How did religious fundamentalism break famil</w:t>
      </w:r>
      <w:r w:rsidR="00167154">
        <w:t xml:space="preserve">y relations </w:t>
      </w:r>
      <w:r>
        <w:t>and communities? How did</w:t>
      </w:r>
      <w:r w:rsidR="00167154">
        <w:t xml:space="preserve"> victims´</w:t>
      </w:r>
      <w:r>
        <w:t xml:space="preserve"> experience</w:t>
      </w:r>
      <w:r w:rsidR="00167154">
        <w:t>s</w:t>
      </w:r>
      <w:r>
        <w:t xml:space="preserve"> of SGBV </w:t>
      </w:r>
      <w:r w:rsidR="00167154">
        <w:t xml:space="preserve">in the context of </w:t>
      </w:r>
      <w:r>
        <w:t xml:space="preserve">religious extremism affect </w:t>
      </w:r>
      <w:r w:rsidR="00167154">
        <w:t xml:space="preserve">their </w:t>
      </w:r>
      <w:r>
        <w:t>economic well-being? See</w:t>
      </w:r>
      <w:r w:rsidRPr="00D1734D">
        <w:t xml:space="preserve"> </w:t>
      </w:r>
      <w:r w:rsidR="00167154" w:rsidRPr="00167154">
        <w:t xml:space="preserve">F Ní Aoláin, DF Haynes and N Cahn, ‘Criminal Justice for Gendered Violence and Beyond’ (2011) 11 </w:t>
      </w:r>
      <w:r w:rsidR="00167154" w:rsidRPr="00167154">
        <w:rPr>
          <w:i/>
          <w:iCs/>
        </w:rPr>
        <w:t>International Criminal Law Review</w:t>
      </w:r>
      <w:r w:rsidR="00167154">
        <w:rPr>
          <w:i/>
          <w:iCs/>
        </w:rPr>
        <w:t xml:space="preserve">. </w:t>
      </w:r>
      <w:r w:rsidRPr="00167154">
        <w:t>The authors stress the `capture gap´ of gender harms in ICL and the need to consider, in addition to physical harms, other such as family, emotional and socio-economic harms.</w:t>
      </w:r>
    </w:p>
  </w:footnote>
  <w:footnote w:id="113">
    <w:p w14:paraId="2311C9B5" w14:textId="0FE4FCF3" w:rsidR="00B77019" w:rsidRPr="00CC7B0E" w:rsidRDefault="00B77019" w:rsidP="00CC7B0E">
      <w:pPr>
        <w:pStyle w:val="Textonotapie"/>
      </w:pPr>
      <w:r>
        <w:rPr>
          <w:rStyle w:val="Refdenotaalpie"/>
        </w:rPr>
        <w:footnoteRef/>
      </w:r>
      <w:r w:rsidRPr="00CC7B0E">
        <w:t xml:space="preserve"> UN</w:t>
      </w:r>
      <w:r w:rsidRPr="00CC7B0E">
        <w:rPr>
          <w:rFonts w:cs="Calibri"/>
        </w:rPr>
        <w:t xml:space="preserve">SC Res 2331 (2016) (n </w:t>
      </w:r>
      <w:r w:rsidR="00D975F1">
        <w:rPr>
          <w:rFonts w:cs="Calibri"/>
        </w:rPr>
        <w:t>66</w:t>
      </w:r>
      <w:r w:rsidRPr="00CC7B0E">
        <w:rPr>
          <w:rFonts w:cs="Calibri"/>
        </w:rPr>
        <w:t xml:space="preserve">). </w:t>
      </w:r>
    </w:p>
  </w:footnote>
  <w:footnote w:id="114">
    <w:p w14:paraId="79812856" w14:textId="515836BE" w:rsidR="00B77019" w:rsidRPr="00D55029" w:rsidRDefault="00B77019" w:rsidP="003B1C00">
      <w:pPr>
        <w:pStyle w:val="Textonotapie"/>
      </w:pPr>
      <w:r>
        <w:rPr>
          <w:rStyle w:val="Refdenotaalpie"/>
        </w:rPr>
        <w:footnoteRef/>
      </w:r>
      <w:r w:rsidRPr="00D55029">
        <w:t xml:space="preserve"> </w:t>
      </w:r>
      <w:r w:rsidRPr="00967E68">
        <w:rPr>
          <w:i/>
          <w:iCs/>
        </w:rPr>
        <w:t>Al Hassan</w:t>
      </w:r>
      <w:r w:rsidRPr="0095042D">
        <w:t xml:space="preserve"> ‘Document Containing the Charges</w:t>
      </w:r>
      <w:r>
        <w:t xml:space="preserve">’ (n </w:t>
      </w:r>
      <w:r w:rsidR="00967E68">
        <w:t>3</w:t>
      </w:r>
      <w:r>
        <w:t xml:space="preserve">) </w:t>
      </w:r>
      <w:r w:rsidRPr="00D55029">
        <w:t>paras 763,</w:t>
      </w:r>
      <w:r>
        <w:t xml:space="preserve"> </w:t>
      </w:r>
      <w:r w:rsidRPr="00D55029">
        <w:t>766,</w:t>
      </w:r>
      <w:r>
        <w:t xml:space="preserve"> </w:t>
      </w:r>
      <w:r w:rsidRPr="00D55029">
        <w:t>767,</w:t>
      </w:r>
      <w:r>
        <w:t xml:space="preserve"> </w:t>
      </w:r>
      <w:r w:rsidRPr="00D55029">
        <w:t>789,</w:t>
      </w:r>
      <w:r>
        <w:t xml:space="preserve"> </w:t>
      </w:r>
      <w:r w:rsidRPr="00D55029">
        <w:t>790</w:t>
      </w:r>
      <w:r>
        <w:t>.</w:t>
      </w:r>
    </w:p>
  </w:footnote>
  <w:footnote w:id="115">
    <w:p w14:paraId="6AF561C7" w14:textId="25455D1E" w:rsidR="00B77019" w:rsidRPr="002B3330" w:rsidRDefault="00B77019" w:rsidP="003B1C00">
      <w:pPr>
        <w:pStyle w:val="Textonotapie"/>
        <w:rPr>
          <w:lang w:val="es-ES"/>
        </w:rPr>
      </w:pPr>
      <w:r>
        <w:rPr>
          <w:rStyle w:val="Refdenotaalpie"/>
        </w:rPr>
        <w:footnoteRef/>
      </w:r>
      <w:r w:rsidRPr="002B3330">
        <w:rPr>
          <w:lang w:val="es-ES"/>
        </w:rPr>
        <w:t xml:space="preserve"> Palermo Protocol (n </w:t>
      </w:r>
      <w:r w:rsidR="003104D0">
        <w:rPr>
          <w:lang w:val="es-ES"/>
        </w:rPr>
        <w:t>62</w:t>
      </w:r>
      <w:r w:rsidRPr="002B3330">
        <w:rPr>
          <w:lang w:val="es-ES"/>
        </w:rPr>
        <w:t>) Art 3(a)</w:t>
      </w:r>
      <w:r w:rsidR="001C582B">
        <w:rPr>
          <w:lang w:val="es-ES"/>
        </w:rPr>
        <w:t>.</w:t>
      </w:r>
    </w:p>
  </w:footnote>
  <w:footnote w:id="116">
    <w:p w14:paraId="1438E9B9" w14:textId="77777777" w:rsidR="00B77019" w:rsidRPr="003710A4" w:rsidRDefault="00B77019" w:rsidP="002B3330">
      <w:pPr>
        <w:pStyle w:val="Textonotapie"/>
        <w:rPr>
          <w:lang w:val="es-ES"/>
        </w:rPr>
      </w:pPr>
      <w:r>
        <w:rPr>
          <w:rStyle w:val="Refdenotaalpie"/>
        </w:rPr>
        <w:footnoteRef/>
      </w:r>
      <w:r w:rsidRPr="003710A4">
        <w:rPr>
          <w:i/>
          <w:iCs/>
          <w:lang w:val="es-ES"/>
        </w:rPr>
        <w:t xml:space="preserve"> </w:t>
      </w:r>
      <w:r w:rsidRPr="003710A4">
        <w:rPr>
          <w:lang w:val="es-ES"/>
        </w:rPr>
        <w:t>ibid.</w:t>
      </w:r>
    </w:p>
  </w:footnote>
  <w:footnote w:id="117">
    <w:p w14:paraId="53FF185F" w14:textId="01B88269" w:rsidR="001C582B" w:rsidRPr="001C582B" w:rsidRDefault="001C582B">
      <w:pPr>
        <w:pStyle w:val="Textonotapie"/>
      </w:pPr>
      <w:r>
        <w:rPr>
          <w:rStyle w:val="Refdenotaalpie"/>
        </w:rPr>
        <w:footnoteRef/>
      </w:r>
      <w:r>
        <w:t xml:space="preserve"> </w:t>
      </w:r>
      <w:r w:rsidRPr="00967E68">
        <w:rPr>
          <w:i/>
          <w:iCs/>
        </w:rPr>
        <w:t>Al Hassan</w:t>
      </w:r>
      <w:r w:rsidRPr="0095042D">
        <w:t xml:space="preserve"> ‘Document Containing the Charges</w:t>
      </w:r>
      <w:r>
        <w:t>’ (n 3) paras. 767, 790.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02715"/>
    <w:multiLevelType w:val="hybridMultilevel"/>
    <w:tmpl w:val="828A7500"/>
    <w:lvl w:ilvl="0" w:tplc="D8109BAC">
      <w:start w:val="4"/>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647159"/>
    <w:multiLevelType w:val="hybridMultilevel"/>
    <w:tmpl w:val="B30A2AA0"/>
    <w:lvl w:ilvl="0" w:tplc="32A430A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285A97"/>
    <w:multiLevelType w:val="hybridMultilevel"/>
    <w:tmpl w:val="4B2894DE"/>
    <w:lvl w:ilvl="0" w:tplc="BB567B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3F0587"/>
    <w:multiLevelType w:val="multilevel"/>
    <w:tmpl w:val="69BC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FDA2B66"/>
    <w:multiLevelType w:val="hybridMultilevel"/>
    <w:tmpl w:val="5E8CB39A"/>
    <w:lvl w:ilvl="0" w:tplc="32A430AC">
      <w:numFmt w:val="bullet"/>
      <w:lvlText w:val="-"/>
      <w:lvlJc w:val="left"/>
      <w:pPr>
        <w:ind w:left="360" w:hanging="360"/>
      </w:pPr>
      <w:rPr>
        <w:rFonts w:ascii="Calibri" w:eastAsia="Times New Roman" w:hAnsi="Calibri"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8D6F70"/>
    <w:multiLevelType w:val="hybridMultilevel"/>
    <w:tmpl w:val="B688EDFE"/>
    <w:lvl w:ilvl="0" w:tplc="7A22CC5A">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1F65F7"/>
    <w:multiLevelType w:val="hybridMultilevel"/>
    <w:tmpl w:val="2458A2EA"/>
    <w:lvl w:ilvl="0" w:tplc="32A430A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4E0A0B"/>
    <w:multiLevelType w:val="hybridMultilevel"/>
    <w:tmpl w:val="662AD7B2"/>
    <w:lvl w:ilvl="0" w:tplc="85F0D8E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8424EB"/>
    <w:multiLevelType w:val="hybridMultilevel"/>
    <w:tmpl w:val="AC92028E"/>
    <w:lvl w:ilvl="0" w:tplc="2D64DC5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7C464D"/>
    <w:multiLevelType w:val="hybridMultilevel"/>
    <w:tmpl w:val="869205FC"/>
    <w:lvl w:ilvl="0" w:tplc="6EC4E80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793A5A"/>
    <w:multiLevelType w:val="hybridMultilevel"/>
    <w:tmpl w:val="CF7659D2"/>
    <w:lvl w:ilvl="0" w:tplc="2FBA70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2407C3"/>
    <w:multiLevelType w:val="hybridMultilevel"/>
    <w:tmpl w:val="DFF0B844"/>
    <w:lvl w:ilvl="0" w:tplc="F20A2E56">
      <w:start w:val="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927"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A846CD"/>
    <w:multiLevelType w:val="hybridMultilevel"/>
    <w:tmpl w:val="BCA0ED50"/>
    <w:lvl w:ilvl="0" w:tplc="D1240D7C">
      <w:start w:val="902"/>
      <w:numFmt w:val="bullet"/>
      <w:lvlText w:val="-"/>
      <w:lvlJc w:val="left"/>
      <w:pPr>
        <w:ind w:left="720" w:hanging="360"/>
      </w:pPr>
      <w:rPr>
        <w:rFonts w:ascii="Calibri" w:eastAsiaTheme="minorHAnsi" w:hAnsi="Calibri" w:cs="Calibri"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3F74FEB"/>
    <w:multiLevelType w:val="hybridMultilevel"/>
    <w:tmpl w:val="6CD21AA4"/>
    <w:lvl w:ilvl="0" w:tplc="E9F61DAA">
      <w:start w:val="3"/>
      <w:numFmt w:val="bullet"/>
      <w:lvlText w:val="-"/>
      <w:lvlJc w:val="left"/>
      <w:pPr>
        <w:ind w:left="360" w:hanging="360"/>
      </w:pPr>
      <w:rPr>
        <w:rFonts w:ascii="Times New Roman" w:eastAsiaTheme="minorEastAsia" w:hAnsi="Times New Roman"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52698D"/>
    <w:multiLevelType w:val="hybridMultilevel"/>
    <w:tmpl w:val="CF8E026A"/>
    <w:lvl w:ilvl="0" w:tplc="F216D716">
      <w:start w:val="14"/>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F16536"/>
    <w:multiLevelType w:val="hybridMultilevel"/>
    <w:tmpl w:val="28BAAC4E"/>
    <w:lvl w:ilvl="0" w:tplc="9AE2544A">
      <w:start w:val="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060796"/>
    <w:multiLevelType w:val="hybridMultilevel"/>
    <w:tmpl w:val="8C16C3B6"/>
    <w:lvl w:ilvl="0" w:tplc="2D64DC5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C76AD0"/>
    <w:multiLevelType w:val="hybridMultilevel"/>
    <w:tmpl w:val="2C6CB272"/>
    <w:lvl w:ilvl="0" w:tplc="9F4E1C0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634A81"/>
    <w:multiLevelType w:val="hybridMultilevel"/>
    <w:tmpl w:val="C958B318"/>
    <w:lvl w:ilvl="0" w:tplc="94F295BC">
      <w:start w:val="84"/>
      <w:numFmt w:val="bullet"/>
      <w:lvlText w:val="-"/>
      <w:lvlJc w:val="left"/>
      <w:pPr>
        <w:ind w:left="720" w:hanging="360"/>
      </w:pPr>
      <w:rPr>
        <w:rFonts w:ascii="Calibri" w:eastAsiaTheme="minorHAnsi" w:hAnsi="Calibri" w:cs="Calibri"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4715B6E"/>
    <w:multiLevelType w:val="hybridMultilevel"/>
    <w:tmpl w:val="983E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C10DFC"/>
    <w:multiLevelType w:val="hybridMultilevel"/>
    <w:tmpl w:val="5164EB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E0C664C"/>
    <w:multiLevelType w:val="hybridMultilevel"/>
    <w:tmpl w:val="68969C04"/>
    <w:lvl w:ilvl="0" w:tplc="32A430AC">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6E1121"/>
    <w:multiLevelType w:val="hybridMultilevel"/>
    <w:tmpl w:val="155CECE8"/>
    <w:lvl w:ilvl="0" w:tplc="822422D8">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BA6558"/>
    <w:multiLevelType w:val="hybridMultilevel"/>
    <w:tmpl w:val="7F30ED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AE5B25"/>
    <w:multiLevelType w:val="hybridMultilevel"/>
    <w:tmpl w:val="B07E514E"/>
    <w:lvl w:ilvl="0" w:tplc="D1240D7C">
      <w:start w:val="902"/>
      <w:numFmt w:val="bullet"/>
      <w:lvlText w:val="-"/>
      <w:lvlJc w:val="left"/>
      <w:pPr>
        <w:ind w:left="720" w:hanging="360"/>
      </w:pPr>
      <w:rPr>
        <w:rFonts w:ascii="Calibri" w:eastAsiaTheme="minorHAnsi" w:hAnsi="Calibri" w:cs="Calibri"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D902E25"/>
    <w:multiLevelType w:val="hybridMultilevel"/>
    <w:tmpl w:val="1F80BEDA"/>
    <w:lvl w:ilvl="0" w:tplc="0C0A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47630D"/>
    <w:multiLevelType w:val="hybridMultilevel"/>
    <w:tmpl w:val="4E64C246"/>
    <w:lvl w:ilvl="0" w:tplc="91DA008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B95903"/>
    <w:multiLevelType w:val="hybridMultilevel"/>
    <w:tmpl w:val="3AAE7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EE699C"/>
    <w:multiLevelType w:val="hybridMultilevel"/>
    <w:tmpl w:val="A27CED94"/>
    <w:lvl w:ilvl="0" w:tplc="A748E50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945E48"/>
    <w:multiLevelType w:val="hybridMultilevel"/>
    <w:tmpl w:val="E54AEE20"/>
    <w:lvl w:ilvl="0" w:tplc="0C0A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1"/>
  </w:num>
  <w:num w:numId="3">
    <w:abstractNumId w:val="6"/>
  </w:num>
  <w:num w:numId="4">
    <w:abstractNumId w:val="4"/>
  </w:num>
  <w:num w:numId="5">
    <w:abstractNumId w:val="24"/>
  </w:num>
  <w:num w:numId="6">
    <w:abstractNumId w:val="12"/>
  </w:num>
  <w:num w:numId="7">
    <w:abstractNumId w:val="29"/>
  </w:num>
  <w:num w:numId="8">
    <w:abstractNumId w:val="18"/>
  </w:num>
  <w:num w:numId="9">
    <w:abstractNumId w:val="20"/>
  </w:num>
  <w:num w:numId="10">
    <w:abstractNumId w:val="19"/>
  </w:num>
  <w:num w:numId="11">
    <w:abstractNumId w:val="13"/>
  </w:num>
  <w:num w:numId="12">
    <w:abstractNumId w:val="25"/>
  </w:num>
  <w:num w:numId="13">
    <w:abstractNumId w:val="15"/>
  </w:num>
  <w:num w:numId="14">
    <w:abstractNumId w:val="9"/>
  </w:num>
  <w:num w:numId="15">
    <w:abstractNumId w:val="7"/>
  </w:num>
  <w:num w:numId="16">
    <w:abstractNumId w:val="5"/>
  </w:num>
  <w:num w:numId="17">
    <w:abstractNumId w:val="26"/>
  </w:num>
  <w:num w:numId="18">
    <w:abstractNumId w:val="0"/>
  </w:num>
  <w:num w:numId="19">
    <w:abstractNumId w:val="11"/>
  </w:num>
  <w:num w:numId="20">
    <w:abstractNumId w:val="17"/>
  </w:num>
  <w:num w:numId="21">
    <w:abstractNumId w:val="10"/>
  </w:num>
  <w:num w:numId="22">
    <w:abstractNumId w:val="14"/>
  </w:num>
  <w:num w:numId="23">
    <w:abstractNumId w:val="27"/>
  </w:num>
  <w:num w:numId="24">
    <w:abstractNumId w:val="23"/>
  </w:num>
  <w:num w:numId="25">
    <w:abstractNumId w:val="2"/>
  </w:num>
  <w:num w:numId="26">
    <w:abstractNumId w:val="3"/>
  </w:num>
  <w:num w:numId="27">
    <w:abstractNumId w:val="28"/>
  </w:num>
  <w:num w:numId="28">
    <w:abstractNumId w:val="22"/>
  </w:num>
  <w:num w:numId="29">
    <w:abstractNumId w:val="8"/>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79B"/>
    <w:rsid w:val="00000A8E"/>
    <w:rsid w:val="0000269F"/>
    <w:rsid w:val="00002CB6"/>
    <w:rsid w:val="00004789"/>
    <w:rsid w:val="00005272"/>
    <w:rsid w:val="00005A7C"/>
    <w:rsid w:val="00005B50"/>
    <w:rsid w:val="00005D21"/>
    <w:rsid w:val="00010527"/>
    <w:rsid w:val="0001087F"/>
    <w:rsid w:val="0001160F"/>
    <w:rsid w:val="00014C57"/>
    <w:rsid w:val="00014F97"/>
    <w:rsid w:val="00017138"/>
    <w:rsid w:val="000171C2"/>
    <w:rsid w:val="00017303"/>
    <w:rsid w:val="00017353"/>
    <w:rsid w:val="0001783C"/>
    <w:rsid w:val="00017E60"/>
    <w:rsid w:val="00020413"/>
    <w:rsid w:val="00021DF0"/>
    <w:rsid w:val="000232D4"/>
    <w:rsid w:val="000236D1"/>
    <w:rsid w:val="00023E54"/>
    <w:rsid w:val="0002433A"/>
    <w:rsid w:val="000262B0"/>
    <w:rsid w:val="00026B3A"/>
    <w:rsid w:val="00026C83"/>
    <w:rsid w:val="00027928"/>
    <w:rsid w:val="00027DE1"/>
    <w:rsid w:val="00030CCF"/>
    <w:rsid w:val="00030FF6"/>
    <w:rsid w:val="00034682"/>
    <w:rsid w:val="00035FF2"/>
    <w:rsid w:val="00036130"/>
    <w:rsid w:val="00040446"/>
    <w:rsid w:val="00040C9E"/>
    <w:rsid w:val="00041FA7"/>
    <w:rsid w:val="000428DB"/>
    <w:rsid w:val="00043CD5"/>
    <w:rsid w:val="00044F84"/>
    <w:rsid w:val="00045A06"/>
    <w:rsid w:val="000461AB"/>
    <w:rsid w:val="00050448"/>
    <w:rsid w:val="00050540"/>
    <w:rsid w:val="00051459"/>
    <w:rsid w:val="0005191E"/>
    <w:rsid w:val="000524D1"/>
    <w:rsid w:val="00053B3A"/>
    <w:rsid w:val="000541D0"/>
    <w:rsid w:val="00054557"/>
    <w:rsid w:val="0005488C"/>
    <w:rsid w:val="0005701E"/>
    <w:rsid w:val="00057487"/>
    <w:rsid w:val="000609BF"/>
    <w:rsid w:val="00060B43"/>
    <w:rsid w:val="00061018"/>
    <w:rsid w:val="0006122F"/>
    <w:rsid w:val="00061445"/>
    <w:rsid w:val="000615A8"/>
    <w:rsid w:val="0006200B"/>
    <w:rsid w:val="000636FE"/>
    <w:rsid w:val="00063B45"/>
    <w:rsid w:val="000657E8"/>
    <w:rsid w:val="0006592B"/>
    <w:rsid w:val="000668F7"/>
    <w:rsid w:val="00070466"/>
    <w:rsid w:val="000707AA"/>
    <w:rsid w:val="000721F3"/>
    <w:rsid w:val="00074133"/>
    <w:rsid w:val="00074BD5"/>
    <w:rsid w:val="0007549C"/>
    <w:rsid w:val="000772BF"/>
    <w:rsid w:val="00077EEC"/>
    <w:rsid w:val="00080329"/>
    <w:rsid w:val="00081418"/>
    <w:rsid w:val="00082B10"/>
    <w:rsid w:val="00083596"/>
    <w:rsid w:val="00085710"/>
    <w:rsid w:val="000859FE"/>
    <w:rsid w:val="00086836"/>
    <w:rsid w:val="00087381"/>
    <w:rsid w:val="00091C89"/>
    <w:rsid w:val="00091CEF"/>
    <w:rsid w:val="000924CD"/>
    <w:rsid w:val="000938FA"/>
    <w:rsid w:val="00093E63"/>
    <w:rsid w:val="000941D2"/>
    <w:rsid w:val="000960B0"/>
    <w:rsid w:val="000963BB"/>
    <w:rsid w:val="00097985"/>
    <w:rsid w:val="000A24AF"/>
    <w:rsid w:val="000A2CFF"/>
    <w:rsid w:val="000A313C"/>
    <w:rsid w:val="000A3F5F"/>
    <w:rsid w:val="000A48A4"/>
    <w:rsid w:val="000A4FD9"/>
    <w:rsid w:val="000A55F3"/>
    <w:rsid w:val="000A56E1"/>
    <w:rsid w:val="000A59EE"/>
    <w:rsid w:val="000A5B5E"/>
    <w:rsid w:val="000A6FC6"/>
    <w:rsid w:val="000A77B4"/>
    <w:rsid w:val="000B2D4A"/>
    <w:rsid w:val="000B32D2"/>
    <w:rsid w:val="000B42CF"/>
    <w:rsid w:val="000B6283"/>
    <w:rsid w:val="000B70AA"/>
    <w:rsid w:val="000C0DA0"/>
    <w:rsid w:val="000C1209"/>
    <w:rsid w:val="000C4234"/>
    <w:rsid w:val="000C4421"/>
    <w:rsid w:val="000C7895"/>
    <w:rsid w:val="000D1397"/>
    <w:rsid w:val="000D17A6"/>
    <w:rsid w:val="000D3399"/>
    <w:rsid w:val="000D3C13"/>
    <w:rsid w:val="000D3CD3"/>
    <w:rsid w:val="000D4344"/>
    <w:rsid w:val="000D47C6"/>
    <w:rsid w:val="000D4884"/>
    <w:rsid w:val="000D49C8"/>
    <w:rsid w:val="000D6E06"/>
    <w:rsid w:val="000D7366"/>
    <w:rsid w:val="000D7F94"/>
    <w:rsid w:val="000E05D6"/>
    <w:rsid w:val="000E14B9"/>
    <w:rsid w:val="000E35C5"/>
    <w:rsid w:val="000E390C"/>
    <w:rsid w:val="000E5387"/>
    <w:rsid w:val="000E5560"/>
    <w:rsid w:val="000E56EB"/>
    <w:rsid w:val="000E7D7A"/>
    <w:rsid w:val="000E7F45"/>
    <w:rsid w:val="000F0123"/>
    <w:rsid w:val="000F17D2"/>
    <w:rsid w:val="000F3141"/>
    <w:rsid w:val="000F35BC"/>
    <w:rsid w:val="000F39D4"/>
    <w:rsid w:val="000F6871"/>
    <w:rsid w:val="000F6ACA"/>
    <w:rsid w:val="000F6FF8"/>
    <w:rsid w:val="000F7880"/>
    <w:rsid w:val="00100D46"/>
    <w:rsid w:val="00101567"/>
    <w:rsid w:val="00102523"/>
    <w:rsid w:val="00103CAF"/>
    <w:rsid w:val="0010457A"/>
    <w:rsid w:val="001051B9"/>
    <w:rsid w:val="00107BC8"/>
    <w:rsid w:val="00112B52"/>
    <w:rsid w:val="0011386A"/>
    <w:rsid w:val="00113930"/>
    <w:rsid w:val="00113B0A"/>
    <w:rsid w:val="001140C7"/>
    <w:rsid w:val="00116FD0"/>
    <w:rsid w:val="00117433"/>
    <w:rsid w:val="00120553"/>
    <w:rsid w:val="00121F95"/>
    <w:rsid w:val="00122526"/>
    <w:rsid w:val="001241A5"/>
    <w:rsid w:val="0012456E"/>
    <w:rsid w:val="0012467B"/>
    <w:rsid w:val="00125DB3"/>
    <w:rsid w:val="001263FB"/>
    <w:rsid w:val="0012658E"/>
    <w:rsid w:val="0012788F"/>
    <w:rsid w:val="001314DA"/>
    <w:rsid w:val="0013242A"/>
    <w:rsid w:val="001343FA"/>
    <w:rsid w:val="00134C5E"/>
    <w:rsid w:val="00135086"/>
    <w:rsid w:val="001357F2"/>
    <w:rsid w:val="00137089"/>
    <w:rsid w:val="001376AF"/>
    <w:rsid w:val="00140A27"/>
    <w:rsid w:val="00140B83"/>
    <w:rsid w:val="00141791"/>
    <w:rsid w:val="00141ED8"/>
    <w:rsid w:val="00142098"/>
    <w:rsid w:val="00144223"/>
    <w:rsid w:val="0014557C"/>
    <w:rsid w:val="001463ED"/>
    <w:rsid w:val="00147A0B"/>
    <w:rsid w:val="00147B22"/>
    <w:rsid w:val="00147B39"/>
    <w:rsid w:val="00150B31"/>
    <w:rsid w:val="001540B6"/>
    <w:rsid w:val="00156869"/>
    <w:rsid w:val="0015730E"/>
    <w:rsid w:val="00157FAC"/>
    <w:rsid w:val="00160102"/>
    <w:rsid w:val="001625F2"/>
    <w:rsid w:val="00162CFA"/>
    <w:rsid w:val="00165718"/>
    <w:rsid w:val="001667E0"/>
    <w:rsid w:val="00167154"/>
    <w:rsid w:val="001674B4"/>
    <w:rsid w:val="00167CAC"/>
    <w:rsid w:val="00167DD2"/>
    <w:rsid w:val="00167E54"/>
    <w:rsid w:val="00170277"/>
    <w:rsid w:val="00172245"/>
    <w:rsid w:val="00172445"/>
    <w:rsid w:val="00172509"/>
    <w:rsid w:val="00173710"/>
    <w:rsid w:val="00174698"/>
    <w:rsid w:val="00174786"/>
    <w:rsid w:val="0017512C"/>
    <w:rsid w:val="001756E7"/>
    <w:rsid w:val="00175DC1"/>
    <w:rsid w:val="001764C0"/>
    <w:rsid w:val="00177298"/>
    <w:rsid w:val="00177B2C"/>
    <w:rsid w:val="001812A4"/>
    <w:rsid w:val="00181CCB"/>
    <w:rsid w:val="0018512C"/>
    <w:rsid w:val="00185CEA"/>
    <w:rsid w:val="00185E81"/>
    <w:rsid w:val="00186090"/>
    <w:rsid w:val="001860D0"/>
    <w:rsid w:val="00186AA6"/>
    <w:rsid w:val="00191192"/>
    <w:rsid w:val="001913DC"/>
    <w:rsid w:val="00191627"/>
    <w:rsid w:val="00191633"/>
    <w:rsid w:val="001917DA"/>
    <w:rsid w:val="001929F2"/>
    <w:rsid w:val="00192C02"/>
    <w:rsid w:val="00193240"/>
    <w:rsid w:val="001938BC"/>
    <w:rsid w:val="00194D56"/>
    <w:rsid w:val="001A01BA"/>
    <w:rsid w:val="001A2E94"/>
    <w:rsid w:val="001A6A63"/>
    <w:rsid w:val="001A730E"/>
    <w:rsid w:val="001B03BA"/>
    <w:rsid w:val="001B0484"/>
    <w:rsid w:val="001B100B"/>
    <w:rsid w:val="001B1ECA"/>
    <w:rsid w:val="001B468A"/>
    <w:rsid w:val="001C0B9F"/>
    <w:rsid w:val="001C197C"/>
    <w:rsid w:val="001C1E4F"/>
    <w:rsid w:val="001C582B"/>
    <w:rsid w:val="001D29F9"/>
    <w:rsid w:val="001D3E8C"/>
    <w:rsid w:val="001D7FDB"/>
    <w:rsid w:val="001E0984"/>
    <w:rsid w:val="001E0CA7"/>
    <w:rsid w:val="001E124D"/>
    <w:rsid w:val="001E1AC0"/>
    <w:rsid w:val="001E2244"/>
    <w:rsid w:val="001E39F4"/>
    <w:rsid w:val="001E5097"/>
    <w:rsid w:val="001E51A2"/>
    <w:rsid w:val="001E5B74"/>
    <w:rsid w:val="001E6BB0"/>
    <w:rsid w:val="001E708F"/>
    <w:rsid w:val="001E7617"/>
    <w:rsid w:val="001F25F2"/>
    <w:rsid w:val="001F3469"/>
    <w:rsid w:val="001F5F6B"/>
    <w:rsid w:val="001F6B96"/>
    <w:rsid w:val="001F7388"/>
    <w:rsid w:val="00201354"/>
    <w:rsid w:val="0020168B"/>
    <w:rsid w:val="0020454E"/>
    <w:rsid w:val="00205DB4"/>
    <w:rsid w:val="00207D67"/>
    <w:rsid w:val="002104A5"/>
    <w:rsid w:val="00210B2B"/>
    <w:rsid w:val="00212B3B"/>
    <w:rsid w:val="00212F81"/>
    <w:rsid w:val="00213286"/>
    <w:rsid w:val="002139E6"/>
    <w:rsid w:val="00214EBC"/>
    <w:rsid w:val="00215049"/>
    <w:rsid w:val="00215F58"/>
    <w:rsid w:val="002165A8"/>
    <w:rsid w:val="00216A58"/>
    <w:rsid w:val="00222F7A"/>
    <w:rsid w:val="002237C4"/>
    <w:rsid w:val="00223C57"/>
    <w:rsid w:val="00224070"/>
    <w:rsid w:val="00224548"/>
    <w:rsid w:val="0022490C"/>
    <w:rsid w:val="00224FEA"/>
    <w:rsid w:val="00225C4D"/>
    <w:rsid w:val="002265CD"/>
    <w:rsid w:val="002268F6"/>
    <w:rsid w:val="002272C3"/>
    <w:rsid w:val="002311DF"/>
    <w:rsid w:val="00231863"/>
    <w:rsid w:val="00231ED2"/>
    <w:rsid w:val="002323BF"/>
    <w:rsid w:val="002328D4"/>
    <w:rsid w:val="00232F4E"/>
    <w:rsid w:val="00236B05"/>
    <w:rsid w:val="00240FE6"/>
    <w:rsid w:val="002416EA"/>
    <w:rsid w:val="0024185E"/>
    <w:rsid w:val="00241B61"/>
    <w:rsid w:val="00242253"/>
    <w:rsid w:val="00243269"/>
    <w:rsid w:val="00244F9D"/>
    <w:rsid w:val="002466C2"/>
    <w:rsid w:val="002477BD"/>
    <w:rsid w:val="00247931"/>
    <w:rsid w:val="00250D59"/>
    <w:rsid w:val="00250DB4"/>
    <w:rsid w:val="00252AEA"/>
    <w:rsid w:val="00255089"/>
    <w:rsid w:val="0025638E"/>
    <w:rsid w:val="00256543"/>
    <w:rsid w:val="00256F0C"/>
    <w:rsid w:val="00256FF4"/>
    <w:rsid w:val="00262B41"/>
    <w:rsid w:val="002638F7"/>
    <w:rsid w:val="002673E1"/>
    <w:rsid w:val="00270ABD"/>
    <w:rsid w:val="00272AA8"/>
    <w:rsid w:val="00273451"/>
    <w:rsid w:val="00273A47"/>
    <w:rsid w:val="00273A99"/>
    <w:rsid w:val="00274FCE"/>
    <w:rsid w:val="00275F65"/>
    <w:rsid w:val="002775EC"/>
    <w:rsid w:val="0027779E"/>
    <w:rsid w:val="00281D0B"/>
    <w:rsid w:val="00282709"/>
    <w:rsid w:val="0028370E"/>
    <w:rsid w:val="00283821"/>
    <w:rsid w:val="002845DE"/>
    <w:rsid w:val="002914A7"/>
    <w:rsid w:val="0029267D"/>
    <w:rsid w:val="00292CD9"/>
    <w:rsid w:val="00294EA8"/>
    <w:rsid w:val="00295957"/>
    <w:rsid w:val="00296400"/>
    <w:rsid w:val="002A13F7"/>
    <w:rsid w:val="002A143D"/>
    <w:rsid w:val="002A180C"/>
    <w:rsid w:val="002A2475"/>
    <w:rsid w:val="002A2477"/>
    <w:rsid w:val="002A2BFB"/>
    <w:rsid w:val="002A3DAC"/>
    <w:rsid w:val="002A5AD6"/>
    <w:rsid w:val="002A66EE"/>
    <w:rsid w:val="002A6CEF"/>
    <w:rsid w:val="002B07A6"/>
    <w:rsid w:val="002B136B"/>
    <w:rsid w:val="002B1DA0"/>
    <w:rsid w:val="002B301A"/>
    <w:rsid w:val="002B3330"/>
    <w:rsid w:val="002B3D4B"/>
    <w:rsid w:val="002B7EA9"/>
    <w:rsid w:val="002C00E3"/>
    <w:rsid w:val="002C0E5E"/>
    <w:rsid w:val="002C2DA2"/>
    <w:rsid w:val="002C3126"/>
    <w:rsid w:val="002C6350"/>
    <w:rsid w:val="002C7225"/>
    <w:rsid w:val="002D3E8B"/>
    <w:rsid w:val="002D48C3"/>
    <w:rsid w:val="002D52C1"/>
    <w:rsid w:val="002D7F28"/>
    <w:rsid w:val="002E1E41"/>
    <w:rsid w:val="002E1FE5"/>
    <w:rsid w:val="002E2C2C"/>
    <w:rsid w:val="002E467D"/>
    <w:rsid w:val="002E7F57"/>
    <w:rsid w:val="002F07FB"/>
    <w:rsid w:val="002F083D"/>
    <w:rsid w:val="002F1CB5"/>
    <w:rsid w:val="002F1E7B"/>
    <w:rsid w:val="002F1EE0"/>
    <w:rsid w:val="002F4E80"/>
    <w:rsid w:val="002F529A"/>
    <w:rsid w:val="002F5904"/>
    <w:rsid w:val="002F6B8F"/>
    <w:rsid w:val="002F7D36"/>
    <w:rsid w:val="00300572"/>
    <w:rsid w:val="00301F2B"/>
    <w:rsid w:val="0030289B"/>
    <w:rsid w:val="00302978"/>
    <w:rsid w:val="003033DE"/>
    <w:rsid w:val="003043A5"/>
    <w:rsid w:val="00305CF1"/>
    <w:rsid w:val="00305FB8"/>
    <w:rsid w:val="0030688F"/>
    <w:rsid w:val="003104D0"/>
    <w:rsid w:val="00310E29"/>
    <w:rsid w:val="0031218A"/>
    <w:rsid w:val="00312A4B"/>
    <w:rsid w:val="00312C4A"/>
    <w:rsid w:val="00312F5D"/>
    <w:rsid w:val="003157F0"/>
    <w:rsid w:val="00315C95"/>
    <w:rsid w:val="00317190"/>
    <w:rsid w:val="00317DAB"/>
    <w:rsid w:val="0032001D"/>
    <w:rsid w:val="0032248D"/>
    <w:rsid w:val="00322D16"/>
    <w:rsid w:val="00323CF7"/>
    <w:rsid w:val="00325AFA"/>
    <w:rsid w:val="00326E2F"/>
    <w:rsid w:val="00327825"/>
    <w:rsid w:val="00330193"/>
    <w:rsid w:val="003305B5"/>
    <w:rsid w:val="00330893"/>
    <w:rsid w:val="00331787"/>
    <w:rsid w:val="003318B8"/>
    <w:rsid w:val="00331FB4"/>
    <w:rsid w:val="00332137"/>
    <w:rsid w:val="0033282A"/>
    <w:rsid w:val="003330EF"/>
    <w:rsid w:val="0033370A"/>
    <w:rsid w:val="00335083"/>
    <w:rsid w:val="003357B9"/>
    <w:rsid w:val="00335C6E"/>
    <w:rsid w:val="00337F6D"/>
    <w:rsid w:val="003409DC"/>
    <w:rsid w:val="00341641"/>
    <w:rsid w:val="00341C8C"/>
    <w:rsid w:val="00343B5E"/>
    <w:rsid w:val="00344371"/>
    <w:rsid w:val="003458F0"/>
    <w:rsid w:val="00345BCB"/>
    <w:rsid w:val="00346585"/>
    <w:rsid w:val="00347A57"/>
    <w:rsid w:val="003520E3"/>
    <w:rsid w:val="00353450"/>
    <w:rsid w:val="00355BD2"/>
    <w:rsid w:val="00355EF6"/>
    <w:rsid w:val="00356DCB"/>
    <w:rsid w:val="003574BF"/>
    <w:rsid w:val="00357796"/>
    <w:rsid w:val="00360532"/>
    <w:rsid w:val="003634B2"/>
    <w:rsid w:val="00363991"/>
    <w:rsid w:val="0036636E"/>
    <w:rsid w:val="00366C1E"/>
    <w:rsid w:val="003710A4"/>
    <w:rsid w:val="0037213E"/>
    <w:rsid w:val="00372328"/>
    <w:rsid w:val="00372F79"/>
    <w:rsid w:val="0037396F"/>
    <w:rsid w:val="003744A1"/>
    <w:rsid w:val="00374CD5"/>
    <w:rsid w:val="00374E63"/>
    <w:rsid w:val="00374FEC"/>
    <w:rsid w:val="00375B96"/>
    <w:rsid w:val="00376349"/>
    <w:rsid w:val="00380B30"/>
    <w:rsid w:val="00380B51"/>
    <w:rsid w:val="00381423"/>
    <w:rsid w:val="00381A28"/>
    <w:rsid w:val="00383221"/>
    <w:rsid w:val="00387577"/>
    <w:rsid w:val="003914F1"/>
    <w:rsid w:val="00392447"/>
    <w:rsid w:val="00393170"/>
    <w:rsid w:val="003938E7"/>
    <w:rsid w:val="0039398A"/>
    <w:rsid w:val="00395EC9"/>
    <w:rsid w:val="0039674F"/>
    <w:rsid w:val="0039732E"/>
    <w:rsid w:val="003A04FC"/>
    <w:rsid w:val="003A14BF"/>
    <w:rsid w:val="003A1BD1"/>
    <w:rsid w:val="003A2364"/>
    <w:rsid w:val="003A23A5"/>
    <w:rsid w:val="003A514D"/>
    <w:rsid w:val="003A5C51"/>
    <w:rsid w:val="003A62B3"/>
    <w:rsid w:val="003A6803"/>
    <w:rsid w:val="003A6A59"/>
    <w:rsid w:val="003A6A91"/>
    <w:rsid w:val="003A7405"/>
    <w:rsid w:val="003B1208"/>
    <w:rsid w:val="003B14F6"/>
    <w:rsid w:val="003B1C00"/>
    <w:rsid w:val="003B3801"/>
    <w:rsid w:val="003B4E76"/>
    <w:rsid w:val="003B5FC0"/>
    <w:rsid w:val="003B63F3"/>
    <w:rsid w:val="003B754F"/>
    <w:rsid w:val="003C0AAE"/>
    <w:rsid w:val="003C190A"/>
    <w:rsid w:val="003C1995"/>
    <w:rsid w:val="003C1E0B"/>
    <w:rsid w:val="003C21CC"/>
    <w:rsid w:val="003C690D"/>
    <w:rsid w:val="003C6DD0"/>
    <w:rsid w:val="003C6F54"/>
    <w:rsid w:val="003D0387"/>
    <w:rsid w:val="003D0996"/>
    <w:rsid w:val="003D0AEC"/>
    <w:rsid w:val="003D2E46"/>
    <w:rsid w:val="003D32FA"/>
    <w:rsid w:val="003D344D"/>
    <w:rsid w:val="003D403A"/>
    <w:rsid w:val="003D494F"/>
    <w:rsid w:val="003D5675"/>
    <w:rsid w:val="003D5A2C"/>
    <w:rsid w:val="003D5CAC"/>
    <w:rsid w:val="003E1B8E"/>
    <w:rsid w:val="003E2126"/>
    <w:rsid w:val="003E2533"/>
    <w:rsid w:val="003E26D5"/>
    <w:rsid w:val="003E35D5"/>
    <w:rsid w:val="003E36C0"/>
    <w:rsid w:val="003E5079"/>
    <w:rsid w:val="003E55C9"/>
    <w:rsid w:val="003E5B6F"/>
    <w:rsid w:val="003E5E24"/>
    <w:rsid w:val="003E7BD9"/>
    <w:rsid w:val="003F037B"/>
    <w:rsid w:val="003F090C"/>
    <w:rsid w:val="003F0C8C"/>
    <w:rsid w:val="003F115F"/>
    <w:rsid w:val="003F38E7"/>
    <w:rsid w:val="003F3EE2"/>
    <w:rsid w:val="003F4259"/>
    <w:rsid w:val="003F65E2"/>
    <w:rsid w:val="003F6BB4"/>
    <w:rsid w:val="003F765D"/>
    <w:rsid w:val="003F78F2"/>
    <w:rsid w:val="004002F5"/>
    <w:rsid w:val="00402255"/>
    <w:rsid w:val="0040283E"/>
    <w:rsid w:val="004028BC"/>
    <w:rsid w:val="00402AE1"/>
    <w:rsid w:val="0040613E"/>
    <w:rsid w:val="0040650C"/>
    <w:rsid w:val="00406759"/>
    <w:rsid w:val="00406BF7"/>
    <w:rsid w:val="00407C36"/>
    <w:rsid w:val="00410ECA"/>
    <w:rsid w:val="00411A2D"/>
    <w:rsid w:val="004134FC"/>
    <w:rsid w:val="004142C3"/>
    <w:rsid w:val="00414436"/>
    <w:rsid w:val="004163BD"/>
    <w:rsid w:val="00416C93"/>
    <w:rsid w:val="00420252"/>
    <w:rsid w:val="00421E2B"/>
    <w:rsid w:val="0042234D"/>
    <w:rsid w:val="00422350"/>
    <w:rsid w:val="00422B0E"/>
    <w:rsid w:val="004230B5"/>
    <w:rsid w:val="0042467E"/>
    <w:rsid w:val="004247A5"/>
    <w:rsid w:val="00424E89"/>
    <w:rsid w:val="00425353"/>
    <w:rsid w:val="00425672"/>
    <w:rsid w:val="0042647D"/>
    <w:rsid w:val="004268B4"/>
    <w:rsid w:val="00426F14"/>
    <w:rsid w:val="00427746"/>
    <w:rsid w:val="00430CE1"/>
    <w:rsid w:val="00432B2A"/>
    <w:rsid w:val="004341BD"/>
    <w:rsid w:val="00435BE8"/>
    <w:rsid w:val="00436A10"/>
    <w:rsid w:val="00437870"/>
    <w:rsid w:val="00440EA1"/>
    <w:rsid w:val="00440F9C"/>
    <w:rsid w:val="0044260B"/>
    <w:rsid w:val="004430EB"/>
    <w:rsid w:val="004443F3"/>
    <w:rsid w:val="00444954"/>
    <w:rsid w:val="00446696"/>
    <w:rsid w:val="0044751E"/>
    <w:rsid w:val="00447773"/>
    <w:rsid w:val="004505A2"/>
    <w:rsid w:val="00450CD1"/>
    <w:rsid w:val="00452DBB"/>
    <w:rsid w:val="0045373F"/>
    <w:rsid w:val="0045399A"/>
    <w:rsid w:val="00454999"/>
    <w:rsid w:val="0045546F"/>
    <w:rsid w:val="004565C9"/>
    <w:rsid w:val="004566A9"/>
    <w:rsid w:val="004573AF"/>
    <w:rsid w:val="00460952"/>
    <w:rsid w:val="00460C37"/>
    <w:rsid w:val="00462A81"/>
    <w:rsid w:val="00467060"/>
    <w:rsid w:val="004673E5"/>
    <w:rsid w:val="00471D33"/>
    <w:rsid w:val="0047201F"/>
    <w:rsid w:val="004728B5"/>
    <w:rsid w:val="00472E27"/>
    <w:rsid w:val="00473289"/>
    <w:rsid w:val="004736A9"/>
    <w:rsid w:val="00474143"/>
    <w:rsid w:val="00475763"/>
    <w:rsid w:val="004807AC"/>
    <w:rsid w:val="00480F73"/>
    <w:rsid w:val="00481C41"/>
    <w:rsid w:val="004844A2"/>
    <w:rsid w:val="00485067"/>
    <w:rsid w:val="00485875"/>
    <w:rsid w:val="00486624"/>
    <w:rsid w:val="0048665C"/>
    <w:rsid w:val="0048773B"/>
    <w:rsid w:val="004877D8"/>
    <w:rsid w:val="00490091"/>
    <w:rsid w:val="00490B97"/>
    <w:rsid w:val="00490FFA"/>
    <w:rsid w:val="00491284"/>
    <w:rsid w:val="004913FE"/>
    <w:rsid w:val="00491810"/>
    <w:rsid w:val="00494ADE"/>
    <w:rsid w:val="00497017"/>
    <w:rsid w:val="004A2109"/>
    <w:rsid w:val="004A2CE1"/>
    <w:rsid w:val="004A494D"/>
    <w:rsid w:val="004A4B5D"/>
    <w:rsid w:val="004A4FCA"/>
    <w:rsid w:val="004A5233"/>
    <w:rsid w:val="004A5A89"/>
    <w:rsid w:val="004A6C49"/>
    <w:rsid w:val="004A7895"/>
    <w:rsid w:val="004A7A3D"/>
    <w:rsid w:val="004A7B2A"/>
    <w:rsid w:val="004B08DF"/>
    <w:rsid w:val="004B17CE"/>
    <w:rsid w:val="004B2C6A"/>
    <w:rsid w:val="004B3073"/>
    <w:rsid w:val="004B4A25"/>
    <w:rsid w:val="004B75B4"/>
    <w:rsid w:val="004B7958"/>
    <w:rsid w:val="004C055C"/>
    <w:rsid w:val="004C137E"/>
    <w:rsid w:val="004C2FD6"/>
    <w:rsid w:val="004C35EB"/>
    <w:rsid w:val="004C3F35"/>
    <w:rsid w:val="004C6E44"/>
    <w:rsid w:val="004C7B1D"/>
    <w:rsid w:val="004D017B"/>
    <w:rsid w:val="004D12F2"/>
    <w:rsid w:val="004D2CF1"/>
    <w:rsid w:val="004D360D"/>
    <w:rsid w:val="004D3616"/>
    <w:rsid w:val="004D3871"/>
    <w:rsid w:val="004D4D7C"/>
    <w:rsid w:val="004D5F6A"/>
    <w:rsid w:val="004D67A7"/>
    <w:rsid w:val="004D7052"/>
    <w:rsid w:val="004D7235"/>
    <w:rsid w:val="004D739E"/>
    <w:rsid w:val="004E2BDF"/>
    <w:rsid w:val="004E37BE"/>
    <w:rsid w:val="004E4064"/>
    <w:rsid w:val="004E4D24"/>
    <w:rsid w:val="004E6D7F"/>
    <w:rsid w:val="004E6FF6"/>
    <w:rsid w:val="004E7AC7"/>
    <w:rsid w:val="004F0194"/>
    <w:rsid w:val="004F060A"/>
    <w:rsid w:val="004F1CC8"/>
    <w:rsid w:val="004F2686"/>
    <w:rsid w:val="004F31A4"/>
    <w:rsid w:val="004F40BB"/>
    <w:rsid w:val="004F641C"/>
    <w:rsid w:val="0050035F"/>
    <w:rsid w:val="0050102E"/>
    <w:rsid w:val="0050196F"/>
    <w:rsid w:val="005027F8"/>
    <w:rsid w:val="00503257"/>
    <w:rsid w:val="00503D0D"/>
    <w:rsid w:val="00504B11"/>
    <w:rsid w:val="00505178"/>
    <w:rsid w:val="00507512"/>
    <w:rsid w:val="005106B9"/>
    <w:rsid w:val="00511706"/>
    <w:rsid w:val="00511F47"/>
    <w:rsid w:val="00512485"/>
    <w:rsid w:val="00512FEC"/>
    <w:rsid w:val="005134CF"/>
    <w:rsid w:val="005139AF"/>
    <w:rsid w:val="0051537C"/>
    <w:rsid w:val="0051706C"/>
    <w:rsid w:val="005172DC"/>
    <w:rsid w:val="00517361"/>
    <w:rsid w:val="005178B7"/>
    <w:rsid w:val="00520416"/>
    <w:rsid w:val="005204C8"/>
    <w:rsid w:val="00522B42"/>
    <w:rsid w:val="00524D95"/>
    <w:rsid w:val="00526D80"/>
    <w:rsid w:val="00527A91"/>
    <w:rsid w:val="005305FF"/>
    <w:rsid w:val="0053089D"/>
    <w:rsid w:val="00531433"/>
    <w:rsid w:val="005317CF"/>
    <w:rsid w:val="005354CE"/>
    <w:rsid w:val="00535759"/>
    <w:rsid w:val="005379F0"/>
    <w:rsid w:val="00537AAA"/>
    <w:rsid w:val="00541BA3"/>
    <w:rsid w:val="0054219C"/>
    <w:rsid w:val="00542423"/>
    <w:rsid w:val="00542451"/>
    <w:rsid w:val="0054299A"/>
    <w:rsid w:val="005440D2"/>
    <w:rsid w:val="005443ED"/>
    <w:rsid w:val="00546CEB"/>
    <w:rsid w:val="00546FA1"/>
    <w:rsid w:val="005479F8"/>
    <w:rsid w:val="00550C06"/>
    <w:rsid w:val="00550F1B"/>
    <w:rsid w:val="00550F25"/>
    <w:rsid w:val="00552A28"/>
    <w:rsid w:val="005531E5"/>
    <w:rsid w:val="00555F97"/>
    <w:rsid w:val="00556250"/>
    <w:rsid w:val="00556B1B"/>
    <w:rsid w:val="00557710"/>
    <w:rsid w:val="00561EF8"/>
    <w:rsid w:val="00562253"/>
    <w:rsid w:val="00563423"/>
    <w:rsid w:val="00563979"/>
    <w:rsid w:val="00563FA2"/>
    <w:rsid w:val="0056550E"/>
    <w:rsid w:val="00566811"/>
    <w:rsid w:val="00566B6F"/>
    <w:rsid w:val="00566F2F"/>
    <w:rsid w:val="00567795"/>
    <w:rsid w:val="00570218"/>
    <w:rsid w:val="005725DB"/>
    <w:rsid w:val="00573794"/>
    <w:rsid w:val="00573D2D"/>
    <w:rsid w:val="0057574B"/>
    <w:rsid w:val="00575863"/>
    <w:rsid w:val="00575A9D"/>
    <w:rsid w:val="0057715D"/>
    <w:rsid w:val="00577227"/>
    <w:rsid w:val="00577987"/>
    <w:rsid w:val="00577FC9"/>
    <w:rsid w:val="00580209"/>
    <w:rsid w:val="00581212"/>
    <w:rsid w:val="00581EAD"/>
    <w:rsid w:val="00581F70"/>
    <w:rsid w:val="005839CF"/>
    <w:rsid w:val="00583AEB"/>
    <w:rsid w:val="00583D32"/>
    <w:rsid w:val="005847F8"/>
    <w:rsid w:val="005853C3"/>
    <w:rsid w:val="005906C0"/>
    <w:rsid w:val="005910D6"/>
    <w:rsid w:val="0059123E"/>
    <w:rsid w:val="005914D9"/>
    <w:rsid w:val="00591AD7"/>
    <w:rsid w:val="005920E9"/>
    <w:rsid w:val="005933E7"/>
    <w:rsid w:val="00594E62"/>
    <w:rsid w:val="00596242"/>
    <w:rsid w:val="00596B7A"/>
    <w:rsid w:val="005A2042"/>
    <w:rsid w:val="005A22B8"/>
    <w:rsid w:val="005A28B3"/>
    <w:rsid w:val="005A2B09"/>
    <w:rsid w:val="005A2DDE"/>
    <w:rsid w:val="005A4AEC"/>
    <w:rsid w:val="005A591A"/>
    <w:rsid w:val="005A6C50"/>
    <w:rsid w:val="005A717C"/>
    <w:rsid w:val="005A7430"/>
    <w:rsid w:val="005B025D"/>
    <w:rsid w:val="005B14C3"/>
    <w:rsid w:val="005B2282"/>
    <w:rsid w:val="005B2844"/>
    <w:rsid w:val="005B3ACA"/>
    <w:rsid w:val="005B3C0C"/>
    <w:rsid w:val="005B4B8D"/>
    <w:rsid w:val="005B5AE4"/>
    <w:rsid w:val="005B7358"/>
    <w:rsid w:val="005C00FE"/>
    <w:rsid w:val="005C0772"/>
    <w:rsid w:val="005C0C74"/>
    <w:rsid w:val="005C1512"/>
    <w:rsid w:val="005C18DF"/>
    <w:rsid w:val="005C3703"/>
    <w:rsid w:val="005C4008"/>
    <w:rsid w:val="005C5EC7"/>
    <w:rsid w:val="005C7BFA"/>
    <w:rsid w:val="005C7F2B"/>
    <w:rsid w:val="005D02B3"/>
    <w:rsid w:val="005D0872"/>
    <w:rsid w:val="005D58C2"/>
    <w:rsid w:val="005D5C03"/>
    <w:rsid w:val="005D6891"/>
    <w:rsid w:val="005D7771"/>
    <w:rsid w:val="005E08B7"/>
    <w:rsid w:val="005E1BF2"/>
    <w:rsid w:val="005E3FBC"/>
    <w:rsid w:val="005E42F4"/>
    <w:rsid w:val="005E48DE"/>
    <w:rsid w:val="005E4CE2"/>
    <w:rsid w:val="005E5D11"/>
    <w:rsid w:val="005E6081"/>
    <w:rsid w:val="005E739E"/>
    <w:rsid w:val="005E7B5A"/>
    <w:rsid w:val="005F0381"/>
    <w:rsid w:val="005F42B9"/>
    <w:rsid w:val="005F5DC7"/>
    <w:rsid w:val="005F6520"/>
    <w:rsid w:val="006007FF"/>
    <w:rsid w:val="006008B8"/>
    <w:rsid w:val="00601AE4"/>
    <w:rsid w:val="00601CE4"/>
    <w:rsid w:val="0060299C"/>
    <w:rsid w:val="00611630"/>
    <w:rsid w:val="0061289C"/>
    <w:rsid w:val="006130B9"/>
    <w:rsid w:val="006149BA"/>
    <w:rsid w:val="006158C7"/>
    <w:rsid w:val="006169D1"/>
    <w:rsid w:val="0062448D"/>
    <w:rsid w:val="0062584C"/>
    <w:rsid w:val="006263A4"/>
    <w:rsid w:val="0062653F"/>
    <w:rsid w:val="00626E02"/>
    <w:rsid w:val="006320E3"/>
    <w:rsid w:val="00633ED5"/>
    <w:rsid w:val="00634863"/>
    <w:rsid w:val="006349F6"/>
    <w:rsid w:val="00634A8A"/>
    <w:rsid w:val="0063547B"/>
    <w:rsid w:val="00636AF5"/>
    <w:rsid w:val="00637344"/>
    <w:rsid w:val="00640B7B"/>
    <w:rsid w:val="006426B6"/>
    <w:rsid w:val="00642E27"/>
    <w:rsid w:val="00643107"/>
    <w:rsid w:val="006432CD"/>
    <w:rsid w:val="00643C2E"/>
    <w:rsid w:val="006458C8"/>
    <w:rsid w:val="00647453"/>
    <w:rsid w:val="0065051F"/>
    <w:rsid w:val="0065125A"/>
    <w:rsid w:val="00651DC7"/>
    <w:rsid w:val="00651FA1"/>
    <w:rsid w:val="00652096"/>
    <w:rsid w:val="00652F0F"/>
    <w:rsid w:val="00652F44"/>
    <w:rsid w:val="00653DC3"/>
    <w:rsid w:val="00655CB1"/>
    <w:rsid w:val="00655D48"/>
    <w:rsid w:val="00655D75"/>
    <w:rsid w:val="00660497"/>
    <w:rsid w:val="006607CB"/>
    <w:rsid w:val="00660D45"/>
    <w:rsid w:val="0066215E"/>
    <w:rsid w:val="0066324C"/>
    <w:rsid w:val="00666BC3"/>
    <w:rsid w:val="00667715"/>
    <w:rsid w:val="00667958"/>
    <w:rsid w:val="00672F8F"/>
    <w:rsid w:val="0067302D"/>
    <w:rsid w:val="00675253"/>
    <w:rsid w:val="0068038C"/>
    <w:rsid w:val="0068079B"/>
    <w:rsid w:val="00681C54"/>
    <w:rsid w:val="006826C4"/>
    <w:rsid w:val="006828AC"/>
    <w:rsid w:val="00682E84"/>
    <w:rsid w:val="0068311F"/>
    <w:rsid w:val="0068394F"/>
    <w:rsid w:val="006839BF"/>
    <w:rsid w:val="00690C28"/>
    <w:rsid w:val="00697085"/>
    <w:rsid w:val="006975D5"/>
    <w:rsid w:val="006A161E"/>
    <w:rsid w:val="006A1CC4"/>
    <w:rsid w:val="006A1D05"/>
    <w:rsid w:val="006A237E"/>
    <w:rsid w:val="006A29C1"/>
    <w:rsid w:val="006A386A"/>
    <w:rsid w:val="006A3CF7"/>
    <w:rsid w:val="006A52BA"/>
    <w:rsid w:val="006B081D"/>
    <w:rsid w:val="006B0D75"/>
    <w:rsid w:val="006B2F50"/>
    <w:rsid w:val="006B7A34"/>
    <w:rsid w:val="006B7D2A"/>
    <w:rsid w:val="006C0DE8"/>
    <w:rsid w:val="006C122A"/>
    <w:rsid w:val="006C1297"/>
    <w:rsid w:val="006C18A2"/>
    <w:rsid w:val="006C243C"/>
    <w:rsid w:val="006C394C"/>
    <w:rsid w:val="006C3E13"/>
    <w:rsid w:val="006C420B"/>
    <w:rsid w:val="006C4D9B"/>
    <w:rsid w:val="006C61E9"/>
    <w:rsid w:val="006D01E8"/>
    <w:rsid w:val="006D2CF2"/>
    <w:rsid w:val="006D376C"/>
    <w:rsid w:val="006D426B"/>
    <w:rsid w:val="006D4FC4"/>
    <w:rsid w:val="006D6B11"/>
    <w:rsid w:val="006D7EE7"/>
    <w:rsid w:val="006E0B67"/>
    <w:rsid w:val="006E2B8A"/>
    <w:rsid w:val="006E356D"/>
    <w:rsid w:val="006E4A02"/>
    <w:rsid w:val="006E4A54"/>
    <w:rsid w:val="006E59EC"/>
    <w:rsid w:val="006E7704"/>
    <w:rsid w:val="006E78E8"/>
    <w:rsid w:val="006F0497"/>
    <w:rsid w:val="006F19E2"/>
    <w:rsid w:val="006F1F1A"/>
    <w:rsid w:val="006F3258"/>
    <w:rsid w:val="006F4B95"/>
    <w:rsid w:val="006F5171"/>
    <w:rsid w:val="006F55E3"/>
    <w:rsid w:val="00700456"/>
    <w:rsid w:val="0070090D"/>
    <w:rsid w:val="007057F0"/>
    <w:rsid w:val="007059DE"/>
    <w:rsid w:val="0070738E"/>
    <w:rsid w:val="007076B7"/>
    <w:rsid w:val="00707E28"/>
    <w:rsid w:val="0071213C"/>
    <w:rsid w:val="0071289F"/>
    <w:rsid w:val="00713F06"/>
    <w:rsid w:val="00715B91"/>
    <w:rsid w:val="00715E4F"/>
    <w:rsid w:val="00720F0D"/>
    <w:rsid w:val="00721DB6"/>
    <w:rsid w:val="00722669"/>
    <w:rsid w:val="007228E6"/>
    <w:rsid w:val="00723D61"/>
    <w:rsid w:val="007247C8"/>
    <w:rsid w:val="00724C69"/>
    <w:rsid w:val="00725D71"/>
    <w:rsid w:val="00726475"/>
    <w:rsid w:val="00726575"/>
    <w:rsid w:val="00726DF1"/>
    <w:rsid w:val="00727866"/>
    <w:rsid w:val="00727BC4"/>
    <w:rsid w:val="007305DC"/>
    <w:rsid w:val="00731539"/>
    <w:rsid w:val="007329D6"/>
    <w:rsid w:val="007338A7"/>
    <w:rsid w:val="00734109"/>
    <w:rsid w:val="00734674"/>
    <w:rsid w:val="007350D1"/>
    <w:rsid w:val="00735345"/>
    <w:rsid w:val="007364F3"/>
    <w:rsid w:val="00737240"/>
    <w:rsid w:val="00737D01"/>
    <w:rsid w:val="007435AF"/>
    <w:rsid w:val="00743C81"/>
    <w:rsid w:val="00745A05"/>
    <w:rsid w:val="00745BA3"/>
    <w:rsid w:val="00746A74"/>
    <w:rsid w:val="0074753B"/>
    <w:rsid w:val="007475DB"/>
    <w:rsid w:val="007509E7"/>
    <w:rsid w:val="00750C79"/>
    <w:rsid w:val="00751B45"/>
    <w:rsid w:val="00751F59"/>
    <w:rsid w:val="00752112"/>
    <w:rsid w:val="007544BF"/>
    <w:rsid w:val="00754588"/>
    <w:rsid w:val="00755F99"/>
    <w:rsid w:val="007574BB"/>
    <w:rsid w:val="007574E2"/>
    <w:rsid w:val="00757DB0"/>
    <w:rsid w:val="007613E5"/>
    <w:rsid w:val="00764411"/>
    <w:rsid w:val="007651AB"/>
    <w:rsid w:val="00765D54"/>
    <w:rsid w:val="007666A5"/>
    <w:rsid w:val="0076782B"/>
    <w:rsid w:val="007700D9"/>
    <w:rsid w:val="00770100"/>
    <w:rsid w:val="007721D1"/>
    <w:rsid w:val="007724D9"/>
    <w:rsid w:val="00772B10"/>
    <w:rsid w:val="00773090"/>
    <w:rsid w:val="00777941"/>
    <w:rsid w:val="00777A8F"/>
    <w:rsid w:val="0078026E"/>
    <w:rsid w:val="00782D1F"/>
    <w:rsid w:val="0078303A"/>
    <w:rsid w:val="007838D6"/>
    <w:rsid w:val="00785ACC"/>
    <w:rsid w:val="007867B5"/>
    <w:rsid w:val="00787BCF"/>
    <w:rsid w:val="00790735"/>
    <w:rsid w:val="00791CD7"/>
    <w:rsid w:val="00791F34"/>
    <w:rsid w:val="00791F63"/>
    <w:rsid w:val="007929FA"/>
    <w:rsid w:val="00792E4B"/>
    <w:rsid w:val="00793488"/>
    <w:rsid w:val="0079374A"/>
    <w:rsid w:val="00793912"/>
    <w:rsid w:val="007947DE"/>
    <w:rsid w:val="00794E47"/>
    <w:rsid w:val="00795D9F"/>
    <w:rsid w:val="007974D3"/>
    <w:rsid w:val="00797586"/>
    <w:rsid w:val="00797624"/>
    <w:rsid w:val="00797EFA"/>
    <w:rsid w:val="007A04A9"/>
    <w:rsid w:val="007A0F6C"/>
    <w:rsid w:val="007A3716"/>
    <w:rsid w:val="007A4DFF"/>
    <w:rsid w:val="007A67C5"/>
    <w:rsid w:val="007A6B4A"/>
    <w:rsid w:val="007A6CED"/>
    <w:rsid w:val="007A6F38"/>
    <w:rsid w:val="007B1655"/>
    <w:rsid w:val="007B184C"/>
    <w:rsid w:val="007B32B1"/>
    <w:rsid w:val="007B37D5"/>
    <w:rsid w:val="007B55C0"/>
    <w:rsid w:val="007B65E2"/>
    <w:rsid w:val="007B7613"/>
    <w:rsid w:val="007B765E"/>
    <w:rsid w:val="007C69AB"/>
    <w:rsid w:val="007D0589"/>
    <w:rsid w:val="007D08EA"/>
    <w:rsid w:val="007D0E69"/>
    <w:rsid w:val="007D1470"/>
    <w:rsid w:val="007D674A"/>
    <w:rsid w:val="007D787A"/>
    <w:rsid w:val="007E03CB"/>
    <w:rsid w:val="007E0C6E"/>
    <w:rsid w:val="007E1D45"/>
    <w:rsid w:val="007E1E97"/>
    <w:rsid w:val="007E2D4A"/>
    <w:rsid w:val="007E2F79"/>
    <w:rsid w:val="007E377E"/>
    <w:rsid w:val="007E37F2"/>
    <w:rsid w:val="007E446A"/>
    <w:rsid w:val="007E4801"/>
    <w:rsid w:val="007F049E"/>
    <w:rsid w:val="007F18E3"/>
    <w:rsid w:val="007F1CC2"/>
    <w:rsid w:val="007F2E23"/>
    <w:rsid w:val="007F3293"/>
    <w:rsid w:val="007F457C"/>
    <w:rsid w:val="007F4AA1"/>
    <w:rsid w:val="007F4E4D"/>
    <w:rsid w:val="007F4F6E"/>
    <w:rsid w:val="007F56A5"/>
    <w:rsid w:val="007F580C"/>
    <w:rsid w:val="007F5854"/>
    <w:rsid w:val="007F5DEC"/>
    <w:rsid w:val="007F623A"/>
    <w:rsid w:val="007F6250"/>
    <w:rsid w:val="007F6B60"/>
    <w:rsid w:val="007F6F8D"/>
    <w:rsid w:val="007F717B"/>
    <w:rsid w:val="007F7C17"/>
    <w:rsid w:val="00800B52"/>
    <w:rsid w:val="00802FAA"/>
    <w:rsid w:val="008050F6"/>
    <w:rsid w:val="00805D07"/>
    <w:rsid w:val="008065D2"/>
    <w:rsid w:val="0080752D"/>
    <w:rsid w:val="008078EC"/>
    <w:rsid w:val="00810936"/>
    <w:rsid w:val="008112A9"/>
    <w:rsid w:val="00812616"/>
    <w:rsid w:val="008135E6"/>
    <w:rsid w:val="00814E24"/>
    <w:rsid w:val="0081601F"/>
    <w:rsid w:val="00816468"/>
    <w:rsid w:val="00817AB8"/>
    <w:rsid w:val="00821801"/>
    <w:rsid w:val="00822593"/>
    <w:rsid w:val="00823997"/>
    <w:rsid w:val="0082460C"/>
    <w:rsid w:val="00824ACB"/>
    <w:rsid w:val="00824C6D"/>
    <w:rsid w:val="00825463"/>
    <w:rsid w:val="00825F66"/>
    <w:rsid w:val="00825FE5"/>
    <w:rsid w:val="00826DC1"/>
    <w:rsid w:val="008275FB"/>
    <w:rsid w:val="00830318"/>
    <w:rsid w:val="00830B80"/>
    <w:rsid w:val="00832323"/>
    <w:rsid w:val="00833632"/>
    <w:rsid w:val="00833A85"/>
    <w:rsid w:val="00834DF3"/>
    <w:rsid w:val="00834F34"/>
    <w:rsid w:val="0083559F"/>
    <w:rsid w:val="008369AF"/>
    <w:rsid w:val="00840943"/>
    <w:rsid w:val="00840CFB"/>
    <w:rsid w:val="0084160A"/>
    <w:rsid w:val="00841DD0"/>
    <w:rsid w:val="00842374"/>
    <w:rsid w:val="0084294F"/>
    <w:rsid w:val="00842F2E"/>
    <w:rsid w:val="00845B61"/>
    <w:rsid w:val="00846AF2"/>
    <w:rsid w:val="008470A2"/>
    <w:rsid w:val="00847484"/>
    <w:rsid w:val="0084773D"/>
    <w:rsid w:val="00847B9A"/>
    <w:rsid w:val="00850F18"/>
    <w:rsid w:val="008513B9"/>
    <w:rsid w:val="00851E88"/>
    <w:rsid w:val="0085271A"/>
    <w:rsid w:val="00853914"/>
    <w:rsid w:val="00855B8A"/>
    <w:rsid w:val="00856691"/>
    <w:rsid w:val="00856827"/>
    <w:rsid w:val="00857E4E"/>
    <w:rsid w:val="008611D1"/>
    <w:rsid w:val="008617A5"/>
    <w:rsid w:val="00864703"/>
    <w:rsid w:val="00865968"/>
    <w:rsid w:val="0086605E"/>
    <w:rsid w:val="00866EB6"/>
    <w:rsid w:val="00867E1D"/>
    <w:rsid w:val="0087261E"/>
    <w:rsid w:val="00873943"/>
    <w:rsid w:val="00874709"/>
    <w:rsid w:val="00874DC0"/>
    <w:rsid w:val="008751D8"/>
    <w:rsid w:val="0087731F"/>
    <w:rsid w:val="0088023E"/>
    <w:rsid w:val="00881248"/>
    <w:rsid w:val="00881956"/>
    <w:rsid w:val="00883714"/>
    <w:rsid w:val="00884169"/>
    <w:rsid w:val="00884320"/>
    <w:rsid w:val="00885549"/>
    <w:rsid w:val="0088622F"/>
    <w:rsid w:val="008874C0"/>
    <w:rsid w:val="00890342"/>
    <w:rsid w:val="0089035D"/>
    <w:rsid w:val="008904E4"/>
    <w:rsid w:val="0089078B"/>
    <w:rsid w:val="00892750"/>
    <w:rsid w:val="00893090"/>
    <w:rsid w:val="008933E8"/>
    <w:rsid w:val="008934E1"/>
    <w:rsid w:val="00893ED2"/>
    <w:rsid w:val="008956F5"/>
    <w:rsid w:val="00896D15"/>
    <w:rsid w:val="008A1503"/>
    <w:rsid w:val="008A1CF9"/>
    <w:rsid w:val="008A2774"/>
    <w:rsid w:val="008A2AE9"/>
    <w:rsid w:val="008A606E"/>
    <w:rsid w:val="008A7EA9"/>
    <w:rsid w:val="008A7FB3"/>
    <w:rsid w:val="008B35E0"/>
    <w:rsid w:val="008B5DE9"/>
    <w:rsid w:val="008B5E31"/>
    <w:rsid w:val="008B6C90"/>
    <w:rsid w:val="008C08C5"/>
    <w:rsid w:val="008C0C76"/>
    <w:rsid w:val="008C2366"/>
    <w:rsid w:val="008C2EB9"/>
    <w:rsid w:val="008C2F53"/>
    <w:rsid w:val="008C3F3F"/>
    <w:rsid w:val="008C465D"/>
    <w:rsid w:val="008D01EE"/>
    <w:rsid w:val="008D0A5E"/>
    <w:rsid w:val="008D445B"/>
    <w:rsid w:val="008D5399"/>
    <w:rsid w:val="008D5E55"/>
    <w:rsid w:val="008D709E"/>
    <w:rsid w:val="008D7256"/>
    <w:rsid w:val="008D74A0"/>
    <w:rsid w:val="008D781B"/>
    <w:rsid w:val="008E0259"/>
    <w:rsid w:val="008E0DBC"/>
    <w:rsid w:val="008E28C2"/>
    <w:rsid w:val="008E31A7"/>
    <w:rsid w:val="008E35EB"/>
    <w:rsid w:val="008E468D"/>
    <w:rsid w:val="008E653B"/>
    <w:rsid w:val="008E6BC8"/>
    <w:rsid w:val="008F13F2"/>
    <w:rsid w:val="008F59F8"/>
    <w:rsid w:val="008F6CA0"/>
    <w:rsid w:val="00900D79"/>
    <w:rsid w:val="00902065"/>
    <w:rsid w:val="00905BE9"/>
    <w:rsid w:val="00906D93"/>
    <w:rsid w:val="00914716"/>
    <w:rsid w:val="009179F2"/>
    <w:rsid w:val="00921EB6"/>
    <w:rsid w:val="00923219"/>
    <w:rsid w:val="009264AA"/>
    <w:rsid w:val="00927576"/>
    <w:rsid w:val="00930758"/>
    <w:rsid w:val="00931128"/>
    <w:rsid w:val="0093121D"/>
    <w:rsid w:val="00932448"/>
    <w:rsid w:val="00932C14"/>
    <w:rsid w:val="0093715A"/>
    <w:rsid w:val="00940FE2"/>
    <w:rsid w:val="0094196B"/>
    <w:rsid w:val="00941A13"/>
    <w:rsid w:val="00941E67"/>
    <w:rsid w:val="00943DF2"/>
    <w:rsid w:val="00943E93"/>
    <w:rsid w:val="00944427"/>
    <w:rsid w:val="0094590A"/>
    <w:rsid w:val="009465B2"/>
    <w:rsid w:val="0095042D"/>
    <w:rsid w:val="00950A7C"/>
    <w:rsid w:val="00951BE8"/>
    <w:rsid w:val="00952DAA"/>
    <w:rsid w:val="00953342"/>
    <w:rsid w:val="009536A2"/>
    <w:rsid w:val="00953D0E"/>
    <w:rsid w:val="00954D37"/>
    <w:rsid w:val="009552BA"/>
    <w:rsid w:val="0095537F"/>
    <w:rsid w:val="00955E4C"/>
    <w:rsid w:val="0095704C"/>
    <w:rsid w:val="009601ED"/>
    <w:rsid w:val="00962BF8"/>
    <w:rsid w:val="00963495"/>
    <w:rsid w:val="009634A2"/>
    <w:rsid w:val="009636EE"/>
    <w:rsid w:val="00964723"/>
    <w:rsid w:val="00965450"/>
    <w:rsid w:val="009659D5"/>
    <w:rsid w:val="009660C3"/>
    <w:rsid w:val="00966D82"/>
    <w:rsid w:val="00966EEC"/>
    <w:rsid w:val="00967E68"/>
    <w:rsid w:val="00971817"/>
    <w:rsid w:val="00971DF3"/>
    <w:rsid w:val="009722CC"/>
    <w:rsid w:val="009722F7"/>
    <w:rsid w:val="009724A3"/>
    <w:rsid w:val="00972E94"/>
    <w:rsid w:val="0097422E"/>
    <w:rsid w:val="00974D59"/>
    <w:rsid w:val="00975568"/>
    <w:rsid w:val="00976077"/>
    <w:rsid w:val="009805CC"/>
    <w:rsid w:val="009805F7"/>
    <w:rsid w:val="0098197E"/>
    <w:rsid w:val="0098382F"/>
    <w:rsid w:val="00986EC2"/>
    <w:rsid w:val="009877D4"/>
    <w:rsid w:val="00987A47"/>
    <w:rsid w:val="00987BF2"/>
    <w:rsid w:val="009903D4"/>
    <w:rsid w:val="0099263A"/>
    <w:rsid w:val="0099784E"/>
    <w:rsid w:val="00997B3E"/>
    <w:rsid w:val="00997EDB"/>
    <w:rsid w:val="009A0FD6"/>
    <w:rsid w:val="009A1113"/>
    <w:rsid w:val="009A18EF"/>
    <w:rsid w:val="009A1FD6"/>
    <w:rsid w:val="009A4245"/>
    <w:rsid w:val="009A43EF"/>
    <w:rsid w:val="009A456A"/>
    <w:rsid w:val="009A4C4E"/>
    <w:rsid w:val="009A5001"/>
    <w:rsid w:val="009A5344"/>
    <w:rsid w:val="009A6183"/>
    <w:rsid w:val="009A6F9F"/>
    <w:rsid w:val="009A7D41"/>
    <w:rsid w:val="009B0403"/>
    <w:rsid w:val="009B0463"/>
    <w:rsid w:val="009B0D64"/>
    <w:rsid w:val="009B1E2D"/>
    <w:rsid w:val="009B7910"/>
    <w:rsid w:val="009C0B34"/>
    <w:rsid w:val="009C0B3B"/>
    <w:rsid w:val="009C130D"/>
    <w:rsid w:val="009C2494"/>
    <w:rsid w:val="009C2653"/>
    <w:rsid w:val="009C3248"/>
    <w:rsid w:val="009C32EF"/>
    <w:rsid w:val="009C530F"/>
    <w:rsid w:val="009C6895"/>
    <w:rsid w:val="009C69C8"/>
    <w:rsid w:val="009D12DB"/>
    <w:rsid w:val="009D15FF"/>
    <w:rsid w:val="009D2065"/>
    <w:rsid w:val="009D27DF"/>
    <w:rsid w:val="009D3C1F"/>
    <w:rsid w:val="009D536B"/>
    <w:rsid w:val="009D5C5A"/>
    <w:rsid w:val="009D799E"/>
    <w:rsid w:val="009D7F2C"/>
    <w:rsid w:val="009D7F5F"/>
    <w:rsid w:val="009E1750"/>
    <w:rsid w:val="009E27D4"/>
    <w:rsid w:val="009E30A9"/>
    <w:rsid w:val="009E494B"/>
    <w:rsid w:val="009E5466"/>
    <w:rsid w:val="009E7293"/>
    <w:rsid w:val="009E7A74"/>
    <w:rsid w:val="009F01E2"/>
    <w:rsid w:val="009F020B"/>
    <w:rsid w:val="009F2C47"/>
    <w:rsid w:val="009F37EE"/>
    <w:rsid w:val="009F3803"/>
    <w:rsid w:val="009F3D3F"/>
    <w:rsid w:val="009F54AA"/>
    <w:rsid w:val="009F75E6"/>
    <w:rsid w:val="009F79D3"/>
    <w:rsid w:val="009F7B69"/>
    <w:rsid w:val="00A01095"/>
    <w:rsid w:val="00A01B0B"/>
    <w:rsid w:val="00A02104"/>
    <w:rsid w:val="00A03743"/>
    <w:rsid w:val="00A05948"/>
    <w:rsid w:val="00A05AD4"/>
    <w:rsid w:val="00A107F9"/>
    <w:rsid w:val="00A111C2"/>
    <w:rsid w:val="00A126CD"/>
    <w:rsid w:val="00A128F7"/>
    <w:rsid w:val="00A14163"/>
    <w:rsid w:val="00A179B5"/>
    <w:rsid w:val="00A20560"/>
    <w:rsid w:val="00A20922"/>
    <w:rsid w:val="00A2133E"/>
    <w:rsid w:val="00A22564"/>
    <w:rsid w:val="00A23180"/>
    <w:rsid w:val="00A2388A"/>
    <w:rsid w:val="00A23A61"/>
    <w:rsid w:val="00A23C89"/>
    <w:rsid w:val="00A24401"/>
    <w:rsid w:val="00A247F4"/>
    <w:rsid w:val="00A250E3"/>
    <w:rsid w:val="00A27A58"/>
    <w:rsid w:val="00A30CA6"/>
    <w:rsid w:val="00A33BF1"/>
    <w:rsid w:val="00A3555A"/>
    <w:rsid w:val="00A373D6"/>
    <w:rsid w:val="00A43359"/>
    <w:rsid w:val="00A434AD"/>
    <w:rsid w:val="00A44C24"/>
    <w:rsid w:val="00A4538C"/>
    <w:rsid w:val="00A45514"/>
    <w:rsid w:val="00A4564E"/>
    <w:rsid w:val="00A460B8"/>
    <w:rsid w:val="00A46996"/>
    <w:rsid w:val="00A47308"/>
    <w:rsid w:val="00A5044D"/>
    <w:rsid w:val="00A506A0"/>
    <w:rsid w:val="00A50741"/>
    <w:rsid w:val="00A51F2A"/>
    <w:rsid w:val="00A524EC"/>
    <w:rsid w:val="00A52B70"/>
    <w:rsid w:val="00A52D74"/>
    <w:rsid w:val="00A552A1"/>
    <w:rsid w:val="00A55DA6"/>
    <w:rsid w:val="00A55F4A"/>
    <w:rsid w:val="00A574C8"/>
    <w:rsid w:val="00A6081C"/>
    <w:rsid w:val="00A62256"/>
    <w:rsid w:val="00A628FD"/>
    <w:rsid w:val="00A62CC2"/>
    <w:rsid w:val="00A635C6"/>
    <w:rsid w:val="00A653EE"/>
    <w:rsid w:val="00A704C9"/>
    <w:rsid w:val="00A70764"/>
    <w:rsid w:val="00A74C28"/>
    <w:rsid w:val="00A751A5"/>
    <w:rsid w:val="00A762AA"/>
    <w:rsid w:val="00A77438"/>
    <w:rsid w:val="00A77604"/>
    <w:rsid w:val="00A77990"/>
    <w:rsid w:val="00A80AEC"/>
    <w:rsid w:val="00A81E79"/>
    <w:rsid w:val="00A82119"/>
    <w:rsid w:val="00A82902"/>
    <w:rsid w:val="00A82A39"/>
    <w:rsid w:val="00A83186"/>
    <w:rsid w:val="00A84338"/>
    <w:rsid w:val="00A84480"/>
    <w:rsid w:val="00A84E2D"/>
    <w:rsid w:val="00A8510E"/>
    <w:rsid w:val="00A855FD"/>
    <w:rsid w:val="00A85F45"/>
    <w:rsid w:val="00A86201"/>
    <w:rsid w:val="00A8690F"/>
    <w:rsid w:val="00A86E34"/>
    <w:rsid w:val="00A87CA9"/>
    <w:rsid w:val="00A9054F"/>
    <w:rsid w:val="00A90E0E"/>
    <w:rsid w:val="00A91375"/>
    <w:rsid w:val="00A94BE2"/>
    <w:rsid w:val="00A9786A"/>
    <w:rsid w:val="00AA00EA"/>
    <w:rsid w:val="00AA05BE"/>
    <w:rsid w:val="00AA1FA7"/>
    <w:rsid w:val="00AA2A22"/>
    <w:rsid w:val="00AA2CB7"/>
    <w:rsid w:val="00AA34E6"/>
    <w:rsid w:val="00AA4913"/>
    <w:rsid w:val="00AA62A2"/>
    <w:rsid w:val="00AA7C08"/>
    <w:rsid w:val="00AA7DC6"/>
    <w:rsid w:val="00AB0A5C"/>
    <w:rsid w:val="00AB2161"/>
    <w:rsid w:val="00AB21E3"/>
    <w:rsid w:val="00AB2D5E"/>
    <w:rsid w:val="00AB4A24"/>
    <w:rsid w:val="00AC2125"/>
    <w:rsid w:val="00AC2233"/>
    <w:rsid w:val="00AC2673"/>
    <w:rsid w:val="00AC48EC"/>
    <w:rsid w:val="00AC53DF"/>
    <w:rsid w:val="00AC675A"/>
    <w:rsid w:val="00AD062F"/>
    <w:rsid w:val="00AD07D7"/>
    <w:rsid w:val="00AD11B0"/>
    <w:rsid w:val="00AD14D5"/>
    <w:rsid w:val="00AD1A20"/>
    <w:rsid w:val="00AD288C"/>
    <w:rsid w:val="00AD351F"/>
    <w:rsid w:val="00AD3B44"/>
    <w:rsid w:val="00AD4636"/>
    <w:rsid w:val="00AD5FE4"/>
    <w:rsid w:val="00AD68FC"/>
    <w:rsid w:val="00AD6F2A"/>
    <w:rsid w:val="00AD708C"/>
    <w:rsid w:val="00AD7CFB"/>
    <w:rsid w:val="00AD7E0E"/>
    <w:rsid w:val="00AE0D42"/>
    <w:rsid w:val="00AE1A3E"/>
    <w:rsid w:val="00AE27E5"/>
    <w:rsid w:val="00AE63C9"/>
    <w:rsid w:val="00AF228E"/>
    <w:rsid w:val="00AF32F3"/>
    <w:rsid w:val="00AF38B1"/>
    <w:rsid w:val="00AF41B1"/>
    <w:rsid w:val="00AF5A81"/>
    <w:rsid w:val="00AF65D7"/>
    <w:rsid w:val="00AF7764"/>
    <w:rsid w:val="00B00E01"/>
    <w:rsid w:val="00B01F6F"/>
    <w:rsid w:val="00B031A9"/>
    <w:rsid w:val="00B05BAE"/>
    <w:rsid w:val="00B06F37"/>
    <w:rsid w:val="00B07068"/>
    <w:rsid w:val="00B07364"/>
    <w:rsid w:val="00B074C3"/>
    <w:rsid w:val="00B07F36"/>
    <w:rsid w:val="00B10EBF"/>
    <w:rsid w:val="00B110AB"/>
    <w:rsid w:val="00B11880"/>
    <w:rsid w:val="00B11D52"/>
    <w:rsid w:val="00B12188"/>
    <w:rsid w:val="00B12EA0"/>
    <w:rsid w:val="00B13F3D"/>
    <w:rsid w:val="00B14448"/>
    <w:rsid w:val="00B16C9B"/>
    <w:rsid w:val="00B175F1"/>
    <w:rsid w:val="00B17B47"/>
    <w:rsid w:val="00B20D8A"/>
    <w:rsid w:val="00B213AF"/>
    <w:rsid w:val="00B2144D"/>
    <w:rsid w:val="00B21F8C"/>
    <w:rsid w:val="00B227CF"/>
    <w:rsid w:val="00B23531"/>
    <w:rsid w:val="00B26355"/>
    <w:rsid w:val="00B26CE1"/>
    <w:rsid w:val="00B300E6"/>
    <w:rsid w:val="00B302FB"/>
    <w:rsid w:val="00B33315"/>
    <w:rsid w:val="00B348A9"/>
    <w:rsid w:val="00B3526F"/>
    <w:rsid w:val="00B35818"/>
    <w:rsid w:val="00B36B97"/>
    <w:rsid w:val="00B41216"/>
    <w:rsid w:val="00B42A8C"/>
    <w:rsid w:val="00B43590"/>
    <w:rsid w:val="00B43A52"/>
    <w:rsid w:val="00B47881"/>
    <w:rsid w:val="00B504BA"/>
    <w:rsid w:val="00B508F8"/>
    <w:rsid w:val="00B51146"/>
    <w:rsid w:val="00B51B31"/>
    <w:rsid w:val="00B5211F"/>
    <w:rsid w:val="00B61CF6"/>
    <w:rsid w:val="00B61F80"/>
    <w:rsid w:val="00B62A5D"/>
    <w:rsid w:val="00B6330A"/>
    <w:rsid w:val="00B63517"/>
    <w:rsid w:val="00B708FC"/>
    <w:rsid w:val="00B71D98"/>
    <w:rsid w:val="00B72507"/>
    <w:rsid w:val="00B73774"/>
    <w:rsid w:val="00B7392A"/>
    <w:rsid w:val="00B756D1"/>
    <w:rsid w:val="00B75E8D"/>
    <w:rsid w:val="00B767C9"/>
    <w:rsid w:val="00B77019"/>
    <w:rsid w:val="00B777E0"/>
    <w:rsid w:val="00B77A65"/>
    <w:rsid w:val="00B804CE"/>
    <w:rsid w:val="00B8105B"/>
    <w:rsid w:val="00B81318"/>
    <w:rsid w:val="00B813F2"/>
    <w:rsid w:val="00B84284"/>
    <w:rsid w:val="00B851C5"/>
    <w:rsid w:val="00B86171"/>
    <w:rsid w:val="00B867BA"/>
    <w:rsid w:val="00B86B7D"/>
    <w:rsid w:val="00B86BAF"/>
    <w:rsid w:val="00B876B7"/>
    <w:rsid w:val="00B905C3"/>
    <w:rsid w:val="00B914FF"/>
    <w:rsid w:val="00B91864"/>
    <w:rsid w:val="00B92380"/>
    <w:rsid w:val="00B929DA"/>
    <w:rsid w:val="00B93729"/>
    <w:rsid w:val="00B93751"/>
    <w:rsid w:val="00B9386D"/>
    <w:rsid w:val="00B93CD3"/>
    <w:rsid w:val="00B9440A"/>
    <w:rsid w:val="00B95196"/>
    <w:rsid w:val="00B95A3B"/>
    <w:rsid w:val="00B96228"/>
    <w:rsid w:val="00B975C4"/>
    <w:rsid w:val="00BA0BBC"/>
    <w:rsid w:val="00BA18CB"/>
    <w:rsid w:val="00BA1CA0"/>
    <w:rsid w:val="00BA1E8F"/>
    <w:rsid w:val="00BA3228"/>
    <w:rsid w:val="00BA5247"/>
    <w:rsid w:val="00BA5F4B"/>
    <w:rsid w:val="00BA614F"/>
    <w:rsid w:val="00BA66E2"/>
    <w:rsid w:val="00BA6F29"/>
    <w:rsid w:val="00BA71F0"/>
    <w:rsid w:val="00BB030C"/>
    <w:rsid w:val="00BB2688"/>
    <w:rsid w:val="00BB293D"/>
    <w:rsid w:val="00BB4906"/>
    <w:rsid w:val="00BB5115"/>
    <w:rsid w:val="00BB5758"/>
    <w:rsid w:val="00BB7900"/>
    <w:rsid w:val="00BC06E9"/>
    <w:rsid w:val="00BC295E"/>
    <w:rsid w:val="00BC5E9D"/>
    <w:rsid w:val="00BC5F6B"/>
    <w:rsid w:val="00BC6852"/>
    <w:rsid w:val="00BC7A1E"/>
    <w:rsid w:val="00BD01D5"/>
    <w:rsid w:val="00BD166D"/>
    <w:rsid w:val="00BD200C"/>
    <w:rsid w:val="00BD3CA1"/>
    <w:rsid w:val="00BD4325"/>
    <w:rsid w:val="00BD4C3F"/>
    <w:rsid w:val="00BD655C"/>
    <w:rsid w:val="00BD6B89"/>
    <w:rsid w:val="00BE0EE6"/>
    <w:rsid w:val="00BE2393"/>
    <w:rsid w:val="00BE2BD8"/>
    <w:rsid w:val="00BE330A"/>
    <w:rsid w:val="00BE3752"/>
    <w:rsid w:val="00BE4D7E"/>
    <w:rsid w:val="00BE50FF"/>
    <w:rsid w:val="00BE60F6"/>
    <w:rsid w:val="00BE6874"/>
    <w:rsid w:val="00BE69D2"/>
    <w:rsid w:val="00BE7DE6"/>
    <w:rsid w:val="00BF0FFF"/>
    <w:rsid w:val="00BF4323"/>
    <w:rsid w:val="00BF5E6B"/>
    <w:rsid w:val="00BF607B"/>
    <w:rsid w:val="00C00CF8"/>
    <w:rsid w:val="00C00F68"/>
    <w:rsid w:val="00C01001"/>
    <w:rsid w:val="00C01E1F"/>
    <w:rsid w:val="00C03E6F"/>
    <w:rsid w:val="00C04808"/>
    <w:rsid w:val="00C05B1A"/>
    <w:rsid w:val="00C0634D"/>
    <w:rsid w:val="00C1079A"/>
    <w:rsid w:val="00C10BEC"/>
    <w:rsid w:val="00C10C0F"/>
    <w:rsid w:val="00C11366"/>
    <w:rsid w:val="00C12306"/>
    <w:rsid w:val="00C12721"/>
    <w:rsid w:val="00C129F0"/>
    <w:rsid w:val="00C13A68"/>
    <w:rsid w:val="00C140A8"/>
    <w:rsid w:val="00C1479D"/>
    <w:rsid w:val="00C147B0"/>
    <w:rsid w:val="00C14859"/>
    <w:rsid w:val="00C14C91"/>
    <w:rsid w:val="00C16766"/>
    <w:rsid w:val="00C16BF0"/>
    <w:rsid w:val="00C173A7"/>
    <w:rsid w:val="00C20312"/>
    <w:rsid w:val="00C251F7"/>
    <w:rsid w:val="00C25A89"/>
    <w:rsid w:val="00C301E9"/>
    <w:rsid w:val="00C31812"/>
    <w:rsid w:val="00C32757"/>
    <w:rsid w:val="00C32A62"/>
    <w:rsid w:val="00C3337B"/>
    <w:rsid w:val="00C33E9B"/>
    <w:rsid w:val="00C34558"/>
    <w:rsid w:val="00C346EB"/>
    <w:rsid w:val="00C35095"/>
    <w:rsid w:val="00C36178"/>
    <w:rsid w:val="00C3669C"/>
    <w:rsid w:val="00C37B41"/>
    <w:rsid w:val="00C413F9"/>
    <w:rsid w:val="00C42C59"/>
    <w:rsid w:val="00C442B4"/>
    <w:rsid w:val="00C44C1E"/>
    <w:rsid w:val="00C45415"/>
    <w:rsid w:val="00C46C71"/>
    <w:rsid w:val="00C4789E"/>
    <w:rsid w:val="00C478F4"/>
    <w:rsid w:val="00C50C69"/>
    <w:rsid w:val="00C516AC"/>
    <w:rsid w:val="00C51B80"/>
    <w:rsid w:val="00C5316E"/>
    <w:rsid w:val="00C53FD3"/>
    <w:rsid w:val="00C54B23"/>
    <w:rsid w:val="00C5574B"/>
    <w:rsid w:val="00C55B40"/>
    <w:rsid w:val="00C55BA5"/>
    <w:rsid w:val="00C5619F"/>
    <w:rsid w:val="00C5735A"/>
    <w:rsid w:val="00C5794D"/>
    <w:rsid w:val="00C57A8E"/>
    <w:rsid w:val="00C600C8"/>
    <w:rsid w:val="00C604B9"/>
    <w:rsid w:val="00C60B4A"/>
    <w:rsid w:val="00C623D3"/>
    <w:rsid w:val="00C6319D"/>
    <w:rsid w:val="00C649D2"/>
    <w:rsid w:val="00C64C5C"/>
    <w:rsid w:val="00C6538D"/>
    <w:rsid w:val="00C66CAC"/>
    <w:rsid w:val="00C67B67"/>
    <w:rsid w:val="00C7076F"/>
    <w:rsid w:val="00C70AD6"/>
    <w:rsid w:val="00C7120A"/>
    <w:rsid w:val="00C71E25"/>
    <w:rsid w:val="00C73FD6"/>
    <w:rsid w:val="00C75986"/>
    <w:rsid w:val="00C75B7C"/>
    <w:rsid w:val="00C77724"/>
    <w:rsid w:val="00C80087"/>
    <w:rsid w:val="00C8030A"/>
    <w:rsid w:val="00C805C1"/>
    <w:rsid w:val="00C807F0"/>
    <w:rsid w:val="00C80A83"/>
    <w:rsid w:val="00C810E4"/>
    <w:rsid w:val="00C81548"/>
    <w:rsid w:val="00C81729"/>
    <w:rsid w:val="00C83CA3"/>
    <w:rsid w:val="00C84DC6"/>
    <w:rsid w:val="00C860F9"/>
    <w:rsid w:val="00C8611A"/>
    <w:rsid w:val="00C86E82"/>
    <w:rsid w:val="00C87CEA"/>
    <w:rsid w:val="00C91A40"/>
    <w:rsid w:val="00C91CAE"/>
    <w:rsid w:val="00C91D8E"/>
    <w:rsid w:val="00C92967"/>
    <w:rsid w:val="00C92C45"/>
    <w:rsid w:val="00C93034"/>
    <w:rsid w:val="00C9311E"/>
    <w:rsid w:val="00C93F8F"/>
    <w:rsid w:val="00C96A06"/>
    <w:rsid w:val="00C96EE1"/>
    <w:rsid w:val="00C9762A"/>
    <w:rsid w:val="00C97F4B"/>
    <w:rsid w:val="00CA0B87"/>
    <w:rsid w:val="00CA115E"/>
    <w:rsid w:val="00CA2A94"/>
    <w:rsid w:val="00CA3547"/>
    <w:rsid w:val="00CA5006"/>
    <w:rsid w:val="00CA5238"/>
    <w:rsid w:val="00CB0A65"/>
    <w:rsid w:val="00CB1F58"/>
    <w:rsid w:val="00CB2DFD"/>
    <w:rsid w:val="00CB3334"/>
    <w:rsid w:val="00CB4781"/>
    <w:rsid w:val="00CB51D9"/>
    <w:rsid w:val="00CB6597"/>
    <w:rsid w:val="00CB7B02"/>
    <w:rsid w:val="00CB7C62"/>
    <w:rsid w:val="00CC097A"/>
    <w:rsid w:val="00CC5033"/>
    <w:rsid w:val="00CC7B0E"/>
    <w:rsid w:val="00CD0320"/>
    <w:rsid w:val="00CD1C27"/>
    <w:rsid w:val="00CD3541"/>
    <w:rsid w:val="00CD4283"/>
    <w:rsid w:val="00CD5A9C"/>
    <w:rsid w:val="00CD6545"/>
    <w:rsid w:val="00CD67BE"/>
    <w:rsid w:val="00CE3D10"/>
    <w:rsid w:val="00CE501F"/>
    <w:rsid w:val="00CE5F38"/>
    <w:rsid w:val="00CF1520"/>
    <w:rsid w:val="00CF1CF2"/>
    <w:rsid w:val="00CF22CD"/>
    <w:rsid w:val="00CF3255"/>
    <w:rsid w:val="00CF341E"/>
    <w:rsid w:val="00CF348B"/>
    <w:rsid w:val="00CF41FD"/>
    <w:rsid w:val="00CF4EA3"/>
    <w:rsid w:val="00CF53A1"/>
    <w:rsid w:val="00CF6153"/>
    <w:rsid w:val="00CF6C09"/>
    <w:rsid w:val="00CF7775"/>
    <w:rsid w:val="00CF7D6A"/>
    <w:rsid w:val="00D002FF"/>
    <w:rsid w:val="00D00688"/>
    <w:rsid w:val="00D020ED"/>
    <w:rsid w:val="00D02CEE"/>
    <w:rsid w:val="00D05169"/>
    <w:rsid w:val="00D0562E"/>
    <w:rsid w:val="00D056B6"/>
    <w:rsid w:val="00D058C5"/>
    <w:rsid w:val="00D064BD"/>
    <w:rsid w:val="00D11A4F"/>
    <w:rsid w:val="00D11A5F"/>
    <w:rsid w:val="00D1220F"/>
    <w:rsid w:val="00D1242F"/>
    <w:rsid w:val="00D141EE"/>
    <w:rsid w:val="00D1734D"/>
    <w:rsid w:val="00D21755"/>
    <w:rsid w:val="00D243B4"/>
    <w:rsid w:val="00D26374"/>
    <w:rsid w:val="00D31161"/>
    <w:rsid w:val="00D31692"/>
    <w:rsid w:val="00D31F56"/>
    <w:rsid w:val="00D32F68"/>
    <w:rsid w:val="00D32F72"/>
    <w:rsid w:val="00D35646"/>
    <w:rsid w:val="00D35BD4"/>
    <w:rsid w:val="00D3613D"/>
    <w:rsid w:val="00D4159C"/>
    <w:rsid w:val="00D41DFE"/>
    <w:rsid w:val="00D42015"/>
    <w:rsid w:val="00D4332A"/>
    <w:rsid w:val="00D43CFD"/>
    <w:rsid w:val="00D43EF8"/>
    <w:rsid w:val="00D450AD"/>
    <w:rsid w:val="00D4538F"/>
    <w:rsid w:val="00D455DA"/>
    <w:rsid w:val="00D47714"/>
    <w:rsid w:val="00D47820"/>
    <w:rsid w:val="00D4791D"/>
    <w:rsid w:val="00D5032C"/>
    <w:rsid w:val="00D5310C"/>
    <w:rsid w:val="00D55029"/>
    <w:rsid w:val="00D5529E"/>
    <w:rsid w:val="00D56ABF"/>
    <w:rsid w:val="00D57E82"/>
    <w:rsid w:val="00D637B8"/>
    <w:rsid w:val="00D667F2"/>
    <w:rsid w:val="00D66A04"/>
    <w:rsid w:val="00D6769E"/>
    <w:rsid w:val="00D67A55"/>
    <w:rsid w:val="00D70606"/>
    <w:rsid w:val="00D71B39"/>
    <w:rsid w:val="00D72B88"/>
    <w:rsid w:val="00D730CD"/>
    <w:rsid w:val="00D73A96"/>
    <w:rsid w:val="00D744F2"/>
    <w:rsid w:val="00D74915"/>
    <w:rsid w:val="00D753AE"/>
    <w:rsid w:val="00D76D61"/>
    <w:rsid w:val="00D7739B"/>
    <w:rsid w:val="00D77680"/>
    <w:rsid w:val="00D80BB9"/>
    <w:rsid w:val="00D81AB9"/>
    <w:rsid w:val="00D833C0"/>
    <w:rsid w:val="00D83754"/>
    <w:rsid w:val="00D84032"/>
    <w:rsid w:val="00D843F4"/>
    <w:rsid w:val="00D85D2C"/>
    <w:rsid w:val="00D86508"/>
    <w:rsid w:val="00D86EDB"/>
    <w:rsid w:val="00D913D6"/>
    <w:rsid w:val="00D92957"/>
    <w:rsid w:val="00D930D1"/>
    <w:rsid w:val="00D93E1C"/>
    <w:rsid w:val="00D956BB"/>
    <w:rsid w:val="00D96985"/>
    <w:rsid w:val="00D96D51"/>
    <w:rsid w:val="00D973C2"/>
    <w:rsid w:val="00D975F1"/>
    <w:rsid w:val="00DA012E"/>
    <w:rsid w:val="00DA203E"/>
    <w:rsid w:val="00DA2A45"/>
    <w:rsid w:val="00DA34E1"/>
    <w:rsid w:val="00DA57BC"/>
    <w:rsid w:val="00DA6D8E"/>
    <w:rsid w:val="00DB0950"/>
    <w:rsid w:val="00DB3405"/>
    <w:rsid w:val="00DB3A06"/>
    <w:rsid w:val="00DB3D43"/>
    <w:rsid w:val="00DB4954"/>
    <w:rsid w:val="00DB56A6"/>
    <w:rsid w:val="00DB6A2E"/>
    <w:rsid w:val="00DB72C5"/>
    <w:rsid w:val="00DB7B16"/>
    <w:rsid w:val="00DC00DC"/>
    <w:rsid w:val="00DC161B"/>
    <w:rsid w:val="00DC2F94"/>
    <w:rsid w:val="00DC44AD"/>
    <w:rsid w:val="00DC55B1"/>
    <w:rsid w:val="00DC7518"/>
    <w:rsid w:val="00DD0B59"/>
    <w:rsid w:val="00DD1887"/>
    <w:rsid w:val="00DD272A"/>
    <w:rsid w:val="00DD32A5"/>
    <w:rsid w:val="00DD368D"/>
    <w:rsid w:val="00DD443A"/>
    <w:rsid w:val="00DD4619"/>
    <w:rsid w:val="00DD4832"/>
    <w:rsid w:val="00DD50D3"/>
    <w:rsid w:val="00DD50F0"/>
    <w:rsid w:val="00DD52A6"/>
    <w:rsid w:val="00DD52AC"/>
    <w:rsid w:val="00DD76FB"/>
    <w:rsid w:val="00DE4937"/>
    <w:rsid w:val="00DE6EFE"/>
    <w:rsid w:val="00DE7168"/>
    <w:rsid w:val="00DE7253"/>
    <w:rsid w:val="00DE7968"/>
    <w:rsid w:val="00DE7C12"/>
    <w:rsid w:val="00DF222D"/>
    <w:rsid w:val="00DF43F6"/>
    <w:rsid w:val="00DF4525"/>
    <w:rsid w:val="00DF4C71"/>
    <w:rsid w:val="00DF71D9"/>
    <w:rsid w:val="00E0086B"/>
    <w:rsid w:val="00E00C68"/>
    <w:rsid w:val="00E0155C"/>
    <w:rsid w:val="00E0194B"/>
    <w:rsid w:val="00E01B92"/>
    <w:rsid w:val="00E02DEF"/>
    <w:rsid w:val="00E03CAE"/>
    <w:rsid w:val="00E04036"/>
    <w:rsid w:val="00E04ADA"/>
    <w:rsid w:val="00E0507F"/>
    <w:rsid w:val="00E07AB3"/>
    <w:rsid w:val="00E07C13"/>
    <w:rsid w:val="00E10585"/>
    <w:rsid w:val="00E106A2"/>
    <w:rsid w:val="00E10DCE"/>
    <w:rsid w:val="00E1241F"/>
    <w:rsid w:val="00E133F9"/>
    <w:rsid w:val="00E147C9"/>
    <w:rsid w:val="00E17DA1"/>
    <w:rsid w:val="00E17EBD"/>
    <w:rsid w:val="00E20206"/>
    <w:rsid w:val="00E207D7"/>
    <w:rsid w:val="00E2089D"/>
    <w:rsid w:val="00E20E6D"/>
    <w:rsid w:val="00E2335E"/>
    <w:rsid w:val="00E234A0"/>
    <w:rsid w:val="00E23FA4"/>
    <w:rsid w:val="00E25953"/>
    <w:rsid w:val="00E26807"/>
    <w:rsid w:val="00E27504"/>
    <w:rsid w:val="00E33E29"/>
    <w:rsid w:val="00E37013"/>
    <w:rsid w:val="00E4021C"/>
    <w:rsid w:val="00E408FE"/>
    <w:rsid w:val="00E40A49"/>
    <w:rsid w:val="00E414BD"/>
    <w:rsid w:val="00E43EF6"/>
    <w:rsid w:val="00E4477A"/>
    <w:rsid w:val="00E4507D"/>
    <w:rsid w:val="00E4736F"/>
    <w:rsid w:val="00E47738"/>
    <w:rsid w:val="00E47AE3"/>
    <w:rsid w:val="00E51211"/>
    <w:rsid w:val="00E55636"/>
    <w:rsid w:val="00E567FE"/>
    <w:rsid w:val="00E60C7C"/>
    <w:rsid w:val="00E613F2"/>
    <w:rsid w:val="00E61F61"/>
    <w:rsid w:val="00E6276C"/>
    <w:rsid w:val="00E6309D"/>
    <w:rsid w:val="00E63A1F"/>
    <w:rsid w:val="00E63D3C"/>
    <w:rsid w:val="00E6434B"/>
    <w:rsid w:val="00E6465F"/>
    <w:rsid w:val="00E653A8"/>
    <w:rsid w:val="00E6638D"/>
    <w:rsid w:val="00E674A9"/>
    <w:rsid w:val="00E67B5F"/>
    <w:rsid w:val="00E67C72"/>
    <w:rsid w:val="00E70796"/>
    <w:rsid w:val="00E71544"/>
    <w:rsid w:val="00E719F8"/>
    <w:rsid w:val="00E73EF4"/>
    <w:rsid w:val="00E75432"/>
    <w:rsid w:val="00E77E85"/>
    <w:rsid w:val="00E77FBA"/>
    <w:rsid w:val="00E80E10"/>
    <w:rsid w:val="00E80E96"/>
    <w:rsid w:val="00E81141"/>
    <w:rsid w:val="00E820E7"/>
    <w:rsid w:val="00E825AC"/>
    <w:rsid w:val="00E8393E"/>
    <w:rsid w:val="00E85841"/>
    <w:rsid w:val="00E863A4"/>
    <w:rsid w:val="00E86B51"/>
    <w:rsid w:val="00E9025F"/>
    <w:rsid w:val="00E90296"/>
    <w:rsid w:val="00E90F25"/>
    <w:rsid w:val="00E91188"/>
    <w:rsid w:val="00E9141F"/>
    <w:rsid w:val="00E92A5D"/>
    <w:rsid w:val="00E9450B"/>
    <w:rsid w:val="00E95098"/>
    <w:rsid w:val="00E959E1"/>
    <w:rsid w:val="00EA02CB"/>
    <w:rsid w:val="00EA0413"/>
    <w:rsid w:val="00EA0CCD"/>
    <w:rsid w:val="00EA244F"/>
    <w:rsid w:val="00EA2FBF"/>
    <w:rsid w:val="00EA6CB5"/>
    <w:rsid w:val="00EA73F7"/>
    <w:rsid w:val="00EB0015"/>
    <w:rsid w:val="00EB034E"/>
    <w:rsid w:val="00EB0512"/>
    <w:rsid w:val="00EB1EAA"/>
    <w:rsid w:val="00EB2A46"/>
    <w:rsid w:val="00EB3800"/>
    <w:rsid w:val="00EB4CBC"/>
    <w:rsid w:val="00EB5959"/>
    <w:rsid w:val="00EB7B7E"/>
    <w:rsid w:val="00EB7D81"/>
    <w:rsid w:val="00EC0E4D"/>
    <w:rsid w:val="00EC1187"/>
    <w:rsid w:val="00EC1B32"/>
    <w:rsid w:val="00EC1E2C"/>
    <w:rsid w:val="00EC273D"/>
    <w:rsid w:val="00EC2A0D"/>
    <w:rsid w:val="00EC2D4A"/>
    <w:rsid w:val="00EC39A6"/>
    <w:rsid w:val="00EC3A86"/>
    <w:rsid w:val="00EC3D25"/>
    <w:rsid w:val="00EC43BA"/>
    <w:rsid w:val="00EC452A"/>
    <w:rsid w:val="00EC60F4"/>
    <w:rsid w:val="00EC6FC3"/>
    <w:rsid w:val="00EC7362"/>
    <w:rsid w:val="00ED064D"/>
    <w:rsid w:val="00ED0C0B"/>
    <w:rsid w:val="00ED13FF"/>
    <w:rsid w:val="00ED1964"/>
    <w:rsid w:val="00ED236B"/>
    <w:rsid w:val="00ED6203"/>
    <w:rsid w:val="00EE0511"/>
    <w:rsid w:val="00EE05DF"/>
    <w:rsid w:val="00EE21A4"/>
    <w:rsid w:val="00EE3895"/>
    <w:rsid w:val="00EE3A9D"/>
    <w:rsid w:val="00EE43B1"/>
    <w:rsid w:val="00EE5805"/>
    <w:rsid w:val="00EE5C96"/>
    <w:rsid w:val="00EF0ACB"/>
    <w:rsid w:val="00EF13FC"/>
    <w:rsid w:val="00EF2D4D"/>
    <w:rsid w:val="00EF302D"/>
    <w:rsid w:val="00EF304C"/>
    <w:rsid w:val="00EF3A92"/>
    <w:rsid w:val="00EF467C"/>
    <w:rsid w:val="00EF797E"/>
    <w:rsid w:val="00EF7FFE"/>
    <w:rsid w:val="00F023E6"/>
    <w:rsid w:val="00F0257A"/>
    <w:rsid w:val="00F02930"/>
    <w:rsid w:val="00F03DF6"/>
    <w:rsid w:val="00F04E24"/>
    <w:rsid w:val="00F0527E"/>
    <w:rsid w:val="00F057F3"/>
    <w:rsid w:val="00F06CBB"/>
    <w:rsid w:val="00F07B6B"/>
    <w:rsid w:val="00F104CC"/>
    <w:rsid w:val="00F10A81"/>
    <w:rsid w:val="00F115D9"/>
    <w:rsid w:val="00F11CF2"/>
    <w:rsid w:val="00F12690"/>
    <w:rsid w:val="00F1323D"/>
    <w:rsid w:val="00F143DF"/>
    <w:rsid w:val="00F14539"/>
    <w:rsid w:val="00F14E88"/>
    <w:rsid w:val="00F1525D"/>
    <w:rsid w:val="00F16BA4"/>
    <w:rsid w:val="00F170F2"/>
    <w:rsid w:val="00F175E8"/>
    <w:rsid w:val="00F2363C"/>
    <w:rsid w:val="00F23652"/>
    <w:rsid w:val="00F252FE"/>
    <w:rsid w:val="00F2643B"/>
    <w:rsid w:val="00F26E8D"/>
    <w:rsid w:val="00F315C6"/>
    <w:rsid w:val="00F3324C"/>
    <w:rsid w:val="00F35994"/>
    <w:rsid w:val="00F415C4"/>
    <w:rsid w:val="00F42257"/>
    <w:rsid w:val="00F422A6"/>
    <w:rsid w:val="00F43766"/>
    <w:rsid w:val="00F448FD"/>
    <w:rsid w:val="00F44C52"/>
    <w:rsid w:val="00F47E19"/>
    <w:rsid w:val="00F503CA"/>
    <w:rsid w:val="00F50770"/>
    <w:rsid w:val="00F50C56"/>
    <w:rsid w:val="00F5210E"/>
    <w:rsid w:val="00F527FD"/>
    <w:rsid w:val="00F53764"/>
    <w:rsid w:val="00F55A02"/>
    <w:rsid w:val="00F56420"/>
    <w:rsid w:val="00F57262"/>
    <w:rsid w:val="00F62D81"/>
    <w:rsid w:val="00F63258"/>
    <w:rsid w:val="00F638E8"/>
    <w:rsid w:val="00F643DB"/>
    <w:rsid w:val="00F64747"/>
    <w:rsid w:val="00F64ADF"/>
    <w:rsid w:val="00F64D15"/>
    <w:rsid w:val="00F653DB"/>
    <w:rsid w:val="00F6696C"/>
    <w:rsid w:val="00F66B49"/>
    <w:rsid w:val="00F671C3"/>
    <w:rsid w:val="00F67EDB"/>
    <w:rsid w:val="00F67EFF"/>
    <w:rsid w:val="00F7192A"/>
    <w:rsid w:val="00F71BCD"/>
    <w:rsid w:val="00F721C1"/>
    <w:rsid w:val="00F72806"/>
    <w:rsid w:val="00F735CC"/>
    <w:rsid w:val="00F73CD3"/>
    <w:rsid w:val="00F754A0"/>
    <w:rsid w:val="00F757D8"/>
    <w:rsid w:val="00F76773"/>
    <w:rsid w:val="00F82348"/>
    <w:rsid w:val="00F82BA0"/>
    <w:rsid w:val="00F83D0F"/>
    <w:rsid w:val="00F83FC9"/>
    <w:rsid w:val="00F847CE"/>
    <w:rsid w:val="00F85A0E"/>
    <w:rsid w:val="00F8621F"/>
    <w:rsid w:val="00F8729F"/>
    <w:rsid w:val="00F90906"/>
    <w:rsid w:val="00F9146B"/>
    <w:rsid w:val="00F925EB"/>
    <w:rsid w:val="00F92C8E"/>
    <w:rsid w:val="00F967EA"/>
    <w:rsid w:val="00F97259"/>
    <w:rsid w:val="00FA1C12"/>
    <w:rsid w:val="00FA3617"/>
    <w:rsid w:val="00FA3C18"/>
    <w:rsid w:val="00FA6208"/>
    <w:rsid w:val="00FA6CE3"/>
    <w:rsid w:val="00FA76F3"/>
    <w:rsid w:val="00FA783A"/>
    <w:rsid w:val="00FB0005"/>
    <w:rsid w:val="00FB2E5A"/>
    <w:rsid w:val="00FB3178"/>
    <w:rsid w:val="00FB39E9"/>
    <w:rsid w:val="00FB435E"/>
    <w:rsid w:val="00FB57DE"/>
    <w:rsid w:val="00FB7694"/>
    <w:rsid w:val="00FB76E0"/>
    <w:rsid w:val="00FB7EB1"/>
    <w:rsid w:val="00FC0E88"/>
    <w:rsid w:val="00FC1127"/>
    <w:rsid w:val="00FC14F6"/>
    <w:rsid w:val="00FC205C"/>
    <w:rsid w:val="00FC2FBE"/>
    <w:rsid w:val="00FC414B"/>
    <w:rsid w:val="00FC474B"/>
    <w:rsid w:val="00FC4DD4"/>
    <w:rsid w:val="00FC4E38"/>
    <w:rsid w:val="00FC7783"/>
    <w:rsid w:val="00FC7847"/>
    <w:rsid w:val="00FD0C8C"/>
    <w:rsid w:val="00FD1C6E"/>
    <w:rsid w:val="00FD3069"/>
    <w:rsid w:val="00FD3826"/>
    <w:rsid w:val="00FD3FC0"/>
    <w:rsid w:val="00FD40D8"/>
    <w:rsid w:val="00FD4262"/>
    <w:rsid w:val="00FD4479"/>
    <w:rsid w:val="00FD477A"/>
    <w:rsid w:val="00FE0588"/>
    <w:rsid w:val="00FE2824"/>
    <w:rsid w:val="00FE313B"/>
    <w:rsid w:val="00FE32F1"/>
    <w:rsid w:val="00FE3A73"/>
    <w:rsid w:val="00FE4B32"/>
    <w:rsid w:val="00FE52B1"/>
    <w:rsid w:val="00FE7EFD"/>
    <w:rsid w:val="00FF0833"/>
    <w:rsid w:val="00FF0975"/>
    <w:rsid w:val="00FF1F6E"/>
    <w:rsid w:val="00FF3E67"/>
    <w:rsid w:val="00FF3FDA"/>
    <w:rsid w:val="00FF65E6"/>
    <w:rsid w:val="00FF72AC"/>
    <w:rsid w:val="00FF7E7F"/>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29416"/>
  <w15:chartTrackingRefBased/>
  <w15:docId w15:val="{FE119F6A-54ED-4F1E-866A-23775212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EB03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92380"/>
    <w:pPr>
      <w:ind w:left="720"/>
      <w:contextualSpacing/>
    </w:pPr>
  </w:style>
  <w:style w:type="paragraph" w:styleId="Textonotapie">
    <w:name w:val="footnote text"/>
    <w:basedOn w:val="Normal"/>
    <w:link w:val="TextonotapieCar"/>
    <w:uiPriority w:val="99"/>
    <w:unhideWhenUsed/>
    <w:rsid w:val="005F0381"/>
    <w:pPr>
      <w:spacing w:after="0" w:line="240" w:lineRule="auto"/>
    </w:pPr>
    <w:rPr>
      <w:sz w:val="20"/>
      <w:szCs w:val="20"/>
    </w:rPr>
  </w:style>
  <w:style w:type="character" w:customStyle="1" w:styleId="TextonotapieCar">
    <w:name w:val="Texto nota pie Car"/>
    <w:basedOn w:val="Fuentedeprrafopredeter"/>
    <w:link w:val="Textonotapie"/>
    <w:uiPriority w:val="99"/>
    <w:rsid w:val="005F0381"/>
    <w:rPr>
      <w:sz w:val="20"/>
      <w:szCs w:val="20"/>
    </w:rPr>
  </w:style>
  <w:style w:type="character" w:styleId="Refdenotaalpie">
    <w:name w:val="footnote reference"/>
    <w:basedOn w:val="Fuentedeprrafopredeter"/>
    <w:uiPriority w:val="99"/>
    <w:semiHidden/>
    <w:unhideWhenUsed/>
    <w:rsid w:val="005F0381"/>
    <w:rPr>
      <w:vertAlign w:val="superscript"/>
    </w:rPr>
  </w:style>
  <w:style w:type="character" w:customStyle="1" w:styleId="sb8d990e2">
    <w:name w:val="sb8d990e2"/>
    <w:basedOn w:val="Fuentedeprrafopredeter"/>
    <w:rsid w:val="005F0381"/>
  </w:style>
  <w:style w:type="character" w:customStyle="1" w:styleId="s6b621b36">
    <w:name w:val="s6b621b36"/>
    <w:basedOn w:val="Fuentedeprrafopredeter"/>
    <w:rsid w:val="005F0381"/>
  </w:style>
  <w:style w:type="paragraph" w:styleId="Textodeglobo">
    <w:name w:val="Balloon Text"/>
    <w:basedOn w:val="Normal"/>
    <w:link w:val="TextodegloboCar"/>
    <w:uiPriority w:val="99"/>
    <w:semiHidden/>
    <w:unhideWhenUsed/>
    <w:rsid w:val="00AD6F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6F2A"/>
    <w:rPr>
      <w:rFonts w:ascii="Segoe UI" w:hAnsi="Segoe UI" w:cs="Segoe UI"/>
      <w:sz w:val="18"/>
      <w:szCs w:val="18"/>
    </w:rPr>
  </w:style>
  <w:style w:type="paragraph" w:styleId="Encabezado">
    <w:name w:val="header"/>
    <w:basedOn w:val="Normal"/>
    <w:link w:val="EncabezadoCar"/>
    <w:uiPriority w:val="99"/>
    <w:unhideWhenUsed/>
    <w:rsid w:val="004E4D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E4D24"/>
  </w:style>
  <w:style w:type="paragraph" w:styleId="Piedepgina">
    <w:name w:val="footer"/>
    <w:basedOn w:val="Normal"/>
    <w:link w:val="PiedepginaCar"/>
    <w:uiPriority w:val="99"/>
    <w:unhideWhenUsed/>
    <w:rsid w:val="004E4D2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E4D24"/>
  </w:style>
  <w:style w:type="character" w:styleId="Refdecomentario">
    <w:name w:val="annotation reference"/>
    <w:basedOn w:val="Fuentedeprrafopredeter"/>
    <w:uiPriority w:val="99"/>
    <w:semiHidden/>
    <w:unhideWhenUsed/>
    <w:rsid w:val="00EC1E2C"/>
    <w:rPr>
      <w:sz w:val="16"/>
      <w:szCs w:val="16"/>
    </w:rPr>
  </w:style>
  <w:style w:type="paragraph" w:styleId="Textocomentario">
    <w:name w:val="annotation text"/>
    <w:basedOn w:val="Normal"/>
    <w:link w:val="TextocomentarioCar"/>
    <w:uiPriority w:val="99"/>
    <w:semiHidden/>
    <w:unhideWhenUsed/>
    <w:rsid w:val="00EC1E2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C1E2C"/>
    <w:rPr>
      <w:sz w:val="20"/>
      <w:szCs w:val="20"/>
    </w:rPr>
  </w:style>
  <w:style w:type="paragraph" w:styleId="Asuntodelcomentario">
    <w:name w:val="annotation subject"/>
    <w:basedOn w:val="Textocomentario"/>
    <w:next w:val="Textocomentario"/>
    <w:link w:val="AsuntodelcomentarioCar"/>
    <w:uiPriority w:val="99"/>
    <w:semiHidden/>
    <w:unhideWhenUsed/>
    <w:rsid w:val="00EC1E2C"/>
    <w:rPr>
      <w:b/>
      <w:bCs/>
    </w:rPr>
  </w:style>
  <w:style w:type="character" w:customStyle="1" w:styleId="AsuntodelcomentarioCar">
    <w:name w:val="Asunto del comentario Car"/>
    <w:basedOn w:val="TextocomentarioCar"/>
    <w:link w:val="Asuntodelcomentario"/>
    <w:uiPriority w:val="99"/>
    <w:semiHidden/>
    <w:rsid w:val="00EC1E2C"/>
    <w:rPr>
      <w:b/>
      <w:bCs/>
      <w:sz w:val="20"/>
      <w:szCs w:val="20"/>
    </w:rPr>
  </w:style>
  <w:style w:type="paragraph" w:customStyle="1" w:styleId="Default">
    <w:name w:val="Default"/>
    <w:rsid w:val="00EA6CB5"/>
    <w:pPr>
      <w:autoSpaceDE w:val="0"/>
      <w:autoSpaceDN w:val="0"/>
      <w:adjustRightInd w:val="0"/>
      <w:spacing w:after="0" w:line="240" w:lineRule="auto"/>
    </w:pPr>
    <w:rPr>
      <w:rFonts w:ascii="DIADGI+Arial" w:hAnsi="DIADGI+Arial" w:cs="DIADGI+Arial"/>
      <w:color w:val="000000"/>
      <w:sz w:val="24"/>
      <w:szCs w:val="24"/>
    </w:rPr>
  </w:style>
  <w:style w:type="paragraph" w:styleId="Textoindependiente2">
    <w:name w:val="Body Text 2"/>
    <w:basedOn w:val="Default"/>
    <w:next w:val="Default"/>
    <w:link w:val="Textoindependiente2Car"/>
    <w:uiPriority w:val="99"/>
    <w:rsid w:val="00EA6CB5"/>
    <w:rPr>
      <w:rFonts w:cstheme="minorBidi"/>
      <w:color w:val="auto"/>
    </w:rPr>
  </w:style>
  <w:style w:type="character" w:customStyle="1" w:styleId="Textoindependiente2Car">
    <w:name w:val="Texto independiente 2 Car"/>
    <w:basedOn w:val="Fuentedeprrafopredeter"/>
    <w:link w:val="Textoindependiente2"/>
    <w:uiPriority w:val="99"/>
    <w:rsid w:val="00EA6CB5"/>
    <w:rPr>
      <w:rFonts w:ascii="DIADGI+Arial" w:hAnsi="DIADGI+Arial"/>
      <w:sz w:val="24"/>
      <w:szCs w:val="24"/>
    </w:rPr>
  </w:style>
  <w:style w:type="paragraph" w:styleId="Textoindependiente">
    <w:name w:val="Body Text"/>
    <w:basedOn w:val="Normal"/>
    <w:link w:val="TextoindependienteCar"/>
    <w:uiPriority w:val="99"/>
    <w:semiHidden/>
    <w:unhideWhenUsed/>
    <w:rsid w:val="003A14BF"/>
    <w:pPr>
      <w:spacing w:after="120"/>
    </w:pPr>
  </w:style>
  <w:style w:type="character" w:customStyle="1" w:styleId="TextoindependienteCar">
    <w:name w:val="Texto independiente Car"/>
    <w:basedOn w:val="Fuentedeprrafopredeter"/>
    <w:link w:val="Textoindependiente"/>
    <w:uiPriority w:val="99"/>
    <w:semiHidden/>
    <w:rsid w:val="003A14BF"/>
  </w:style>
  <w:style w:type="character" w:styleId="Hipervnculo">
    <w:name w:val="Hyperlink"/>
    <w:basedOn w:val="Fuentedeprrafopredeter"/>
    <w:uiPriority w:val="99"/>
    <w:unhideWhenUsed/>
    <w:rsid w:val="0066215E"/>
    <w:rPr>
      <w:color w:val="0000FF"/>
      <w:u w:val="single"/>
    </w:rPr>
  </w:style>
  <w:style w:type="character" w:customStyle="1" w:styleId="normaltextrun">
    <w:name w:val="normaltextrun"/>
    <w:basedOn w:val="Fuentedeprrafopredeter"/>
    <w:rsid w:val="005106B9"/>
  </w:style>
  <w:style w:type="character" w:customStyle="1" w:styleId="Ttulo1Car">
    <w:name w:val="Título 1 Car"/>
    <w:basedOn w:val="Fuentedeprrafopredeter"/>
    <w:link w:val="Ttulo1"/>
    <w:uiPriority w:val="9"/>
    <w:rsid w:val="00EB034E"/>
    <w:rPr>
      <w:rFonts w:ascii="Times New Roman" w:eastAsia="Times New Roman" w:hAnsi="Times New Roman" w:cs="Times New Roman"/>
      <w:b/>
      <w:bCs/>
      <w:kern w:val="36"/>
      <w:sz w:val="48"/>
      <w:szCs w:val="48"/>
      <w:lang w:eastAsia="en-GB"/>
    </w:rPr>
  </w:style>
  <w:style w:type="character" w:styleId="CitaHTML">
    <w:name w:val="HTML Cite"/>
    <w:basedOn w:val="Fuentedeprrafopredeter"/>
    <w:uiPriority w:val="99"/>
    <w:semiHidden/>
    <w:unhideWhenUsed/>
    <w:rsid w:val="00DD52AC"/>
    <w:rPr>
      <w:i/>
      <w:iCs/>
    </w:rPr>
  </w:style>
  <w:style w:type="character" w:styleId="Mencinsinresolver">
    <w:name w:val="Unresolved Mention"/>
    <w:basedOn w:val="Fuentedeprrafopredeter"/>
    <w:uiPriority w:val="99"/>
    <w:semiHidden/>
    <w:unhideWhenUsed/>
    <w:rsid w:val="009E494B"/>
    <w:rPr>
      <w:color w:val="605E5C"/>
      <w:shd w:val="clear" w:color="auto" w:fill="E1DFDD"/>
    </w:rPr>
  </w:style>
  <w:style w:type="paragraph" w:styleId="Textonotaalfinal">
    <w:name w:val="endnote text"/>
    <w:basedOn w:val="Normal"/>
    <w:link w:val="TextonotaalfinalCar"/>
    <w:uiPriority w:val="99"/>
    <w:unhideWhenUsed/>
    <w:rsid w:val="00B71D98"/>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B71D98"/>
    <w:rPr>
      <w:sz w:val="20"/>
      <w:szCs w:val="20"/>
    </w:rPr>
  </w:style>
  <w:style w:type="character" w:styleId="Refdenotaalfinal">
    <w:name w:val="endnote reference"/>
    <w:basedOn w:val="Fuentedeprrafopredeter"/>
    <w:uiPriority w:val="99"/>
    <w:semiHidden/>
    <w:unhideWhenUsed/>
    <w:rsid w:val="00B71D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254422">
      <w:bodyDiv w:val="1"/>
      <w:marLeft w:val="0"/>
      <w:marRight w:val="0"/>
      <w:marTop w:val="0"/>
      <w:marBottom w:val="0"/>
      <w:divBdr>
        <w:top w:val="none" w:sz="0" w:space="0" w:color="auto"/>
        <w:left w:val="none" w:sz="0" w:space="0" w:color="auto"/>
        <w:bottom w:val="none" w:sz="0" w:space="0" w:color="auto"/>
        <w:right w:val="none" w:sz="0" w:space="0" w:color="auto"/>
      </w:divBdr>
    </w:div>
    <w:div w:id="689188400">
      <w:bodyDiv w:val="1"/>
      <w:marLeft w:val="0"/>
      <w:marRight w:val="0"/>
      <w:marTop w:val="0"/>
      <w:marBottom w:val="0"/>
      <w:divBdr>
        <w:top w:val="none" w:sz="0" w:space="0" w:color="auto"/>
        <w:left w:val="none" w:sz="0" w:space="0" w:color="auto"/>
        <w:bottom w:val="none" w:sz="0" w:space="0" w:color="auto"/>
        <w:right w:val="none" w:sz="0" w:space="0" w:color="auto"/>
      </w:divBdr>
    </w:div>
    <w:div w:id="1719161949">
      <w:bodyDiv w:val="1"/>
      <w:marLeft w:val="0"/>
      <w:marRight w:val="0"/>
      <w:marTop w:val="0"/>
      <w:marBottom w:val="0"/>
      <w:divBdr>
        <w:top w:val="none" w:sz="0" w:space="0" w:color="auto"/>
        <w:left w:val="none" w:sz="0" w:space="0" w:color="auto"/>
        <w:bottom w:val="none" w:sz="0" w:space="0" w:color="auto"/>
        <w:right w:val="none" w:sz="0" w:space="0" w:color="auto"/>
      </w:divBdr>
      <w:divsChild>
        <w:div w:id="678122802">
          <w:marLeft w:val="0"/>
          <w:marRight w:val="0"/>
          <w:marTop w:val="0"/>
          <w:marBottom w:val="0"/>
          <w:divBdr>
            <w:top w:val="none" w:sz="0" w:space="0" w:color="auto"/>
            <w:left w:val="none" w:sz="0" w:space="0" w:color="auto"/>
            <w:bottom w:val="none" w:sz="0" w:space="0" w:color="auto"/>
            <w:right w:val="none" w:sz="0" w:space="0" w:color="auto"/>
          </w:divBdr>
        </w:div>
        <w:div w:id="1990163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a1@ulster.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who.int/health-topics/gender" TargetMode="External"/><Relationship Id="rId2" Type="http://schemas.openxmlformats.org/officeDocument/2006/relationships/hyperlink" Target="http://documents.worldbank.org/curated/en/512911468327401785/pdf/multi-page.pdf" TargetMode="External"/><Relationship Id="rId1" Type="http://schemas.openxmlformats.org/officeDocument/2006/relationships/hyperlink" Target="https://www.un.org/womenwatch/osagi/conceptsandefinitions.htm" TargetMode="External"/><Relationship Id="rId6" Type="http://schemas.openxmlformats.org/officeDocument/2006/relationships/hyperlink" Target="https://hudoc.echr.coe.int/eng" TargetMode="External"/><Relationship Id="rId5" Type="http://schemas.openxmlformats.org/officeDocument/2006/relationships/hyperlink" Target="https://www.ejiltalk.org/challenging-gender-stereotyping-before-the-ecthr-case-of-carvalho-pinto-v-portugal/" TargetMode="External"/><Relationship Id="rId4" Type="http://schemas.openxmlformats.org/officeDocument/2006/relationships/hyperlink" Target="https://strasbourgobservers.com/2017/09/28/age-and-gender-discrimination-laudable-anti-stereotyping-reasoning-in-carvalho-pinto-v-portug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3081D-4114-417D-8C32-741F6EA2E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23</Pages>
  <Words>8248</Words>
  <Characters>47014</Characters>
  <Application>Microsoft Office Word</Application>
  <DocSecurity>0</DocSecurity>
  <Lines>391</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Martin</dc:creator>
  <cp:keywords/>
  <dc:description/>
  <cp:lastModifiedBy>Ana Martin</cp:lastModifiedBy>
  <cp:revision>6</cp:revision>
  <cp:lastPrinted>2020-10-23T15:22:00Z</cp:lastPrinted>
  <dcterms:created xsi:type="dcterms:W3CDTF">2020-11-02T09:16:00Z</dcterms:created>
  <dcterms:modified xsi:type="dcterms:W3CDTF">2020-11-03T13:09:00Z</dcterms:modified>
</cp:coreProperties>
</file>