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73CB8" w14:textId="6E95422F" w:rsidR="00C61EC1" w:rsidRPr="0096051D" w:rsidRDefault="00512EEF" w:rsidP="000311E5">
      <w:pPr>
        <w:spacing w:line="240" w:lineRule="auto"/>
        <w:jc w:val="center"/>
        <w:rPr>
          <w:b/>
          <w:bCs/>
          <w:sz w:val="28"/>
          <w:szCs w:val="28"/>
          <w:lang w:val="en-GB"/>
        </w:rPr>
      </w:pPr>
      <w:bookmarkStart w:id="0" w:name="_Hlk43966992"/>
      <w:r w:rsidRPr="0096051D">
        <w:rPr>
          <w:b/>
          <w:bCs/>
          <w:sz w:val="28"/>
          <w:szCs w:val="28"/>
          <w:lang w:val="en-GB"/>
        </w:rPr>
        <w:t>P</w:t>
      </w:r>
      <w:r w:rsidR="000311E5" w:rsidRPr="0096051D">
        <w:rPr>
          <w:b/>
          <w:bCs/>
          <w:sz w:val="28"/>
          <w:szCs w:val="28"/>
          <w:lang w:val="en-GB"/>
        </w:rPr>
        <w:t>ublic attitudes to the rights and community inclusion of people with intellectual disabilities:  A transnational study</w:t>
      </w:r>
      <w:r w:rsidRPr="0096051D">
        <w:rPr>
          <w:b/>
          <w:bCs/>
          <w:sz w:val="28"/>
          <w:szCs w:val="28"/>
          <w:lang w:val="en-GB"/>
        </w:rPr>
        <w:t xml:space="preserve">. </w:t>
      </w:r>
    </w:p>
    <w:bookmarkEnd w:id="0"/>
    <w:p w14:paraId="4B865790" w14:textId="77777777" w:rsidR="00C61EC1" w:rsidRPr="001316D7" w:rsidRDefault="00C61EC1" w:rsidP="00DE1987">
      <w:pPr>
        <w:spacing w:line="240" w:lineRule="auto"/>
        <w:rPr>
          <w:color w:val="FF0000"/>
          <w:lang w:val="en-GB"/>
        </w:rPr>
      </w:pPr>
    </w:p>
    <w:p w14:paraId="1316AA8A" w14:textId="77777777" w:rsidR="00970D6D" w:rsidRPr="00916592" w:rsidRDefault="00970D6D" w:rsidP="00970D6D">
      <w:pPr>
        <w:spacing w:after="200" w:line="276" w:lineRule="auto"/>
        <w:rPr>
          <w:bCs/>
          <w:i/>
          <w:iCs/>
        </w:rPr>
      </w:pPr>
      <w:r w:rsidRPr="00A47844">
        <w:rPr>
          <w:b/>
        </w:rPr>
        <w:t>Highlights</w:t>
      </w:r>
      <w:r>
        <w:rPr>
          <w:b/>
        </w:rPr>
        <w:t xml:space="preserve"> </w:t>
      </w:r>
    </w:p>
    <w:p w14:paraId="289E227E" w14:textId="77777777" w:rsidR="00741BA6" w:rsidRPr="0096051D" w:rsidRDefault="00741BA6" w:rsidP="00741BA6">
      <w:pPr>
        <w:spacing w:line="240" w:lineRule="auto"/>
        <w:rPr>
          <w:lang w:val="en-GB"/>
        </w:rPr>
      </w:pPr>
      <w:r w:rsidRPr="0096051D">
        <w:rPr>
          <w:lang w:val="en-GB"/>
        </w:rPr>
        <w:t xml:space="preserve">The general public in 17 countries mostly endorse the rights of people with ID </w:t>
      </w:r>
    </w:p>
    <w:p w14:paraId="559DF372" w14:textId="77777777" w:rsidR="00741BA6" w:rsidRPr="0096051D" w:rsidRDefault="00741BA6" w:rsidP="00741BA6">
      <w:pPr>
        <w:spacing w:line="240" w:lineRule="auto"/>
        <w:rPr>
          <w:lang w:val="en-GB"/>
        </w:rPr>
      </w:pPr>
      <w:r w:rsidRPr="0096051D">
        <w:rPr>
          <w:lang w:val="en-GB"/>
        </w:rPr>
        <w:t xml:space="preserve">Comfort at meeting people with ID predicted support for rights and acceptance. </w:t>
      </w:r>
    </w:p>
    <w:p w14:paraId="279134AE" w14:textId="77777777" w:rsidR="00741BA6" w:rsidRPr="0096051D" w:rsidRDefault="00741BA6" w:rsidP="00741BA6">
      <w:pPr>
        <w:spacing w:line="240" w:lineRule="auto"/>
        <w:rPr>
          <w:lang w:val="en-GB"/>
        </w:rPr>
      </w:pPr>
      <w:r w:rsidRPr="0096051D">
        <w:rPr>
          <w:lang w:val="en-GB"/>
        </w:rPr>
        <w:t>Country status on equality and development indices affected personal attitudes</w:t>
      </w:r>
    </w:p>
    <w:p w14:paraId="089ED001" w14:textId="2025263C" w:rsidR="00741BA6" w:rsidRPr="0096051D" w:rsidRDefault="00741BA6" w:rsidP="00741BA6">
      <w:pPr>
        <w:spacing w:line="240" w:lineRule="auto"/>
        <w:rPr>
          <w:lang w:val="en-GB"/>
        </w:rPr>
      </w:pPr>
      <w:r w:rsidRPr="0096051D">
        <w:rPr>
          <w:lang w:val="en-GB"/>
        </w:rPr>
        <w:t xml:space="preserve">Organisations </w:t>
      </w:r>
      <w:r w:rsidR="000E6F37" w:rsidRPr="0096051D">
        <w:rPr>
          <w:lang w:val="en-GB"/>
        </w:rPr>
        <w:t xml:space="preserve">that </w:t>
      </w:r>
      <w:r w:rsidRPr="0096051D">
        <w:rPr>
          <w:lang w:val="en-GB"/>
        </w:rPr>
        <w:t>demonstrat</w:t>
      </w:r>
      <w:r w:rsidR="000E6F37" w:rsidRPr="0096051D">
        <w:rPr>
          <w:lang w:val="en-GB"/>
        </w:rPr>
        <w:t>e</w:t>
      </w:r>
      <w:r w:rsidRPr="0096051D">
        <w:rPr>
          <w:lang w:val="en-GB"/>
        </w:rPr>
        <w:t xml:space="preserve"> social inclusion mediate public perceptions.</w:t>
      </w:r>
    </w:p>
    <w:p w14:paraId="3287D908" w14:textId="0A638E9C" w:rsidR="00A47844" w:rsidRPr="00A47844" w:rsidRDefault="00916592" w:rsidP="00A47844">
      <w:pPr>
        <w:shd w:val="clear" w:color="auto" w:fill="FFFFFF"/>
        <w:spacing w:before="100" w:beforeAutospacing="1" w:after="100" w:afterAutospacing="1" w:line="240" w:lineRule="auto"/>
        <w:rPr>
          <w:rFonts w:eastAsia="Times New Roman"/>
          <w:b/>
          <w:color w:val="000000"/>
          <w:lang w:val="en-GB"/>
        </w:rPr>
      </w:pPr>
      <w:r>
        <w:rPr>
          <w:rFonts w:eastAsia="Times New Roman"/>
          <w:b/>
          <w:color w:val="000000"/>
          <w:lang w:val="en-GB"/>
        </w:rPr>
        <w:t>Abstract</w:t>
      </w:r>
    </w:p>
    <w:p w14:paraId="0BA1C715" w14:textId="7C45EE12" w:rsidR="00916592" w:rsidRDefault="00A47844" w:rsidP="000311E5">
      <w:pPr>
        <w:shd w:val="clear" w:color="auto" w:fill="FFFFFF"/>
        <w:spacing w:line="360" w:lineRule="auto"/>
        <w:rPr>
          <w:rFonts w:eastAsia="Times New Roman"/>
          <w:color w:val="000000"/>
          <w:lang w:val="en-GB"/>
        </w:rPr>
      </w:pPr>
      <w:r w:rsidRPr="00A47844">
        <w:rPr>
          <w:rFonts w:eastAsia="Times New Roman"/>
          <w:color w:val="000000"/>
          <w:lang w:val="en-GB"/>
        </w:rPr>
        <w:t>Background</w:t>
      </w:r>
      <w:r w:rsidR="00CC7074">
        <w:rPr>
          <w:rFonts w:eastAsia="Times New Roman"/>
          <w:color w:val="000000"/>
          <w:lang w:val="en-GB"/>
        </w:rPr>
        <w:t xml:space="preserve">:  Public support for the rights of persons with intellectual disability </w:t>
      </w:r>
      <w:r w:rsidR="00C30867">
        <w:rPr>
          <w:rFonts w:eastAsia="Times New Roman"/>
          <w:color w:val="000000"/>
          <w:lang w:val="en-GB"/>
        </w:rPr>
        <w:t xml:space="preserve">(ID) </w:t>
      </w:r>
      <w:r w:rsidR="00CC7074">
        <w:rPr>
          <w:rFonts w:eastAsia="Times New Roman"/>
          <w:color w:val="000000"/>
          <w:lang w:val="en-GB"/>
        </w:rPr>
        <w:t>and their acceptance in local communities has been rarely studied internationally and the variables associated with more positive attitudes remain to be confirmed.</w:t>
      </w:r>
      <w:r w:rsidR="00EF0F8A">
        <w:rPr>
          <w:rFonts w:eastAsia="Times New Roman"/>
          <w:color w:val="000000"/>
          <w:lang w:val="en-GB"/>
        </w:rPr>
        <w:t xml:space="preserve">  </w:t>
      </w:r>
    </w:p>
    <w:p w14:paraId="56AFA049" w14:textId="726E2A76" w:rsidR="00916592" w:rsidRDefault="00A47844" w:rsidP="000311E5">
      <w:pPr>
        <w:shd w:val="clear" w:color="auto" w:fill="FFFFFF"/>
        <w:spacing w:line="360" w:lineRule="auto"/>
        <w:rPr>
          <w:rFonts w:eastAsia="Times New Roman"/>
          <w:color w:val="000000"/>
          <w:lang w:val="en-GB"/>
        </w:rPr>
      </w:pPr>
      <w:r w:rsidRPr="00A47844">
        <w:rPr>
          <w:rFonts w:eastAsia="Times New Roman"/>
          <w:color w:val="000000"/>
          <w:lang w:val="en-GB"/>
        </w:rPr>
        <w:t>Aims</w:t>
      </w:r>
      <w:r w:rsidR="00CC7074">
        <w:rPr>
          <w:rFonts w:eastAsia="Times New Roman"/>
          <w:color w:val="000000"/>
          <w:lang w:val="en-GB"/>
        </w:rPr>
        <w:t>:</w:t>
      </w:r>
      <w:r w:rsidR="00367B09">
        <w:rPr>
          <w:rFonts w:eastAsia="Times New Roman"/>
          <w:color w:val="000000"/>
          <w:lang w:val="en-GB"/>
        </w:rPr>
        <w:t xml:space="preserve"> </w:t>
      </w:r>
      <w:r w:rsidR="00CC7074">
        <w:rPr>
          <w:rFonts w:eastAsia="Times New Roman"/>
          <w:color w:val="000000"/>
          <w:lang w:val="en-GB"/>
        </w:rPr>
        <w:t xml:space="preserve">To </w:t>
      </w:r>
      <w:r w:rsidR="00FF2FB2">
        <w:rPr>
          <w:rFonts w:eastAsia="Times New Roman"/>
          <w:color w:val="000000"/>
          <w:lang w:val="en-GB"/>
        </w:rPr>
        <w:t xml:space="preserve">develop and </w:t>
      </w:r>
      <w:r w:rsidR="00CC7074">
        <w:rPr>
          <w:rFonts w:eastAsia="Times New Roman"/>
          <w:color w:val="000000"/>
          <w:lang w:val="en-GB"/>
        </w:rPr>
        <w:t xml:space="preserve">test a model </w:t>
      </w:r>
      <w:r w:rsidR="00AF5E60">
        <w:rPr>
          <w:rFonts w:eastAsia="Times New Roman"/>
          <w:color w:val="000000"/>
          <w:lang w:val="en-GB"/>
        </w:rPr>
        <w:t xml:space="preserve">that brought together </w:t>
      </w:r>
      <w:r w:rsidR="00FF2FB2">
        <w:rPr>
          <w:rFonts w:eastAsia="Times New Roman"/>
          <w:color w:val="000000"/>
          <w:lang w:val="en-GB"/>
        </w:rPr>
        <w:t xml:space="preserve">personal, organisational and </w:t>
      </w:r>
      <w:r w:rsidR="00AF5E60">
        <w:rPr>
          <w:rFonts w:eastAsia="Times New Roman"/>
          <w:color w:val="000000"/>
          <w:lang w:val="en-GB"/>
        </w:rPr>
        <w:t>national predictors related to public attitudes</w:t>
      </w:r>
      <w:r w:rsidR="007F2A92">
        <w:rPr>
          <w:rFonts w:eastAsia="Times New Roman"/>
          <w:color w:val="000000"/>
          <w:lang w:val="en-GB"/>
        </w:rPr>
        <w:t xml:space="preserve"> that have been previously identified in past research.</w:t>
      </w:r>
      <w:r w:rsidR="00AF5E60">
        <w:rPr>
          <w:rFonts w:eastAsia="Times New Roman"/>
          <w:color w:val="000000"/>
          <w:lang w:val="en-GB"/>
        </w:rPr>
        <w:t xml:space="preserve"> </w:t>
      </w:r>
      <w:r w:rsidR="00CC7074">
        <w:rPr>
          <w:rFonts w:eastAsia="Times New Roman"/>
          <w:color w:val="000000"/>
          <w:lang w:val="en-GB"/>
        </w:rPr>
        <w:t xml:space="preserve"> </w:t>
      </w:r>
    </w:p>
    <w:p w14:paraId="140499FE" w14:textId="1635673A" w:rsidR="00916592" w:rsidRPr="0096051D" w:rsidRDefault="00916592" w:rsidP="000311E5">
      <w:pPr>
        <w:shd w:val="clear" w:color="auto" w:fill="FFFFFF"/>
        <w:spacing w:line="360" w:lineRule="auto"/>
        <w:rPr>
          <w:rFonts w:eastAsia="Times New Roman"/>
          <w:lang w:val="en-GB"/>
        </w:rPr>
      </w:pPr>
      <w:r>
        <w:rPr>
          <w:rFonts w:eastAsia="Times New Roman"/>
          <w:color w:val="000000"/>
          <w:lang w:val="en-GB"/>
        </w:rPr>
        <w:t>M</w:t>
      </w:r>
      <w:r w:rsidR="00A47844" w:rsidRPr="00A47844">
        <w:rPr>
          <w:rFonts w:eastAsia="Times New Roman"/>
          <w:color w:val="000000"/>
          <w:lang w:val="en-GB"/>
        </w:rPr>
        <w:t>ethods and Procedures</w:t>
      </w:r>
      <w:r w:rsidR="00CC7074">
        <w:rPr>
          <w:rFonts w:eastAsia="Times New Roman"/>
          <w:color w:val="000000"/>
          <w:lang w:val="en-GB"/>
        </w:rPr>
        <w:t>:</w:t>
      </w:r>
      <w:r w:rsidR="00A47844" w:rsidRPr="00A47844">
        <w:rPr>
          <w:rFonts w:eastAsia="Times New Roman"/>
          <w:color w:val="000000"/>
          <w:lang w:val="en-GB"/>
        </w:rPr>
        <w:t xml:space="preserve"> </w:t>
      </w:r>
      <w:r w:rsidR="00AF5E60">
        <w:rPr>
          <w:rFonts w:eastAsia="Times New Roman"/>
          <w:color w:val="000000"/>
          <w:lang w:val="en-GB"/>
        </w:rPr>
        <w:t xml:space="preserve"> </w:t>
      </w:r>
      <w:r w:rsidR="007F2A92">
        <w:rPr>
          <w:rFonts w:eastAsia="Times New Roman"/>
          <w:color w:val="000000"/>
          <w:lang w:val="en-GB"/>
        </w:rPr>
        <w:t>Self-completed, o</w:t>
      </w:r>
      <w:r w:rsidR="00AF5E60">
        <w:rPr>
          <w:rFonts w:eastAsia="Times New Roman"/>
          <w:color w:val="000000"/>
          <w:lang w:val="en-GB"/>
        </w:rPr>
        <w:t xml:space="preserve">nline surveys were </w:t>
      </w:r>
      <w:r w:rsidR="00D605BB" w:rsidRPr="0096051D">
        <w:rPr>
          <w:rFonts w:eastAsia="Times New Roman"/>
          <w:lang w:val="en-GB"/>
        </w:rPr>
        <w:t xml:space="preserve">undertaken </w:t>
      </w:r>
      <w:r w:rsidR="00C14EC7" w:rsidRPr="0096051D">
        <w:rPr>
          <w:rFonts w:eastAsia="Times New Roman"/>
          <w:lang w:val="en-GB"/>
        </w:rPr>
        <w:t xml:space="preserve">with market research panels </w:t>
      </w:r>
      <w:r w:rsidR="00AF5E60" w:rsidRPr="0096051D">
        <w:rPr>
          <w:rFonts w:eastAsia="Times New Roman"/>
          <w:lang w:val="en-GB"/>
        </w:rPr>
        <w:t>in 17 countries and in eight cities in the US</w:t>
      </w:r>
      <w:r w:rsidR="00512EEF" w:rsidRPr="0096051D">
        <w:rPr>
          <w:rFonts w:eastAsia="Times New Roman"/>
          <w:lang w:val="en-GB"/>
        </w:rPr>
        <w:t>A</w:t>
      </w:r>
      <w:r w:rsidR="00AF5E60" w:rsidRPr="0096051D">
        <w:rPr>
          <w:rFonts w:eastAsia="Times New Roman"/>
          <w:lang w:val="en-GB"/>
        </w:rPr>
        <w:t xml:space="preserve"> with a total of 36,508 respondents who were representative in terms of gender and age. </w:t>
      </w:r>
      <w:r w:rsidR="00C14EC7" w:rsidRPr="0096051D">
        <w:rPr>
          <w:rFonts w:eastAsia="Times New Roman"/>
          <w:lang w:val="en-GB"/>
        </w:rPr>
        <w:t xml:space="preserve"> </w:t>
      </w:r>
      <w:r w:rsidR="00AF5E60" w:rsidRPr="0096051D">
        <w:rPr>
          <w:rFonts w:eastAsia="Times New Roman"/>
          <w:lang w:val="en-GB"/>
        </w:rPr>
        <w:t>Path analysis was used to explore the inter-relationships among the predictor</w:t>
      </w:r>
      <w:r w:rsidR="00E95C01" w:rsidRPr="0096051D">
        <w:rPr>
          <w:rFonts w:eastAsia="Times New Roman"/>
          <w:lang w:val="en-GB"/>
        </w:rPr>
        <w:t>, possible mediating</w:t>
      </w:r>
      <w:r w:rsidR="00AF5E60" w:rsidRPr="0096051D">
        <w:rPr>
          <w:rFonts w:eastAsia="Times New Roman"/>
          <w:lang w:val="en-GB"/>
        </w:rPr>
        <w:t xml:space="preserve"> and outcomes variables. </w:t>
      </w:r>
    </w:p>
    <w:p w14:paraId="4B793443" w14:textId="0736BE50" w:rsidR="00916592" w:rsidRDefault="00367B09" w:rsidP="000311E5">
      <w:pPr>
        <w:shd w:val="clear" w:color="auto" w:fill="FFFFFF"/>
        <w:spacing w:line="360" w:lineRule="auto"/>
        <w:rPr>
          <w:rFonts w:eastAsia="Times New Roman"/>
          <w:color w:val="000000"/>
          <w:lang w:val="en-GB"/>
        </w:rPr>
      </w:pPr>
      <w:r w:rsidRPr="0096051D">
        <w:rPr>
          <w:rFonts w:eastAsia="Times New Roman"/>
          <w:lang w:val="en-GB"/>
        </w:rPr>
        <w:t>Outcomes and Results</w:t>
      </w:r>
      <w:r w:rsidR="00AF5E60" w:rsidRPr="0096051D">
        <w:rPr>
          <w:rFonts w:eastAsia="Times New Roman"/>
          <w:lang w:val="en-GB"/>
        </w:rPr>
        <w:t xml:space="preserve">:  The resulting model </w:t>
      </w:r>
      <w:r w:rsidR="00C30867" w:rsidRPr="0096051D">
        <w:rPr>
          <w:rFonts w:eastAsia="Times New Roman"/>
          <w:lang w:val="en-GB"/>
        </w:rPr>
        <w:t xml:space="preserve">was a good fit for the data.  </w:t>
      </w:r>
      <w:r w:rsidR="00C30867">
        <w:rPr>
          <w:rFonts w:eastAsia="Times New Roman"/>
          <w:color w:val="000000"/>
          <w:lang w:val="en-GB"/>
        </w:rPr>
        <w:t xml:space="preserve">Support for the rights </w:t>
      </w:r>
      <w:r w:rsidR="00653288">
        <w:rPr>
          <w:rFonts w:eastAsia="Times New Roman"/>
          <w:color w:val="000000"/>
          <w:lang w:val="en-GB"/>
        </w:rPr>
        <w:t>and</w:t>
      </w:r>
      <w:r w:rsidR="00C14EC7">
        <w:rPr>
          <w:rFonts w:eastAsia="Times New Roman"/>
          <w:color w:val="000000"/>
          <w:lang w:val="en-GB"/>
        </w:rPr>
        <w:t xml:space="preserve"> </w:t>
      </w:r>
      <w:r w:rsidR="00C30867">
        <w:rPr>
          <w:rFonts w:eastAsia="Times New Roman"/>
          <w:color w:val="000000"/>
          <w:lang w:val="en-GB"/>
        </w:rPr>
        <w:t>community acceptance of people with ID was highest among university educated respondents, those who were comfortable at meeting people with ID and those living in countries w</w:t>
      </w:r>
      <w:r w:rsidR="007F2A92">
        <w:rPr>
          <w:rFonts w:eastAsia="Times New Roman"/>
          <w:color w:val="000000"/>
          <w:lang w:val="en-GB"/>
        </w:rPr>
        <w:t xml:space="preserve">ith very high ratings on the </w:t>
      </w:r>
      <w:r w:rsidR="007F2A92" w:rsidRPr="007F2A92">
        <w:rPr>
          <w:rFonts w:eastAsia="Times New Roman"/>
          <w:color w:val="000000"/>
          <w:lang w:val="en-GB"/>
        </w:rPr>
        <w:t>Inequality Adjusted Human Development Index</w:t>
      </w:r>
      <w:r w:rsidR="007F2A92">
        <w:rPr>
          <w:rFonts w:eastAsia="Times New Roman"/>
          <w:color w:val="000000"/>
          <w:lang w:val="en-GB"/>
        </w:rPr>
        <w:t xml:space="preserve">.  </w:t>
      </w:r>
      <w:r w:rsidR="00C14EC7">
        <w:rPr>
          <w:rFonts w:eastAsia="Times New Roman"/>
          <w:color w:val="000000"/>
          <w:lang w:val="en-GB"/>
        </w:rPr>
        <w:t xml:space="preserve"> </w:t>
      </w:r>
    </w:p>
    <w:p w14:paraId="4AB0DF1A" w14:textId="0400E2EE" w:rsidR="00C14EC7" w:rsidRDefault="00A47844" w:rsidP="000311E5">
      <w:pPr>
        <w:shd w:val="clear" w:color="auto" w:fill="FFFFFF"/>
        <w:spacing w:line="360" w:lineRule="auto"/>
        <w:rPr>
          <w:rFonts w:eastAsia="Times New Roman"/>
          <w:color w:val="000000"/>
          <w:lang w:val="en-GB"/>
        </w:rPr>
      </w:pPr>
      <w:r w:rsidRPr="00A47844">
        <w:rPr>
          <w:rFonts w:eastAsia="Times New Roman"/>
          <w:color w:val="000000"/>
          <w:lang w:val="en-GB"/>
        </w:rPr>
        <w:t>Conclusions and Implications</w:t>
      </w:r>
      <w:r w:rsidR="00C14EC7">
        <w:rPr>
          <w:rFonts w:eastAsia="Times New Roman"/>
          <w:color w:val="000000"/>
          <w:lang w:val="en-GB"/>
        </w:rPr>
        <w:t xml:space="preserve">:  The model </w:t>
      </w:r>
      <w:r w:rsidR="00DE1987">
        <w:rPr>
          <w:rFonts w:eastAsia="Times New Roman"/>
          <w:color w:val="000000"/>
          <w:lang w:val="en-GB"/>
        </w:rPr>
        <w:t>could</w:t>
      </w:r>
      <w:r w:rsidR="00C14EC7">
        <w:rPr>
          <w:rFonts w:eastAsia="Times New Roman"/>
          <w:color w:val="000000"/>
          <w:lang w:val="en-GB"/>
        </w:rPr>
        <w:t xml:space="preserve"> guide further research </w:t>
      </w:r>
      <w:r w:rsidR="00DE1987">
        <w:rPr>
          <w:rFonts w:eastAsia="Times New Roman"/>
          <w:color w:val="000000"/>
          <w:lang w:val="en-GB"/>
        </w:rPr>
        <w:t xml:space="preserve">into public attitudes alongside </w:t>
      </w:r>
      <w:r w:rsidR="00C14EC7">
        <w:rPr>
          <w:rFonts w:eastAsia="Times New Roman"/>
          <w:color w:val="000000"/>
          <w:lang w:val="en-GB"/>
        </w:rPr>
        <w:t>the development of interventions to promote more positive attitudes</w:t>
      </w:r>
      <w:r w:rsidR="00DE1987">
        <w:rPr>
          <w:rFonts w:eastAsia="Times New Roman"/>
          <w:color w:val="000000"/>
          <w:lang w:val="en-GB"/>
        </w:rPr>
        <w:t xml:space="preserve">.  Further research </w:t>
      </w:r>
      <w:r w:rsidR="00653288">
        <w:rPr>
          <w:rFonts w:eastAsia="Times New Roman"/>
          <w:color w:val="000000"/>
          <w:lang w:val="en-GB"/>
        </w:rPr>
        <w:t>in</w:t>
      </w:r>
      <w:r w:rsidR="00DE1987">
        <w:rPr>
          <w:rFonts w:eastAsia="Times New Roman"/>
          <w:color w:val="000000"/>
          <w:lang w:val="en-GB"/>
        </w:rPr>
        <w:t xml:space="preserve">to </w:t>
      </w:r>
      <w:r w:rsidR="00C14EC7">
        <w:rPr>
          <w:rFonts w:eastAsia="Times New Roman"/>
          <w:color w:val="000000"/>
          <w:lang w:val="en-GB"/>
        </w:rPr>
        <w:t>the validity of the model</w:t>
      </w:r>
      <w:r w:rsidR="00DE1987">
        <w:rPr>
          <w:rFonts w:eastAsia="Times New Roman"/>
          <w:color w:val="000000"/>
          <w:lang w:val="en-GB"/>
        </w:rPr>
        <w:t xml:space="preserve"> is proposed. </w:t>
      </w:r>
    </w:p>
    <w:p w14:paraId="163F8189" w14:textId="77777777" w:rsidR="00EF0F8A" w:rsidRDefault="00EF0F8A" w:rsidP="00970D6D">
      <w:pPr>
        <w:spacing w:after="200" w:line="276" w:lineRule="auto"/>
        <w:rPr>
          <w:rFonts w:eastAsia="Times New Roman"/>
          <w:b/>
          <w:color w:val="000000"/>
          <w:lang w:val="en-GB"/>
        </w:rPr>
      </w:pPr>
    </w:p>
    <w:p w14:paraId="00B2FBA7" w14:textId="77777777" w:rsidR="00EF0F8A" w:rsidRDefault="00EF0F8A" w:rsidP="00970D6D">
      <w:pPr>
        <w:spacing w:after="200" w:line="276" w:lineRule="auto"/>
        <w:rPr>
          <w:rFonts w:eastAsia="Times New Roman"/>
          <w:b/>
          <w:color w:val="000000"/>
          <w:lang w:val="en-GB"/>
        </w:rPr>
      </w:pPr>
    </w:p>
    <w:p w14:paraId="6F32F65E" w14:textId="1D592A28" w:rsidR="00A47844" w:rsidRDefault="00A47844" w:rsidP="00970D6D">
      <w:pPr>
        <w:spacing w:after="200" w:line="276" w:lineRule="auto"/>
        <w:rPr>
          <w:rFonts w:eastAsia="Times New Roman"/>
          <w:b/>
          <w:color w:val="000000"/>
          <w:lang w:val="en-GB"/>
        </w:rPr>
      </w:pPr>
      <w:r w:rsidRPr="00A47844">
        <w:rPr>
          <w:rFonts w:eastAsia="Times New Roman"/>
          <w:b/>
          <w:color w:val="000000"/>
          <w:lang w:val="en-GB"/>
        </w:rPr>
        <w:t xml:space="preserve">What this paper adds? </w:t>
      </w:r>
    </w:p>
    <w:p w14:paraId="68B3DB75" w14:textId="1D51C336" w:rsidR="00252E88" w:rsidRDefault="00252E88" w:rsidP="000311E5">
      <w:pPr>
        <w:shd w:val="clear" w:color="auto" w:fill="FFFFFF"/>
        <w:spacing w:line="360" w:lineRule="auto"/>
        <w:rPr>
          <w:rFonts w:eastAsia="Times New Roman"/>
          <w:bCs/>
          <w:color w:val="000000"/>
          <w:lang w:val="en-GB"/>
        </w:rPr>
      </w:pPr>
      <w:r>
        <w:rPr>
          <w:rFonts w:eastAsia="Times New Roman"/>
          <w:bCs/>
          <w:color w:val="000000"/>
          <w:lang w:val="en-GB"/>
        </w:rPr>
        <w:t>Unlike past research, this study use</w:t>
      </w:r>
      <w:r w:rsidR="00653288">
        <w:rPr>
          <w:rFonts w:eastAsia="Times New Roman"/>
          <w:bCs/>
          <w:color w:val="000000"/>
          <w:lang w:val="en-GB"/>
        </w:rPr>
        <w:t>d</w:t>
      </w:r>
      <w:r>
        <w:rPr>
          <w:rFonts w:eastAsia="Times New Roman"/>
          <w:bCs/>
          <w:color w:val="000000"/>
          <w:lang w:val="en-GB"/>
        </w:rPr>
        <w:t xml:space="preserve"> representative samples across 17 countries and a common set of questions to investigate public attitudes towards two issues of concern to people with intellectual</w:t>
      </w:r>
      <w:r w:rsidR="00653288">
        <w:rPr>
          <w:rFonts w:eastAsia="Times New Roman"/>
          <w:bCs/>
          <w:color w:val="000000"/>
          <w:lang w:val="en-GB"/>
        </w:rPr>
        <w:t xml:space="preserve"> disabilit</w:t>
      </w:r>
      <w:r w:rsidR="003A0219">
        <w:rPr>
          <w:rFonts w:eastAsia="Times New Roman"/>
          <w:bCs/>
          <w:color w:val="000000"/>
          <w:lang w:val="en-GB"/>
        </w:rPr>
        <w:t>y</w:t>
      </w:r>
      <w:r>
        <w:rPr>
          <w:rFonts w:eastAsia="Times New Roman"/>
          <w:bCs/>
          <w:color w:val="000000"/>
          <w:lang w:val="en-GB"/>
        </w:rPr>
        <w:t xml:space="preserve">: their rights and acceptance within local communities.   Moreover the study </w:t>
      </w:r>
      <w:r w:rsidR="00034F3F">
        <w:rPr>
          <w:rFonts w:eastAsia="Times New Roman"/>
          <w:bCs/>
          <w:color w:val="000000"/>
          <w:lang w:val="en-GB"/>
        </w:rPr>
        <w:t xml:space="preserve">developed and tested a model for the possible influences on public attitudes based on past research findings and an ecological model for changing attitudes. </w:t>
      </w:r>
    </w:p>
    <w:p w14:paraId="09F653A2" w14:textId="6AE1EB9C" w:rsidR="00034F3F" w:rsidRDefault="00034F3F" w:rsidP="000311E5">
      <w:pPr>
        <w:shd w:val="clear" w:color="auto" w:fill="FFFFFF"/>
        <w:spacing w:line="360" w:lineRule="auto"/>
        <w:rPr>
          <w:rFonts w:eastAsia="Times New Roman"/>
          <w:bCs/>
          <w:color w:val="000000"/>
          <w:lang w:val="en-GB"/>
        </w:rPr>
      </w:pPr>
      <w:r>
        <w:rPr>
          <w:rFonts w:eastAsia="Times New Roman"/>
          <w:bCs/>
          <w:color w:val="000000"/>
          <w:lang w:val="en-GB"/>
        </w:rPr>
        <w:t xml:space="preserve">The </w:t>
      </w:r>
      <w:r w:rsidR="003A0219">
        <w:rPr>
          <w:rFonts w:eastAsia="Times New Roman"/>
          <w:bCs/>
          <w:color w:val="000000"/>
          <w:lang w:val="en-GB"/>
        </w:rPr>
        <w:t xml:space="preserve">resulting </w:t>
      </w:r>
      <w:r>
        <w:rPr>
          <w:rFonts w:eastAsia="Times New Roman"/>
          <w:bCs/>
          <w:color w:val="000000"/>
          <w:lang w:val="en-GB"/>
        </w:rPr>
        <w:t xml:space="preserve">model identified the effect that a nation’s </w:t>
      </w:r>
      <w:r w:rsidRPr="00034F3F">
        <w:rPr>
          <w:rFonts w:eastAsia="Times New Roman"/>
          <w:bCs/>
          <w:color w:val="000000"/>
          <w:lang w:val="en-GB"/>
        </w:rPr>
        <w:t>ratings on the Inequality Adjusted Human Development Index</w:t>
      </w:r>
      <w:r>
        <w:rPr>
          <w:rFonts w:eastAsia="Times New Roman"/>
          <w:bCs/>
          <w:color w:val="000000"/>
          <w:lang w:val="en-GB"/>
        </w:rPr>
        <w:t xml:space="preserve"> can have on public attitudes to rights and community acceptance which </w:t>
      </w:r>
      <w:r w:rsidR="003A0219">
        <w:rPr>
          <w:rFonts w:eastAsia="Times New Roman"/>
          <w:bCs/>
          <w:color w:val="000000"/>
          <w:lang w:val="en-GB"/>
        </w:rPr>
        <w:t xml:space="preserve">was made possible by conducting </w:t>
      </w:r>
      <w:r>
        <w:rPr>
          <w:rFonts w:eastAsia="Times New Roman"/>
          <w:bCs/>
          <w:color w:val="000000"/>
          <w:lang w:val="en-GB"/>
        </w:rPr>
        <w:t>multi-national research</w:t>
      </w:r>
      <w:r w:rsidR="003A0219">
        <w:rPr>
          <w:rFonts w:eastAsia="Times New Roman"/>
          <w:bCs/>
          <w:color w:val="000000"/>
          <w:lang w:val="en-GB"/>
        </w:rPr>
        <w:t xml:space="preserve">.  </w:t>
      </w:r>
      <w:r>
        <w:rPr>
          <w:rFonts w:eastAsia="Times New Roman"/>
          <w:bCs/>
          <w:color w:val="000000"/>
          <w:lang w:val="en-GB"/>
        </w:rPr>
        <w:t xml:space="preserve">  </w:t>
      </w:r>
    </w:p>
    <w:p w14:paraId="2E738E21" w14:textId="31E200DA" w:rsidR="00034F3F" w:rsidRDefault="00034F3F" w:rsidP="000311E5">
      <w:pPr>
        <w:shd w:val="clear" w:color="auto" w:fill="FFFFFF"/>
        <w:spacing w:line="360" w:lineRule="auto"/>
        <w:rPr>
          <w:rFonts w:eastAsia="Times New Roman"/>
          <w:bCs/>
          <w:color w:val="000000"/>
          <w:lang w:val="en-GB"/>
        </w:rPr>
      </w:pPr>
      <w:r>
        <w:rPr>
          <w:rFonts w:eastAsia="Times New Roman"/>
          <w:bCs/>
          <w:color w:val="000000"/>
          <w:lang w:val="en-GB"/>
        </w:rPr>
        <w:t xml:space="preserve">The model also </w:t>
      </w:r>
      <w:r w:rsidR="00B34D63">
        <w:rPr>
          <w:rFonts w:eastAsia="Times New Roman"/>
          <w:bCs/>
          <w:color w:val="000000"/>
          <w:lang w:val="en-GB"/>
        </w:rPr>
        <w:t>clarified the relation</w:t>
      </w:r>
      <w:r>
        <w:rPr>
          <w:rFonts w:eastAsia="Times New Roman"/>
          <w:bCs/>
          <w:color w:val="000000"/>
          <w:lang w:val="en-GB"/>
        </w:rPr>
        <w:t xml:space="preserve">ship between prior contact with people with </w:t>
      </w:r>
      <w:r w:rsidR="00604ED0">
        <w:rPr>
          <w:rFonts w:eastAsia="Times New Roman"/>
          <w:bCs/>
          <w:color w:val="000000"/>
          <w:lang w:val="en-GB"/>
        </w:rPr>
        <w:t xml:space="preserve">intellectual disability </w:t>
      </w:r>
      <w:r>
        <w:rPr>
          <w:rFonts w:eastAsia="Times New Roman"/>
          <w:bCs/>
          <w:color w:val="000000"/>
          <w:lang w:val="en-GB"/>
        </w:rPr>
        <w:t>and support for their rights and acceptance</w:t>
      </w:r>
      <w:r w:rsidR="00B34D63">
        <w:rPr>
          <w:rFonts w:eastAsia="Times New Roman"/>
          <w:bCs/>
          <w:color w:val="000000"/>
          <w:lang w:val="en-GB"/>
        </w:rPr>
        <w:t>: namely that it</w:t>
      </w:r>
      <w:r>
        <w:rPr>
          <w:rFonts w:eastAsia="Times New Roman"/>
          <w:bCs/>
          <w:color w:val="000000"/>
          <w:lang w:val="en-GB"/>
        </w:rPr>
        <w:t xml:space="preserve"> is not direct but rather </w:t>
      </w:r>
      <w:r w:rsidR="00B34D63">
        <w:rPr>
          <w:rFonts w:eastAsia="Times New Roman"/>
          <w:bCs/>
          <w:color w:val="000000"/>
          <w:lang w:val="en-GB"/>
        </w:rPr>
        <w:t xml:space="preserve">is </w:t>
      </w:r>
      <w:r>
        <w:rPr>
          <w:rFonts w:eastAsia="Times New Roman"/>
          <w:bCs/>
          <w:color w:val="000000"/>
          <w:lang w:val="en-GB"/>
        </w:rPr>
        <w:t>mediated through perceptions of a person’s capabilities and their comfort at meeting them.</w:t>
      </w:r>
      <w:r w:rsidRPr="00034F3F">
        <w:rPr>
          <w:rFonts w:eastAsia="Times New Roman"/>
          <w:bCs/>
          <w:color w:val="000000"/>
          <w:lang w:val="en-GB"/>
        </w:rPr>
        <w:t xml:space="preserve">  </w:t>
      </w:r>
      <w:r w:rsidR="00B34D63">
        <w:rPr>
          <w:rFonts w:eastAsia="Times New Roman"/>
          <w:bCs/>
          <w:color w:val="000000"/>
          <w:lang w:val="en-GB"/>
        </w:rPr>
        <w:t xml:space="preserve"> Likewise an international organisation such as Special Olympics seems to have an indirect effect o</w:t>
      </w:r>
      <w:r w:rsidR="003A0219">
        <w:rPr>
          <w:rFonts w:eastAsia="Times New Roman"/>
          <w:bCs/>
          <w:color w:val="000000"/>
          <w:lang w:val="en-GB"/>
        </w:rPr>
        <w:t>n</w:t>
      </w:r>
      <w:r w:rsidR="00B34D63">
        <w:rPr>
          <w:rFonts w:eastAsia="Times New Roman"/>
          <w:bCs/>
          <w:color w:val="000000"/>
          <w:lang w:val="en-GB"/>
        </w:rPr>
        <w:t xml:space="preserve"> public attitudes by boosting perceptions of their capabilities and making the public more comfortable with meeting them.  </w:t>
      </w:r>
    </w:p>
    <w:p w14:paraId="13DE5193" w14:textId="3988FFD4" w:rsidR="00B34D63" w:rsidRDefault="00B34D63" w:rsidP="000311E5">
      <w:pPr>
        <w:shd w:val="clear" w:color="auto" w:fill="FFFFFF"/>
        <w:spacing w:line="360" w:lineRule="auto"/>
        <w:rPr>
          <w:rFonts w:eastAsia="Times New Roman"/>
          <w:bCs/>
          <w:color w:val="000000"/>
          <w:lang w:val="en-GB"/>
        </w:rPr>
      </w:pPr>
      <w:r>
        <w:rPr>
          <w:rFonts w:eastAsia="Times New Roman"/>
          <w:bCs/>
          <w:color w:val="000000"/>
          <w:lang w:val="en-GB"/>
        </w:rPr>
        <w:t xml:space="preserve">The model confirmed that the commonly reported finding that university educated respondents hold more supportive </w:t>
      </w:r>
      <w:r w:rsidR="003A0219">
        <w:rPr>
          <w:rFonts w:eastAsia="Times New Roman"/>
          <w:bCs/>
          <w:color w:val="000000"/>
          <w:lang w:val="en-GB"/>
        </w:rPr>
        <w:t>attitudes,</w:t>
      </w:r>
      <w:r>
        <w:rPr>
          <w:rFonts w:eastAsia="Times New Roman"/>
          <w:bCs/>
          <w:color w:val="000000"/>
          <w:lang w:val="en-GB"/>
        </w:rPr>
        <w:t xml:space="preserve"> but the impact of gender was much more limited.  </w:t>
      </w:r>
    </w:p>
    <w:p w14:paraId="49C56B65" w14:textId="5B5F838F" w:rsidR="00B34D63" w:rsidRPr="00252E88" w:rsidRDefault="00B34D63" w:rsidP="000311E5">
      <w:pPr>
        <w:shd w:val="clear" w:color="auto" w:fill="FFFFFF"/>
        <w:spacing w:line="360" w:lineRule="auto"/>
        <w:rPr>
          <w:rFonts w:eastAsia="Times New Roman"/>
          <w:bCs/>
          <w:color w:val="000000"/>
          <w:lang w:val="en-GB"/>
        </w:rPr>
      </w:pPr>
      <w:r>
        <w:rPr>
          <w:rFonts w:eastAsia="Times New Roman"/>
          <w:bCs/>
          <w:color w:val="000000"/>
          <w:lang w:val="en-GB"/>
        </w:rPr>
        <w:t xml:space="preserve">Examples are given as to how the model could guide attitude change </w:t>
      </w:r>
      <w:r w:rsidR="003A0219">
        <w:rPr>
          <w:rFonts w:eastAsia="Times New Roman"/>
          <w:bCs/>
          <w:color w:val="000000"/>
          <w:lang w:val="en-GB"/>
        </w:rPr>
        <w:t xml:space="preserve">initiatives </w:t>
      </w:r>
      <w:r>
        <w:rPr>
          <w:rFonts w:eastAsia="Times New Roman"/>
          <w:bCs/>
          <w:color w:val="000000"/>
          <w:lang w:val="en-GB"/>
        </w:rPr>
        <w:t xml:space="preserve">and future research.   Further tests of its validity are proposed. </w:t>
      </w:r>
    </w:p>
    <w:p w14:paraId="40BF1CE9" w14:textId="77777777" w:rsidR="00916592" w:rsidRPr="00A47844" w:rsidRDefault="00916592" w:rsidP="00916592">
      <w:pPr>
        <w:shd w:val="clear" w:color="auto" w:fill="FFFFFF"/>
        <w:spacing w:before="100" w:beforeAutospacing="1" w:after="100" w:afterAutospacing="1" w:line="240" w:lineRule="auto"/>
        <w:rPr>
          <w:rFonts w:eastAsia="Times New Roman"/>
          <w:b/>
          <w:color w:val="000000"/>
          <w:lang w:val="en-GB"/>
        </w:rPr>
      </w:pPr>
      <w:r w:rsidRPr="00A47844">
        <w:rPr>
          <w:rFonts w:eastAsia="Times New Roman"/>
          <w:b/>
          <w:color w:val="000000"/>
          <w:lang w:val="en-GB"/>
        </w:rPr>
        <w:t>Key words</w:t>
      </w:r>
    </w:p>
    <w:p w14:paraId="7EC4FD98" w14:textId="77777777" w:rsidR="00916592" w:rsidRPr="00A47844" w:rsidRDefault="00916592" w:rsidP="00916592">
      <w:pPr>
        <w:shd w:val="clear" w:color="auto" w:fill="FFFFFF"/>
        <w:spacing w:before="100" w:beforeAutospacing="1" w:after="100" w:afterAutospacing="1" w:line="240" w:lineRule="auto"/>
        <w:rPr>
          <w:rFonts w:eastAsia="Times New Roman"/>
          <w:color w:val="000000"/>
          <w:lang w:val="en-GB"/>
        </w:rPr>
      </w:pPr>
      <w:bookmarkStart w:id="1" w:name="_GoBack"/>
      <w:r w:rsidRPr="00A47844">
        <w:rPr>
          <w:rFonts w:eastAsia="Times New Roman"/>
          <w:color w:val="000000"/>
          <w:lang w:val="en-GB"/>
        </w:rPr>
        <w:t xml:space="preserve">Intellectual Disability   </w:t>
      </w:r>
      <w:r>
        <w:rPr>
          <w:rFonts w:eastAsia="Times New Roman"/>
          <w:color w:val="000000"/>
          <w:lang w:val="en-GB"/>
        </w:rPr>
        <w:t xml:space="preserve">Rights  Inclusion  </w:t>
      </w:r>
      <w:r w:rsidRPr="00A47844">
        <w:rPr>
          <w:rFonts w:eastAsia="Times New Roman"/>
          <w:color w:val="000000"/>
          <w:lang w:val="en-GB"/>
        </w:rPr>
        <w:t xml:space="preserve">General Public </w:t>
      </w:r>
      <w:r>
        <w:rPr>
          <w:rFonts w:eastAsia="Times New Roman"/>
          <w:color w:val="000000"/>
          <w:lang w:val="en-GB"/>
        </w:rPr>
        <w:t xml:space="preserve">  </w:t>
      </w:r>
      <w:r w:rsidRPr="00A47844">
        <w:rPr>
          <w:rFonts w:eastAsia="Times New Roman"/>
          <w:color w:val="000000"/>
          <w:lang w:val="en-GB"/>
        </w:rPr>
        <w:t xml:space="preserve">International   Special Olympics </w:t>
      </w:r>
    </w:p>
    <w:bookmarkEnd w:id="1"/>
    <w:p w14:paraId="3CF35DF2" w14:textId="77777777" w:rsidR="00367B09" w:rsidRDefault="00367B09">
      <w:pPr>
        <w:spacing w:after="200" w:line="276" w:lineRule="auto"/>
        <w:rPr>
          <w:rFonts w:ascii="Times New Roman" w:hAnsi="Times New Roman" w:cs="Times New Roman"/>
          <w:b/>
        </w:rPr>
      </w:pPr>
      <w:r>
        <w:rPr>
          <w:rFonts w:ascii="Times New Roman" w:hAnsi="Times New Roman" w:cs="Times New Roman"/>
        </w:rPr>
        <w:br w:type="page"/>
      </w:r>
    </w:p>
    <w:p w14:paraId="7DBC836C" w14:textId="1EDDFBFB" w:rsidR="00A47844" w:rsidRPr="007850B6" w:rsidRDefault="005C3CB3" w:rsidP="007850B6">
      <w:pPr>
        <w:pStyle w:val="Heading1"/>
      </w:pPr>
      <w:r w:rsidRPr="007850B6">
        <w:t xml:space="preserve">1. </w:t>
      </w:r>
      <w:r w:rsidR="00A47844" w:rsidRPr="007850B6">
        <w:t>Introduction</w:t>
      </w:r>
      <w:r w:rsidR="00135D95" w:rsidRPr="007850B6">
        <w:t xml:space="preserve"> </w:t>
      </w:r>
    </w:p>
    <w:p w14:paraId="6599F664" w14:textId="5D60FC8C" w:rsidR="006D71AD" w:rsidRDefault="00135D95" w:rsidP="00A47844">
      <w:r>
        <w:t>The United Nations Convention on the Righ</w:t>
      </w:r>
      <w:r w:rsidR="006D71AD">
        <w:t>ts of P</w:t>
      </w:r>
      <w:r>
        <w:t>ersons with Disabilities has been signed and ratified by 174 countries world-wide</w:t>
      </w:r>
      <w:r w:rsidR="006D71AD">
        <w:t xml:space="preserve"> since its launch in 2006</w:t>
      </w:r>
      <w:r>
        <w:t xml:space="preserve">.  The Convention covers people with </w:t>
      </w:r>
      <w:r w:rsidR="00593AC1">
        <w:t xml:space="preserve">all levels of </w:t>
      </w:r>
      <w:r>
        <w:t>intellectual disability</w:t>
      </w:r>
      <w:r w:rsidR="005E36A7">
        <w:t xml:space="preserve">, however </w:t>
      </w:r>
      <w:r w:rsidR="00277C8B">
        <w:t xml:space="preserve">advocates with </w:t>
      </w:r>
      <w:r w:rsidR="006D71AD">
        <w:t xml:space="preserve">physical and sensorial disabilities have been more to the fore in promoting the Convention </w:t>
      </w:r>
      <w:r w:rsidR="00A341F4">
        <w:t xml:space="preserve">as a driver for improving the quality of life of disabled citizens </w:t>
      </w:r>
      <w:r w:rsidR="006D71AD">
        <w:t>(</w:t>
      </w:r>
      <w:r w:rsidR="008177F3">
        <w:t>Mittler, 2015</w:t>
      </w:r>
      <w:r w:rsidR="007315BE">
        <w:t>)</w:t>
      </w:r>
      <w:r w:rsidR="00593AC1">
        <w:t xml:space="preserve">.   </w:t>
      </w:r>
    </w:p>
    <w:p w14:paraId="22EFFE07" w14:textId="639BBFE5" w:rsidR="00200851" w:rsidRDefault="00593AC1" w:rsidP="00A47844">
      <w:r>
        <w:t>A fundamental principle of the Convention is that people with disabilities will enjoy “f</w:t>
      </w:r>
      <w:r w:rsidRPr="00593AC1">
        <w:t>ull and effective participation and inclusion in society</w:t>
      </w:r>
      <w:r>
        <w:t xml:space="preserve">” (Article 3).   However there are well recognized </w:t>
      </w:r>
      <w:r w:rsidR="006D71AD">
        <w:t xml:space="preserve">obstacles </w:t>
      </w:r>
      <w:r>
        <w:t xml:space="preserve">to achieving these aspirations </w:t>
      </w:r>
      <w:r w:rsidR="006D71AD">
        <w:t>(</w:t>
      </w:r>
      <w:r w:rsidR="008177F3">
        <w:t xml:space="preserve">Merrills, Buchanan </w:t>
      </w:r>
      <w:r w:rsidR="008177F3" w:rsidRPr="00B30FDF">
        <w:t>&amp; Waters</w:t>
      </w:r>
      <w:r w:rsidR="008177F3">
        <w:t>, 2018)</w:t>
      </w:r>
      <w:r w:rsidR="006D71AD">
        <w:t>.  A</w:t>
      </w:r>
      <w:r>
        <w:t xml:space="preserve"> commonly cited </w:t>
      </w:r>
      <w:r w:rsidR="006D71AD">
        <w:t>barrier is</w:t>
      </w:r>
      <w:r>
        <w:t xml:space="preserve"> the attitudes of the general public towards people with disabilities.  </w:t>
      </w:r>
      <w:r w:rsidR="003F6E26">
        <w:t>T</w:t>
      </w:r>
      <w:r>
        <w:t xml:space="preserve">he stigma attached to intellectual disability </w:t>
      </w:r>
      <w:r w:rsidR="005E36A7">
        <w:t xml:space="preserve">in particular </w:t>
      </w:r>
      <w:r>
        <w:t xml:space="preserve">and the discrimination </w:t>
      </w:r>
      <w:r w:rsidR="005E36A7">
        <w:t xml:space="preserve">people with intellectual disability </w:t>
      </w:r>
      <w:r>
        <w:t xml:space="preserve">experience in many cultures is well </w:t>
      </w:r>
      <w:r w:rsidRPr="0096051D">
        <w:t>documented</w:t>
      </w:r>
      <w:r w:rsidR="003F6E26" w:rsidRPr="0096051D">
        <w:t xml:space="preserve"> (</w:t>
      </w:r>
      <w:r w:rsidR="007315BE" w:rsidRPr="0096051D">
        <w:t>Scior</w:t>
      </w:r>
      <w:r w:rsidR="00A341F4" w:rsidRPr="0096051D">
        <w:t xml:space="preserve"> et al</w:t>
      </w:r>
      <w:r w:rsidR="004B2C47" w:rsidRPr="0096051D">
        <w:t>.</w:t>
      </w:r>
      <w:r w:rsidR="00A341F4" w:rsidRPr="0096051D">
        <w:t>, 201</w:t>
      </w:r>
      <w:r w:rsidR="00C57DD8" w:rsidRPr="0096051D">
        <w:t>6</w:t>
      </w:r>
      <w:r w:rsidR="003F6E26" w:rsidRPr="0096051D">
        <w:t>)</w:t>
      </w:r>
      <w:r w:rsidR="005F4DDC" w:rsidRPr="0096051D">
        <w:t>.  L</w:t>
      </w:r>
      <w:r w:rsidR="003F6E26" w:rsidRPr="0096051D">
        <w:t xml:space="preserve">ess attention has been paid to how such barriers might be overcome </w:t>
      </w:r>
      <w:r w:rsidR="00A42394" w:rsidRPr="0096051D">
        <w:t>(</w:t>
      </w:r>
      <w:r w:rsidR="008177F3" w:rsidRPr="0096051D">
        <w:t>Werner &amp; Scior, 2016</w:t>
      </w:r>
      <w:r w:rsidR="00A42394" w:rsidRPr="0096051D">
        <w:t>).  Moreover</w:t>
      </w:r>
      <w:r w:rsidR="005E36A7" w:rsidRPr="0096051D">
        <w:t>,</w:t>
      </w:r>
      <w:r w:rsidR="00A42394" w:rsidRPr="0096051D">
        <w:t xml:space="preserve"> the lack of a coherent theoretical framework </w:t>
      </w:r>
      <w:r w:rsidR="007315BE" w:rsidRPr="0096051D">
        <w:t>for</w:t>
      </w:r>
      <w:r w:rsidR="001211F6" w:rsidRPr="0096051D">
        <w:t xml:space="preserve"> reducing</w:t>
      </w:r>
      <w:r w:rsidR="007315BE" w:rsidRPr="0096051D">
        <w:t xml:space="preserve"> stigma </w:t>
      </w:r>
      <w:r w:rsidR="00200851" w:rsidRPr="0096051D">
        <w:t>is seen as a major impediment towards</w:t>
      </w:r>
      <w:r w:rsidR="005E36A7" w:rsidRPr="0096051D">
        <w:t xml:space="preserve"> improving</w:t>
      </w:r>
      <w:r w:rsidR="00200851" w:rsidRPr="0096051D">
        <w:t xml:space="preserve"> attitudes in the field of intellectual disability</w:t>
      </w:r>
      <w:r w:rsidR="00D6324F" w:rsidRPr="0096051D">
        <w:t>; particularly in directing efforts aimed at promoting more positive attitudes</w:t>
      </w:r>
      <w:r w:rsidR="00095A04" w:rsidRPr="0096051D">
        <w:t xml:space="preserve"> and </w:t>
      </w:r>
      <w:r w:rsidR="00A341F4" w:rsidRPr="0096051D">
        <w:t xml:space="preserve">a greater </w:t>
      </w:r>
      <w:r w:rsidR="00095A04" w:rsidRPr="0096051D">
        <w:t xml:space="preserve">acceptance of </w:t>
      </w:r>
      <w:r w:rsidR="00A341F4" w:rsidRPr="0096051D">
        <w:t xml:space="preserve">making local and national </w:t>
      </w:r>
      <w:r w:rsidR="00095A04" w:rsidRPr="0096051D">
        <w:t>communities</w:t>
      </w:r>
      <w:r w:rsidR="007315BE" w:rsidRPr="0096051D">
        <w:t xml:space="preserve"> </w:t>
      </w:r>
      <w:r w:rsidR="00A341F4" w:rsidRPr="0096051D">
        <w:t xml:space="preserve">more inclusive </w:t>
      </w:r>
      <w:r w:rsidR="007315BE" w:rsidRPr="0096051D">
        <w:t>(Scior et al., 201</w:t>
      </w:r>
      <w:r w:rsidR="00C57DD8" w:rsidRPr="0096051D">
        <w:t>6</w:t>
      </w:r>
      <w:r w:rsidR="007315BE" w:rsidRPr="0096051D">
        <w:t>)</w:t>
      </w:r>
      <w:r w:rsidR="00200851" w:rsidRPr="0096051D">
        <w:t xml:space="preserve">. </w:t>
      </w:r>
      <w:r w:rsidR="00D6324F" w:rsidRPr="0096051D">
        <w:t xml:space="preserve">  </w:t>
      </w:r>
    </w:p>
    <w:p w14:paraId="03F836E1" w14:textId="52C32396" w:rsidR="00E30D01" w:rsidRDefault="00516013" w:rsidP="00A47844">
      <w:r>
        <w:t xml:space="preserve">A particularly influential </w:t>
      </w:r>
      <w:r w:rsidR="00262834">
        <w:t xml:space="preserve">theory </w:t>
      </w:r>
      <w:r>
        <w:t xml:space="preserve">in relation to marginalized groups more generally has been the </w:t>
      </w:r>
      <w:r w:rsidR="00277C8B">
        <w:t>‘</w:t>
      </w:r>
      <w:r>
        <w:t>contact hypothesis</w:t>
      </w:r>
      <w:r w:rsidR="00277C8B">
        <w:t>’</w:t>
      </w:r>
      <w:r>
        <w:t xml:space="preserve">: namely that more positive </w:t>
      </w:r>
      <w:r w:rsidR="00C7196C">
        <w:t>a</w:t>
      </w:r>
      <w:r>
        <w:t>ttitudes can be fostered through positive</w:t>
      </w:r>
      <w:r w:rsidR="00277C8B">
        <w:t>,</w:t>
      </w:r>
      <w:r>
        <w:t xml:space="preserve"> personal contacts with members of the ‘out group’</w:t>
      </w:r>
      <w:r w:rsidR="00262834">
        <w:t xml:space="preserve">  (</w:t>
      </w:r>
      <w:r w:rsidR="00A225BF">
        <w:t>Allport,1954</w:t>
      </w:r>
      <w:r w:rsidR="00262834">
        <w:t>)</w:t>
      </w:r>
      <w:r>
        <w:t>.  Indeed contact with only one person seems sufficient for generalization to the wider group</w:t>
      </w:r>
      <w:r w:rsidR="007315BE">
        <w:t xml:space="preserve"> (</w:t>
      </w:r>
      <w:r w:rsidR="007315BE" w:rsidRPr="007315BE">
        <w:t>Ramiah</w:t>
      </w:r>
      <w:r w:rsidR="007315BE">
        <w:t xml:space="preserve"> &amp;  Hewstone</w:t>
      </w:r>
      <w:r w:rsidR="007315BE" w:rsidRPr="007315BE">
        <w:t>, 2013</w:t>
      </w:r>
      <w:r w:rsidR="007315BE">
        <w:t>)</w:t>
      </w:r>
      <w:r>
        <w:t>.  A substantial body of research supports this model although its application to people with intellectual disability remains sparse</w:t>
      </w:r>
      <w:r w:rsidR="007315BE" w:rsidRPr="007315BE">
        <w:t xml:space="preserve"> </w:t>
      </w:r>
      <w:r w:rsidR="007315BE">
        <w:t>(</w:t>
      </w:r>
      <w:r w:rsidR="007315BE" w:rsidRPr="007315BE">
        <w:t>Paluck, Green</w:t>
      </w:r>
      <w:r w:rsidR="005E36A7">
        <w:t>,</w:t>
      </w:r>
      <w:r w:rsidR="007315BE" w:rsidRPr="007315BE">
        <w:t xml:space="preserve"> &amp; Green, 2018</w:t>
      </w:r>
      <w:r w:rsidR="007315BE">
        <w:t>)</w:t>
      </w:r>
      <w:r w:rsidR="007315BE" w:rsidRPr="007315BE">
        <w:t xml:space="preserve">. </w:t>
      </w:r>
      <w:r w:rsidR="00C7196C">
        <w:t xml:space="preserve"> </w:t>
      </w:r>
      <w:r w:rsidR="00DE0764">
        <w:t xml:space="preserve">Nonetheless there is growing evidence that quality contact is </w:t>
      </w:r>
      <w:r w:rsidR="00A341F4">
        <w:t xml:space="preserve">also </w:t>
      </w:r>
      <w:r w:rsidR="00DE0764">
        <w:t>associated with more positive attitudes</w:t>
      </w:r>
      <w:r w:rsidR="00C73642">
        <w:t xml:space="preserve"> towards people with intellectual disability</w:t>
      </w:r>
      <w:r w:rsidR="005F4DDC">
        <w:t xml:space="preserve"> </w:t>
      </w:r>
      <w:r w:rsidR="00DE0764">
        <w:t>(</w:t>
      </w:r>
      <w:r w:rsidR="00DE4316" w:rsidRPr="00DE4316">
        <w:t>Keith, Bennetto &amp; Rogge, 2015</w:t>
      </w:r>
      <w:r w:rsidR="00BC24F7">
        <w:t>)</w:t>
      </w:r>
      <w:r w:rsidR="00DE0764">
        <w:t>.</w:t>
      </w:r>
      <w:r w:rsidR="007C3825">
        <w:t xml:space="preserve">   In addition, a systematic review of attitudinal research towards people with intellectual disabilit</w:t>
      </w:r>
      <w:r w:rsidR="00BF72A6">
        <w:t>y</w:t>
      </w:r>
      <w:r w:rsidR="007C3825">
        <w:t xml:space="preserve"> has found</w:t>
      </w:r>
      <w:r w:rsidR="006636A5">
        <w:t xml:space="preserve"> </w:t>
      </w:r>
      <w:r w:rsidR="005C3CB3">
        <w:t>that females</w:t>
      </w:r>
      <w:r w:rsidR="007C3825">
        <w:t xml:space="preserve"> and </w:t>
      </w:r>
      <w:r w:rsidR="00C73642">
        <w:t xml:space="preserve">more </w:t>
      </w:r>
      <w:r w:rsidR="007C3825">
        <w:t>educated persons are more likely to hold positive attitudes (Scior, 201</w:t>
      </w:r>
      <w:r w:rsidR="00C57DD8">
        <w:t>1</w:t>
      </w:r>
      <w:r w:rsidR="007C3825">
        <w:t>)</w:t>
      </w:r>
      <w:r w:rsidR="005C3CB3">
        <w:t>,</w:t>
      </w:r>
      <w:r w:rsidR="005F4DDC">
        <w:t xml:space="preserve"> although the reasons for this remain speculative</w:t>
      </w:r>
      <w:r w:rsidR="007C3825">
        <w:t>.</w:t>
      </w:r>
    </w:p>
    <w:p w14:paraId="0FA28FA5" w14:textId="04ED33AB" w:rsidR="00BC3EF6" w:rsidRDefault="00E30D01" w:rsidP="00A47844">
      <w:r>
        <w:t xml:space="preserve">More broadly, </w:t>
      </w:r>
      <w:r w:rsidRPr="00E30D01">
        <w:t xml:space="preserve">Fisher &amp; Purcal (2017) </w:t>
      </w:r>
      <w:r>
        <w:t>have proposed a</w:t>
      </w:r>
      <w:r w:rsidRPr="00E30D01">
        <w:t xml:space="preserve"> three-tier, ecological framework </w:t>
      </w:r>
      <w:r w:rsidR="00DE0764">
        <w:t xml:space="preserve">in relation to changing attitudes: namely </w:t>
      </w:r>
      <w:r w:rsidR="005F4DDC">
        <w:t xml:space="preserve">that </w:t>
      </w:r>
      <w:r w:rsidR="006636A5">
        <w:t xml:space="preserve">change </w:t>
      </w:r>
      <w:r w:rsidR="005F4DDC">
        <w:t xml:space="preserve">has to occur at </w:t>
      </w:r>
      <w:r w:rsidR="00DE0764">
        <w:t>the personal, organizational and governmental levels.  The latter has probably been least studied despite the increased number of legal and policy initiatives in support of rights and social inclusion</w:t>
      </w:r>
      <w:r w:rsidR="005F4DDC">
        <w:t xml:space="preserve"> of persons with disabilities across the globe</w:t>
      </w:r>
      <w:r w:rsidR="00095A04">
        <w:t xml:space="preserve"> (Mannan et al</w:t>
      </w:r>
      <w:r w:rsidR="00ED1886">
        <w:t>., 2012</w:t>
      </w:r>
      <w:r w:rsidR="00095A04">
        <w:t>)</w:t>
      </w:r>
      <w:r w:rsidR="00DE0764">
        <w:t xml:space="preserve">.  </w:t>
      </w:r>
      <w:r w:rsidR="00BC3EF6">
        <w:t xml:space="preserve"> However</w:t>
      </w:r>
      <w:r w:rsidR="00530C45">
        <w:t>,</w:t>
      </w:r>
      <w:r w:rsidR="00BC3EF6">
        <w:t xml:space="preserve"> nations clearly differ in </w:t>
      </w:r>
      <w:r w:rsidR="005F4DDC">
        <w:t xml:space="preserve">the extent to which </w:t>
      </w:r>
      <w:r w:rsidR="00BC3EF6">
        <w:t xml:space="preserve">their societies </w:t>
      </w:r>
      <w:r w:rsidR="005F4DDC">
        <w:t xml:space="preserve">have become </w:t>
      </w:r>
      <w:r w:rsidR="00BC3EF6">
        <w:t>more equal and inclusive</w:t>
      </w:r>
      <w:r w:rsidR="005F4DDC">
        <w:t xml:space="preserve"> (Wilkinson &amp; Pickett, 2010)</w:t>
      </w:r>
      <w:r w:rsidR="00BC3EF6">
        <w:t>.  To date</w:t>
      </w:r>
      <w:r w:rsidR="006636A5">
        <w:t xml:space="preserve"> there is a lack of research on</w:t>
      </w:r>
      <w:r w:rsidR="00BC3EF6">
        <w:t xml:space="preserve"> the relationship between national standing </w:t>
      </w:r>
      <w:r w:rsidR="006636A5">
        <w:t>(</w:t>
      </w:r>
      <w:r w:rsidR="00BC3EF6">
        <w:t>in terms of development and inequalities</w:t>
      </w:r>
      <w:r w:rsidR="006636A5">
        <w:t>)</w:t>
      </w:r>
      <w:r w:rsidR="00BC3EF6">
        <w:t xml:space="preserve"> with </w:t>
      </w:r>
      <w:r w:rsidR="007D5F59">
        <w:t xml:space="preserve">public </w:t>
      </w:r>
      <w:r w:rsidR="00BC3EF6">
        <w:t>attitudes to marginalized groups</w:t>
      </w:r>
      <w:r w:rsidR="00C73642">
        <w:t>;</w:t>
      </w:r>
      <w:r w:rsidR="00BC3EF6">
        <w:t xml:space="preserve"> largely due to the dearth of transnational studies.  </w:t>
      </w:r>
      <w:r w:rsidR="00DE4316">
        <w:t xml:space="preserve">Yet it </w:t>
      </w:r>
      <w:r w:rsidR="005C3CB3">
        <w:t xml:space="preserve">is </w:t>
      </w:r>
      <w:r w:rsidR="00DE4316">
        <w:t xml:space="preserve">feasible that </w:t>
      </w:r>
      <w:r w:rsidR="006636A5">
        <w:t>cultural differences both</w:t>
      </w:r>
      <w:r w:rsidR="00DE4316">
        <w:t xml:space="preserve"> within and between nations could affect public responses to stigmatized groups (</w:t>
      </w:r>
      <w:r w:rsidR="00DE4316" w:rsidRPr="00DE4316">
        <w:t>Scior, Addai</w:t>
      </w:r>
      <w:r w:rsidR="00DE4316" w:rsidRPr="00DE4316">
        <w:rPr>
          <w:rFonts w:ascii="Cambria Math" w:hAnsi="Cambria Math" w:cs="Cambria Math"/>
        </w:rPr>
        <w:t>‐</w:t>
      </w:r>
      <w:r w:rsidR="00DE4316" w:rsidRPr="00DE4316">
        <w:t>Davis, Kenyon</w:t>
      </w:r>
      <w:r w:rsidR="00DE4316">
        <w:t xml:space="preserve"> &amp; </w:t>
      </w:r>
      <w:r w:rsidR="00DE4316" w:rsidRPr="00DE4316">
        <w:t>Sheridan,</w:t>
      </w:r>
      <w:r w:rsidR="00DE4316">
        <w:t xml:space="preserve"> </w:t>
      </w:r>
      <w:r w:rsidR="00DE4316" w:rsidRPr="00DE4316">
        <w:t>2013</w:t>
      </w:r>
      <w:r w:rsidR="00DE4316">
        <w:t>).</w:t>
      </w:r>
    </w:p>
    <w:p w14:paraId="1DCEE532" w14:textId="2518A457" w:rsidR="00CD39F3" w:rsidRDefault="00BC3EF6" w:rsidP="00A47844">
      <w:r>
        <w:t xml:space="preserve">Likewise the impact </w:t>
      </w:r>
      <w:r w:rsidR="005C3CB3">
        <w:t xml:space="preserve">on attitude formation and change among the general population of </w:t>
      </w:r>
      <w:r>
        <w:t>organi</w:t>
      </w:r>
      <w:r w:rsidR="00C73642">
        <w:t>s</w:t>
      </w:r>
      <w:r>
        <w:t xml:space="preserve">ations </w:t>
      </w:r>
      <w:r w:rsidR="00C67E12">
        <w:t xml:space="preserve">– especially those involved in the delivery of education, health and social care - </w:t>
      </w:r>
      <w:r>
        <w:t xml:space="preserve">has also received scarce attention. </w:t>
      </w:r>
      <w:r w:rsidR="001D16F7">
        <w:t xml:space="preserve"> Of particular significance is the long history of institutionalization of people </w:t>
      </w:r>
      <w:r w:rsidR="005C3CB3">
        <w:t>with intellectual</w:t>
      </w:r>
      <w:r w:rsidR="00D85756">
        <w:t xml:space="preserve"> disability that removed them from their families and community</w:t>
      </w:r>
      <w:r w:rsidR="001D16F7">
        <w:t xml:space="preserve">. The intention was to ensure their safety as well as offering protection for the general public, </w:t>
      </w:r>
      <w:r w:rsidR="005C3CB3">
        <w:t>which surely</w:t>
      </w:r>
      <w:r w:rsidR="00C67E12">
        <w:t xml:space="preserve"> reinforced some of stigmatized attitudes of the general public towards them (Beadle-Brown, Mansell &amp; Kozma, 2009).   </w:t>
      </w:r>
    </w:p>
    <w:p w14:paraId="3FEF04B5" w14:textId="0F8693B7" w:rsidR="00BC3EF6" w:rsidRDefault="00C67E12" w:rsidP="00A47844">
      <w:r>
        <w:t xml:space="preserve">Conversely </w:t>
      </w:r>
      <w:r w:rsidR="00CD39F3">
        <w:t>organisations also have the capacity to change public opinion</w:t>
      </w:r>
      <w:r w:rsidR="00842860">
        <w:t xml:space="preserve"> (</w:t>
      </w:r>
      <w:r w:rsidR="00842860" w:rsidRPr="00842860">
        <w:t xml:space="preserve">Cook, Purdie-Vaughns, Meyer </w:t>
      </w:r>
      <w:r w:rsidR="00842860">
        <w:t xml:space="preserve">&amp; </w:t>
      </w:r>
      <w:r w:rsidR="00842860" w:rsidRPr="00842860">
        <w:t>Busch</w:t>
      </w:r>
      <w:r w:rsidR="00842860">
        <w:t>, 2</w:t>
      </w:r>
      <w:r w:rsidR="00842860" w:rsidRPr="00842860">
        <w:t>014</w:t>
      </w:r>
      <w:r w:rsidR="00842860" w:rsidRPr="0096051D">
        <w:t>)</w:t>
      </w:r>
      <w:r w:rsidR="00CD39F3" w:rsidRPr="0096051D">
        <w:t xml:space="preserve">.  </w:t>
      </w:r>
      <w:r w:rsidR="004E6857" w:rsidRPr="0096051D">
        <w:t>Of particular note is the international contribution made by Special Olympics to the public awareness of people with intellectual disability (</w:t>
      </w:r>
      <w:r w:rsidR="00BF72A6" w:rsidRPr="0096051D">
        <w:t xml:space="preserve">Harada, Siperstein, Parker &amp; Lenox, 2011).  </w:t>
      </w:r>
      <w:r w:rsidR="007C3825">
        <w:t>Started over 50 years ago</w:t>
      </w:r>
      <w:r w:rsidR="00E856CA">
        <w:t>,</w:t>
      </w:r>
      <w:r w:rsidR="007C3825">
        <w:t xml:space="preserve"> it provides sports training and competitions for over </w:t>
      </w:r>
      <w:r w:rsidR="00117ADA">
        <w:t>five</w:t>
      </w:r>
      <w:r w:rsidR="007C3825">
        <w:t xml:space="preserve"> million persons with intellectual disability in</w:t>
      </w:r>
      <w:r w:rsidR="00511973">
        <w:t xml:space="preserve"> more than</w:t>
      </w:r>
      <w:r w:rsidR="007C3825">
        <w:t xml:space="preserve"> 170 countries.  </w:t>
      </w:r>
      <w:r w:rsidR="00511973">
        <w:t xml:space="preserve">In recent years, Special Olympics </w:t>
      </w:r>
      <w:r w:rsidR="007C3825">
        <w:t xml:space="preserve">has instituted a variety of other programs </w:t>
      </w:r>
      <w:r w:rsidR="00CC25E7">
        <w:t xml:space="preserve">around health, youth leadership </w:t>
      </w:r>
      <w:r w:rsidR="007C3825">
        <w:t xml:space="preserve">and </w:t>
      </w:r>
      <w:r w:rsidR="00CC25E7">
        <w:t>early child development.  The organi</w:t>
      </w:r>
      <w:r w:rsidR="00C7196C">
        <w:t>s</w:t>
      </w:r>
      <w:r w:rsidR="00CC25E7">
        <w:t xml:space="preserve">ation’s </w:t>
      </w:r>
      <w:r w:rsidR="001A078D">
        <w:t>Global Strategic Plan states that</w:t>
      </w:r>
      <w:r w:rsidR="001A078D" w:rsidRPr="001A078D">
        <w:t xml:space="preserve"> </w:t>
      </w:r>
      <w:r w:rsidR="001A078D">
        <w:t>“</w:t>
      </w:r>
      <w:r w:rsidR="001A078D" w:rsidRPr="001A078D">
        <w:t>attitude change must be a deliberate outcome of Special Olympics</w:t>
      </w:r>
      <w:r w:rsidR="001A078D">
        <w:t>”</w:t>
      </w:r>
      <w:r w:rsidR="00CD39F3">
        <w:t xml:space="preserve"> in order to </w:t>
      </w:r>
      <w:r w:rsidR="00CD39F3" w:rsidRPr="00CD39F3">
        <w:t>promot</w:t>
      </w:r>
      <w:r w:rsidR="00CD39F3">
        <w:t xml:space="preserve">e “the </w:t>
      </w:r>
      <w:r w:rsidR="00CD39F3" w:rsidRPr="00CD39F3">
        <w:t xml:space="preserve">inclusion </w:t>
      </w:r>
      <w:r w:rsidR="00CD39F3">
        <w:t xml:space="preserve">of people with intellectual disabilities </w:t>
      </w:r>
      <w:r w:rsidR="00CD39F3" w:rsidRPr="00CD39F3">
        <w:t>in friendships, communities, health, education, and jobs</w:t>
      </w:r>
      <w:r w:rsidR="00CD39F3">
        <w:t>” (Special Olympics, 2019)</w:t>
      </w:r>
      <w:r w:rsidR="001A078D">
        <w:t xml:space="preserve">. </w:t>
      </w:r>
      <w:r w:rsidR="007C3825">
        <w:t xml:space="preserve"> </w:t>
      </w:r>
    </w:p>
    <w:p w14:paraId="63E78DCA" w14:textId="6C7D28F6" w:rsidR="007454CB" w:rsidRPr="007454CB" w:rsidRDefault="005C3CB3" w:rsidP="007850B6">
      <w:pPr>
        <w:pStyle w:val="Heading2"/>
      </w:pPr>
      <w:r>
        <w:t>1.1 Conceptual Model and Aims</w:t>
      </w:r>
    </w:p>
    <w:p w14:paraId="0E348BD0" w14:textId="77777777" w:rsidR="00642DA9" w:rsidRPr="0096051D" w:rsidRDefault="005C2C7C" w:rsidP="00A47844">
      <w:r w:rsidRPr="0096051D">
        <w:t xml:space="preserve">It was against this background that a </w:t>
      </w:r>
      <w:r w:rsidR="00A341F4" w:rsidRPr="0096051D">
        <w:t xml:space="preserve">conceptual </w:t>
      </w:r>
      <w:r w:rsidRPr="0096051D">
        <w:t xml:space="preserve">model was devised </w:t>
      </w:r>
      <w:r w:rsidR="00BF72A6" w:rsidRPr="0096051D">
        <w:t xml:space="preserve">and tested using data from a transnational study in 17 countries.  </w:t>
      </w:r>
      <w:r w:rsidR="00F928A9" w:rsidRPr="0096051D">
        <w:t xml:space="preserve">Such a model could serve two purposes.  It would guide future research initiatives as well as identifying approaches for promoting more positive attitudes to the rights and community inclusion of people with intellectual disabilities.  </w:t>
      </w:r>
    </w:p>
    <w:p w14:paraId="19FAFB84" w14:textId="77777777" w:rsidR="00642DA9" w:rsidRPr="0096051D" w:rsidRDefault="00BF72A6" w:rsidP="00A47844">
      <w:r w:rsidRPr="0096051D">
        <w:t xml:space="preserve">The focus </w:t>
      </w:r>
      <w:r w:rsidR="00642DA9" w:rsidRPr="0096051D">
        <w:t xml:space="preserve">of the model </w:t>
      </w:r>
      <w:r w:rsidRPr="0096051D">
        <w:t xml:space="preserve">was on public attitudes to </w:t>
      </w:r>
      <w:r w:rsidR="005C2C7C" w:rsidRPr="0096051D">
        <w:t>the rights</w:t>
      </w:r>
      <w:r w:rsidR="00511973" w:rsidRPr="0096051D">
        <w:t xml:space="preserve"> and capabilities</w:t>
      </w:r>
      <w:r w:rsidR="005C2C7C" w:rsidRPr="0096051D">
        <w:t xml:space="preserve"> of persons with intellectual disability</w:t>
      </w:r>
      <w:r w:rsidR="00F928A9" w:rsidRPr="0096051D">
        <w:t xml:space="preserve"> and on their </w:t>
      </w:r>
      <w:r w:rsidR="005C2C7C" w:rsidRPr="0096051D">
        <w:t xml:space="preserve">perceptions of community </w:t>
      </w:r>
      <w:r w:rsidR="00153D4B" w:rsidRPr="0096051D">
        <w:t>acceptance</w:t>
      </w:r>
      <w:r w:rsidR="005C2C7C" w:rsidRPr="0096051D">
        <w:t xml:space="preserve"> </w:t>
      </w:r>
      <w:r w:rsidR="0060778A" w:rsidRPr="0096051D">
        <w:t>within their</w:t>
      </w:r>
      <w:r w:rsidR="005C2C7C" w:rsidRPr="0096051D">
        <w:t xml:space="preserve"> local neighbourhoods.  This </w:t>
      </w:r>
      <w:r w:rsidR="0060778A" w:rsidRPr="0096051D">
        <w:t>lens</w:t>
      </w:r>
      <w:r w:rsidR="005C2C7C" w:rsidRPr="0096051D">
        <w:t xml:space="preserve"> </w:t>
      </w:r>
      <w:r w:rsidR="00095A04" w:rsidRPr="0096051D">
        <w:t xml:space="preserve">provided a more specific context for examining public attitudes </w:t>
      </w:r>
      <w:r w:rsidR="0060778A" w:rsidRPr="0096051D">
        <w:t>given th</w:t>
      </w:r>
      <w:r w:rsidR="00F928A9" w:rsidRPr="0096051D">
        <w:t>at much of th</w:t>
      </w:r>
      <w:r w:rsidR="0060778A" w:rsidRPr="0096051D">
        <w:t xml:space="preserve">e focus of </w:t>
      </w:r>
      <w:r w:rsidR="00FD1503" w:rsidRPr="0096051D">
        <w:t xml:space="preserve">past research </w:t>
      </w:r>
      <w:r w:rsidR="00F928A9" w:rsidRPr="0096051D">
        <w:t xml:space="preserve">has been </w:t>
      </w:r>
      <w:r w:rsidR="0060778A" w:rsidRPr="0096051D">
        <w:t>on</w:t>
      </w:r>
      <w:r w:rsidR="00BC55B3" w:rsidRPr="0096051D">
        <w:t xml:space="preserve"> more generalized reactions to people with intellectual disability</w:t>
      </w:r>
      <w:r w:rsidR="00F928A9" w:rsidRPr="0096051D">
        <w:t xml:space="preserve"> (Scior, 2011)</w:t>
      </w:r>
      <w:r w:rsidR="00BC55B3" w:rsidRPr="0096051D">
        <w:t xml:space="preserve">. </w:t>
      </w:r>
      <w:r w:rsidR="00FD1503" w:rsidRPr="0096051D">
        <w:t xml:space="preserve"> Moreover the topics </w:t>
      </w:r>
      <w:r w:rsidR="00BC55B3" w:rsidRPr="0096051D">
        <w:t xml:space="preserve">of rights and community acceptance </w:t>
      </w:r>
      <w:r w:rsidR="00FD1503" w:rsidRPr="0096051D">
        <w:t xml:space="preserve">were </w:t>
      </w:r>
      <w:r w:rsidR="005C2C7C" w:rsidRPr="0096051D">
        <w:t>major concern</w:t>
      </w:r>
      <w:r w:rsidR="00FD1503" w:rsidRPr="0096051D">
        <w:t>s</w:t>
      </w:r>
      <w:r w:rsidR="005C2C7C" w:rsidRPr="0096051D">
        <w:t xml:space="preserve"> for persons with an intellectual disability </w:t>
      </w:r>
      <w:r w:rsidR="00FD1503" w:rsidRPr="0096051D">
        <w:t xml:space="preserve">and </w:t>
      </w:r>
      <w:r w:rsidR="00A341F4" w:rsidRPr="0096051D">
        <w:t xml:space="preserve">they feature strongly in </w:t>
      </w:r>
      <w:r w:rsidR="005C2C7C" w:rsidRPr="0096051D">
        <w:t xml:space="preserve">the UN Convention (Lombardi et al., 2019).   </w:t>
      </w:r>
      <w:r w:rsidR="00F928A9" w:rsidRPr="0096051D">
        <w:t xml:space="preserve"> </w:t>
      </w:r>
    </w:p>
    <w:p w14:paraId="712334B9" w14:textId="0BD59441" w:rsidR="007C3825" w:rsidRDefault="005C2C7C" w:rsidP="00A47844">
      <w:r w:rsidRPr="0096051D">
        <w:t xml:space="preserve">The model was based on </w:t>
      </w:r>
      <w:r w:rsidR="007C3825" w:rsidRPr="0096051D">
        <w:t>the broad ecological framework proposed by Fisher &amp; Purcal (201</w:t>
      </w:r>
      <w:r w:rsidR="004E6857" w:rsidRPr="0096051D">
        <w:t>7</w:t>
      </w:r>
      <w:r w:rsidR="007C3825" w:rsidRPr="0096051D">
        <w:t>)</w:t>
      </w:r>
      <w:r w:rsidRPr="0096051D">
        <w:t xml:space="preserve"> allied to the contact</w:t>
      </w:r>
      <w:r w:rsidR="007C3825" w:rsidRPr="0096051D">
        <w:t xml:space="preserve"> </w:t>
      </w:r>
      <w:r w:rsidR="007454CB" w:rsidRPr="0096051D">
        <w:t>hypothesis</w:t>
      </w:r>
      <w:r w:rsidR="00642DA9" w:rsidRPr="0096051D">
        <w:t xml:space="preserve">.   </w:t>
      </w:r>
      <w:r w:rsidR="00D91E1E" w:rsidRPr="0096051D">
        <w:t xml:space="preserve">Based on past research, four predictors were included for the personal level of the framework: </w:t>
      </w:r>
      <w:r w:rsidR="008F12A4" w:rsidRPr="0096051D">
        <w:t xml:space="preserve">namely, </w:t>
      </w:r>
      <w:r w:rsidR="00D91E1E" w:rsidRPr="0096051D">
        <w:t xml:space="preserve">contact with a person with </w:t>
      </w:r>
      <w:r w:rsidR="00604ED0" w:rsidRPr="0096051D">
        <w:t>intellectual disability</w:t>
      </w:r>
      <w:r w:rsidR="00D91E1E" w:rsidRPr="0096051D">
        <w:t xml:space="preserve">, comfort with social interactions with people with </w:t>
      </w:r>
      <w:r w:rsidR="00604ED0" w:rsidRPr="0096051D">
        <w:t>them</w:t>
      </w:r>
      <w:r w:rsidR="00D91E1E" w:rsidRPr="0096051D">
        <w:t>, gender, and education level</w:t>
      </w:r>
      <w:r w:rsidR="00642DA9" w:rsidRPr="0096051D">
        <w:t xml:space="preserve"> (Morin, Rivard, Crocker, Boursier &amp; Caron, 2013; McConkey, 2015; Scior &amp; Werner, 2016).</w:t>
      </w:r>
      <w:r w:rsidR="00642DA9" w:rsidRPr="008C1927">
        <w:rPr>
          <w:color w:val="FF0000"/>
        </w:rPr>
        <w:t xml:space="preserve"> </w:t>
      </w:r>
      <w:r w:rsidR="007A0C8E">
        <w:t xml:space="preserve">The organizational level </w:t>
      </w:r>
      <w:r w:rsidR="00CE28E5">
        <w:t xml:space="preserve">of the framework </w:t>
      </w:r>
      <w:r w:rsidR="007A0C8E">
        <w:t xml:space="preserve">was represented in the model by the public’s awareness of, and engagement with Special Olympics. The country’s Inequality Adjusted Index of Human Development (UNDP, 2019) was included as a proxy for the governmental </w:t>
      </w:r>
      <w:r w:rsidR="005C4071" w:rsidRPr="0096051D">
        <w:t>context</w:t>
      </w:r>
      <w:r w:rsidR="002F718F" w:rsidRPr="0096051D">
        <w:t xml:space="preserve"> as it combines a measure of a country’s developmental status allied with social inequalities</w:t>
      </w:r>
      <w:r w:rsidR="007A0C8E" w:rsidRPr="0096051D">
        <w:t xml:space="preserve">.  </w:t>
      </w:r>
      <w:r w:rsidR="00C62F18">
        <w:t xml:space="preserve">To our knowledge, </w:t>
      </w:r>
      <w:r w:rsidR="00FA097B" w:rsidRPr="00FA097B">
        <w:t xml:space="preserve">no research </w:t>
      </w:r>
      <w:r w:rsidR="0060778A">
        <w:t>on</w:t>
      </w:r>
      <w:r w:rsidR="0060778A" w:rsidRPr="00FA097B">
        <w:t xml:space="preserve"> </w:t>
      </w:r>
      <w:r w:rsidR="00FA097B" w:rsidRPr="00FA097B">
        <w:t>attitudes to disability has considered either an organizational</w:t>
      </w:r>
      <w:r w:rsidR="00FA097B">
        <w:t xml:space="preserve"> or governmental </w:t>
      </w:r>
      <w:r w:rsidR="00C7196C">
        <w:t xml:space="preserve">influence </w:t>
      </w:r>
      <w:r w:rsidR="00C7196C" w:rsidRPr="00FA097B">
        <w:t>on</w:t>
      </w:r>
      <w:r w:rsidR="00FA097B" w:rsidRPr="00FA097B">
        <w:t xml:space="preserve"> public attitudes.</w:t>
      </w:r>
      <w:r w:rsidR="000062F8">
        <w:t xml:space="preserve">  </w:t>
      </w:r>
    </w:p>
    <w:p w14:paraId="37B95A71" w14:textId="60A66DF9" w:rsidR="009F1ED3" w:rsidRDefault="00BF3A3D" w:rsidP="00A47844">
      <w:r>
        <w:t>In addition</w:t>
      </w:r>
      <w:r w:rsidR="00F9086C">
        <w:t>,</w:t>
      </w:r>
      <w:r>
        <w:t xml:space="preserve"> a </w:t>
      </w:r>
      <w:r w:rsidR="00F9086C">
        <w:t xml:space="preserve">possible </w:t>
      </w:r>
      <w:r w:rsidR="007A0C8E">
        <w:t>mediating variable</w:t>
      </w:r>
      <w:r>
        <w:t xml:space="preserve"> </w:t>
      </w:r>
      <w:r w:rsidR="00F9086C">
        <w:t>on public atti</w:t>
      </w:r>
      <w:r w:rsidR="00200D6D">
        <w:t>t</w:t>
      </w:r>
      <w:r w:rsidR="00F9086C">
        <w:t xml:space="preserve">udes </w:t>
      </w:r>
      <w:r>
        <w:t>w</w:t>
      </w:r>
      <w:r w:rsidR="007A0C8E">
        <w:t xml:space="preserve">as </w:t>
      </w:r>
      <w:r>
        <w:t>included</w:t>
      </w:r>
      <w:r w:rsidR="007A0C8E">
        <w:t xml:space="preserve">.  Past </w:t>
      </w:r>
      <w:r w:rsidR="00200D6D">
        <w:t>research</w:t>
      </w:r>
      <w:r w:rsidR="007A0C8E">
        <w:t xml:space="preserve"> suggests that people with more severe disabilities are viewed more negatively than more able persons (e.g. Siperstein et al., 2007).  Hence a measure of public</w:t>
      </w:r>
      <w:r w:rsidR="00F9086C">
        <w:t xml:space="preserve"> </w:t>
      </w:r>
      <w:r>
        <w:t>perceptions about the capabilities of people with intellectual disability w</w:t>
      </w:r>
      <w:r w:rsidR="007A0C8E">
        <w:t>as included.</w:t>
      </w:r>
      <w:r>
        <w:t xml:space="preserve"> </w:t>
      </w:r>
    </w:p>
    <w:p w14:paraId="1F1639D9" w14:textId="166EBFC1" w:rsidR="00BF3A3D" w:rsidRDefault="00C777C6" w:rsidP="00A47844">
      <w:r>
        <w:t>In testing the proposed model, t</w:t>
      </w:r>
      <w:r w:rsidR="00BF3A3D">
        <w:t>he st</w:t>
      </w:r>
      <w:r w:rsidR="00F9086C">
        <w:t xml:space="preserve">udy </w:t>
      </w:r>
      <w:r>
        <w:t xml:space="preserve">also </w:t>
      </w:r>
      <w:r w:rsidR="00F9086C">
        <w:t xml:space="preserve">aimed to </w:t>
      </w:r>
      <w:r w:rsidR="00BF3A3D">
        <w:t>overcome two other criticisms of past research</w:t>
      </w:r>
      <w:r w:rsidR="00AC2394">
        <w:t>, namely around generalizability and representation</w:t>
      </w:r>
      <w:r w:rsidR="00BF3A3D">
        <w:t xml:space="preserve">.  Representative samples of national populations in terms of age and gender </w:t>
      </w:r>
      <w:r w:rsidR="00AC2394">
        <w:t>were</w:t>
      </w:r>
      <w:r w:rsidR="00BF3A3D">
        <w:t xml:space="preserve"> recruited</w:t>
      </w:r>
      <w:r w:rsidR="00F9086C">
        <w:t xml:space="preserve">.  The applicability of the model </w:t>
      </w:r>
      <w:r w:rsidR="00AC2394">
        <w:t xml:space="preserve">was </w:t>
      </w:r>
      <w:r w:rsidR="00F9086C">
        <w:t xml:space="preserve">tested across 17 countries.  </w:t>
      </w:r>
      <w:r w:rsidR="00BF3A3D">
        <w:t xml:space="preserve"> </w:t>
      </w:r>
    </w:p>
    <w:p w14:paraId="094619F2" w14:textId="7B049FB1" w:rsidR="00A47844" w:rsidRPr="00367B09" w:rsidRDefault="008F12A4" w:rsidP="007850B6">
      <w:pPr>
        <w:pStyle w:val="Heading1"/>
      </w:pPr>
      <w:r>
        <w:t xml:space="preserve">2. </w:t>
      </w:r>
      <w:r w:rsidR="00A47844" w:rsidRPr="00367B09">
        <w:t>Methods and Procedures</w:t>
      </w:r>
    </w:p>
    <w:p w14:paraId="4229181D" w14:textId="37888FB9" w:rsidR="00B35A58" w:rsidRPr="00367B09" w:rsidRDefault="00B35A58" w:rsidP="00B35A58">
      <w:pPr>
        <w:pStyle w:val="Heading2"/>
      </w:pPr>
      <w:r>
        <w:t xml:space="preserve">2.1 </w:t>
      </w:r>
      <w:r w:rsidRPr="00367B09">
        <w:t>Country selection and research design</w:t>
      </w:r>
    </w:p>
    <w:p w14:paraId="3D8EF9A9" w14:textId="77777777" w:rsidR="00B35A58" w:rsidRPr="0096051D" w:rsidRDefault="00B35A58" w:rsidP="00B35A58">
      <w:pPr>
        <w:jc w:val="both"/>
      </w:pPr>
      <w:r w:rsidRPr="00367B09">
        <w:t xml:space="preserve">Special Olympics Inc partnered with </w:t>
      </w:r>
      <w:r>
        <w:t xml:space="preserve">the market research firm </w:t>
      </w:r>
      <w:r w:rsidRPr="00367B09">
        <w:t>Kantar Millward Brown</w:t>
      </w:r>
      <w:r>
        <w:t xml:space="preserve"> –</w:t>
      </w:r>
      <w:r w:rsidRPr="000E6F37">
        <w:rPr>
          <w:color w:val="FF0000"/>
        </w:rPr>
        <w:t xml:space="preserve"> </w:t>
      </w:r>
      <w:r w:rsidRPr="0096051D">
        <w:t xml:space="preserve">a leading international market research organisation -  to implement a global survey of attitudes.  Special Olympics staff selected the locations in which samples would be recruited: namely ones in which Special Olympics had a particular interest because of the activities and programs underway or planned for them.   A full list of participating sites is given in Table 1. All country and city samples included 1500 respondents except where indicated. </w:t>
      </w:r>
    </w:p>
    <w:p w14:paraId="310C9C2A" w14:textId="77777777" w:rsidR="00B35A58" w:rsidRDefault="00B35A58" w:rsidP="00B35A58">
      <w:pPr>
        <w:spacing w:after="0"/>
        <w:rPr>
          <w:b/>
        </w:rPr>
      </w:pPr>
      <w:r w:rsidRPr="00367B09">
        <w:rPr>
          <w:b/>
        </w:rPr>
        <w:t xml:space="preserve">Table 1  </w:t>
      </w:r>
    </w:p>
    <w:p w14:paraId="4BCFD3F2" w14:textId="77777777" w:rsidR="00B35A58" w:rsidRPr="0096051D" w:rsidRDefault="00B35A58" w:rsidP="00B35A58">
      <w:pPr>
        <w:spacing w:after="0"/>
        <w:rPr>
          <w:bCs/>
          <w:i/>
          <w:iCs/>
        </w:rPr>
      </w:pPr>
      <w:r w:rsidRPr="0096051D">
        <w:rPr>
          <w:bCs/>
          <w:i/>
          <w:iCs/>
        </w:rPr>
        <w:t>International Sample Sites and Respective Sample Sizes and IHDI Grouping</w:t>
      </w:r>
    </w:p>
    <w:tbl>
      <w:tblPr>
        <w:tblStyle w:val="ListTable3"/>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5"/>
        <w:gridCol w:w="2405"/>
        <w:gridCol w:w="2693"/>
      </w:tblGrid>
      <w:tr w:rsidR="0096051D" w:rsidRPr="0096051D" w14:paraId="25A1EB01" w14:textId="77777777" w:rsidTr="00026F2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35" w:type="dxa"/>
            <w:tcBorders>
              <w:top w:val="single" w:sz="4" w:space="0" w:color="auto"/>
              <w:bottom w:val="single" w:sz="4" w:space="0" w:color="auto"/>
            </w:tcBorders>
            <w:shd w:val="clear" w:color="auto" w:fill="auto"/>
          </w:tcPr>
          <w:p w14:paraId="7F02B8D6" w14:textId="77777777" w:rsidR="00B35A58" w:rsidRPr="0096051D" w:rsidRDefault="00B35A58" w:rsidP="00026F20">
            <w:pPr>
              <w:spacing w:before="60" w:after="60" w:line="360" w:lineRule="auto"/>
              <w:rPr>
                <w:color w:val="auto"/>
                <w:vertAlign w:val="superscript"/>
              </w:rPr>
            </w:pPr>
            <w:r w:rsidRPr="0096051D">
              <w:rPr>
                <w:color w:val="auto"/>
              </w:rPr>
              <w:t>USA</w:t>
            </w:r>
            <w:r w:rsidRPr="0096051D">
              <w:rPr>
                <w:color w:val="auto"/>
                <w:vertAlign w:val="superscript"/>
              </w:rPr>
              <w:t>2</w:t>
            </w:r>
          </w:p>
        </w:tc>
        <w:tc>
          <w:tcPr>
            <w:tcW w:w="2405" w:type="dxa"/>
            <w:tcBorders>
              <w:top w:val="single" w:sz="4" w:space="0" w:color="auto"/>
              <w:bottom w:val="single" w:sz="4" w:space="0" w:color="auto"/>
            </w:tcBorders>
            <w:shd w:val="clear" w:color="auto" w:fill="auto"/>
          </w:tcPr>
          <w:p w14:paraId="2679E65A" w14:textId="77777777" w:rsidR="00B35A58" w:rsidRPr="0096051D" w:rsidRDefault="00B35A58" w:rsidP="00026F20">
            <w:pPr>
              <w:spacing w:before="60" w:after="60" w:line="360" w:lineRule="auto"/>
              <w:cnfStyle w:val="100000000000" w:firstRow="1" w:lastRow="0" w:firstColumn="0" w:lastColumn="0" w:oddVBand="0" w:evenVBand="0" w:oddHBand="0" w:evenHBand="0" w:firstRowFirstColumn="0" w:firstRowLastColumn="0" w:lastRowFirstColumn="0" w:lastRowLastColumn="0"/>
              <w:rPr>
                <w:color w:val="auto"/>
              </w:rPr>
            </w:pPr>
            <w:r w:rsidRPr="0096051D">
              <w:rPr>
                <w:color w:val="auto"/>
              </w:rPr>
              <w:t>Europe</w:t>
            </w:r>
          </w:p>
        </w:tc>
        <w:tc>
          <w:tcPr>
            <w:tcW w:w="2693" w:type="dxa"/>
            <w:tcBorders>
              <w:top w:val="single" w:sz="4" w:space="0" w:color="auto"/>
              <w:bottom w:val="single" w:sz="4" w:space="0" w:color="auto"/>
            </w:tcBorders>
            <w:shd w:val="clear" w:color="auto" w:fill="auto"/>
          </w:tcPr>
          <w:p w14:paraId="2D86C0DF" w14:textId="77777777" w:rsidR="00B35A58" w:rsidRPr="0096051D" w:rsidRDefault="00B35A58" w:rsidP="00026F20">
            <w:pPr>
              <w:spacing w:before="60" w:after="60" w:line="360" w:lineRule="auto"/>
              <w:cnfStyle w:val="100000000000" w:firstRow="1" w:lastRow="0" w:firstColumn="0" w:lastColumn="0" w:oddVBand="0" w:evenVBand="0" w:oddHBand="0" w:evenHBand="0" w:firstRowFirstColumn="0" w:firstRowLastColumn="0" w:lastRowFirstColumn="0" w:lastRowLastColumn="0"/>
              <w:rPr>
                <w:color w:val="auto"/>
              </w:rPr>
            </w:pPr>
            <w:r w:rsidRPr="0096051D">
              <w:rPr>
                <w:color w:val="auto"/>
              </w:rPr>
              <w:t>Other Regions</w:t>
            </w:r>
          </w:p>
        </w:tc>
      </w:tr>
      <w:tr w:rsidR="0096051D" w:rsidRPr="0096051D" w14:paraId="130BBC60"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tcBorders>
            <w:vAlign w:val="center"/>
          </w:tcPr>
          <w:p w14:paraId="4FC13D7C" w14:textId="77777777" w:rsidR="00B35A58" w:rsidRPr="0096051D" w:rsidRDefault="00B35A58" w:rsidP="00026F20">
            <w:pPr>
              <w:spacing w:before="60" w:after="60" w:line="360" w:lineRule="auto"/>
              <w:rPr>
                <w:b w:val="0"/>
                <w:bCs w:val="0"/>
                <w:sz w:val="22"/>
                <w:szCs w:val="22"/>
              </w:rPr>
            </w:pPr>
            <w:r w:rsidRPr="0096051D">
              <w:rPr>
                <w:b w:val="0"/>
                <w:bCs w:val="0"/>
                <w:sz w:val="22"/>
                <w:szCs w:val="22"/>
              </w:rPr>
              <w:t>National (n=1491)</w:t>
            </w:r>
          </w:p>
        </w:tc>
        <w:tc>
          <w:tcPr>
            <w:tcW w:w="2405" w:type="dxa"/>
            <w:tcBorders>
              <w:top w:val="single" w:sz="4" w:space="0" w:color="auto"/>
            </w:tcBorders>
            <w:vAlign w:val="center"/>
          </w:tcPr>
          <w:p w14:paraId="436099C2" w14:textId="77777777" w:rsidR="00B35A58" w:rsidRPr="0096051D" w:rsidRDefault="00B35A58" w:rsidP="00026F20">
            <w:pPr>
              <w:spacing w:before="60" w:after="60"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96051D">
              <w:rPr>
                <w:sz w:val="22"/>
                <w:szCs w:val="22"/>
              </w:rPr>
              <w:t>Austria</w:t>
            </w:r>
            <w:r w:rsidRPr="0096051D">
              <w:rPr>
                <w:sz w:val="22"/>
                <w:szCs w:val="22"/>
                <w:vertAlign w:val="superscript"/>
              </w:rPr>
              <w:t>1</w:t>
            </w:r>
          </w:p>
        </w:tc>
        <w:tc>
          <w:tcPr>
            <w:tcW w:w="2693" w:type="dxa"/>
            <w:tcBorders>
              <w:top w:val="single" w:sz="4" w:space="0" w:color="auto"/>
            </w:tcBorders>
            <w:vAlign w:val="center"/>
          </w:tcPr>
          <w:p w14:paraId="6BF78DE7" w14:textId="77777777" w:rsidR="00B35A58" w:rsidRPr="0096051D" w:rsidRDefault="00B35A58" w:rsidP="00026F20">
            <w:pPr>
              <w:spacing w:before="60" w:after="60"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96051D">
              <w:rPr>
                <w:b/>
                <w:bCs/>
                <w:sz w:val="22"/>
                <w:szCs w:val="22"/>
              </w:rPr>
              <w:t>Asia - Pacific</w:t>
            </w:r>
          </w:p>
        </w:tc>
      </w:tr>
      <w:tr w:rsidR="0096051D" w:rsidRPr="0096051D" w14:paraId="1438B1AF"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4466041" w14:textId="77777777" w:rsidR="00B35A58" w:rsidRPr="0096051D" w:rsidRDefault="00B35A58" w:rsidP="00026F20">
            <w:pPr>
              <w:spacing w:before="60" w:after="60" w:line="360" w:lineRule="auto"/>
              <w:rPr>
                <w:b w:val="0"/>
                <w:bCs w:val="0"/>
                <w:sz w:val="22"/>
                <w:szCs w:val="22"/>
              </w:rPr>
            </w:pPr>
            <w:r w:rsidRPr="0096051D">
              <w:rPr>
                <w:b w:val="0"/>
                <w:bCs w:val="0"/>
                <w:sz w:val="22"/>
                <w:szCs w:val="22"/>
              </w:rPr>
              <w:t>Boston (n=1501)</w:t>
            </w:r>
          </w:p>
        </w:tc>
        <w:tc>
          <w:tcPr>
            <w:tcW w:w="2405" w:type="dxa"/>
            <w:vAlign w:val="center"/>
          </w:tcPr>
          <w:p w14:paraId="5AE76BFD" w14:textId="77777777" w:rsidR="00B35A58" w:rsidRPr="0096051D" w:rsidRDefault="00B35A58" w:rsidP="00026F20">
            <w:pPr>
              <w:spacing w:before="60" w:after="60" w:line="360" w:lineRule="auto"/>
              <w:cnfStyle w:val="000000000000" w:firstRow="0" w:lastRow="0" w:firstColumn="0" w:lastColumn="0" w:oddVBand="0" w:evenVBand="0" w:oddHBand="0" w:evenHBand="0" w:firstRowFirstColumn="0" w:firstRowLastColumn="0" w:lastRowFirstColumn="0" w:lastRowLastColumn="0"/>
              <w:rPr>
                <w:sz w:val="22"/>
                <w:szCs w:val="22"/>
                <w:vertAlign w:val="superscript"/>
              </w:rPr>
            </w:pPr>
            <w:r w:rsidRPr="0096051D">
              <w:rPr>
                <w:sz w:val="22"/>
                <w:szCs w:val="22"/>
              </w:rPr>
              <w:t>Belgium</w:t>
            </w:r>
            <w:r w:rsidRPr="0096051D">
              <w:rPr>
                <w:sz w:val="22"/>
                <w:szCs w:val="22"/>
                <w:vertAlign w:val="superscript"/>
              </w:rPr>
              <w:t>1</w:t>
            </w:r>
          </w:p>
        </w:tc>
        <w:tc>
          <w:tcPr>
            <w:tcW w:w="2693" w:type="dxa"/>
            <w:vAlign w:val="center"/>
          </w:tcPr>
          <w:p w14:paraId="7B26A299" w14:textId="77777777" w:rsidR="00B35A58" w:rsidRPr="0096051D" w:rsidRDefault="00B35A58" w:rsidP="00026F20">
            <w:pPr>
              <w:spacing w:before="60" w:after="60"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96051D">
              <w:rPr>
                <w:sz w:val="22"/>
                <w:szCs w:val="22"/>
              </w:rPr>
              <w:t>India</w:t>
            </w:r>
            <w:r w:rsidRPr="0096051D">
              <w:rPr>
                <w:sz w:val="22"/>
                <w:szCs w:val="22"/>
                <w:vertAlign w:val="superscript"/>
              </w:rPr>
              <w:t>3</w:t>
            </w:r>
            <w:r w:rsidRPr="0096051D">
              <w:rPr>
                <w:sz w:val="22"/>
                <w:szCs w:val="22"/>
              </w:rPr>
              <w:t xml:space="preserve"> (1501)</w:t>
            </w:r>
          </w:p>
        </w:tc>
      </w:tr>
      <w:tr w:rsidR="0096051D" w:rsidRPr="0096051D" w14:paraId="0D591AF2"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E0541D7" w14:textId="77777777" w:rsidR="00B35A58" w:rsidRPr="0096051D" w:rsidRDefault="00B35A58" w:rsidP="00026F20">
            <w:pPr>
              <w:spacing w:before="60" w:after="60" w:line="360" w:lineRule="auto"/>
              <w:rPr>
                <w:b w:val="0"/>
                <w:bCs w:val="0"/>
                <w:sz w:val="22"/>
                <w:szCs w:val="22"/>
              </w:rPr>
            </w:pPr>
            <w:r w:rsidRPr="0096051D">
              <w:rPr>
                <w:b w:val="0"/>
                <w:bCs w:val="0"/>
                <w:sz w:val="22"/>
                <w:szCs w:val="22"/>
              </w:rPr>
              <w:t>Chicago (n=1503)</w:t>
            </w:r>
          </w:p>
        </w:tc>
        <w:tc>
          <w:tcPr>
            <w:tcW w:w="2405" w:type="dxa"/>
            <w:vAlign w:val="center"/>
          </w:tcPr>
          <w:p w14:paraId="0ABBC8F3" w14:textId="77777777" w:rsidR="00B35A58" w:rsidRPr="0096051D" w:rsidRDefault="00B35A58" w:rsidP="00026F20">
            <w:pPr>
              <w:spacing w:before="60" w:after="60"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96051D">
              <w:rPr>
                <w:sz w:val="22"/>
                <w:szCs w:val="22"/>
              </w:rPr>
              <w:t>Finland</w:t>
            </w:r>
            <w:r w:rsidRPr="0096051D">
              <w:rPr>
                <w:sz w:val="22"/>
                <w:szCs w:val="22"/>
                <w:vertAlign w:val="superscript"/>
              </w:rPr>
              <w:t>1</w:t>
            </w:r>
            <w:r w:rsidRPr="0096051D">
              <w:rPr>
                <w:sz w:val="22"/>
                <w:szCs w:val="22"/>
              </w:rPr>
              <w:t xml:space="preserve"> (n=1501)</w:t>
            </w:r>
          </w:p>
        </w:tc>
        <w:tc>
          <w:tcPr>
            <w:tcW w:w="2693" w:type="dxa"/>
            <w:vAlign w:val="center"/>
          </w:tcPr>
          <w:p w14:paraId="6118BEB5" w14:textId="77777777" w:rsidR="00B35A58" w:rsidRPr="0096051D" w:rsidRDefault="00B35A58" w:rsidP="00026F20">
            <w:pPr>
              <w:spacing w:before="60" w:after="60"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96051D">
              <w:rPr>
                <w:sz w:val="22"/>
                <w:szCs w:val="22"/>
              </w:rPr>
              <w:t>Japan</w:t>
            </w:r>
            <w:r w:rsidRPr="0096051D">
              <w:rPr>
                <w:sz w:val="22"/>
                <w:szCs w:val="22"/>
                <w:vertAlign w:val="superscript"/>
              </w:rPr>
              <w:t>1</w:t>
            </w:r>
            <w:r w:rsidRPr="0096051D">
              <w:rPr>
                <w:sz w:val="22"/>
                <w:szCs w:val="22"/>
              </w:rPr>
              <w:t xml:space="preserve"> (n=1499)</w:t>
            </w:r>
          </w:p>
        </w:tc>
      </w:tr>
      <w:tr w:rsidR="0096051D" w:rsidRPr="0096051D" w14:paraId="4726337A"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E6B6CB0" w14:textId="77777777" w:rsidR="00B35A58" w:rsidRPr="0096051D" w:rsidRDefault="00B35A58" w:rsidP="00026F20">
            <w:pPr>
              <w:spacing w:before="60" w:after="60" w:line="360" w:lineRule="auto"/>
              <w:rPr>
                <w:b w:val="0"/>
                <w:bCs w:val="0"/>
                <w:sz w:val="22"/>
                <w:szCs w:val="22"/>
              </w:rPr>
            </w:pPr>
            <w:r w:rsidRPr="0096051D">
              <w:rPr>
                <w:b w:val="0"/>
                <w:bCs w:val="0"/>
                <w:sz w:val="22"/>
                <w:szCs w:val="22"/>
              </w:rPr>
              <w:t xml:space="preserve">Indianapolis </w:t>
            </w:r>
          </w:p>
        </w:tc>
        <w:tc>
          <w:tcPr>
            <w:tcW w:w="2405" w:type="dxa"/>
            <w:vAlign w:val="center"/>
          </w:tcPr>
          <w:p w14:paraId="6A356D4F" w14:textId="77777777" w:rsidR="00B35A58" w:rsidRPr="0096051D" w:rsidRDefault="00B35A58" w:rsidP="00026F20">
            <w:pPr>
              <w:spacing w:before="60" w:after="60" w:line="360" w:lineRule="auto"/>
              <w:cnfStyle w:val="000000000000" w:firstRow="0" w:lastRow="0" w:firstColumn="0" w:lastColumn="0" w:oddVBand="0" w:evenVBand="0" w:oddHBand="0" w:evenHBand="0" w:firstRowFirstColumn="0" w:firstRowLastColumn="0" w:lastRowFirstColumn="0" w:lastRowLastColumn="0"/>
              <w:rPr>
                <w:sz w:val="22"/>
                <w:szCs w:val="22"/>
                <w:vertAlign w:val="superscript"/>
              </w:rPr>
            </w:pPr>
            <w:r w:rsidRPr="0096051D">
              <w:rPr>
                <w:sz w:val="22"/>
                <w:szCs w:val="22"/>
              </w:rPr>
              <w:t>Germany</w:t>
            </w:r>
            <w:r w:rsidRPr="0096051D">
              <w:rPr>
                <w:sz w:val="22"/>
                <w:szCs w:val="22"/>
                <w:vertAlign w:val="superscript"/>
              </w:rPr>
              <w:t>1</w:t>
            </w:r>
          </w:p>
        </w:tc>
        <w:tc>
          <w:tcPr>
            <w:tcW w:w="2693" w:type="dxa"/>
            <w:vAlign w:val="center"/>
          </w:tcPr>
          <w:p w14:paraId="1EAF5395" w14:textId="77777777" w:rsidR="00B35A58" w:rsidRPr="0096051D" w:rsidRDefault="00B35A58" w:rsidP="00026F20">
            <w:pPr>
              <w:spacing w:before="60" w:after="60"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96051D">
              <w:rPr>
                <w:sz w:val="22"/>
                <w:szCs w:val="22"/>
              </w:rPr>
              <w:t>China</w:t>
            </w:r>
            <w:r w:rsidRPr="0096051D">
              <w:rPr>
                <w:sz w:val="22"/>
                <w:szCs w:val="22"/>
                <w:vertAlign w:val="superscript"/>
              </w:rPr>
              <w:t>3</w:t>
            </w:r>
            <w:r w:rsidRPr="0096051D">
              <w:rPr>
                <w:sz w:val="22"/>
                <w:szCs w:val="22"/>
              </w:rPr>
              <w:t xml:space="preserve"> (n=1504)</w:t>
            </w:r>
          </w:p>
        </w:tc>
      </w:tr>
      <w:tr w:rsidR="0096051D" w:rsidRPr="0096051D" w14:paraId="6AF76739"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F919994" w14:textId="77777777" w:rsidR="00B35A58" w:rsidRPr="0096051D" w:rsidRDefault="00B35A58" w:rsidP="00026F20">
            <w:pPr>
              <w:spacing w:before="60" w:after="60" w:line="360" w:lineRule="auto"/>
              <w:rPr>
                <w:b w:val="0"/>
                <w:bCs w:val="0"/>
                <w:sz w:val="22"/>
                <w:szCs w:val="22"/>
              </w:rPr>
            </w:pPr>
            <w:r w:rsidRPr="0096051D">
              <w:rPr>
                <w:b w:val="0"/>
                <w:bCs w:val="0"/>
                <w:sz w:val="22"/>
                <w:szCs w:val="22"/>
              </w:rPr>
              <w:t xml:space="preserve">Philadelphia </w:t>
            </w:r>
          </w:p>
        </w:tc>
        <w:tc>
          <w:tcPr>
            <w:tcW w:w="2405" w:type="dxa"/>
            <w:vAlign w:val="center"/>
          </w:tcPr>
          <w:p w14:paraId="2FBD7678" w14:textId="77777777" w:rsidR="00B35A58" w:rsidRPr="0096051D" w:rsidRDefault="00B35A58" w:rsidP="00026F20">
            <w:pPr>
              <w:spacing w:before="60" w:after="60" w:line="360" w:lineRule="auto"/>
              <w:cnfStyle w:val="000000100000" w:firstRow="0" w:lastRow="0" w:firstColumn="0" w:lastColumn="0" w:oddVBand="0" w:evenVBand="0" w:oddHBand="1" w:evenHBand="0" w:firstRowFirstColumn="0" w:firstRowLastColumn="0" w:lastRowFirstColumn="0" w:lastRowLastColumn="0"/>
              <w:rPr>
                <w:sz w:val="22"/>
                <w:szCs w:val="22"/>
                <w:vertAlign w:val="superscript"/>
              </w:rPr>
            </w:pPr>
            <w:r w:rsidRPr="0096051D">
              <w:rPr>
                <w:sz w:val="22"/>
                <w:szCs w:val="22"/>
              </w:rPr>
              <w:t>Ireland</w:t>
            </w:r>
            <w:r w:rsidRPr="0096051D">
              <w:rPr>
                <w:sz w:val="22"/>
                <w:szCs w:val="22"/>
                <w:vertAlign w:val="superscript"/>
              </w:rPr>
              <w:t>1</w:t>
            </w:r>
          </w:p>
        </w:tc>
        <w:tc>
          <w:tcPr>
            <w:tcW w:w="2693" w:type="dxa"/>
            <w:vAlign w:val="center"/>
          </w:tcPr>
          <w:p w14:paraId="127699CF" w14:textId="77777777" w:rsidR="00B35A58" w:rsidRPr="0096051D" w:rsidRDefault="00B35A58" w:rsidP="00026F20">
            <w:pPr>
              <w:spacing w:before="60" w:after="60"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96051D">
              <w:rPr>
                <w:b/>
                <w:bCs/>
                <w:sz w:val="22"/>
                <w:szCs w:val="22"/>
              </w:rPr>
              <w:t xml:space="preserve">Central America </w:t>
            </w:r>
          </w:p>
        </w:tc>
      </w:tr>
      <w:tr w:rsidR="0096051D" w:rsidRPr="0096051D" w14:paraId="7B209EA7"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303FEB6C" w14:textId="77777777" w:rsidR="00B35A58" w:rsidRPr="0096051D" w:rsidRDefault="00B35A58" w:rsidP="00026F20">
            <w:pPr>
              <w:spacing w:before="60" w:after="60" w:line="360" w:lineRule="auto"/>
              <w:rPr>
                <w:b w:val="0"/>
                <w:bCs w:val="0"/>
                <w:sz w:val="22"/>
                <w:szCs w:val="22"/>
              </w:rPr>
            </w:pPr>
            <w:r w:rsidRPr="0096051D">
              <w:rPr>
                <w:b w:val="0"/>
                <w:bCs w:val="0"/>
                <w:sz w:val="22"/>
                <w:szCs w:val="22"/>
              </w:rPr>
              <w:t xml:space="preserve">Phoenix </w:t>
            </w:r>
          </w:p>
        </w:tc>
        <w:tc>
          <w:tcPr>
            <w:tcW w:w="2405" w:type="dxa"/>
            <w:vAlign w:val="center"/>
          </w:tcPr>
          <w:p w14:paraId="1F374F80" w14:textId="77777777" w:rsidR="00B35A58" w:rsidRPr="0096051D" w:rsidRDefault="00B35A58" w:rsidP="00026F20">
            <w:pPr>
              <w:spacing w:before="60" w:after="60"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96051D">
              <w:rPr>
                <w:sz w:val="22"/>
                <w:szCs w:val="22"/>
              </w:rPr>
              <w:t>Malta</w:t>
            </w:r>
            <w:r w:rsidRPr="0096051D">
              <w:rPr>
                <w:sz w:val="22"/>
                <w:szCs w:val="22"/>
                <w:vertAlign w:val="superscript"/>
              </w:rPr>
              <w:t>1</w:t>
            </w:r>
            <w:r w:rsidRPr="0096051D">
              <w:rPr>
                <w:sz w:val="22"/>
                <w:szCs w:val="22"/>
              </w:rPr>
              <w:t xml:space="preserve"> (n=502)</w:t>
            </w:r>
          </w:p>
        </w:tc>
        <w:tc>
          <w:tcPr>
            <w:tcW w:w="2693" w:type="dxa"/>
            <w:vAlign w:val="center"/>
          </w:tcPr>
          <w:p w14:paraId="27F19CFF" w14:textId="77777777" w:rsidR="00B35A58" w:rsidRPr="0096051D" w:rsidRDefault="00B35A58" w:rsidP="00026F20">
            <w:pPr>
              <w:spacing w:before="60" w:after="60"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96051D">
              <w:rPr>
                <w:sz w:val="22"/>
                <w:szCs w:val="22"/>
              </w:rPr>
              <w:t>Mexico</w:t>
            </w:r>
            <w:r w:rsidRPr="0096051D">
              <w:rPr>
                <w:sz w:val="22"/>
                <w:szCs w:val="22"/>
                <w:vertAlign w:val="superscript"/>
              </w:rPr>
              <w:t>3</w:t>
            </w:r>
            <w:r w:rsidRPr="0096051D">
              <w:rPr>
                <w:sz w:val="22"/>
                <w:szCs w:val="22"/>
              </w:rPr>
              <w:t xml:space="preserve"> (n-1502)</w:t>
            </w:r>
          </w:p>
        </w:tc>
      </w:tr>
      <w:tr w:rsidR="0096051D" w:rsidRPr="0096051D" w14:paraId="40146F70"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D735977" w14:textId="77777777" w:rsidR="00B35A58" w:rsidRPr="0096051D" w:rsidRDefault="00B35A58" w:rsidP="00026F20">
            <w:pPr>
              <w:spacing w:before="60" w:after="60" w:line="360" w:lineRule="auto"/>
              <w:rPr>
                <w:b w:val="0"/>
                <w:bCs w:val="0"/>
                <w:sz w:val="22"/>
                <w:szCs w:val="22"/>
              </w:rPr>
            </w:pPr>
            <w:r w:rsidRPr="0096051D">
              <w:rPr>
                <w:b w:val="0"/>
                <w:bCs w:val="0"/>
                <w:sz w:val="22"/>
                <w:szCs w:val="22"/>
              </w:rPr>
              <w:t xml:space="preserve">San Francisco </w:t>
            </w:r>
          </w:p>
        </w:tc>
        <w:tc>
          <w:tcPr>
            <w:tcW w:w="2405" w:type="dxa"/>
            <w:vAlign w:val="center"/>
          </w:tcPr>
          <w:p w14:paraId="3D3BFA2E" w14:textId="77777777" w:rsidR="00B35A58" w:rsidRPr="0096051D" w:rsidRDefault="00B35A58" w:rsidP="00026F20">
            <w:pPr>
              <w:spacing w:before="60" w:after="60" w:line="360" w:lineRule="auto"/>
              <w:cnfStyle w:val="000000100000" w:firstRow="0" w:lastRow="0" w:firstColumn="0" w:lastColumn="0" w:oddVBand="0" w:evenVBand="0" w:oddHBand="1" w:evenHBand="0" w:firstRowFirstColumn="0" w:firstRowLastColumn="0" w:lastRowFirstColumn="0" w:lastRowLastColumn="0"/>
              <w:rPr>
                <w:sz w:val="22"/>
                <w:szCs w:val="22"/>
                <w:vertAlign w:val="superscript"/>
              </w:rPr>
            </w:pPr>
            <w:r w:rsidRPr="0096051D">
              <w:rPr>
                <w:sz w:val="22"/>
                <w:szCs w:val="22"/>
              </w:rPr>
              <w:t>Poland</w:t>
            </w:r>
            <w:r w:rsidRPr="0096051D">
              <w:rPr>
                <w:sz w:val="22"/>
                <w:szCs w:val="22"/>
                <w:vertAlign w:val="superscript"/>
              </w:rPr>
              <w:t>2</w:t>
            </w:r>
          </w:p>
        </w:tc>
        <w:tc>
          <w:tcPr>
            <w:tcW w:w="2693" w:type="dxa"/>
            <w:vAlign w:val="center"/>
          </w:tcPr>
          <w:p w14:paraId="40F98948" w14:textId="77777777" w:rsidR="00B35A58" w:rsidRPr="0096051D" w:rsidRDefault="00B35A58" w:rsidP="00026F20">
            <w:pPr>
              <w:spacing w:before="60" w:after="60"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96051D">
              <w:rPr>
                <w:sz w:val="22"/>
                <w:szCs w:val="22"/>
              </w:rPr>
              <w:t>Panama</w:t>
            </w:r>
            <w:r w:rsidRPr="0096051D">
              <w:rPr>
                <w:sz w:val="22"/>
                <w:szCs w:val="22"/>
                <w:vertAlign w:val="superscript"/>
              </w:rPr>
              <w:t>3</w:t>
            </w:r>
            <w:r w:rsidRPr="0096051D">
              <w:rPr>
                <w:sz w:val="22"/>
                <w:szCs w:val="22"/>
              </w:rPr>
              <w:t xml:space="preserve"> (n=1504)</w:t>
            </w:r>
          </w:p>
        </w:tc>
      </w:tr>
      <w:tr w:rsidR="0096051D" w:rsidRPr="0096051D" w14:paraId="68A7D97C"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B04052F" w14:textId="77777777" w:rsidR="00B35A58" w:rsidRPr="0096051D" w:rsidRDefault="00B35A58" w:rsidP="00026F20">
            <w:pPr>
              <w:spacing w:before="60" w:after="60" w:line="360" w:lineRule="auto"/>
              <w:rPr>
                <w:b w:val="0"/>
                <w:bCs w:val="0"/>
                <w:sz w:val="22"/>
                <w:szCs w:val="22"/>
              </w:rPr>
            </w:pPr>
            <w:r w:rsidRPr="0096051D">
              <w:rPr>
                <w:b w:val="0"/>
                <w:bCs w:val="0"/>
                <w:sz w:val="22"/>
                <w:szCs w:val="22"/>
              </w:rPr>
              <w:t xml:space="preserve">Seattle </w:t>
            </w:r>
          </w:p>
        </w:tc>
        <w:tc>
          <w:tcPr>
            <w:tcW w:w="2405" w:type="dxa"/>
            <w:vAlign w:val="center"/>
          </w:tcPr>
          <w:p w14:paraId="1447D2B0" w14:textId="77777777" w:rsidR="00B35A58" w:rsidRPr="0096051D" w:rsidRDefault="00B35A58" w:rsidP="00026F20">
            <w:pPr>
              <w:spacing w:before="60" w:after="60" w:line="360" w:lineRule="auto"/>
              <w:cnfStyle w:val="000000000000" w:firstRow="0" w:lastRow="0" w:firstColumn="0" w:lastColumn="0" w:oddVBand="0" w:evenVBand="0" w:oddHBand="0" w:evenHBand="0" w:firstRowFirstColumn="0" w:firstRowLastColumn="0" w:lastRowFirstColumn="0" w:lastRowLastColumn="0"/>
              <w:rPr>
                <w:sz w:val="22"/>
                <w:szCs w:val="22"/>
                <w:vertAlign w:val="superscript"/>
              </w:rPr>
            </w:pPr>
            <w:r w:rsidRPr="0096051D">
              <w:rPr>
                <w:sz w:val="22"/>
                <w:szCs w:val="22"/>
              </w:rPr>
              <w:t>Romania</w:t>
            </w:r>
            <w:r w:rsidRPr="0096051D">
              <w:rPr>
                <w:sz w:val="22"/>
                <w:szCs w:val="22"/>
                <w:vertAlign w:val="superscript"/>
              </w:rPr>
              <w:t>2</w:t>
            </w:r>
          </w:p>
        </w:tc>
        <w:tc>
          <w:tcPr>
            <w:tcW w:w="2693" w:type="dxa"/>
            <w:vAlign w:val="center"/>
          </w:tcPr>
          <w:p w14:paraId="226A7218" w14:textId="77777777" w:rsidR="00B35A58" w:rsidRPr="0096051D" w:rsidRDefault="00B35A58" w:rsidP="00026F20">
            <w:pPr>
              <w:spacing w:before="60" w:after="60"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96051D">
              <w:rPr>
                <w:b/>
                <w:bCs/>
                <w:sz w:val="22"/>
                <w:szCs w:val="22"/>
              </w:rPr>
              <w:t>Middle East</w:t>
            </w:r>
          </w:p>
        </w:tc>
      </w:tr>
      <w:tr w:rsidR="0096051D" w:rsidRPr="0096051D" w14:paraId="4CBA6A51"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A4F50ED" w14:textId="77777777" w:rsidR="00B35A58" w:rsidRPr="0096051D" w:rsidRDefault="00B35A58" w:rsidP="00026F20">
            <w:pPr>
              <w:spacing w:before="60" w:after="60" w:line="360" w:lineRule="auto"/>
              <w:rPr>
                <w:b w:val="0"/>
                <w:bCs w:val="0"/>
                <w:sz w:val="22"/>
                <w:szCs w:val="22"/>
              </w:rPr>
            </w:pPr>
            <w:r w:rsidRPr="0096051D">
              <w:rPr>
                <w:b w:val="0"/>
                <w:bCs w:val="0"/>
                <w:sz w:val="22"/>
                <w:szCs w:val="22"/>
              </w:rPr>
              <w:t xml:space="preserve">Washington DC </w:t>
            </w:r>
          </w:p>
        </w:tc>
        <w:tc>
          <w:tcPr>
            <w:tcW w:w="2405" w:type="dxa"/>
            <w:vAlign w:val="center"/>
          </w:tcPr>
          <w:p w14:paraId="1FE056A3" w14:textId="77777777" w:rsidR="00B35A58" w:rsidRPr="0096051D" w:rsidRDefault="00B35A58" w:rsidP="00026F20">
            <w:pPr>
              <w:spacing w:before="60" w:after="60" w:line="360" w:lineRule="auto"/>
              <w:cnfStyle w:val="000000100000" w:firstRow="0" w:lastRow="0" w:firstColumn="0" w:lastColumn="0" w:oddVBand="0" w:evenVBand="0" w:oddHBand="1" w:evenHBand="0" w:firstRowFirstColumn="0" w:firstRowLastColumn="0" w:lastRowFirstColumn="0" w:lastRowLastColumn="0"/>
              <w:rPr>
                <w:sz w:val="22"/>
                <w:szCs w:val="22"/>
                <w:vertAlign w:val="superscript"/>
              </w:rPr>
            </w:pPr>
            <w:r w:rsidRPr="0096051D">
              <w:rPr>
                <w:sz w:val="22"/>
                <w:szCs w:val="22"/>
              </w:rPr>
              <w:t>United Kingdom</w:t>
            </w:r>
            <w:r w:rsidRPr="0096051D">
              <w:rPr>
                <w:sz w:val="22"/>
                <w:szCs w:val="22"/>
                <w:vertAlign w:val="superscript"/>
              </w:rPr>
              <w:t>1</w:t>
            </w:r>
          </w:p>
        </w:tc>
        <w:tc>
          <w:tcPr>
            <w:tcW w:w="2693" w:type="dxa"/>
            <w:vAlign w:val="center"/>
          </w:tcPr>
          <w:p w14:paraId="7C686A14" w14:textId="77777777" w:rsidR="00B35A58" w:rsidRPr="0096051D" w:rsidRDefault="00B35A58" w:rsidP="00026F20">
            <w:pPr>
              <w:spacing w:before="60" w:after="60" w:line="360" w:lineRule="auto"/>
              <w:cnfStyle w:val="000000100000" w:firstRow="0" w:lastRow="0" w:firstColumn="0" w:lastColumn="0" w:oddVBand="0" w:evenVBand="0" w:oddHBand="1" w:evenHBand="0" w:firstRowFirstColumn="0" w:firstRowLastColumn="0" w:lastRowFirstColumn="0" w:lastRowLastColumn="0"/>
              <w:rPr>
                <w:sz w:val="22"/>
                <w:szCs w:val="22"/>
                <w:vertAlign w:val="superscript"/>
              </w:rPr>
            </w:pPr>
            <w:r w:rsidRPr="0096051D">
              <w:rPr>
                <w:sz w:val="22"/>
                <w:szCs w:val="22"/>
              </w:rPr>
              <w:t>United Arab Emirates</w:t>
            </w:r>
            <w:r w:rsidRPr="0096051D">
              <w:rPr>
                <w:sz w:val="22"/>
                <w:szCs w:val="22"/>
                <w:vertAlign w:val="superscript"/>
              </w:rPr>
              <w:t>NA</w:t>
            </w:r>
          </w:p>
        </w:tc>
      </w:tr>
      <w:tr w:rsidR="0096051D" w:rsidRPr="0096051D" w14:paraId="0023F50F"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68D7261" w14:textId="77777777" w:rsidR="00B35A58" w:rsidRPr="0096051D" w:rsidRDefault="00B35A58" w:rsidP="00026F20">
            <w:pPr>
              <w:spacing w:before="60" w:after="60" w:line="360" w:lineRule="auto"/>
              <w:rPr>
                <w:sz w:val="22"/>
                <w:szCs w:val="22"/>
              </w:rPr>
            </w:pPr>
          </w:p>
        </w:tc>
        <w:tc>
          <w:tcPr>
            <w:tcW w:w="2405" w:type="dxa"/>
            <w:vAlign w:val="center"/>
          </w:tcPr>
          <w:p w14:paraId="1B69BB9F" w14:textId="77777777" w:rsidR="00B35A58" w:rsidRPr="0096051D" w:rsidRDefault="00B35A58" w:rsidP="00026F20">
            <w:pPr>
              <w:spacing w:before="60" w:after="60" w:line="36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2693" w:type="dxa"/>
            <w:vAlign w:val="center"/>
          </w:tcPr>
          <w:p w14:paraId="424F8812" w14:textId="77777777" w:rsidR="00B35A58" w:rsidRPr="0096051D" w:rsidRDefault="00B35A58" w:rsidP="00026F20">
            <w:pPr>
              <w:spacing w:before="60" w:after="60"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96051D">
              <w:rPr>
                <w:b/>
                <w:sz w:val="22"/>
                <w:szCs w:val="22"/>
              </w:rPr>
              <w:t>Africa</w:t>
            </w:r>
          </w:p>
        </w:tc>
      </w:tr>
      <w:tr w:rsidR="0096051D" w:rsidRPr="0096051D" w14:paraId="47715261"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vAlign w:val="center"/>
          </w:tcPr>
          <w:p w14:paraId="7E7CDDBE" w14:textId="77777777" w:rsidR="00B35A58" w:rsidRPr="0096051D" w:rsidRDefault="00B35A58" w:rsidP="00026F20">
            <w:pPr>
              <w:spacing w:before="60" w:after="60" w:line="360" w:lineRule="auto"/>
              <w:rPr>
                <w:sz w:val="22"/>
                <w:szCs w:val="22"/>
              </w:rPr>
            </w:pPr>
          </w:p>
        </w:tc>
        <w:tc>
          <w:tcPr>
            <w:tcW w:w="2405" w:type="dxa"/>
            <w:tcBorders>
              <w:bottom w:val="single" w:sz="4" w:space="0" w:color="auto"/>
            </w:tcBorders>
            <w:vAlign w:val="center"/>
          </w:tcPr>
          <w:p w14:paraId="1753C30E" w14:textId="77777777" w:rsidR="00B35A58" w:rsidRPr="0096051D" w:rsidRDefault="00B35A58" w:rsidP="00026F20">
            <w:pPr>
              <w:spacing w:before="60" w:after="60" w:line="36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693" w:type="dxa"/>
            <w:tcBorders>
              <w:bottom w:val="single" w:sz="4" w:space="0" w:color="auto"/>
            </w:tcBorders>
            <w:vAlign w:val="center"/>
          </w:tcPr>
          <w:p w14:paraId="036EA9B6" w14:textId="77777777" w:rsidR="00B35A58" w:rsidRPr="0096051D" w:rsidRDefault="00B35A58" w:rsidP="00026F20">
            <w:pPr>
              <w:spacing w:before="60" w:after="60" w:line="360" w:lineRule="auto"/>
              <w:cnfStyle w:val="000000100000" w:firstRow="0" w:lastRow="0" w:firstColumn="0" w:lastColumn="0" w:oddVBand="0" w:evenVBand="0" w:oddHBand="1" w:evenHBand="0" w:firstRowFirstColumn="0" w:firstRowLastColumn="0" w:lastRowFirstColumn="0" w:lastRowLastColumn="0"/>
              <w:rPr>
                <w:sz w:val="22"/>
                <w:szCs w:val="22"/>
                <w:vertAlign w:val="superscript"/>
              </w:rPr>
            </w:pPr>
            <w:r w:rsidRPr="0096051D">
              <w:rPr>
                <w:sz w:val="22"/>
                <w:szCs w:val="22"/>
              </w:rPr>
              <w:t>South Africa</w:t>
            </w:r>
            <w:r w:rsidRPr="0096051D">
              <w:rPr>
                <w:sz w:val="22"/>
                <w:szCs w:val="22"/>
                <w:vertAlign w:val="superscript"/>
              </w:rPr>
              <w:t>3</w:t>
            </w:r>
          </w:p>
        </w:tc>
      </w:tr>
    </w:tbl>
    <w:p w14:paraId="617233F8" w14:textId="77777777" w:rsidR="00B35A58" w:rsidRPr="0096051D" w:rsidRDefault="00B35A58" w:rsidP="00B35A58">
      <w:pPr>
        <w:spacing w:before="120"/>
        <w:jc w:val="center"/>
        <w:rPr>
          <w:sz w:val="22"/>
          <w:szCs w:val="22"/>
        </w:rPr>
      </w:pPr>
      <w:r w:rsidRPr="0096051D">
        <w:rPr>
          <w:sz w:val="22"/>
          <w:szCs w:val="22"/>
          <w:vertAlign w:val="superscript"/>
        </w:rPr>
        <w:t>1</w:t>
      </w:r>
      <w:r w:rsidRPr="0096051D">
        <w:rPr>
          <w:sz w:val="22"/>
          <w:szCs w:val="22"/>
        </w:rPr>
        <w:t xml:space="preserve">Very high IHDI    </w:t>
      </w:r>
      <w:r w:rsidRPr="0096051D">
        <w:rPr>
          <w:sz w:val="22"/>
          <w:szCs w:val="22"/>
          <w:vertAlign w:val="superscript"/>
        </w:rPr>
        <w:t>2</w:t>
      </w:r>
      <w:r w:rsidRPr="0096051D">
        <w:rPr>
          <w:sz w:val="22"/>
          <w:szCs w:val="22"/>
        </w:rPr>
        <w:t xml:space="preserve">High IHDI    </w:t>
      </w:r>
      <w:r w:rsidRPr="0096051D">
        <w:rPr>
          <w:sz w:val="22"/>
          <w:szCs w:val="22"/>
          <w:vertAlign w:val="superscript"/>
        </w:rPr>
        <w:t>3</w:t>
      </w:r>
      <w:r w:rsidRPr="0096051D">
        <w:rPr>
          <w:sz w:val="22"/>
          <w:szCs w:val="22"/>
        </w:rPr>
        <w:t xml:space="preserve">Medium High   </w:t>
      </w:r>
      <w:r w:rsidRPr="0096051D">
        <w:rPr>
          <w:sz w:val="22"/>
          <w:szCs w:val="22"/>
          <w:vertAlign w:val="superscript"/>
        </w:rPr>
        <w:t>NA</w:t>
      </w:r>
      <w:r w:rsidRPr="0096051D">
        <w:rPr>
          <w:sz w:val="22"/>
          <w:szCs w:val="22"/>
        </w:rPr>
        <w:t>Not Available</w:t>
      </w:r>
    </w:p>
    <w:p w14:paraId="75409E09" w14:textId="77777777" w:rsidR="00B35A58" w:rsidRPr="0096051D" w:rsidRDefault="00B35A58" w:rsidP="00B35A58">
      <w:pPr>
        <w:jc w:val="both"/>
      </w:pPr>
      <w:r w:rsidRPr="0096051D">
        <w:t xml:space="preserve">In total, 25 discrete surveys were conducted in eight US cities and 17 national surveys  with 36,508 members of public. </w:t>
      </w:r>
    </w:p>
    <w:p w14:paraId="5BDB2D91" w14:textId="527A0857" w:rsidR="00B35A58" w:rsidRPr="00367B09" w:rsidRDefault="00B35A58" w:rsidP="00B35A58">
      <w:pPr>
        <w:pStyle w:val="Heading2"/>
      </w:pPr>
      <w:r>
        <w:t xml:space="preserve">2.2 </w:t>
      </w:r>
      <w:r w:rsidRPr="00367B09">
        <w:t xml:space="preserve">Participants </w:t>
      </w:r>
    </w:p>
    <w:p w14:paraId="026FF982" w14:textId="77777777" w:rsidR="00B35A58" w:rsidRDefault="00B35A58" w:rsidP="00B35A58">
      <w:pPr>
        <w:jc w:val="both"/>
        <w:rPr>
          <w:rFonts w:eastAsia="Calibri"/>
          <w:b/>
        </w:rPr>
      </w:pPr>
      <w:r w:rsidRPr="00367B09">
        <w:t xml:space="preserve">Table </w:t>
      </w:r>
      <w:r>
        <w:t>2</w:t>
      </w:r>
      <w:r w:rsidRPr="00367B09">
        <w:t xml:space="preserve"> summarizes the demographic characteristics of the participants across the total sample of 36,508 respondents.  </w:t>
      </w:r>
      <w:r>
        <w:t xml:space="preserve">The samples were representative of national and city populations in terms of gender and age although details were gathered on other pertinent characteristics.   </w:t>
      </w:r>
      <w:r w:rsidRPr="00367B09">
        <w:t xml:space="preserve">Of note is the high percentage of university educated respondents which may reflect </w:t>
      </w:r>
      <w:r>
        <w:t>a</w:t>
      </w:r>
      <w:r w:rsidRPr="00367B09">
        <w:t xml:space="preserve"> bias arising from using online panels for the surveys.  </w:t>
      </w:r>
      <w:r>
        <w:t xml:space="preserve"> </w:t>
      </w:r>
      <w:r w:rsidRPr="00474F5D">
        <w:t xml:space="preserve">Almost 30% of the respondents had </w:t>
      </w:r>
      <w:r>
        <w:t xml:space="preserve">frequent </w:t>
      </w:r>
      <w:r w:rsidRPr="00474F5D">
        <w:t xml:space="preserve">personal contact with people with </w:t>
      </w:r>
      <w:r>
        <w:t>intellectual disability</w:t>
      </w:r>
      <w:r w:rsidRPr="00474F5D">
        <w:t xml:space="preserve"> whereas the remainder had </w:t>
      </w:r>
      <w:r>
        <w:t>infrequent or n</w:t>
      </w:r>
      <w:r w:rsidRPr="00474F5D">
        <w:t xml:space="preserve">o contact.  </w:t>
      </w:r>
      <w:r>
        <w:t>In all, 1</w:t>
      </w:r>
      <w:r w:rsidRPr="00474F5D">
        <w:t xml:space="preserve">5% of respondents had </w:t>
      </w:r>
      <w:r>
        <w:t xml:space="preserve">an active or associate </w:t>
      </w:r>
      <w:r w:rsidRPr="00474F5D">
        <w:t xml:space="preserve">involvement with </w:t>
      </w:r>
      <w:r>
        <w:t>S</w:t>
      </w:r>
      <w:r w:rsidRPr="00474F5D">
        <w:t xml:space="preserve">pecial Olympics.  </w:t>
      </w:r>
    </w:p>
    <w:p w14:paraId="1CC39DEF" w14:textId="77777777" w:rsidR="00B35A58" w:rsidRPr="0096051D" w:rsidRDefault="00B35A58" w:rsidP="00B35A58">
      <w:pPr>
        <w:rPr>
          <w:rFonts w:eastAsia="Calibri"/>
          <w:b/>
          <w:sz w:val="22"/>
          <w:szCs w:val="22"/>
        </w:rPr>
      </w:pPr>
      <w:r w:rsidRPr="0096051D">
        <w:rPr>
          <w:rFonts w:eastAsia="Calibri"/>
          <w:b/>
          <w:sz w:val="22"/>
          <w:szCs w:val="22"/>
        </w:rPr>
        <w:t xml:space="preserve">Table 2  </w:t>
      </w:r>
    </w:p>
    <w:p w14:paraId="178EAC07" w14:textId="77777777" w:rsidR="00B35A58" w:rsidRPr="0096051D" w:rsidRDefault="00B35A58" w:rsidP="00B35A58">
      <w:pPr>
        <w:rPr>
          <w:rFonts w:eastAsia="Calibri"/>
          <w:bCs/>
          <w:i/>
          <w:iCs/>
          <w:sz w:val="22"/>
          <w:szCs w:val="22"/>
        </w:rPr>
      </w:pPr>
      <w:r w:rsidRPr="0096051D">
        <w:rPr>
          <w:rFonts w:eastAsia="Calibri"/>
          <w:bCs/>
          <w:i/>
          <w:iCs/>
          <w:sz w:val="22"/>
          <w:szCs w:val="22"/>
        </w:rPr>
        <w:t>The Characteristics of Respondents across the 17 countries (n=36,508)</w:t>
      </w:r>
    </w:p>
    <w:tbl>
      <w:tblPr>
        <w:tblStyle w:val="PlainTable2"/>
        <w:tblW w:w="7098" w:type="dxa"/>
        <w:jc w:val="center"/>
        <w:tblBorders>
          <w:top w:val="none" w:sz="0" w:space="0" w:color="auto"/>
          <w:bottom w:val="none" w:sz="0" w:space="0" w:color="auto"/>
        </w:tblBorders>
        <w:tblLook w:val="04A0" w:firstRow="1" w:lastRow="0" w:firstColumn="1" w:lastColumn="0" w:noHBand="0" w:noVBand="1"/>
      </w:tblPr>
      <w:tblGrid>
        <w:gridCol w:w="4106"/>
        <w:gridCol w:w="1276"/>
        <w:gridCol w:w="1716"/>
      </w:tblGrid>
      <w:tr w:rsidR="0096051D" w:rsidRPr="0096051D" w14:paraId="50CCC119" w14:textId="77777777" w:rsidTr="00026F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tcBorders>
          </w:tcPr>
          <w:p w14:paraId="576A369F" w14:textId="77777777" w:rsidR="00B35A58" w:rsidRPr="0096051D" w:rsidRDefault="00B35A58" w:rsidP="00026F20">
            <w:pPr>
              <w:spacing w:line="240" w:lineRule="auto"/>
              <w:jc w:val="both"/>
              <w:rPr>
                <w:rFonts w:eastAsia="Calibri"/>
                <w:b w:val="0"/>
                <w:bCs w:val="0"/>
                <w:sz w:val="22"/>
                <w:szCs w:val="22"/>
              </w:rPr>
            </w:pPr>
          </w:p>
        </w:tc>
        <w:tc>
          <w:tcPr>
            <w:tcW w:w="1276" w:type="dxa"/>
            <w:tcBorders>
              <w:top w:val="single" w:sz="4" w:space="0" w:color="auto"/>
              <w:bottom w:val="single" w:sz="4" w:space="0" w:color="auto"/>
            </w:tcBorders>
          </w:tcPr>
          <w:p w14:paraId="20BE66CD" w14:textId="77777777" w:rsidR="00B35A58" w:rsidRPr="0096051D" w:rsidRDefault="00B35A58" w:rsidP="00026F20">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bCs w:val="0"/>
                <w:sz w:val="22"/>
                <w:szCs w:val="22"/>
              </w:rPr>
            </w:pPr>
            <w:r w:rsidRPr="0096051D">
              <w:rPr>
                <w:rFonts w:eastAsia="Calibri"/>
                <w:bCs w:val="0"/>
                <w:sz w:val="22"/>
                <w:szCs w:val="22"/>
              </w:rPr>
              <w:t>Number</w:t>
            </w:r>
          </w:p>
        </w:tc>
        <w:tc>
          <w:tcPr>
            <w:tcW w:w="1716" w:type="dxa"/>
            <w:tcBorders>
              <w:top w:val="single" w:sz="4" w:space="0" w:color="auto"/>
              <w:bottom w:val="single" w:sz="4" w:space="0" w:color="auto"/>
            </w:tcBorders>
          </w:tcPr>
          <w:p w14:paraId="437A95AC" w14:textId="77777777" w:rsidR="00B35A58" w:rsidRPr="0096051D" w:rsidRDefault="00B35A58" w:rsidP="00026F20">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bCs w:val="0"/>
                <w:sz w:val="22"/>
                <w:szCs w:val="22"/>
              </w:rPr>
            </w:pPr>
            <w:r w:rsidRPr="0096051D">
              <w:rPr>
                <w:rFonts w:eastAsia="Calibri"/>
                <w:bCs w:val="0"/>
                <w:sz w:val="22"/>
                <w:szCs w:val="22"/>
              </w:rPr>
              <w:t>Percent</w:t>
            </w:r>
          </w:p>
        </w:tc>
      </w:tr>
      <w:tr w:rsidR="0096051D" w:rsidRPr="0096051D" w14:paraId="026C6060"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8" w:type="dxa"/>
            <w:gridSpan w:val="3"/>
            <w:tcBorders>
              <w:top w:val="single" w:sz="4" w:space="0" w:color="auto"/>
            </w:tcBorders>
          </w:tcPr>
          <w:p w14:paraId="5A18BF36"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Gender</w:t>
            </w:r>
          </w:p>
        </w:tc>
      </w:tr>
      <w:tr w:rsidR="0096051D" w:rsidRPr="0096051D" w14:paraId="13389130"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12B9E99E"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 xml:space="preserve">        Male </w:t>
            </w:r>
          </w:p>
        </w:tc>
        <w:tc>
          <w:tcPr>
            <w:tcW w:w="1276" w:type="dxa"/>
          </w:tcPr>
          <w:p w14:paraId="0144025C" w14:textId="77777777" w:rsidR="00B35A58" w:rsidRPr="0096051D" w:rsidRDefault="00B35A58" w:rsidP="00026F20">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18,462</w:t>
            </w:r>
          </w:p>
        </w:tc>
        <w:tc>
          <w:tcPr>
            <w:tcW w:w="1716" w:type="dxa"/>
          </w:tcPr>
          <w:p w14:paraId="291B3121" w14:textId="77777777" w:rsidR="00B35A58" w:rsidRPr="0096051D" w:rsidRDefault="00B35A58" w:rsidP="00026F20">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50.6%</w:t>
            </w:r>
          </w:p>
        </w:tc>
      </w:tr>
      <w:tr w:rsidR="0096051D" w:rsidRPr="0096051D" w14:paraId="11B6F726"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7C26A760"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 xml:space="preserve">        Female</w:t>
            </w:r>
          </w:p>
        </w:tc>
        <w:tc>
          <w:tcPr>
            <w:tcW w:w="1276" w:type="dxa"/>
          </w:tcPr>
          <w:p w14:paraId="71F01AA0" w14:textId="77777777" w:rsidR="00B35A58" w:rsidRPr="0096051D" w:rsidRDefault="00B35A58" w:rsidP="00026F20">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18,046</w:t>
            </w:r>
          </w:p>
        </w:tc>
        <w:tc>
          <w:tcPr>
            <w:tcW w:w="1716" w:type="dxa"/>
          </w:tcPr>
          <w:p w14:paraId="233A6164" w14:textId="77777777" w:rsidR="00B35A58" w:rsidRPr="0096051D" w:rsidRDefault="00B35A58" w:rsidP="00026F20">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49.4%</w:t>
            </w:r>
          </w:p>
        </w:tc>
      </w:tr>
      <w:tr w:rsidR="0096051D" w:rsidRPr="0096051D" w14:paraId="70EFA586"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7098" w:type="dxa"/>
            <w:gridSpan w:val="3"/>
          </w:tcPr>
          <w:p w14:paraId="33341AA9"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 xml:space="preserve">Age Bands </w:t>
            </w:r>
          </w:p>
        </w:tc>
      </w:tr>
      <w:tr w:rsidR="0096051D" w:rsidRPr="0096051D" w14:paraId="6BD9F175"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34AE079B" w14:textId="77777777" w:rsidR="00B35A58" w:rsidRPr="0096051D" w:rsidRDefault="00B35A58" w:rsidP="00026F20">
            <w:pPr>
              <w:autoSpaceDE w:val="0"/>
              <w:autoSpaceDN w:val="0"/>
              <w:adjustRightInd w:val="0"/>
              <w:spacing w:line="240" w:lineRule="auto"/>
              <w:ind w:left="60" w:right="60"/>
              <w:jc w:val="both"/>
              <w:rPr>
                <w:rFonts w:eastAsia="Calibri"/>
                <w:b w:val="0"/>
                <w:bCs w:val="0"/>
                <w:sz w:val="22"/>
                <w:szCs w:val="22"/>
              </w:rPr>
            </w:pPr>
            <w:r w:rsidRPr="0096051D">
              <w:rPr>
                <w:rFonts w:eastAsia="Calibri"/>
                <w:b w:val="0"/>
                <w:bCs w:val="0"/>
                <w:sz w:val="22"/>
                <w:szCs w:val="22"/>
              </w:rPr>
              <w:t xml:space="preserve">      18-34 yrs</w:t>
            </w:r>
          </w:p>
        </w:tc>
        <w:tc>
          <w:tcPr>
            <w:tcW w:w="1276" w:type="dxa"/>
          </w:tcPr>
          <w:p w14:paraId="13669DF4" w14:textId="77777777" w:rsidR="00B35A58" w:rsidRPr="0096051D" w:rsidRDefault="00B35A58" w:rsidP="00026F20">
            <w:pPr>
              <w:autoSpaceDE w:val="0"/>
              <w:autoSpaceDN w:val="0"/>
              <w:adjustRightInd w:val="0"/>
              <w:spacing w:line="240" w:lineRule="auto"/>
              <w:ind w:left="60" w:right="60"/>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11,640</w:t>
            </w:r>
          </w:p>
        </w:tc>
        <w:tc>
          <w:tcPr>
            <w:tcW w:w="1716" w:type="dxa"/>
          </w:tcPr>
          <w:p w14:paraId="62C6488B" w14:textId="77777777" w:rsidR="00B35A58" w:rsidRPr="0096051D" w:rsidRDefault="00B35A58" w:rsidP="00026F20">
            <w:pPr>
              <w:autoSpaceDE w:val="0"/>
              <w:autoSpaceDN w:val="0"/>
              <w:adjustRightInd w:val="0"/>
              <w:spacing w:line="240" w:lineRule="auto"/>
              <w:ind w:left="60" w:right="60"/>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31.9</w:t>
            </w:r>
          </w:p>
        </w:tc>
      </w:tr>
      <w:tr w:rsidR="0096051D" w:rsidRPr="0096051D" w14:paraId="3799707C"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2311041A" w14:textId="77777777" w:rsidR="00B35A58" w:rsidRPr="0096051D" w:rsidRDefault="00B35A58" w:rsidP="00026F20">
            <w:pPr>
              <w:autoSpaceDE w:val="0"/>
              <w:autoSpaceDN w:val="0"/>
              <w:adjustRightInd w:val="0"/>
              <w:spacing w:line="240" w:lineRule="auto"/>
              <w:ind w:left="60" w:right="60"/>
              <w:jc w:val="both"/>
              <w:rPr>
                <w:rFonts w:eastAsia="Calibri"/>
                <w:b w:val="0"/>
                <w:bCs w:val="0"/>
                <w:sz w:val="22"/>
                <w:szCs w:val="22"/>
              </w:rPr>
            </w:pPr>
            <w:r w:rsidRPr="0096051D">
              <w:rPr>
                <w:rFonts w:eastAsia="Calibri"/>
                <w:b w:val="0"/>
                <w:bCs w:val="0"/>
                <w:sz w:val="22"/>
                <w:szCs w:val="22"/>
              </w:rPr>
              <w:t xml:space="preserve">      35-54 yrs</w:t>
            </w:r>
          </w:p>
        </w:tc>
        <w:tc>
          <w:tcPr>
            <w:tcW w:w="1276" w:type="dxa"/>
          </w:tcPr>
          <w:p w14:paraId="5ED710D1" w14:textId="77777777" w:rsidR="00B35A58" w:rsidRPr="0096051D" w:rsidRDefault="00B35A58" w:rsidP="00026F20">
            <w:pPr>
              <w:autoSpaceDE w:val="0"/>
              <w:autoSpaceDN w:val="0"/>
              <w:adjustRightInd w:val="0"/>
              <w:spacing w:line="240" w:lineRule="auto"/>
              <w:ind w:left="60" w:right="60"/>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12,902</w:t>
            </w:r>
          </w:p>
        </w:tc>
        <w:tc>
          <w:tcPr>
            <w:tcW w:w="1716" w:type="dxa"/>
          </w:tcPr>
          <w:p w14:paraId="7BAD04AE" w14:textId="77777777" w:rsidR="00B35A58" w:rsidRPr="0096051D" w:rsidRDefault="00B35A58" w:rsidP="00026F20">
            <w:pPr>
              <w:autoSpaceDE w:val="0"/>
              <w:autoSpaceDN w:val="0"/>
              <w:adjustRightInd w:val="0"/>
              <w:spacing w:line="240" w:lineRule="auto"/>
              <w:ind w:left="60" w:right="60"/>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35.3</w:t>
            </w:r>
          </w:p>
        </w:tc>
      </w:tr>
      <w:tr w:rsidR="0096051D" w:rsidRPr="0096051D" w14:paraId="73726386"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147D26D5" w14:textId="77777777" w:rsidR="00B35A58" w:rsidRPr="0096051D" w:rsidRDefault="00B35A58" w:rsidP="00026F20">
            <w:pPr>
              <w:autoSpaceDE w:val="0"/>
              <w:autoSpaceDN w:val="0"/>
              <w:adjustRightInd w:val="0"/>
              <w:spacing w:line="240" w:lineRule="auto"/>
              <w:ind w:left="60" w:right="60"/>
              <w:jc w:val="both"/>
              <w:rPr>
                <w:rFonts w:eastAsia="Calibri"/>
                <w:b w:val="0"/>
                <w:bCs w:val="0"/>
                <w:sz w:val="22"/>
                <w:szCs w:val="22"/>
              </w:rPr>
            </w:pPr>
            <w:r w:rsidRPr="0096051D">
              <w:rPr>
                <w:rFonts w:eastAsia="Calibri"/>
                <w:b w:val="0"/>
                <w:bCs w:val="0"/>
                <w:sz w:val="22"/>
                <w:szCs w:val="22"/>
              </w:rPr>
              <w:t xml:space="preserve">      55+ yrs</w:t>
            </w:r>
          </w:p>
        </w:tc>
        <w:tc>
          <w:tcPr>
            <w:tcW w:w="1276" w:type="dxa"/>
          </w:tcPr>
          <w:p w14:paraId="20476E6E" w14:textId="77777777" w:rsidR="00B35A58" w:rsidRPr="0096051D" w:rsidRDefault="00B35A58" w:rsidP="00026F20">
            <w:pPr>
              <w:autoSpaceDE w:val="0"/>
              <w:autoSpaceDN w:val="0"/>
              <w:adjustRightInd w:val="0"/>
              <w:spacing w:line="240" w:lineRule="auto"/>
              <w:ind w:left="60" w:right="60"/>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11,966</w:t>
            </w:r>
          </w:p>
        </w:tc>
        <w:tc>
          <w:tcPr>
            <w:tcW w:w="1716" w:type="dxa"/>
          </w:tcPr>
          <w:p w14:paraId="6F643C83" w14:textId="77777777" w:rsidR="00B35A58" w:rsidRPr="0096051D" w:rsidRDefault="00B35A58" w:rsidP="00026F20">
            <w:pPr>
              <w:autoSpaceDE w:val="0"/>
              <w:autoSpaceDN w:val="0"/>
              <w:adjustRightInd w:val="0"/>
              <w:spacing w:line="240" w:lineRule="auto"/>
              <w:ind w:left="60" w:right="60"/>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32.8</w:t>
            </w:r>
          </w:p>
        </w:tc>
      </w:tr>
      <w:tr w:rsidR="0096051D" w:rsidRPr="0096051D" w14:paraId="5387B50E"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7098" w:type="dxa"/>
            <w:gridSpan w:val="3"/>
          </w:tcPr>
          <w:p w14:paraId="0661084A"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University educated</w:t>
            </w:r>
          </w:p>
        </w:tc>
      </w:tr>
      <w:tr w:rsidR="0096051D" w:rsidRPr="0096051D" w14:paraId="72FE3917"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1839C071"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 xml:space="preserve">       Yes </w:t>
            </w:r>
          </w:p>
        </w:tc>
        <w:tc>
          <w:tcPr>
            <w:tcW w:w="1276" w:type="dxa"/>
          </w:tcPr>
          <w:p w14:paraId="7A98672B" w14:textId="77777777" w:rsidR="00B35A58" w:rsidRPr="0096051D" w:rsidRDefault="00B35A58" w:rsidP="00026F20">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20,464</w:t>
            </w:r>
          </w:p>
        </w:tc>
        <w:tc>
          <w:tcPr>
            <w:tcW w:w="1716" w:type="dxa"/>
          </w:tcPr>
          <w:p w14:paraId="43BADEB2" w14:textId="77777777" w:rsidR="00B35A58" w:rsidRPr="0096051D" w:rsidRDefault="00B35A58" w:rsidP="00026F20">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56.1</w:t>
            </w:r>
          </w:p>
        </w:tc>
      </w:tr>
      <w:tr w:rsidR="0096051D" w:rsidRPr="0096051D" w14:paraId="6478B4C9"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1DE10CD0"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 xml:space="preserve">       No </w:t>
            </w:r>
          </w:p>
        </w:tc>
        <w:tc>
          <w:tcPr>
            <w:tcW w:w="1276" w:type="dxa"/>
          </w:tcPr>
          <w:p w14:paraId="5DB538F0" w14:textId="77777777" w:rsidR="00B35A58" w:rsidRPr="0096051D" w:rsidRDefault="00B35A58" w:rsidP="00026F20">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16,031</w:t>
            </w:r>
          </w:p>
        </w:tc>
        <w:tc>
          <w:tcPr>
            <w:tcW w:w="1716" w:type="dxa"/>
          </w:tcPr>
          <w:p w14:paraId="0C5643EE" w14:textId="77777777" w:rsidR="00B35A58" w:rsidRPr="0096051D" w:rsidRDefault="00B35A58" w:rsidP="00026F20">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43.9</w:t>
            </w:r>
          </w:p>
        </w:tc>
      </w:tr>
      <w:tr w:rsidR="0096051D" w:rsidRPr="0096051D" w14:paraId="28B2F988"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8" w:type="dxa"/>
            <w:gridSpan w:val="3"/>
          </w:tcPr>
          <w:p w14:paraId="05BC6D1F"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Marital status</w:t>
            </w:r>
          </w:p>
        </w:tc>
      </w:tr>
      <w:tr w:rsidR="0096051D" w:rsidRPr="0096051D" w14:paraId="5929133E"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751BA3E1"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 xml:space="preserve">       Married/partner</w:t>
            </w:r>
          </w:p>
        </w:tc>
        <w:tc>
          <w:tcPr>
            <w:tcW w:w="1276" w:type="dxa"/>
          </w:tcPr>
          <w:p w14:paraId="406AE7E6" w14:textId="77777777" w:rsidR="00B35A58" w:rsidRPr="0096051D" w:rsidRDefault="00B35A58" w:rsidP="00026F20">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22,876</w:t>
            </w:r>
          </w:p>
        </w:tc>
        <w:tc>
          <w:tcPr>
            <w:tcW w:w="1716" w:type="dxa"/>
          </w:tcPr>
          <w:p w14:paraId="604F3174" w14:textId="77777777" w:rsidR="00B35A58" w:rsidRPr="0096051D" w:rsidRDefault="00B35A58" w:rsidP="00026F20">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63.8</w:t>
            </w:r>
          </w:p>
        </w:tc>
      </w:tr>
      <w:tr w:rsidR="0096051D" w:rsidRPr="0096051D" w14:paraId="1E64E22C"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17D42524"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 xml:space="preserve">       Single/widowed/divorced</w:t>
            </w:r>
          </w:p>
        </w:tc>
        <w:tc>
          <w:tcPr>
            <w:tcW w:w="1276" w:type="dxa"/>
          </w:tcPr>
          <w:p w14:paraId="40A193F8" w14:textId="77777777" w:rsidR="00B35A58" w:rsidRPr="0096051D" w:rsidRDefault="00B35A58" w:rsidP="00026F20">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12,998</w:t>
            </w:r>
          </w:p>
        </w:tc>
        <w:tc>
          <w:tcPr>
            <w:tcW w:w="1716" w:type="dxa"/>
          </w:tcPr>
          <w:p w14:paraId="11B66C49" w14:textId="77777777" w:rsidR="00B35A58" w:rsidRPr="0096051D" w:rsidRDefault="00B35A58" w:rsidP="00026F20">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36.2</w:t>
            </w:r>
          </w:p>
        </w:tc>
      </w:tr>
      <w:tr w:rsidR="0096051D" w:rsidRPr="0096051D" w14:paraId="44A2ADEB"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7098" w:type="dxa"/>
            <w:gridSpan w:val="3"/>
          </w:tcPr>
          <w:p w14:paraId="1F45678F"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Parent with children at home</w:t>
            </w:r>
          </w:p>
        </w:tc>
      </w:tr>
      <w:tr w:rsidR="0096051D" w:rsidRPr="0096051D" w14:paraId="1E80DCA1"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2FF6E976"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 xml:space="preserve">      Yes </w:t>
            </w:r>
          </w:p>
        </w:tc>
        <w:tc>
          <w:tcPr>
            <w:tcW w:w="1276" w:type="dxa"/>
          </w:tcPr>
          <w:p w14:paraId="2E672C95" w14:textId="77777777" w:rsidR="00B35A58" w:rsidRPr="0096051D" w:rsidRDefault="00B35A58" w:rsidP="00026F20">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11,405</w:t>
            </w:r>
          </w:p>
        </w:tc>
        <w:tc>
          <w:tcPr>
            <w:tcW w:w="1716" w:type="dxa"/>
          </w:tcPr>
          <w:p w14:paraId="47262C5E" w14:textId="77777777" w:rsidR="00B35A58" w:rsidRPr="0096051D" w:rsidRDefault="00B35A58" w:rsidP="00026F20">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31.2</w:t>
            </w:r>
          </w:p>
        </w:tc>
      </w:tr>
      <w:tr w:rsidR="0096051D" w:rsidRPr="0096051D" w14:paraId="4DDB4C9B"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509CD518"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 xml:space="preserve">      No </w:t>
            </w:r>
          </w:p>
        </w:tc>
        <w:tc>
          <w:tcPr>
            <w:tcW w:w="1276" w:type="dxa"/>
          </w:tcPr>
          <w:p w14:paraId="2BA7D3EF" w14:textId="77777777" w:rsidR="00B35A58" w:rsidRPr="0096051D" w:rsidRDefault="00B35A58" w:rsidP="00026F20">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25,103</w:t>
            </w:r>
          </w:p>
        </w:tc>
        <w:tc>
          <w:tcPr>
            <w:tcW w:w="1716" w:type="dxa"/>
          </w:tcPr>
          <w:p w14:paraId="607A45F9" w14:textId="77777777" w:rsidR="00B35A58" w:rsidRPr="0096051D" w:rsidRDefault="00B35A58" w:rsidP="00026F20">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68.8</w:t>
            </w:r>
          </w:p>
        </w:tc>
      </w:tr>
      <w:tr w:rsidR="0096051D" w:rsidRPr="0096051D" w14:paraId="0CFAC44B"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8" w:type="dxa"/>
            <w:gridSpan w:val="3"/>
          </w:tcPr>
          <w:p w14:paraId="7116A667"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In Paid Employed</w:t>
            </w:r>
          </w:p>
        </w:tc>
      </w:tr>
      <w:tr w:rsidR="0096051D" w:rsidRPr="0096051D" w14:paraId="549EF659"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0B4922ED"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 xml:space="preserve">     Yes</w:t>
            </w:r>
          </w:p>
        </w:tc>
        <w:tc>
          <w:tcPr>
            <w:tcW w:w="1276" w:type="dxa"/>
          </w:tcPr>
          <w:p w14:paraId="0FCDA1FC" w14:textId="77777777" w:rsidR="00B35A58" w:rsidRPr="0096051D" w:rsidRDefault="00B35A58" w:rsidP="00026F20">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23,669</w:t>
            </w:r>
          </w:p>
        </w:tc>
        <w:tc>
          <w:tcPr>
            <w:tcW w:w="1716" w:type="dxa"/>
          </w:tcPr>
          <w:p w14:paraId="5ECC09C0" w14:textId="77777777" w:rsidR="00B35A58" w:rsidRPr="0096051D" w:rsidRDefault="00B35A58" w:rsidP="00026F20">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64.8</w:t>
            </w:r>
          </w:p>
        </w:tc>
      </w:tr>
      <w:tr w:rsidR="0096051D" w:rsidRPr="0096051D" w14:paraId="4D52D12B"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715D87E0"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 xml:space="preserve">     No</w:t>
            </w:r>
          </w:p>
        </w:tc>
        <w:tc>
          <w:tcPr>
            <w:tcW w:w="1276" w:type="dxa"/>
          </w:tcPr>
          <w:p w14:paraId="2C328A85" w14:textId="77777777" w:rsidR="00B35A58" w:rsidRPr="0096051D" w:rsidRDefault="00B35A58" w:rsidP="00026F20">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12,839</w:t>
            </w:r>
          </w:p>
        </w:tc>
        <w:tc>
          <w:tcPr>
            <w:tcW w:w="1716" w:type="dxa"/>
          </w:tcPr>
          <w:p w14:paraId="29F8EAC2" w14:textId="77777777" w:rsidR="00B35A58" w:rsidRPr="0096051D" w:rsidRDefault="00B35A58" w:rsidP="00026F20">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35.2</w:t>
            </w:r>
          </w:p>
        </w:tc>
      </w:tr>
      <w:tr w:rsidR="0096051D" w:rsidRPr="0096051D" w14:paraId="18539002"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7098" w:type="dxa"/>
            <w:gridSpan w:val="3"/>
          </w:tcPr>
          <w:p w14:paraId="7D2F3D67"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Type of employment</w:t>
            </w:r>
          </w:p>
        </w:tc>
      </w:tr>
      <w:tr w:rsidR="0096051D" w:rsidRPr="0096051D" w14:paraId="701B2212"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58C84C4E"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 xml:space="preserve">     In health, social care or education</w:t>
            </w:r>
          </w:p>
        </w:tc>
        <w:tc>
          <w:tcPr>
            <w:tcW w:w="1276" w:type="dxa"/>
          </w:tcPr>
          <w:p w14:paraId="1724334A" w14:textId="77777777" w:rsidR="00B35A58" w:rsidRPr="0096051D" w:rsidRDefault="00B35A58" w:rsidP="00026F20">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5,839</w:t>
            </w:r>
          </w:p>
        </w:tc>
        <w:tc>
          <w:tcPr>
            <w:tcW w:w="1716" w:type="dxa"/>
          </w:tcPr>
          <w:p w14:paraId="62D06763" w14:textId="77777777" w:rsidR="00B35A58" w:rsidRPr="0096051D" w:rsidRDefault="00B35A58" w:rsidP="00026F20">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16.0%</w:t>
            </w:r>
          </w:p>
        </w:tc>
      </w:tr>
      <w:tr w:rsidR="0096051D" w:rsidRPr="0096051D" w14:paraId="10361790"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5BF6F5F6" w14:textId="77777777" w:rsidR="00B35A58" w:rsidRPr="0096051D" w:rsidRDefault="00B35A58" w:rsidP="00026F20">
            <w:pPr>
              <w:spacing w:line="240" w:lineRule="auto"/>
              <w:jc w:val="both"/>
              <w:rPr>
                <w:rFonts w:eastAsia="Calibri"/>
                <w:b w:val="0"/>
                <w:bCs w:val="0"/>
                <w:sz w:val="22"/>
                <w:szCs w:val="22"/>
              </w:rPr>
            </w:pPr>
            <w:r w:rsidRPr="0096051D">
              <w:rPr>
                <w:rFonts w:eastAsia="Calibri"/>
                <w:b w:val="0"/>
                <w:bCs w:val="0"/>
                <w:sz w:val="22"/>
                <w:szCs w:val="22"/>
              </w:rPr>
              <w:t xml:space="preserve">     Other  </w:t>
            </w:r>
          </w:p>
        </w:tc>
        <w:tc>
          <w:tcPr>
            <w:tcW w:w="1276" w:type="dxa"/>
          </w:tcPr>
          <w:p w14:paraId="2C46CE16" w14:textId="77777777" w:rsidR="00B35A58" w:rsidRPr="0096051D" w:rsidRDefault="00B35A58" w:rsidP="00026F20">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30,889</w:t>
            </w:r>
          </w:p>
        </w:tc>
        <w:tc>
          <w:tcPr>
            <w:tcW w:w="1716" w:type="dxa"/>
          </w:tcPr>
          <w:p w14:paraId="335CF52A" w14:textId="77777777" w:rsidR="00B35A58" w:rsidRPr="0096051D" w:rsidRDefault="00B35A58" w:rsidP="00026F20">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84.0%</w:t>
            </w:r>
          </w:p>
        </w:tc>
      </w:tr>
      <w:tr w:rsidR="0096051D" w:rsidRPr="0096051D" w14:paraId="62C3ACB6"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8" w:type="dxa"/>
            <w:gridSpan w:val="3"/>
          </w:tcPr>
          <w:p w14:paraId="0632B7D9" w14:textId="77777777" w:rsidR="00B35A58" w:rsidRPr="0096051D" w:rsidRDefault="00B35A58" w:rsidP="00026F20">
            <w:pPr>
              <w:spacing w:before="60" w:after="60" w:line="240" w:lineRule="auto"/>
              <w:jc w:val="both"/>
              <w:rPr>
                <w:rFonts w:eastAsia="Calibri"/>
                <w:b w:val="0"/>
                <w:bCs w:val="0"/>
                <w:sz w:val="22"/>
                <w:szCs w:val="22"/>
              </w:rPr>
            </w:pPr>
            <w:r w:rsidRPr="0096051D">
              <w:rPr>
                <w:rFonts w:eastAsia="Calibri"/>
                <w:b w:val="0"/>
                <w:bCs w:val="0"/>
                <w:sz w:val="22"/>
                <w:szCs w:val="22"/>
              </w:rPr>
              <w:t>Frequency of Contact</w:t>
            </w:r>
          </w:p>
        </w:tc>
      </w:tr>
      <w:tr w:rsidR="0096051D" w:rsidRPr="0096051D" w14:paraId="315472B9"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07C5BAC1" w14:textId="77777777" w:rsidR="00B35A58" w:rsidRPr="0096051D" w:rsidRDefault="00B35A58" w:rsidP="00026F20">
            <w:pPr>
              <w:spacing w:before="60" w:after="60" w:line="240" w:lineRule="auto"/>
              <w:jc w:val="both"/>
              <w:rPr>
                <w:rFonts w:eastAsia="Calibri"/>
                <w:b w:val="0"/>
                <w:bCs w:val="0"/>
                <w:sz w:val="22"/>
                <w:szCs w:val="22"/>
              </w:rPr>
            </w:pPr>
            <w:r w:rsidRPr="0096051D">
              <w:rPr>
                <w:rFonts w:eastAsia="Calibri"/>
                <w:b w:val="0"/>
                <w:bCs w:val="0"/>
                <w:sz w:val="22"/>
                <w:szCs w:val="22"/>
              </w:rPr>
              <w:t xml:space="preserve">     Frequent Personal Contact</w:t>
            </w:r>
          </w:p>
        </w:tc>
        <w:tc>
          <w:tcPr>
            <w:tcW w:w="1276" w:type="dxa"/>
          </w:tcPr>
          <w:p w14:paraId="479A4286" w14:textId="77777777" w:rsidR="00B35A58" w:rsidRPr="0096051D" w:rsidRDefault="00B35A58" w:rsidP="00026F2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10,408</w:t>
            </w:r>
          </w:p>
        </w:tc>
        <w:tc>
          <w:tcPr>
            <w:tcW w:w="1716" w:type="dxa"/>
          </w:tcPr>
          <w:p w14:paraId="03F6E24E" w14:textId="77777777" w:rsidR="00B35A58" w:rsidRPr="0096051D" w:rsidRDefault="00B35A58" w:rsidP="00026F2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29.2%</w:t>
            </w:r>
          </w:p>
        </w:tc>
      </w:tr>
      <w:tr w:rsidR="0096051D" w:rsidRPr="0096051D" w14:paraId="31F132E6"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0FC1F961" w14:textId="77777777" w:rsidR="00B35A58" w:rsidRPr="0096051D" w:rsidRDefault="00B35A58" w:rsidP="00026F20">
            <w:pPr>
              <w:spacing w:before="60" w:after="60" w:line="240" w:lineRule="auto"/>
              <w:jc w:val="both"/>
              <w:rPr>
                <w:rFonts w:eastAsia="Calibri"/>
                <w:b w:val="0"/>
                <w:bCs w:val="0"/>
                <w:sz w:val="22"/>
                <w:szCs w:val="22"/>
              </w:rPr>
            </w:pPr>
            <w:r w:rsidRPr="0096051D">
              <w:rPr>
                <w:rFonts w:eastAsia="Calibri"/>
                <w:b w:val="0"/>
                <w:bCs w:val="0"/>
                <w:sz w:val="22"/>
                <w:szCs w:val="22"/>
              </w:rPr>
              <w:t xml:space="preserve">     Infrequent Personal Contact</w:t>
            </w:r>
          </w:p>
        </w:tc>
        <w:tc>
          <w:tcPr>
            <w:tcW w:w="1276" w:type="dxa"/>
          </w:tcPr>
          <w:p w14:paraId="1F88AD5F" w14:textId="77777777" w:rsidR="00B35A58" w:rsidRPr="0096051D" w:rsidRDefault="00B35A58" w:rsidP="00026F20">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11,389</w:t>
            </w:r>
          </w:p>
        </w:tc>
        <w:tc>
          <w:tcPr>
            <w:tcW w:w="1716" w:type="dxa"/>
          </w:tcPr>
          <w:p w14:paraId="596FD2A7" w14:textId="77777777" w:rsidR="00B35A58" w:rsidRPr="0096051D" w:rsidRDefault="00B35A58" w:rsidP="00026F20">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32.0%</w:t>
            </w:r>
          </w:p>
        </w:tc>
      </w:tr>
      <w:tr w:rsidR="0096051D" w:rsidRPr="0096051D" w14:paraId="15F08A29"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0D3A806B" w14:textId="77777777" w:rsidR="00B35A58" w:rsidRPr="0096051D" w:rsidRDefault="00B35A58" w:rsidP="00026F20">
            <w:pPr>
              <w:spacing w:before="60" w:after="60" w:line="240" w:lineRule="auto"/>
              <w:jc w:val="both"/>
              <w:rPr>
                <w:rFonts w:eastAsia="Calibri"/>
                <w:b w:val="0"/>
                <w:bCs w:val="0"/>
                <w:sz w:val="22"/>
                <w:szCs w:val="22"/>
              </w:rPr>
            </w:pPr>
            <w:r w:rsidRPr="0096051D">
              <w:rPr>
                <w:rFonts w:eastAsia="Calibri"/>
                <w:b w:val="0"/>
                <w:bCs w:val="0"/>
                <w:sz w:val="22"/>
                <w:szCs w:val="22"/>
              </w:rPr>
              <w:t xml:space="preserve">     Infrequent Contact</w:t>
            </w:r>
          </w:p>
        </w:tc>
        <w:tc>
          <w:tcPr>
            <w:tcW w:w="1276" w:type="dxa"/>
          </w:tcPr>
          <w:p w14:paraId="185D3AB3" w14:textId="77777777" w:rsidR="00B35A58" w:rsidRPr="0096051D" w:rsidRDefault="00B35A58" w:rsidP="00026F2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13,833</w:t>
            </w:r>
          </w:p>
        </w:tc>
        <w:tc>
          <w:tcPr>
            <w:tcW w:w="1716" w:type="dxa"/>
          </w:tcPr>
          <w:p w14:paraId="4BA1B6D9" w14:textId="77777777" w:rsidR="00B35A58" w:rsidRPr="0096051D" w:rsidRDefault="00B35A58" w:rsidP="00026F2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38.8%</w:t>
            </w:r>
          </w:p>
        </w:tc>
      </w:tr>
      <w:tr w:rsidR="0096051D" w:rsidRPr="0096051D" w14:paraId="0587E03E"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8" w:type="dxa"/>
            <w:gridSpan w:val="3"/>
          </w:tcPr>
          <w:p w14:paraId="47F10CE1" w14:textId="77777777" w:rsidR="00B35A58" w:rsidRPr="0096051D" w:rsidRDefault="00B35A58" w:rsidP="00026F20">
            <w:pPr>
              <w:spacing w:before="60" w:after="60" w:line="240" w:lineRule="auto"/>
              <w:jc w:val="both"/>
              <w:rPr>
                <w:rFonts w:eastAsia="Calibri"/>
                <w:b w:val="0"/>
                <w:bCs w:val="0"/>
                <w:sz w:val="22"/>
                <w:szCs w:val="22"/>
              </w:rPr>
            </w:pPr>
            <w:r w:rsidRPr="0096051D">
              <w:rPr>
                <w:rFonts w:eastAsia="Calibri"/>
                <w:b w:val="0"/>
                <w:bCs w:val="0"/>
                <w:sz w:val="22"/>
                <w:szCs w:val="22"/>
              </w:rPr>
              <w:t>IHDI Scores</w:t>
            </w:r>
          </w:p>
        </w:tc>
      </w:tr>
      <w:tr w:rsidR="0096051D" w:rsidRPr="0096051D" w14:paraId="158E10D9"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48B26F75" w14:textId="77777777" w:rsidR="00B35A58" w:rsidRPr="0096051D" w:rsidRDefault="00B35A58" w:rsidP="00026F20">
            <w:pPr>
              <w:spacing w:before="60" w:after="60" w:line="240" w:lineRule="auto"/>
              <w:jc w:val="both"/>
              <w:rPr>
                <w:rFonts w:eastAsia="Calibri"/>
                <w:b w:val="0"/>
                <w:bCs w:val="0"/>
                <w:sz w:val="22"/>
                <w:szCs w:val="22"/>
              </w:rPr>
            </w:pPr>
            <w:r w:rsidRPr="0096051D">
              <w:rPr>
                <w:rFonts w:eastAsia="Calibri"/>
                <w:b w:val="0"/>
                <w:bCs w:val="0"/>
                <w:sz w:val="22"/>
                <w:szCs w:val="22"/>
              </w:rPr>
              <w:t xml:space="preserve">     Very High 0.800 +</w:t>
            </w:r>
          </w:p>
        </w:tc>
        <w:tc>
          <w:tcPr>
            <w:tcW w:w="1276" w:type="dxa"/>
          </w:tcPr>
          <w:p w14:paraId="006AB98B" w14:textId="77777777" w:rsidR="00B35A58" w:rsidRPr="0096051D" w:rsidRDefault="00B35A58" w:rsidP="00026F2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11,002</w:t>
            </w:r>
          </w:p>
        </w:tc>
        <w:tc>
          <w:tcPr>
            <w:tcW w:w="1716" w:type="dxa"/>
          </w:tcPr>
          <w:p w14:paraId="195CBB67" w14:textId="77777777" w:rsidR="00B35A58" w:rsidRPr="0096051D" w:rsidRDefault="00B35A58" w:rsidP="00026F2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22.1%</w:t>
            </w:r>
          </w:p>
        </w:tc>
      </w:tr>
      <w:tr w:rsidR="0096051D" w:rsidRPr="0096051D" w14:paraId="671A5DA6"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06291D2E" w14:textId="77777777" w:rsidR="00B35A58" w:rsidRPr="0096051D" w:rsidRDefault="00B35A58" w:rsidP="00026F20">
            <w:pPr>
              <w:spacing w:before="60" w:after="60" w:line="240" w:lineRule="auto"/>
              <w:jc w:val="both"/>
              <w:rPr>
                <w:rFonts w:eastAsia="Calibri"/>
                <w:b w:val="0"/>
                <w:bCs w:val="0"/>
                <w:sz w:val="22"/>
                <w:szCs w:val="22"/>
              </w:rPr>
            </w:pPr>
            <w:r w:rsidRPr="0096051D">
              <w:rPr>
                <w:rFonts w:eastAsia="Calibri"/>
                <w:b w:val="0"/>
                <w:bCs w:val="0"/>
                <w:sz w:val="22"/>
                <w:szCs w:val="22"/>
              </w:rPr>
              <w:t xml:space="preserve">     High 0.700 – 0.799</w:t>
            </w:r>
          </w:p>
        </w:tc>
        <w:tc>
          <w:tcPr>
            <w:tcW w:w="1276" w:type="dxa"/>
          </w:tcPr>
          <w:p w14:paraId="72511C5A" w14:textId="77777777" w:rsidR="00B35A58" w:rsidRPr="0096051D" w:rsidRDefault="00B35A58" w:rsidP="00026F20">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16,495</w:t>
            </w:r>
          </w:p>
        </w:tc>
        <w:tc>
          <w:tcPr>
            <w:tcW w:w="1716" w:type="dxa"/>
          </w:tcPr>
          <w:p w14:paraId="2CB99874" w14:textId="77777777" w:rsidR="00B35A58" w:rsidRPr="0096051D" w:rsidRDefault="00B35A58" w:rsidP="00026F20">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61.1%</w:t>
            </w:r>
          </w:p>
        </w:tc>
      </w:tr>
      <w:tr w:rsidR="0096051D" w:rsidRPr="0096051D" w14:paraId="3F3F2787"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79879C64" w14:textId="77777777" w:rsidR="00B35A58" w:rsidRPr="0096051D" w:rsidRDefault="00B35A58" w:rsidP="00026F20">
            <w:pPr>
              <w:spacing w:before="60" w:after="60" w:line="240" w:lineRule="auto"/>
              <w:jc w:val="both"/>
              <w:rPr>
                <w:rFonts w:eastAsia="Calibri"/>
                <w:b w:val="0"/>
                <w:bCs w:val="0"/>
                <w:sz w:val="22"/>
                <w:szCs w:val="22"/>
              </w:rPr>
            </w:pPr>
            <w:r w:rsidRPr="0096051D">
              <w:rPr>
                <w:rFonts w:eastAsia="Calibri"/>
                <w:b w:val="0"/>
                <w:bCs w:val="0"/>
                <w:sz w:val="22"/>
                <w:szCs w:val="22"/>
              </w:rPr>
              <w:t xml:space="preserve">      Medium &lt;0.700</w:t>
            </w:r>
          </w:p>
        </w:tc>
        <w:tc>
          <w:tcPr>
            <w:tcW w:w="1276" w:type="dxa"/>
          </w:tcPr>
          <w:p w14:paraId="6287A887" w14:textId="77777777" w:rsidR="00B35A58" w:rsidRPr="0096051D" w:rsidRDefault="00B35A58" w:rsidP="00026F2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7511</w:t>
            </w:r>
          </w:p>
        </w:tc>
        <w:tc>
          <w:tcPr>
            <w:tcW w:w="1716" w:type="dxa"/>
          </w:tcPr>
          <w:p w14:paraId="09593B28" w14:textId="77777777" w:rsidR="00B35A58" w:rsidRPr="0096051D" w:rsidRDefault="00B35A58" w:rsidP="00026F2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15.1%</w:t>
            </w:r>
          </w:p>
        </w:tc>
      </w:tr>
      <w:tr w:rsidR="0096051D" w:rsidRPr="0096051D" w14:paraId="3E2FEDEF"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8" w:type="dxa"/>
            <w:gridSpan w:val="3"/>
          </w:tcPr>
          <w:p w14:paraId="74DC3025" w14:textId="77777777" w:rsidR="00B35A58" w:rsidRPr="0096051D" w:rsidRDefault="00B35A58" w:rsidP="00026F20">
            <w:pPr>
              <w:spacing w:before="60" w:after="60" w:line="240" w:lineRule="auto"/>
              <w:jc w:val="both"/>
              <w:rPr>
                <w:rFonts w:eastAsia="Calibri"/>
                <w:b w:val="0"/>
                <w:bCs w:val="0"/>
                <w:sz w:val="22"/>
                <w:szCs w:val="22"/>
              </w:rPr>
            </w:pPr>
            <w:r w:rsidRPr="0096051D">
              <w:rPr>
                <w:rFonts w:eastAsia="Calibri"/>
                <w:b w:val="0"/>
                <w:bCs w:val="0"/>
                <w:sz w:val="22"/>
                <w:szCs w:val="22"/>
              </w:rPr>
              <w:t>Involvement with Special Olympics</w:t>
            </w:r>
          </w:p>
        </w:tc>
      </w:tr>
      <w:tr w:rsidR="0096051D" w:rsidRPr="0096051D" w14:paraId="35E62EE1"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4FC7B247" w14:textId="77777777" w:rsidR="00B35A58" w:rsidRPr="0096051D" w:rsidRDefault="00B35A58" w:rsidP="00026F20">
            <w:pPr>
              <w:spacing w:before="60" w:after="60" w:line="240" w:lineRule="auto"/>
              <w:jc w:val="both"/>
              <w:rPr>
                <w:rFonts w:eastAsia="Calibri"/>
                <w:b w:val="0"/>
                <w:bCs w:val="0"/>
                <w:sz w:val="22"/>
                <w:szCs w:val="22"/>
              </w:rPr>
            </w:pPr>
            <w:r w:rsidRPr="0096051D">
              <w:rPr>
                <w:rFonts w:eastAsia="Calibri"/>
                <w:b w:val="0"/>
                <w:bCs w:val="0"/>
                <w:sz w:val="22"/>
                <w:szCs w:val="22"/>
              </w:rPr>
              <w:t xml:space="preserve">   Active</w:t>
            </w:r>
          </w:p>
        </w:tc>
        <w:tc>
          <w:tcPr>
            <w:tcW w:w="1276" w:type="dxa"/>
          </w:tcPr>
          <w:p w14:paraId="3B0F406F" w14:textId="77777777" w:rsidR="00B35A58" w:rsidRPr="0096051D" w:rsidRDefault="00B35A58" w:rsidP="00026F2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2244</w:t>
            </w:r>
          </w:p>
        </w:tc>
        <w:tc>
          <w:tcPr>
            <w:tcW w:w="1716" w:type="dxa"/>
          </w:tcPr>
          <w:p w14:paraId="5327B8B7" w14:textId="77777777" w:rsidR="00B35A58" w:rsidRPr="0096051D" w:rsidRDefault="00B35A58" w:rsidP="00026F2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6.1%</w:t>
            </w:r>
          </w:p>
        </w:tc>
      </w:tr>
      <w:tr w:rsidR="0096051D" w:rsidRPr="0096051D" w14:paraId="137FFA45"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5AA144E1" w14:textId="77777777" w:rsidR="00B35A58" w:rsidRPr="0096051D" w:rsidRDefault="00B35A58" w:rsidP="00026F20">
            <w:pPr>
              <w:spacing w:before="60" w:after="60" w:line="240" w:lineRule="auto"/>
              <w:jc w:val="both"/>
              <w:rPr>
                <w:rFonts w:eastAsia="Calibri"/>
                <w:b w:val="0"/>
                <w:bCs w:val="0"/>
                <w:sz w:val="22"/>
                <w:szCs w:val="22"/>
              </w:rPr>
            </w:pPr>
            <w:r w:rsidRPr="0096051D">
              <w:rPr>
                <w:rFonts w:eastAsia="Calibri"/>
                <w:b w:val="0"/>
                <w:bCs w:val="0"/>
                <w:sz w:val="22"/>
                <w:szCs w:val="22"/>
              </w:rPr>
              <w:t xml:space="preserve">   Associated</w:t>
            </w:r>
          </w:p>
        </w:tc>
        <w:tc>
          <w:tcPr>
            <w:tcW w:w="1276" w:type="dxa"/>
          </w:tcPr>
          <w:p w14:paraId="77DC4F17" w14:textId="77777777" w:rsidR="00B35A58" w:rsidRPr="0096051D" w:rsidRDefault="00B35A58" w:rsidP="00026F20">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2819</w:t>
            </w:r>
          </w:p>
        </w:tc>
        <w:tc>
          <w:tcPr>
            <w:tcW w:w="1716" w:type="dxa"/>
          </w:tcPr>
          <w:p w14:paraId="59D32003" w14:textId="77777777" w:rsidR="00B35A58" w:rsidRPr="0096051D" w:rsidRDefault="00B35A58" w:rsidP="00026F20">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7.7%</w:t>
            </w:r>
          </w:p>
        </w:tc>
      </w:tr>
      <w:tr w:rsidR="0096051D" w:rsidRPr="0096051D" w14:paraId="04AE3EB0"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2FB0E11D" w14:textId="77777777" w:rsidR="00B35A58" w:rsidRPr="0096051D" w:rsidRDefault="00B35A58" w:rsidP="00026F20">
            <w:pPr>
              <w:spacing w:before="60" w:after="60" w:line="240" w:lineRule="auto"/>
              <w:jc w:val="both"/>
              <w:rPr>
                <w:rFonts w:eastAsia="Calibri"/>
                <w:b w:val="0"/>
                <w:bCs w:val="0"/>
                <w:sz w:val="22"/>
                <w:szCs w:val="22"/>
              </w:rPr>
            </w:pPr>
            <w:r w:rsidRPr="0096051D">
              <w:rPr>
                <w:rFonts w:eastAsia="Calibri"/>
                <w:b w:val="0"/>
                <w:bCs w:val="0"/>
                <w:sz w:val="22"/>
                <w:szCs w:val="22"/>
              </w:rPr>
              <w:t xml:space="preserve">   Supporter</w:t>
            </w:r>
          </w:p>
        </w:tc>
        <w:tc>
          <w:tcPr>
            <w:tcW w:w="1276" w:type="dxa"/>
          </w:tcPr>
          <w:p w14:paraId="2FB8EA48" w14:textId="77777777" w:rsidR="00B35A58" w:rsidRPr="0096051D" w:rsidRDefault="00B35A58" w:rsidP="00026F2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13,078</w:t>
            </w:r>
          </w:p>
        </w:tc>
        <w:tc>
          <w:tcPr>
            <w:tcW w:w="1716" w:type="dxa"/>
          </w:tcPr>
          <w:p w14:paraId="64009057" w14:textId="77777777" w:rsidR="00B35A58" w:rsidRPr="0096051D" w:rsidRDefault="00B35A58" w:rsidP="00026F2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35.8%</w:t>
            </w:r>
          </w:p>
        </w:tc>
      </w:tr>
      <w:tr w:rsidR="0096051D" w:rsidRPr="0096051D" w14:paraId="42BD5E1E" w14:textId="77777777" w:rsidTr="00026F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2BA79AB0" w14:textId="77777777" w:rsidR="00B35A58" w:rsidRPr="0096051D" w:rsidRDefault="00B35A58" w:rsidP="00026F20">
            <w:pPr>
              <w:spacing w:before="60" w:after="60" w:line="240" w:lineRule="auto"/>
              <w:jc w:val="both"/>
              <w:rPr>
                <w:rFonts w:eastAsia="Calibri"/>
                <w:b w:val="0"/>
                <w:bCs w:val="0"/>
                <w:sz w:val="22"/>
                <w:szCs w:val="22"/>
              </w:rPr>
            </w:pPr>
            <w:r w:rsidRPr="0096051D">
              <w:rPr>
                <w:rFonts w:eastAsia="Calibri"/>
                <w:b w:val="0"/>
                <w:bCs w:val="0"/>
                <w:sz w:val="22"/>
                <w:szCs w:val="22"/>
              </w:rPr>
              <w:t xml:space="preserve">   Aware but no involvement</w:t>
            </w:r>
          </w:p>
        </w:tc>
        <w:tc>
          <w:tcPr>
            <w:tcW w:w="1276" w:type="dxa"/>
          </w:tcPr>
          <w:p w14:paraId="57E626FB" w14:textId="77777777" w:rsidR="00B35A58" w:rsidRPr="0096051D" w:rsidRDefault="00B35A58" w:rsidP="00026F20">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12,133</w:t>
            </w:r>
          </w:p>
        </w:tc>
        <w:tc>
          <w:tcPr>
            <w:tcW w:w="1716" w:type="dxa"/>
          </w:tcPr>
          <w:p w14:paraId="33724B3E" w14:textId="77777777" w:rsidR="00B35A58" w:rsidRPr="0096051D" w:rsidRDefault="00B35A58" w:rsidP="00026F20">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6051D">
              <w:rPr>
                <w:rFonts w:eastAsia="Calibri"/>
                <w:sz w:val="22"/>
                <w:szCs w:val="22"/>
              </w:rPr>
              <w:t>33.2%</w:t>
            </w:r>
          </w:p>
        </w:tc>
      </w:tr>
      <w:tr w:rsidR="0096051D" w:rsidRPr="0096051D" w14:paraId="5214D4AA" w14:textId="77777777" w:rsidTr="00026F20">
        <w:trPr>
          <w:jc w:val="center"/>
        </w:trPr>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auto"/>
            </w:tcBorders>
          </w:tcPr>
          <w:p w14:paraId="75D08182" w14:textId="77777777" w:rsidR="00B35A58" w:rsidRPr="0096051D" w:rsidRDefault="00B35A58" w:rsidP="00026F20">
            <w:pPr>
              <w:spacing w:before="60" w:after="60" w:line="240" w:lineRule="auto"/>
              <w:jc w:val="both"/>
              <w:rPr>
                <w:rFonts w:eastAsia="Calibri"/>
                <w:b w:val="0"/>
                <w:bCs w:val="0"/>
                <w:sz w:val="22"/>
                <w:szCs w:val="22"/>
              </w:rPr>
            </w:pPr>
            <w:r w:rsidRPr="0096051D">
              <w:rPr>
                <w:rFonts w:eastAsia="Calibri"/>
                <w:b w:val="0"/>
                <w:bCs w:val="0"/>
                <w:sz w:val="22"/>
                <w:szCs w:val="22"/>
              </w:rPr>
              <w:t xml:space="preserve">   Not aware</w:t>
            </w:r>
          </w:p>
        </w:tc>
        <w:tc>
          <w:tcPr>
            <w:tcW w:w="1276" w:type="dxa"/>
            <w:tcBorders>
              <w:bottom w:val="single" w:sz="4" w:space="0" w:color="auto"/>
            </w:tcBorders>
          </w:tcPr>
          <w:p w14:paraId="5B05458C" w14:textId="77777777" w:rsidR="00B35A58" w:rsidRPr="0096051D" w:rsidRDefault="00B35A58" w:rsidP="00026F2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6234</w:t>
            </w:r>
          </w:p>
        </w:tc>
        <w:tc>
          <w:tcPr>
            <w:tcW w:w="1716" w:type="dxa"/>
            <w:tcBorders>
              <w:bottom w:val="single" w:sz="4" w:space="0" w:color="auto"/>
            </w:tcBorders>
          </w:tcPr>
          <w:p w14:paraId="7449E64C" w14:textId="77777777" w:rsidR="00B35A58" w:rsidRPr="0096051D" w:rsidRDefault="00B35A58" w:rsidP="00026F2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6051D">
              <w:rPr>
                <w:rFonts w:eastAsia="Calibri"/>
                <w:sz w:val="22"/>
                <w:szCs w:val="22"/>
              </w:rPr>
              <w:t>17.1%</w:t>
            </w:r>
          </w:p>
        </w:tc>
      </w:tr>
    </w:tbl>
    <w:p w14:paraId="042F5CB2" w14:textId="77777777" w:rsidR="00B35A58" w:rsidRPr="0096051D" w:rsidRDefault="00B35A58" w:rsidP="00B35A58">
      <w:pPr>
        <w:autoSpaceDE w:val="0"/>
        <w:autoSpaceDN w:val="0"/>
        <w:adjustRightInd w:val="0"/>
        <w:jc w:val="both"/>
        <w:rPr>
          <w:rFonts w:eastAsia="SimSun"/>
          <w:b/>
        </w:rPr>
      </w:pPr>
    </w:p>
    <w:p w14:paraId="054E6D0C" w14:textId="77777777" w:rsidR="00B35A58" w:rsidRPr="0096051D" w:rsidRDefault="00B35A58" w:rsidP="007850B6">
      <w:pPr>
        <w:pStyle w:val="Heading2"/>
      </w:pPr>
    </w:p>
    <w:p w14:paraId="79CDA19E" w14:textId="77777777" w:rsidR="00B35A58" w:rsidRPr="0096051D" w:rsidRDefault="00B35A58" w:rsidP="007850B6">
      <w:pPr>
        <w:pStyle w:val="Heading2"/>
      </w:pPr>
    </w:p>
    <w:p w14:paraId="12C49AA7" w14:textId="1E907356" w:rsidR="00BA1D85" w:rsidRPr="007850B6" w:rsidRDefault="008F12A4" w:rsidP="007850B6">
      <w:pPr>
        <w:pStyle w:val="Heading2"/>
      </w:pPr>
      <w:r w:rsidRPr="007850B6">
        <w:t>2.</w:t>
      </w:r>
      <w:r w:rsidR="00B35A58">
        <w:t>3</w:t>
      </w:r>
      <w:r w:rsidR="00172417">
        <w:t>.</w:t>
      </w:r>
      <w:r w:rsidRPr="007850B6">
        <w:t xml:space="preserve"> </w:t>
      </w:r>
      <w:r w:rsidR="00BA1D85" w:rsidRPr="007850B6">
        <w:t>Instrumentation</w:t>
      </w:r>
    </w:p>
    <w:p w14:paraId="1B6DB80F" w14:textId="0E72B1A5" w:rsidR="00BA1D85" w:rsidRPr="00367B09" w:rsidRDefault="00BA1D85" w:rsidP="00BA1D85">
      <w:pPr>
        <w:jc w:val="both"/>
      </w:pPr>
      <w:r>
        <w:t>An online, self-completion survey was judged the most feasible means for data collection</w:t>
      </w:r>
      <w:r w:rsidR="002F718F">
        <w:t xml:space="preserve"> </w:t>
      </w:r>
      <w:r w:rsidR="002F718F" w:rsidRPr="0096051D">
        <w:t>across 17 countries</w:t>
      </w:r>
      <w:r w:rsidR="00A10703" w:rsidRPr="0096051D">
        <w:t xml:space="preserve">, </w:t>
      </w:r>
      <w:r w:rsidR="00EF0F8A" w:rsidRPr="0096051D">
        <w:t xml:space="preserve">within </w:t>
      </w:r>
      <w:r w:rsidR="00A10703" w:rsidRPr="0096051D">
        <w:t>a tight time frame and limited resources</w:t>
      </w:r>
      <w:r w:rsidRPr="0096051D">
        <w:t>.  Special Olympics personnel, with advice from an advisory panel of international researchers, developed the online questionnaire based on items that had been previously used in other studies</w:t>
      </w:r>
      <w:r w:rsidR="002F718F" w:rsidRPr="0096051D">
        <w:t xml:space="preserve"> as referenced above</w:t>
      </w:r>
      <w:r w:rsidRPr="0096051D">
        <w:t xml:space="preserve">.  </w:t>
      </w:r>
      <w:r w:rsidR="00A10703" w:rsidRPr="0096051D">
        <w:t xml:space="preserve">The reliability and validity of the </w:t>
      </w:r>
      <w:r w:rsidR="00F153F6" w:rsidRPr="0096051D">
        <w:t xml:space="preserve">measures were informed by the </w:t>
      </w:r>
      <w:r w:rsidR="00A10703" w:rsidRPr="0096051D">
        <w:t>procedures used by Morin et al</w:t>
      </w:r>
      <w:r w:rsidR="00A10703" w:rsidRPr="00F153F6">
        <w:rPr>
          <w:color w:val="FF0000"/>
        </w:rPr>
        <w:t>.</w:t>
      </w:r>
      <w:r w:rsidR="004B2C47">
        <w:rPr>
          <w:color w:val="FF0000"/>
        </w:rPr>
        <w:t xml:space="preserve"> (2</w:t>
      </w:r>
      <w:r w:rsidR="00A10703" w:rsidRPr="00F153F6">
        <w:rPr>
          <w:color w:val="FF0000"/>
        </w:rPr>
        <w:t>01</w:t>
      </w:r>
      <w:r w:rsidR="004B2C47">
        <w:rPr>
          <w:color w:val="FF0000"/>
        </w:rPr>
        <w:t>3)</w:t>
      </w:r>
      <w:r w:rsidR="00F153F6" w:rsidRPr="00F153F6">
        <w:rPr>
          <w:color w:val="FF0000"/>
        </w:rPr>
        <w:t xml:space="preserve">. </w:t>
      </w:r>
      <w:r w:rsidR="00A10703" w:rsidRPr="00F153F6">
        <w:rPr>
          <w:color w:val="FF0000"/>
        </w:rPr>
        <w:t xml:space="preserve"> </w:t>
      </w:r>
      <w:r w:rsidR="009A7AFA">
        <w:rPr>
          <w:color w:val="FF0000"/>
        </w:rPr>
        <w:t xml:space="preserve">A copy of the questionnaire is available on request from the authors. </w:t>
      </w:r>
    </w:p>
    <w:p w14:paraId="5B3AE48D" w14:textId="3367B23B" w:rsidR="00BA1D85" w:rsidRPr="007850B6" w:rsidRDefault="002C0527" w:rsidP="00C14EC7">
      <w:pPr>
        <w:pStyle w:val="Heading3"/>
      </w:pPr>
      <w:r w:rsidRPr="007850B6">
        <w:t>2.</w:t>
      </w:r>
      <w:r w:rsidR="00B35A58">
        <w:t>3</w:t>
      </w:r>
      <w:r w:rsidRPr="007850B6">
        <w:t>.1</w:t>
      </w:r>
      <w:r w:rsidR="00172417">
        <w:t>.</w:t>
      </w:r>
      <w:r w:rsidRPr="007850B6">
        <w:t xml:space="preserve"> </w:t>
      </w:r>
      <w:r w:rsidR="00BA1D85" w:rsidRPr="007850B6">
        <w:t>Outcome measures</w:t>
      </w:r>
    </w:p>
    <w:p w14:paraId="7D5ECB89" w14:textId="06291529" w:rsidR="00BA1D85" w:rsidRPr="00367B09" w:rsidRDefault="00BA1D85" w:rsidP="00BA1D85">
      <w:pPr>
        <w:jc w:val="both"/>
      </w:pPr>
      <w:r>
        <w:t xml:space="preserve">For the current study, two outcome measures were chosen: rights and community </w:t>
      </w:r>
      <w:r w:rsidR="00B64557">
        <w:t>acceptance</w:t>
      </w:r>
      <w:r>
        <w:t>.</w:t>
      </w:r>
    </w:p>
    <w:p w14:paraId="402B432B" w14:textId="5F2DEAFA" w:rsidR="0024529C" w:rsidRDefault="00C57DD8" w:rsidP="00BA1D85">
      <w:pPr>
        <w:jc w:val="both"/>
      </w:pPr>
      <w:r>
        <w:rPr>
          <w:i/>
        </w:rPr>
        <w:t>2.</w:t>
      </w:r>
      <w:r w:rsidR="00B35A58">
        <w:rPr>
          <w:i/>
        </w:rPr>
        <w:t>3</w:t>
      </w:r>
      <w:r>
        <w:rPr>
          <w:i/>
        </w:rPr>
        <w:t>.1.1</w:t>
      </w:r>
      <w:r w:rsidR="00172417">
        <w:rPr>
          <w:i/>
        </w:rPr>
        <w:t>.</w:t>
      </w:r>
      <w:r>
        <w:rPr>
          <w:i/>
        </w:rPr>
        <w:t xml:space="preserve"> </w:t>
      </w:r>
      <w:r w:rsidR="00BA1D85" w:rsidRPr="00615BC0">
        <w:rPr>
          <w:i/>
        </w:rPr>
        <w:t>Rights of People with Intellectual Disability</w:t>
      </w:r>
      <w:r w:rsidR="00BA1D85">
        <w:rPr>
          <w:i/>
        </w:rPr>
        <w:t xml:space="preserve">: </w:t>
      </w:r>
      <w:r w:rsidR="00BA1D85">
        <w:t xml:space="preserve">Public perceptions of rights were </w:t>
      </w:r>
      <w:r w:rsidR="00BA1D85" w:rsidRPr="00367B09">
        <w:t xml:space="preserve">measured using </w:t>
      </w:r>
      <w:r w:rsidR="00BA1D85" w:rsidRPr="0096051D">
        <w:t xml:space="preserve">seven items reflective of the UN Convention that were judged particularly apposite to the daily lives of people with intellectual disability: </w:t>
      </w:r>
      <w:r w:rsidR="00BA1D85">
        <w:t xml:space="preserve">namely attendance at </w:t>
      </w:r>
      <w:r w:rsidR="00BA1D85" w:rsidRPr="00955AB2">
        <w:t xml:space="preserve">school, </w:t>
      </w:r>
      <w:r w:rsidR="00BA1D85">
        <w:t xml:space="preserve">participation in </w:t>
      </w:r>
      <w:r w:rsidR="00BA1D85" w:rsidRPr="00955AB2">
        <w:t>sports, rais</w:t>
      </w:r>
      <w:r w:rsidR="00BA1D85">
        <w:t>ing</w:t>
      </w:r>
      <w:r w:rsidR="00BA1D85" w:rsidRPr="00955AB2">
        <w:t xml:space="preserve"> children, access</w:t>
      </w:r>
      <w:r w:rsidR="00BA1D85">
        <w:t xml:space="preserve"> to</w:t>
      </w:r>
      <w:r w:rsidR="00BA1D85" w:rsidRPr="00955AB2">
        <w:t xml:space="preserve"> healthcare, ge</w:t>
      </w:r>
      <w:r w:rsidR="00BA1D85">
        <w:t>tting married and voting in elections (Ticha et al., 2018). These rights are particularly important given the documented global disparities in health, education, and other activities of daily living for people with intellectual disabilit</w:t>
      </w:r>
      <w:r w:rsidR="00BF72A6">
        <w:t>y</w:t>
      </w:r>
      <w:r w:rsidR="00C7196C">
        <w:t>,</w:t>
      </w:r>
      <w:r w:rsidR="00BA1D85">
        <w:t xml:space="preserve"> WHO/ World Bank, 2011</w:t>
      </w:r>
      <w:r w:rsidR="0024529C">
        <w:t xml:space="preserve">).  </w:t>
      </w:r>
    </w:p>
    <w:p w14:paraId="38B35090" w14:textId="59EA5046" w:rsidR="00BA1D85" w:rsidRPr="00367B09" w:rsidRDefault="00BA1D85" w:rsidP="00BA1D85">
      <w:pPr>
        <w:jc w:val="both"/>
        <w:rPr>
          <w:rFonts w:eastAsia="SimSun"/>
          <w:lang w:eastAsia="zh-CN"/>
        </w:rPr>
      </w:pPr>
      <w:r>
        <w:t xml:space="preserve">Respondents rated each item </w:t>
      </w:r>
      <w:r w:rsidRPr="00367B09">
        <w:t xml:space="preserve">on a seven-point </w:t>
      </w:r>
      <w:r>
        <w:t xml:space="preserve">Likert </w:t>
      </w:r>
      <w:r w:rsidRPr="00367B09">
        <w:t xml:space="preserve">scale ranging from Entirely Disagree (1) to Entirely Agree (7).  </w:t>
      </w:r>
      <w:r>
        <w:t xml:space="preserve">A </w:t>
      </w:r>
      <w:r w:rsidR="00573A02" w:rsidRPr="0096051D">
        <w:rPr>
          <w:color w:val="FF0000"/>
        </w:rPr>
        <w:t>princip</w:t>
      </w:r>
      <w:r w:rsidR="0096051D" w:rsidRPr="0096051D">
        <w:rPr>
          <w:color w:val="FF0000"/>
        </w:rPr>
        <w:t>al</w:t>
      </w:r>
      <w:r w:rsidR="00573A02" w:rsidRPr="0096051D">
        <w:rPr>
          <w:color w:val="FF0000"/>
        </w:rPr>
        <w:t xml:space="preserve"> components </w:t>
      </w:r>
      <w:r w:rsidRPr="0096051D">
        <w:rPr>
          <w:color w:val="FF0000"/>
        </w:rPr>
        <w:t xml:space="preserve">analysis </w:t>
      </w:r>
      <w:r>
        <w:t xml:space="preserve">of these items yielded one main factor that accounted for 64% of the variance with factor loadings ranging from .705 to .534.  A </w:t>
      </w:r>
      <w:r>
        <w:rPr>
          <w:rFonts w:eastAsia="SimSun"/>
          <w:lang w:eastAsia="zh-CN"/>
        </w:rPr>
        <w:t>summary score on Rights was calculated by adding the ratings a</w:t>
      </w:r>
      <w:r w:rsidRPr="00367B09">
        <w:rPr>
          <w:rFonts w:eastAsia="SimSun"/>
          <w:lang w:eastAsia="zh-CN"/>
        </w:rPr>
        <w:t xml:space="preserve">cross the seven items </w:t>
      </w:r>
      <w:r>
        <w:rPr>
          <w:rFonts w:eastAsia="SimSun"/>
          <w:lang w:eastAsia="zh-CN"/>
        </w:rPr>
        <w:t xml:space="preserve">giving a </w:t>
      </w:r>
      <w:r w:rsidRPr="00367B09">
        <w:rPr>
          <w:rFonts w:eastAsia="SimSun"/>
          <w:lang w:eastAsia="zh-CN"/>
        </w:rPr>
        <w:t xml:space="preserve">minimum score </w:t>
      </w:r>
      <w:r>
        <w:rPr>
          <w:rFonts w:eastAsia="SimSun"/>
          <w:lang w:eastAsia="zh-CN"/>
        </w:rPr>
        <w:t xml:space="preserve">of </w:t>
      </w:r>
      <w:r w:rsidRPr="00367B09">
        <w:rPr>
          <w:rFonts w:eastAsia="SimSun"/>
          <w:lang w:eastAsia="zh-CN"/>
        </w:rPr>
        <w:t xml:space="preserve">7 </w:t>
      </w:r>
      <w:r>
        <w:rPr>
          <w:rFonts w:eastAsia="SimSun"/>
          <w:lang w:eastAsia="zh-CN"/>
        </w:rPr>
        <w:t>and a maximum 49</w:t>
      </w:r>
      <w:r w:rsidRPr="00367B09">
        <w:rPr>
          <w:rFonts w:eastAsia="SimSun"/>
          <w:lang w:eastAsia="zh-CN"/>
        </w:rPr>
        <w:t>.</w:t>
      </w:r>
      <w:r w:rsidRPr="00B61FE3">
        <w:rPr>
          <w:rFonts w:eastAsia="SimSun"/>
          <w:lang w:eastAsia="zh-CN"/>
        </w:rPr>
        <w:t xml:space="preserve"> </w:t>
      </w:r>
      <w:r w:rsidRPr="00367B09">
        <w:rPr>
          <w:rFonts w:eastAsia="SimSun"/>
          <w:lang w:eastAsia="zh-CN"/>
        </w:rPr>
        <w:t xml:space="preserve">A higher score was reflective of support for the rights of persons with </w:t>
      </w:r>
      <w:bookmarkStart w:id="2" w:name="_Hlk39157022"/>
      <w:r w:rsidR="00604ED0">
        <w:rPr>
          <w:rFonts w:eastAsia="SimSun"/>
          <w:lang w:eastAsia="zh-CN"/>
        </w:rPr>
        <w:t>intellectual disability</w:t>
      </w:r>
      <w:bookmarkEnd w:id="2"/>
      <w:r w:rsidRPr="00367B09">
        <w:rPr>
          <w:rFonts w:eastAsia="SimSun"/>
          <w:lang w:eastAsia="zh-CN"/>
        </w:rPr>
        <w:t>.</w:t>
      </w:r>
      <w:r>
        <w:rPr>
          <w:rFonts w:eastAsia="SimSun"/>
          <w:lang w:eastAsia="zh-CN"/>
        </w:rPr>
        <w:t xml:space="preserve">  The internal reliability for the scale as measured by Cronbach Alpha was .904. For the total sample, </w:t>
      </w:r>
      <w:r w:rsidRPr="00BA0FB7">
        <w:rPr>
          <w:rFonts w:eastAsia="SimSun"/>
          <w:lang w:eastAsia="zh-CN"/>
        </w:rPr>
        <w:t>the mean score was 41.</w:t>
      </w:r>
      <w:r>
        <w:rPr>
          <w:rFonts w:eastAsia="SimSun"/>
          <w:lang w:eastAsia="zh-CN"/>
        </w:rPr>
        <w:t xml:space="preserve">16 (SD 7.98).   </w:t>
      </w:r>
    </w:p>
    <w:p w14:paraId="52267FA6" w14:textId="4CD7EDC1" w:rsidR="00BA1D85" w:rsidRDefault="00C57DD8" w:rsidP="00BA1D85">
      <w:pPr>
        <w:jc w:val="both"/>
        <w:rPr>
          <w:rFonts w:eastAsia="SimSun"/>
          <w:lang w:eastAsia="zh-CN"/>
        </w:rPr>
      </w:pPr>
      <w:r>
        <w:rPr>
          <w:i/>
        </w:rPr>
        <w:t>2.</w:t>
      </w:r>
      <w:r w:rsidR="00B35A58">
        <w:rPr>
          <w:i/>
        </w:rPr>
        <w:t>3</w:t>
      </w:r>
      <w:r>
        <w:rPr>
          <w:i/>
        </w:rPr>
        <w:t>.1.2</w:t>
      </w:r>
      <w:r w:rsidR="00172417">
        <w:rPr>
          <w:i/>
        </w:rPr>
        <w:t>.</w:t>
      </w:r>
      <w:r>
        <w:rPr>
          <w:i/>
        </w:rPr>
        <w:t xml:space="preserve"> </w:t>
      </w:r>
      <w:r w:rsidR="00BA1D85" w:rsidRPr="00615BC0">
        <w:rPr>
          <w:i/>
        </w:rPr>
        <w:t xml:space="preserve">Community </w:t>
      </w:r>
      <w:r w:rsidR="00B64557">
        <w:rPr>
          <w:i/>
        </w:rPr>
        <w:t xml:space="preserve">acceptance of </w:t>
      </w:r>
      <w:r w:rsidR="00BA1D85">
        <w:rPr>
          <w:i/>
        </w:rPr>
        <w:t>people</w:t>
      </w:r>
      <w:r w:rsidR="00BA1D85" w:rsidRPr="00615BC0">
        <w:rPr>
          <w:i/>
        </w:rPr>
        <w:t xml:space="preserve"> with </w:t>
      </w:r>
      <w:r w:rsidR="00604ED0" w:rsidRPr="00604ED0">
        <w:rPr>
          <w:i/>
        </w:rPr>
        <w:t>intellectual disability</w:t>
      </w:r>
      <w:r w:rsidR="00BA1D85" w:rsidRPr="00615BC0">
        <w:rPr>
          <w:i/>
        </w:rPr>
        <w:t xml:space="preserve">: </w:t>
      </w:r>
      <w:r w:rsidR="00BA1D85">
        <w:rPr>
          <w:i/>
        </w:rPr>
        <w:t xml:space="preserve"> </w:t>
      </w:r>
      <w:r w:rsidR="00BA1D85">
        <w:t xml:space="preserve">A vignette approach was used to assess public perceptions of how accepting their local neighbourhood would be to the presence of a person with intellectual disability (Hughes and Huby, 2012).   </w:t>
      </w:r>
      <w:r w:rsidR="00BA1D85" w:rsidRPr="00367B09">
        <w:t xml:space="preserve">Respondents were </w:t>
      </w:r>
      <w:r w:rsidR="00BA1D85">
        <w:t>told: “</w:t>
      </w:r>
      <w:r w:rsidR="00BA1D85" w:rsidRPr="00BD3D52">
        <w:rPr>
          <w:i/>
        </w:rPr>
        <w:t>Please imagine an adult with an intellectual disability named Michael (</w:t>
      </w:r>
      <w:r w:rsidR="00BA1D85" w:rsidRPr="00BD3D52">
        <w:t>the name was changed to one commonly used in the country)</w:t>
      </w:r>
      <w:r w:rsidR="00BA1D85" w:rsidRPr="00BD3D52">
        <w:rPr>
          <w:i/>
        </w:rPr>
        <w:t xml:space="preserve"> moves into your neighborhood/community.  Please indicate your agreement or disagreement with the following statements</w:t>
      </w:r>
      <w:r w:rsidR="00BA1D85">
        <w:t xml:space="preserve">”.  Nine scenarios were given including: people avoiding speaking to Michael, Michael receives worse healthcare, and Michael will be bullied.  The items were rated on a </w:t>
      </w:r>
      <w:r w:rsidR="00BA1D85" w:rsidRPr="00367B09">
        <w:rPr>
          <w:rFonts w:eastAsia="SimSun"/>
          <w:lang w:eastAsia="zh-CN"/>
        </w:rPr>
        <w:t>seven</w:t>
      </w:r>
      <w:r w:rsidR="00BA1D85">
        <w:rPr>
          <w:rFonts w:eastAsia="SimSun"/>
          <w:lang w:eastAsia="zh-CN"/>
        </w:rPr>
        <w:t>-</w:t>
      </w:r>
      <w:r w:rsidR="00BA1D85" w:rsidRPr="00367B09">
        <w:rPr>
          <w:rFonts w:eastAsia="SimSun"/>
          <w:lang w:eastAsia="zh-CN"/>
        </w:rPr>
        <w:t xml:space="preserve">point Likert scale </w:t>
      </w:r>
      <w:r w:rsidR="00BA1D85">
        <w:rPr>
          <w:rFonts w:eastAsia="SimSun"/>
          <w:lang w:eastAsia="zh-CN"/>
        </w:rPr>
        <w:t>ranging from entirely disagree to e</w:t>
      </w:r>
      <w:r w:rsidR="00BA1D85" w:rsidRPr="00367B09">
        <w:rPr>
          <w:rFonts w:eastAsia="SimSun"/>
          <w:lang w:eastAsia="zh-CN"/>
        </w:rPr>
        <w:t xml:space="preserve">ntirely agree.  </w:t>
      </w:r>
      <w:r w:rsidR="00BA1D85">
        <w:rPr>
          <w:rFonts w:eastAsia="SimSun"/>
          <w:lang w:eastAsia="zh-CN"/>
        </w:rPr>
        <w:t xml:space="preserve">Following </w:t>
      </w:r>
      <w:r w:rsidR="0096051D" w:rsidRPr="00D82BFE">
        <w:rPr>
          <w:rFonts w:eastAsia="SimSun"/>
          <w:color w:val="FF0000"/>
          <w:lang w:eastAsia="zh-CN"/>
        </w:rPr>
        <w:t>a principal components analysis</w:t>
      </w:r>
      <w:r w:rsidR="00BA1D85">
        <w:rPr>
          <w:rFonts w:eastAsia="SimSun"/>
          <w:lang w:eastAsia="zh-CN"/>
        </w:rPr>
        <w:t xml:space="preserve">, a summary score was calculated by adding the ratings across the five items that loaded highest on one </w:t>
      </w:r>
      <w:r w:rsidR="00C7196C">
        <w:rPr>
          <w:rFonts w:eastAsia="SimSun"/>
          <w:lang w:eastAsia="zh-CN"/>
        </w:rPr>
        <w:t xml:space="preserve">main </w:t>
      </w:r>
      <w:r w:rsidR="00BA1D85">
        <w:rPr>
          <w:rFonts w:eastAsia="SimSun"/>
          <w:lang w:eastAsia="zh-CN"/>
        </w:rPr>
        <w:t>factor (accounting for 37% of variance with factor loadings ranging from .84 to .73).   The internal reliability for the scale was .86</w:t>
      </w:r>
      <w:r w:rsidR="004D5661">
        <w:rPr>
          <w:rFonts w:eastAsia="SimSun"/>
          <w:lang w:eastAsia="zh-CN"/>
        </w:rPr>
        <w:t xml:space="preserve">. The </w:t>
      </w:r>
      <w:r w:rsidR="00BA1D85">
        <w:rPr>
          <w:rFonts w:eastAsia="SimSun"/>
          <w:lang w:eastAsia="zh-CN"/>
        </w:rPr>
        <w:t xml:space="preserve">minimum </w:t>
      </w:r>
      <w:r w:rsidR="004D5661">
        <w:rPr>
          <w:rFonts w:eastAsia="SimSun"/>
          <w:lang w:eastAsia="zh-CN"/>
        </w:rPr>
        <w:t xml:space="preserve">score was </w:t>
      </w:r>
      <w:r w:rsidR="00BA1D85">
        <w:rPr>
          <w:rFonts w:eastAsia="SimSun"/>
          <w:lang w:eastAsia="zh-CN"/>
        </w:rPr>
        <w:t xml:space="preserve">5 and </w:t>
      </w:r>
      <w:r w:rsidR="004D5661">
        <w:rPr>
          <w:rFonts w:eastAsia="SimSun"/>
          <w:lang w:eastAsia="zh-CN"/>
        </w:rPr>
        <w:t xml:space="preserve">the </w:t>
      </w:r>
      <w:r w:rsidR="00BA1D85">
        <w:rPr>
          <w:rFonts w:eastAsia="SimSun"/>
          <w:lang w:eastAsia="zh-CN"/>
        </w:rPr>
        <w:t xml:space="preserve">maximum 35.   </w:t>
      </w:r>
      <w:r w:rsidR="00BA1D85" w:rsidRPr="00367B09">
        <w:rPr>
          <w:rFonts w:eastAsia="SimSun"/>
          <w:lang w:eastAsia="zh-CN"/>
        </w:rPr>
        <w:t xml:space="preserve">A higher score was indicative of people who perceived their community to be </w:t>
      </w:r>
      <w:r w:rsidR="00BA1D85" w:rsidRPr="007A1E38">
        <w:rPr>
          <w:rFonts w:eastAsia="SimSun"/>
          <w:i/>
          <w:lang w:eastAsia="zh-CN"/>
        </w:rPr>
        <w:t xml:space="preserve">less </w:t>
      </w:r>
      <w:r w:rsidR="00BA1D85">
        <w:rPr>
          <w:rFonts w:eastAsia="SimSun"/>
          <w:lang w:eastAsia="zh-CN"/>
        </w:rPr>
        <w:t>accepting</w:t>
      </w:r>
      <w:r w:rsidR="00BA1D85" w:rsidRPr="00367B09">
        <w:rPr>
          <w:rFonts w:eastAsia="SimSun"/>
          <w:lang w:eastAsia="zh-CN"/>
        </w:rPr>
        <w:t xml:space="preserve"> of a person with </w:t>
      </w:r>
      <w:r w:rsidR="00991447" w:rsidRPr="00991447">
        <w:rPr>
          <w:rFonts w:eastAsia="SimSun"/>
          <w:lang w:eastAsia="zh-CN"/>
        </w:rPr>
        <w:t>intellectual disability</w:t>
      </w:r>
      <w:r w:rsidR="00BA1D85" w:rsidRPr="00367B09">
        <w:rPr>
          <w:rFonts w:eastAsia="SimSun"/>
          <w:lang w:eastAsia="zh-CN"/>
        </w:rPr>
        <w:t>.</w:t>
      </w:r>
      <w:r w:rsidR="00BA1D85">
        <w:rPr>
          <w:rFonts w:eastAsia="SimSun"/>
          <w:lang w:eastAsia="zh-CN"/>
        </w:rPr>
        <w:t xml:space="preserve">  The mean score for the total sample was 16.0 (SD 7.01). </w:t>
      </w:r>
    </w:p>
    <w:p w14:paraId="29FBED41" w14:textId="3F5B0C25" w:rsidR="00BA1D85" w:rsidRPr="0089193A" w:rsidRDefault="007850B6" w:rsidP="00C14EC7">
      <w:pPr>
        <w:pStyle w:val="Heading3"/>
      </w:pPr>
      <w:r>
        <w:t>2.</w:t>
      </w:r>
      <w:r w:rsidR="00B35A58">
        <w:t>3</w:t>
      </w:r>
      <w:r>
        <w:t>.2</w:t>
      </w:r>
      <w:r w:rsidR="00172417">
        <w:t>.</w:t>
      </w:r>
      <w:r>
        <w:t xml:space="preserve"> </w:t>
      </w:r>
      <w:r w:rsidR="00BA1D85" w:rsidRPr="0089193A">
        <w:t>Predictor variables</w:t>
      </w:r>
    </w:p>
    <w:p w14:paraId="40C9AA4F" w14:textId="7FBEF3B2" w:rsidR="00BA1D85" w:rsidRDefault="00BA1D85" w:rsidP="00BA1D85">
      <w:pPr>
        <w:jc w:val="both"/>
        <w:rPr>
          <w:rFonts w:eastAsia="SimSun"/>
          <w:lang w:eastAsia="zh-CN"/>
        </w:rPr>
      </w:pPr>
      <w:r>
        <w:rPr>
          <w:rFonts w:eastAsia="SimSun"/>
          <w:lang w:eastAsia="zh-CN"/>
        </w:rPr>
        <w:t xml:space="preserve">In addition to gender and education level of respondents </w:t>
      </w:r>
      <w:r w:rsidR="00C7196C">
        <w:rPr>
          <w:rFonts w:eastAsia="SimSun"/>
          <w:lang w:eastAsia="zh-CN"/>
        </w:rPr>
        <w:t xml:space="preserve">(university educated versus </w:t>
      </w:r>
      <w:r w:rsidR="00172417">
        <w:rPr>
          <w:rFonts w:eastAsia="SimSun"/>
          <w:lang w:eastAsia="zh-CN"/>
        </w:rPr>
        <w:t>other</w:t>
      </w:r>
      <w:r w:rsidR="00A864DC">
        <w:rPr>
          <w:rFonts w:eastAsia="SimSun"/>
          <w:lang w:eastAsia="zh-CN"/>
        </w:rPr>
        <w:t>), the</w:t>
      </w:r>
      <w:r>
        <w:rPr>
          <w:rFonts w:eastAsia="SimSun"/>
          <w:lang w:eastAsia="zh-CN"/>
        </w:rPr>
        <w:t xml:space="preserve"> following variables were also included in the model</w:t>
      </w:r>
      <w:r w:rsidR="004C44CF">
        <w:rPr>
          <w:rFonts w:eastAsia="SimSun"/>
          <w:lang w:eastAsia="zh-CN"/>
        </w:rPr>
        <w:t xml:space="preserve"> (see table 2)</w:t>
      </w:r>
      <w:r w:rsidR="008853FB">
        <w:rPr>
          <w:rFonts w:eastAsia="SimSun"/>
          <w:lang w:eastAsia="zh-CN"/>
        </w:rPr>
        <w:t xml:space="preserve">. </w:t>
      </w:r>
    </w:p>
    <w:p w14:paraId="13976E6C" w14:textId="289AAACC" w:rsidR="00BA1D85" w:rsidRDefault="00C57DD8" w:rsidP="00BA1D85">
      <w:pPr>
        <w:jc w:val="both"/>
        <w:rPr>
          <w:rFonts w:eastAsia="SimSun"/>
          <w:lang w:eastAsia="zh-CN"/>
        </w:rPr>
      </w:pPr>
      <w:r>
        <w:rPr>
          <w:rFonts w:eastAsia="SimSun"/>
          <w:i/>
          <w:lang w:eastAsia="zh-CN"/>
        </w:rPr>
        <w:t xml:space="preserve">2.1.2.1. </w:t>
      </w:r>
      <w:r w:rsidR="00BA1D85" w:rsidRPr="00F23307">
        <w:rPr>
          <w:rFonts w:eastAsia="SimSun"/>
          <w:i/>
          <w:lang w:eastAsia="zh-CN"/>
        </w:rPr>
        <w:t xml:space="preserve">Past contact with people with intellectual disabilities: </w:t>
      </w:r>
      <w:r w:rsidR="00BA1D85">
        <w:rPr>
          <w:rFonts w:eastAsia="SimSun"/>
          <w:i/>
          <w:lang w:eastAsia="zh-CN"/>
        </w:rPr>
        <w:t xml:space="preserve">  </w:t>
      </w:r>
      <w:r w:rsidR="00BA1D85">
        <w:rPr>
          <w:rFonts w:eastAsia="SimSun"/>
          <w:lang w:eastAsia="zh-CN"/>
        </w:rPr>
        <w:t xml:space="preserve">Respondents were asked a question about how frequently they </w:t>
      </w:r>
      <w:r w:rsidR="0024529C">
        <w:rPr>
          <w:rFonts w:eastAsia="SimSun"/>
          <w:lang w:eastAsia="zh-CN"/>
        </w:rPr>
        <w:t>were</w:t>
      </w:r>
      <w:r w:rsidR="004C44CF">
        <w:rPr>
          <w:rFonts w:eastAsia="SimSun"/>
          <w:lang w:eastAsia="zh-CN"/>
        </w:rPr>
        <w:t xml:space="preserve"> </w:t>
      </w:r>
      <w:r w:rsidR="00BA1D85">
        <w:rPr>
          <w:rFonts w:eastAsia="SimSun"/>
          <w:lang w:eastAsia="zh-CN"/>
        </w:rPr>
        <w:t>in contact with a person with intellectual disabilit</w:t>
      </w:r>
      <w:r w:rsidR="00991447">
        <w:rPr>
          <w:rFonts w:eastAsia="SimSun"/>
          <w:lang w:eastAsia="zh-CN"/>
        </w:rPr>
        <w:t>y</w:t>
      </w:r>
      <w:r w:rsidR="00BA1D85">
        <w:rPr>
          <w:rFonts w:eastAsia="SimSun"/>
          <w:lang w:eastAsia="zh-CN"/>
        </w:rPr>
        <w:t xml:space="preserve">.  Those with any amount of contact were then asked to select the nature of their contact from a list of ten options. Three groupings were formed from their responses: </w:t>
      </w:r>
      <w:r w:rsidR="004C44CF">
        <w:rPr>
          <w:rFonts w:eastAsia="SimSun"/>
          <w:lang w:eastAsia="zh-CN"/>
        </w:rPr>
        <w:t>F</w:t>
      </w:r>
      <w:r w:rsidR="00BA1D85">
        <w:rPr>
          <w:rFonts w:eastAsia="SimSun"/>
          <w:lang w:eastAsia="zh-CN"/>
        </w:rPr>
        <w:t xml:space="preserve">requent personal contact (daily or weekly contact with family member, friend, neighbour and in workplace – 29% of all respondents): Infrequent personal contact (monthly or less often </w:t>
      </w:r>
      <w:r w:rsidR="004C44CF">
        <w:rPr>
          <w:rFonts w:eastAsia="SimSun"/>
          <w:lang w:eastAsia="zh-CN"/>
        </w:rPr>
        <w:t xml:space="preserve">with those noted previously </w:t>
      </w:r>
      <w:r w:rsidR="00BA1D85">
        <w:rPr>
          <w:rFonts w:eastAsia="SimSun"/>
          <w:lang w:eastAsia="zh-CN"/>
        </w:rPr>
        <w:t xml:space="preserve">– 31% of all respondents) and No personal contact (40.3% of all respondents). They were coded from 1 to 3 in this order.  (See Author’s reference 2019b for further details). </w:t>
      </w:r>
    </w:p>
    <w:p w14:paraId="3373D0EB" w14:textId="1487540F" w:rsidR="00BA1D85" w:rsidRPr="00362F41" w:rsidRDefault="00172417" w:rsidP="00BA1D85">
      <w:pPr>
        <w:jc w:val="both"/>
        <w:rPr>
          <w:rFonts w:eastAsia="SimSun"/>
          <w:lang w:eastAsia="zh-CN"/>
        </w:rPr>
      </w:pPr>
      <w:r>
        <w:rPr>
          <w:rFonts w:eastAsia="SimSun"/>
          <w:i/>
          <w:lang w:eastAsia="zh-CN"/>
        </w:rPr>
        <w:t>2.</w:t>
      </w:r>
      <w:r w:rsidR="00B35A58">
        <w:rPr>
          <w:rFonts w:eastAsia="SimSun"/>
          <w:i/>
          <w:lang w:eastAsia="zh-CN"/>
        </w:rPr>
        <w:t>3</w:t>
      </w:r>
      <w:r>
        <w:rPr>
          <w:rFonts w:eastAsia="SimSun"/>
          <w:i/>
          <w:lang w:eastAsia="zh-CN"/>
        </w:rPr>
        <w:t xml:space="preserve">.2.2. </w:t>
      </w:r>
      <w:r w:rsidR="00BA1D85">
        <w:rPr>
          <w:rFonts w:eastAsia="SimSun"/>
          <w:i/>
          <w:lang w:eastAsia="zh-CN"/>
        </w:rPr>
        <w:t xml:space="preserve">Comfort at meeting a person with intellectual disability:  </w:t>
      </w:r>
      <w:r w:rsidR="00BA1D85">
        <w:rPr>
          <w:rFonts w:eastAsia="SimSun"/>
          <w:lang w:eastAsia="zh-CN"/>
        </w:rPr>
        <w:t xml:space="preserve">The same vignette about Michael was used to assess respondents’ comfort using eight items </w:t>
      </w:r>
      <w:r w:rsidR="004C44CF">
        <w:rPr>
          <w:rFonts w:eastAsia="SimSun"/>
          <w:lang w:eastAsia="zh-CN"/>
        </w:rPr>
        <w:t xml:space="preserve">that </w:t>
      </w:r>
      <w:r w:rsidR="00BA1D85">
        <w:rPr>
          <w:rFonts w:eastAsia="SimSun"/>
          <w:lang w:eastAsia="zh-CN"/>
        </w:rPr>
        <w:t>offer</w:t>
      </w:r>
      <w:r w:rsidR="004C44CF">
        <w:rPr>
          <w:rFonts w:eastAsia="SimSun"/>
          <w:lang w:eastAsia="zh-CN"/>
        </w:rPr>
        <w:t>ed</w:t>
      </w:r>
      <w:r w:rsidR="00BA1D85">
        <w:rPr>
          <w:rFonts w:eastAsia="SimSun"/>
          <w:lang w:eastAsia="zh-CN"/>
        </w:rPr>
        <w:t xml:space="preserve"> varying degrees of social contact</w:t>
      </w:r>
      <w:r w:rsidR="004C44CF">
        <w:rPr>
          <w:rFonts w:eastAsia="SimSun"/>
          <w:lang w:eastAsia="zh-CN"/>
        </w:rPr>
        <w:t xml:space="preserve">; </w:t>
      </w:r>
      <w:r w:rsidR="00BA1D85">
        <w:rPr>
          <w:rFonts w:eastAsia="SimSun"/>
          <w:lang w:eastAsia="zh-CN"/>
        </w:rPr>
        <w:t>ranging from speaking to Michael on the street to employing him as home help.  The items were rated on a five-</w:t>
      </w:r>
      <w:r w:rsidR="00BA1D85" w:rsidRPr="00362F41">
        <w:rPr>
          <w:rFonts w:eastAsia="SimSun"/>
          <w:lang w:eastAsia="zh-CN"/>
        </w:rPr>
        <w:t>point Likert scale from Very Uncomfortable to Very Comfortable</w:t>
      </w:r>
      <w:r w:rsidR="00BA1D85">
        <w:rPr>
          <w:rFonts w:eastAsia="SimSun"/>
          <w:lang w:eastAsia="zh-CN"/>
        </w:rPr>
        <w:t xml:space="preserve"> as used in previous research (McConkey, 2015). </w:t>
      </w:r>
      <w:r w:rsidR="00BA1D85" w:rsidRPr="00362F41">
        <w:rPr>
          <w:rFonts w:eastAsia="SimSun"/>
          <w:lang w:eastAsia="zh-CN"/>
        </w:rPr>
        <w:t xml:space="preserve">  </w:t>
      </w:r>
      <w:r w:rsidR="00BA1D85">
        <w:rPr>
          <w:rFonts w:eastAsia="SimSun"/>
          <w:lang w:eastAsia="zh-CN"/>
        </w:rPr>
        <w:t xml:space="preserve"> A </w:t>
      </w:r>
      <w:r w:rsidR="00573A02" w:rsidRPr="00D82BFE">
        <w:rPr>
          <w:rFonts w:eastAsia="SimSun"/>
          <w:color w:val="FF0000"/>
          <w:lang w:eastAsia="zh-CN"/>
        </w:rPr>
        <w:t>principal components analysis</w:t>
      </w:r>
      <w:r w:rsidR="00BA1D85" w:rsidRPr="00D82BFE">
        <w:rPr>
          <w:rFonts w:eastAsia="SimSun"/>
          <w:color w:val="FF0000"/>
          <w:lang w:eastAsia="zh-CN"/>
        </w:rPr>
        <w:t xml:space="preserve"> </w:t>
      </w:r>
      <w:r w:rsidR="00BA1D85" w:rsidRPr="00362F41">
        <w:rPr>
          <w:rFonts w:eastAsia="SimSun"/>
          <w:lang w:eastAsia="zh-CN"/>
        </w:rPr>
        <w:t>identified one main factor that accounted for 6</w:t>
      </w:r>
      <w:r w:rsidR="00BA1D85">
        <w:rPr>
          <w:rFonts w:eastAsia="SimSun"/>
          <w:lang w:eastAsia="zh-CN"/>
        </w:rPr>
        <w:t>9</w:t>
      </w:r>
      <w:r w:rsidR="00BA1D85" w:rsidRPr="00362F41">
        <w:rPr>
          <w:rFonts w:eastAsia="SimSun"/>
          <w:lang w:eastAsia="zh-CN"/>
        </w:rPr>
        <w:t>% of the variance</w:t>
      </w:r>
      <w:r w:rsidR="00BA1D85">
        <w:rPr>
          <w:rFonts w:eastAsia="SimSun"/>
          <w:lang w:eastAsia="zh-CN"/>
        </w:rPr>
        <w:t xml:space="preserve"> with factor loadings ranging from .88 to .73.  A summary score across the </w:t>
      </w:r>
      <w:r w:rsidR="0096051D">
        <w:rPr>
          <w:rFonts w:eastAsia="SimSun"/>
          <w:lang w:eastAsia="zh-CN"/>
        </w:rPr>
        <w:t xml:space="preserve">eight </w:t>
      </w:r>
      <w:r w:rsidR="00BA1D85">
        <w:rPr>
          <w:rFonts w:eastAsia="SimSun"/>
          <w:lang w:eastAsia="zh-CN"/>
        </w:rPr>
        <w:t xml:space="preserve">items was calculated ranging from 5 to 40 with higher scores indicating greater levels of comfort.  The Cronbach alpha was .93 and the mean score across the total sample was 31.4 (SD 5.83).  </w:t>
      </w:r>
    </w:p>
    <w:p w14:paraId="7D229D3C" w14:textId="526F8FCB" w:rsidR="00BA1D85" w:rsidRDefault="00172417" w:rsidP="00BA1D85">
      <w:pPr>
        <w:jc w:val="both"/>
        <w:rPr>
          <w:rFonts w:eastAsia="SimSun"/>
          <w:lang w:eastAsia="zh-CN"/>
        </w:rPr>
      </w:pPr>
      <w:r>
        <w:rPr>
          <w:rFonts w:eastAsia="SimSun"/>
          <w:i/>
          <w:lang w:eastAsia="zh-CN"/>
        </w:rPr>
        <w:t>2.</w:t>
      </w:r>
      <w:r w:rsidR="00B35A58">
        <w:rPr>
          <w:rFonts w:eastAsia="SimSun"/>
          <w:i/>
          <w:lang w:eastAsia="zh-CN"/>
        </w:rPr>
        <w:t>3</w:t>
      </w:r>
      <w:r>
        <w:rPr>
          <w:rFonts w:eastAsia="SimSun"/>
          <w:i/>
          <w:lang w:eastAsia="zh-CN"/>
        </w:rPr>
        <w:t xml:space="preserve">.2.3. </w:t>
      </w:r>
      <w:r w:rsidR="00BA1D85" w:rsidRPr="00FC4D9F">
        <w:rPr>
          <w:rFonts w:eastAsia="SimSun"/>
          <w:i/>
          <w:lang w:eastAsia="zh-CN"/>
        </w:rPr>
        <w:t xml:space="preserve">Engagement </w:t>
      </w:r>
      <w:r w:rsidR="00BA1D85">
        <w:rPr>
          <w:rFonts w:eastAsia="SimSun"/>
          <w:i/>
          <w:lang w:eastAsia="zh-CN"/>
        </w:rPr>
        <w:t xml:space="preserve">with </w:t>
      </w:r>
      <w:r w:rsidR="00BA1D85" w:rsidRPr="00FC4D9F">
        <w:rPr>
          <w:rFonts w:eastAsia="SimSun"/>
          <w:i/>
          <w:lang w:eastAsia="zh-CN"/>
        </w:rPr>
        <w:t>Special Olympics</w:t>
      </w:r>
      <w:r w:rsidR="00BA1D85">
        <w:rPr>
          <w:rFonts w:eastAsia="SimSun"/>
          <w:lang w:eastAsia="zh-CN"/>
        </w:rPr>
        <w:t xml:space="preserve">:  Respondents were first asked if they had heard of Special Olympics.  Those who answered yes were then asked to indicate their experience with Special Olympics. From a list of 10 items, respondents selected all those that applied to them as well as options for other forms of contact or no contact.   Based on their responses, respondents were then grouped into those who had active engagement (as </w:t>
      </w:r>
      <w:r w:rsidR="00BA1D85" w:rsidRPr="00C60F48">
        <w:rPr>
          <w:rFonts w:eastAsia="SimSun"/>
          <w:lang w:eastAsia="zh-CN"/>
        </w:rPr>
        <w:t>a volunteer, coach, official, a Unified partner, or competed as an athlete</w:t>
      </w:r>
      <w:r w:rsidR="00BA1D85">
        <w:rPr>
          <w:rFonts w:eastAsia="SimSun"/>
          <w:lang w:eastAsia="zh-CN"/>
        </w:rPr>
        <w:t>): associated engagement (i</w:t>
      </w:r>
      <w:r w:rsidR="00BA1D85" w:rsidRPr="00C60F48">
        <w:rPr>
          <w:rFonts w:eastAsia="SimSun"/>
          <w:lang w:eastAsia="zh-CN"/>
        </w:rPr>
        <w:t>f they had attended a SO event or if a friend or relative participated in SO</w:t>
      </w:r>
      <w:r w:rsidR="00BA1D85">
        <w:rPr>
          <w:rFonts w:eastAsia="SimSun"/>
          <w:lang w:eastAsia="zh-CN"/>
        </w:rPr>
        <w:t xml:space="preserve"> activities) and supporter (included those who </w:t>
      </w:r>
      <w:r w:rsidR="00BA1D85" w:rsidRPr="00C60F48">
        <w:rPr>
          <w:rFonts w:eastAsia="SimSun"/>
          <w:lang w:eastAsia="zh-CN"/>
        </w:rPr>
        <w:t>had watched Special Olympics on TV, read about it or donated to it</w:t>
      </w:r>
      <w:r w:rsidR="00BA1D85">
        <w:rPr>
          <w:rFonts w:eastAsia="SimSun"/>
          <w:lang w:eastAsia="zh-CN"/>
        </w:rPr>
        <w:t>)</w:t>
      </w:r>
      <w:r w:rsidR="00BA1D85" w:rsidRPr="00C60F48">
        <w:rPr>
          <w:rFonts w:eastAsia="SimSun"/>
          <w:lang w:eastAsia="zh-CN"/>
        </w:rPr>
        <w:t xml:space="preserve">.  </w:t>
      </w:r>
      <w:r w:rsidR="00096751">
        <w:rPr>
          <w:rFonts w:eastAsia="SimSun"/>
          <w:lang w:eastAsia="zh-CN"/>
        </w:rPr>
        <w:t xml:space="preserve">Other </w:t>
      </w:r>
      <w:r w:rsidR="00BA1D85" w:rsidRPr="00C60F48">
        <w:rPr>
          <w:rFonts w:eastAsia="SimSun"/>
          <w:lang w:eastAsia="zh-CN"/>
        </w:rPr>
        <w:t xml:space="preserve">respondents indicated they were aware of Special Olympics but did not choose any of the available response options.   </w:t>
      </w:r>
      <w:r w:rsidR="00BA1D85">
        <w:rPr>
          <w:rFonts w:eastAsia="SimSun"/>
          <w:lang w:eastAsia="zh-CN"/>
        </w:rPr>
        <w:t xml:space="preserve">The percentages of the total sample in each of these grouping plus those who had not heard of Special Olympics </w:t>
      </w:r>
      <w:r w:rsidR="00096751">
        <w:rPr>
          <w:rFonts w:eastAsia="SimSun"/>
          <w:lang w:eastAsia="zh-CN"/>
        </w:rPr>
        <w:t xml:space="preserve">are shown in Table 2. </w:t>
      </w:r>
      <w:r w:rsidR="00BA1D85">
        <w:rPr>
          <w:rFonts w:eastAsia="SimSun"/>
          <w:lang w:eastAsia="zh-CN"/>
        </w:rPr>
        <w:t xml:space="preserve"> (see Authors reference 2019a for further details). </w:t>
      </w:r>
    </w:p>
    <w:p w14:paraId="33F70D25" w14:textId="477BD708" w:rsidR="00BA1D85" w:rsidRDefault="00BA1D85" w:rsidP="00BA1D85">
      <w:pPr>
        <w:jc w:val="both"/>
        <w:rPr>
          <w:rFonts w:eastAsia="SimSun"/>
          <w:lang w:eastAsia="zh-CN"/>
        </w:rPr>
      </w:pPr>
      <w:r>
        <w:rPr>
          <w:rFonts w:eastAsia="SimSun"/>
          <w:i/>
          <w:lang w:eastAsia="zh-CN"/>
        </w:rPr>
        <w:t xml:space="preserve">Country groupings by </w:t>
      </w:r>
      <w:r w:rsidRPr="00F209BF">
        <w:rPr>
          <w:rFonts w:eastAsia="SimSun"/>
          <w:i/>
          <w:lang w:eastAsia="zh-CN"/>
        </w:rPr>
        <w:t>Inequality Adjusted Human Development Index (IHDI)</w:t>
      </w:r>
      <w:r w:rsidRPr="00F209BF">
        <w:rPr>
          <w:rFonts w:eastAsia="SimSun"/>
          <w:lang w:eastAsia="zh-CN"/>
        </w:rPr>
        <w:t xml:space="preserve">:  </w:t>
      </w:r>
      <w:r w:rsidR="0024529C" w:rsidRPr="0024529C">
        <w:rPr>
          <w:rFonts w:eastAsia="SimSun"/>
          <w:lang w:eastAsia="zh-CN"/>
        </w:rPr>
        <w:t xml:space="preserve">The United Nations Development Program (2019) has adapted the Human Development Index originally proposed by ul Hag and Sen (1990) to one that takes account of inequalities when combining a country’s average achievements in health, education and income with how those achievements are distributed among </w:t>
      </w:r>
      <w:r w:rsidR="00504854">
        <w:rPr>
          <w:rFonts w:eastAsia="SimSun"/>
          <w:lang w:eastAsia="zh-CN"/>
        </w:rPr>
        <w:t xml:space="preserve">a </w:t>
      </w:r>
      <w:r w:rsidR="0024529C" w:rsidRPr="0024529C">
        <w:rPr>
          <w:rFonts w:eastAsia="SimSun"/>
          <w:lang w:eastAsia="zh-CN"/>
        </w:rPr>
        <w:t xml:space="preserve">country’s population.   The resulting Inequality-adjusted Human Development Index (IHDI) emerged as the most comprehensive wellbeing index in terms of non-economic inequalities in a review undertaken by Peterson (2014).     </w:t>
      </w:r>
      <w:r>
        <w:rPr>
          <w:rFonts w:eastAsia="SimSun"/>
          <w:lang w:eastAsia="zh-CN"/>
        </w:rPr>
        <w:t xml:space="preserve">For the current study, </w:t>
      </w:r>
      <w:r w:rsidR="0024529C">
        <w:rPr>
          <w:rFonts w:eastAsia="SimSun"/>
          <w:lang w:eastAsia="zh-CN"/>
        </w:rPr>
        <w:t>c</w:t>
      </w:r>
      <w:r>
        <w:rPr>
          <w:rFonts w:eastAsia="SimSun"/>
          <w:lang w:eastAsia="zh-CN"/>
        </w:rPr>
        <w:t xml:space="preserve">ountries </w:t>
      </w:r>
      <w:r w:rsidR="0024529C">
        <w:rPr>
          <w:rFonts w:eastAsia="SimSun"/>
          <w:lang w:eastAsia="zh-CN"/>
        </w:rPr>
        <w:t xml:space="preserve">were </w:t>
      </w:r>
      <w:r>
        <w:rPr>
          <w:rFonts w:eastAsia="SimSun"/>
          <w:lang w:eastAsia="zh-CN"/>
        </w:rPr>
        <w:t xml:space="preserve">grouped </w:t>
      </w:r>
      <w:r w:rsidRPr="00F209BF">
        <w:rPr>
          <w:rFonts w:eastAsia="SimSun"/>
          <w:lang w:eastAsia="zh-CN"/>
        </w:rPr>
        <w:t>into very high human development</w:t>
      </w:r>
      <w:r>
        <w:rPr>
          <w:rFonts w:eastAsia="SimSun"/>
          <w:lang w:eastAsia="zh-CN"/>
        </w:rPr>
        <w:t xml:space="preserve"> </w:t>
      </w:r>
      <w:r w:rsidRPr="00D82BFE">
        <w:rPr>
          <w:rFonts w:eastAsia="SimSun"/>
          <w:lang w:eastAsia="zh-CN"/>
        </w:rPr>
        <w:t>(</w:t>
      </w:r>
      <w:r w:rsidR="004D5661" w:rsidRPr="00D82BFE">
        <w:rPr>
          <w:rFonts w:eastAsia="SimSun"/>
          <w:lang w:eastAsia="zh-CN"/>
        </w:rPr>
        <w:t xml:space="preserve">with index </w:t>
      </w:r>
      <w:r w:rsidR="004B1828" w:rsidRPr="00D82BFE">
        <w:rPr>
          <w:rFonts w:eastAsia="SimSun"/>
          <w:lang w:eastAsia="zh-CN"/>
        </w:rPr>
        <w:t xml:space="preserve">ratings </w:t>
      </w:r>
      <w:r w:rsidR="004D5661" w:rsidRPr="00D82BFE">
        <w:rPr>
          <w:rFonts w:eastAsia="SimSun"/>
          <w:lang w:eastAsia="zh-CN"/>
        </w:rPr>
        <w:t xml:space="preserve">of </w:t>
      </w:r>
      <w:r w:rsidRPr="00D82BFE">
        <w:rPr>
          <w:rFonts w:eastAsia="SimSun"/>
          <w:lang w:eastAsia="zh-CN"/>
        </w:rPr>
        <w:t>0.800 and above), high human development (0.700 to 0.799), and medium human development (&lt;0.700).  Table 1 indicates the grouping for participating countries, although respondents from the U</w:t>
      </w:r>
      <w:r w:rsidR="004D5661" w:rsidRPr="00D82BFE">
        <w:rPr>
          <w:rFonts w:eastAsia="SimSun"/>
          <w:lang w:eastAsia="zh-CN"/>
        </w:rPr>
        <w:t xml:space="preserve">nited Arab Emirates </w:t>
      </w:r>
      <w:r w:rsidRPr="00D82BFE">
        <w:rPr>
          <w:rFonts w:eastAsia="SimSun"/>
          <w:lang w:eastAsia="zh-CN"/>
        </w:rPr>
        <w:t xml:space="preserve">were omitted </w:t>
      </w:r>
      <w:r>
        <w:rPr>
          <w:rFonts w:eastAsia="SimSun"/>
          <w:lang w:eastAsia="zh-CN"/>
        </w:rPr>
        <w:t>as the data underpinning the groupings was not made available to UNDP.   T</w:t>
      </w:r>
      <w:r w:rsidRPr="00F209BF">
        <w:rPr>
          <w:rFonts w:eastAsia="SimSun"/>
          <w:lang w:eastAsia="zh-CN"/>
        </w:rPr>
        <w:t xml:space="preserve">he </w:t>
      </w:r>
      <w:r>
        <w:rPr>
          <w:rFonts w:eastAsia="SimSun"/>
          <w:lang w:eastAsia="zh-CN"/>
        </w:rPr>
        <w:t>percentage</w:t>
      </w:r>
      <w:r w:rsidRPr="00F209BF">
        <w:rPr>
          <w:rFonts w:eastAsia="SimSun"/>
          <w:lang w:eastAsia="zh-CN"/>
        </w:rPr>
        <w:t xml:space="preserve"> of respondents in each category </w:t>
      </w:r>
      <w:r>
        <w:rPr>
          <w:rFonts w:eastAsia="SimSun"/>
          <w:lang w:eastAsia="zh-CN"/>
        </w:rPr>
        <w:t xml:space="preserve">in this study were:  </w:t>
      </w:r>
      <w:r w:rsidRPr="00F209BF">
        <w:rPr>
          <w:rFonts w:eastAsia="SimSun"/>
          <w:lang w:eastAsia="zh-CN"/>
        </w:rPr>
        <w:t>Very High</w:t>
      </w:r>
      <w:r>
        <w:rPr>
          <w:rFonts w:eastAsia="SimSun"/>
          <w:lang w:eastAsia="zh-CN"/>
        </w:rPr>
        <w:t xml:space="preserve"> </w:t>
      </w:r>
      <w:r w:rsidRPr="00F209BF">
        <w:rPr>
          <w:rFonts w:eastAsia="SimSun"/>
          <w:lang w:eastAsia="zh-CN"/>
        </w:rPr>
        <w:t>30</w:t>
      </w:r>
      <w:r>
        <w:rPr>
          <w:rFonts w:eastAsia="SimSun"/>
          <w:lang w:eastAsia="zh-CN"/>
        </w:rPr>
        <w:t xml:space="preserve">%; High </w:t>
      </w:r>
      <w:r w:rsidRPr="00F209BF">
        <w:rPr>
          <w:rFonts w:eastAsia="SimSun"/>
          <w:lang w:eastAsia="zh-CN"/>
        </w:rPr>
        <w:t>45</w:t>
      </w:r>
      <w:r>
        <w:rPr>
          <w:rFonts w:eastAsia="SimSun"/>
          <w:lang w:eastAsia="zh-CN"/>
        </w:rPr>
        <w:t xml:space="preserve">% and Medium 21%.   </w:t>
      </w:r>
      <w:r w:rsidRPr="00F209BF">
        <w:rPr>
          <w:rFonts w:eastAsia="SimSun"/>
          <w:lang w:eastAsia="zh-CN"/>
        </w:rPr>
        <w:t>No country that rated low in IHDI was included in th</w:t>
      </w:r>
      <w:r>
        <w:rPr>
          <w:rFonts w:eastAsia="SimSun"/>
          <w:lang w:eastAsia="zh-CN"/>
        </w:rPr>
        <w:t>is study.</w:t>
      </w:r>
    </w:p>
    <w:p w14:paraId="74F52C50" w14:textId="77777777" w:rsidR="00B21097" w:rsidRDefault="00B21097" w:rsidP="00BA1D85">
      <w:pPr>
        <w:jc w:val="both"/>
        <w:rPr>
          <w:rFonts w:eastAsia="SimSun"/>
          <w:lang w:eastAsia="zh-CN"/>
        </w:rPr>
      </w:pPr>
    </w:p>
    <w:p w14:paraId="27C01225" w14:textId="2F828A4D" w:rsidR="00BA1D85" w:rsidRPr="00C14EC7" w:rsidRDefault="007850B6" w:rsidP="00C14EC7">
      <w:pPr>
        <w:pStyle w:val="Heading3"/>
      </w:pPr>
      <w:r w:rsidRPr="00C14EC7">
        <w:t>2.</w:t>
      </w:r>
      <w:r w:rsidR="00B35A58">
        <w:t>3</w:t>
      </w:r>
      <w:r w:rsidRPr="00C14EC7">
        <w:t xml:space="preserve">.3 </w:t>
      </w:r>
      <w:r w:rsidR="00BA1D85" w:rsidRPr="00C14EC7">
        <w:t>Mediating variable</w:t>
      </w:r>
    </w:p>
    <w:p w14:paraId="0E84D6C8" w14:textId="00DC1644" w:rsidR="00BA1D85" w:rsidRDefault="00172417" w:rsidP="00BA1D85">
      <w:pPr>
        <w:jc w:val="both"/>
        <w:rPr>
          <w:rFonts w:eastAsia="SimSun"/>
          <w:lang w:eastAsia="zh-CN"/>
        </w:rPr>
      </w:pPr>
      <w:r>
        <w:rPr>
          <w:rFonts w:eastAsia="SimSun"/>
          <w:i/>
          <w:lang w:eastAsia="zh-CN"/>
        </w:rPr>
        <w:t>2.</w:t>
      </w:r>
      <w:r w:rsidR="00B35A58">
        <w:rPr>
          <w:rFonts w:eastAsia="SimSun"/>
          <w:i/>
          <w:lang w:eastAsia="zh-CN"/>
        </w:rPr>
        <w:t>3</w:t>
      </w:r>
      <w:r>
        <w:rPr>
          <w:rFonts w:eastAsia="SimSun"/>
          <w:i/>
          <w:lang w:eastAsia="zh-CN"/>
        </w:rPr>
        <w:t xml:space="preserve">.3.1. </w:t>
      </w:r>
      <w:r w:rsidR="00BA1D85" w:rsidRPr="00362F41">
        <w:rPr>
          <w:rFonts w:eastAsia="SimSun"/>
          <w:i/>
          <w:lang w:eastAsia="zh-CN"/>
        </w:rPr>
        <w:t>Capability of Persons with intellectual Disability</w:t>
      </w:r>
      <w:r w:rsidR="00BA1D85">
        <w:rPr>
          <w:rFonts w:eastAsia="SimSun"/>
          <w:lang w:eastAsia="zh-CN"/>
        </w:rPr>
        <w:t xml:space="preserve">:  Respondents were presented with a </w:t>
      </w:r>
      <w:r w:rsidR="00504854">
        <w:rPr>
          <w:rFonts w:eastAsia="SimSun"/>
          <w:lang w:eastAsia="zh-CN"/>
        </w:rPr>
        <w:t xml:space="preserve">listing of community living skills </w:t>
      </w:r>
      <w:r w:rsidR="00BA1D85">
        <w:rPr>
          <w:rFonts w:eastAsia="SimSun"/>
          <w:lang w:eastAsia="zh-CN"/>
        </w:rPr>
        <w:t>and asked to rate the extent to which they felt p</w:t>
      </w:r>
      <w:r w:rsidR="00BA1D85" w:rsidRPr="0019589A">
        <w:rPr>
          <w:rFonts w:eastAsia="SimSun"/>
          <w:lang w:eastAsia="zh-CN"/>
        </w:rPr>
        <w:t>eople with intellectual disabilit</w:t>
      </w:r>
      <w:r w:rsidR="00991447">
        <w:rPr>
          <w:rFonts w:eastAsia="SimSun"/>
          <w:lang w:eastAsia="zh-CN"/>
        </w:rPr>
        <w:t>y</w:t>
      </w:r>
      <w:r w:rsidR="00BA1D85">
        <w:rPr>
          <w:rFonts w:eastAsia="SimSun"/>
          <w:lang w:eastAsia="zh-CN"/>
        </w:rPr>
        <w:t xml:space="preserve"> were capable of </w:t>
      </w:r>
      <w:r w:rsidR="0024529C">
        <w:rPr>
          <w:rFonts w:eastAsia="SimSun"/>
          <w:lang w:eastAsia="zh-CN"/>
        </w:rPr>
        <w:t xml:space="preserve">undertaking </w:t>
      </w:r>
      <w:r w:rsidR="00504854">
        <w:rPr>
          <w:rFonts w:eastAsia="SimSun"/>
          <w:lang w:eastAsia="zh-CN"/>
        </w:rPr>
        <w:t>each one</w:t>
      </w:r>
      <w:r w:rsidR="00F9464A">
        <w:rPr>
          <w:rFonts w:eastAsia="SimSun"/>
          <w:lang w:eastAsia="zh-CN"/>
        </w:rPr>
        <w:t xml:space="preserve">, </w:t>
      </w:r>
      <w:r w:rsidR="00BA1D85">
        <w:rPr>
          <w:rFonts w:eastAsia="SimSun"/>
          <w:lang w:eastAsia="zh-CN"/>
        </w:rPr>
        <w:t xml:space="preserve">using a seven-point Likert scale ranging from entirely disagree to entirely agree.  </w:t>
      </w:r>
      <w:r w:rsidR="00BA1D85" w:rsidRPr="0019589A">
        <w:rPr>
          <w:rFonts w:eastAsia="SimSun"/>
          <w:lang w:eastAsia="zh-CN"/>
        </w:rPr>
        <w:t xml:space="preserve"> </w:t>
      </w:r>
      <w:r w:rsidR="00BA1D85">
        <w:rPr>
          <w:rFonts w:eastAsia="SimSun"/>
          <w:lang w:eastAsia="zh-CN"/>
        </w:rPr>
        <w:t xml:space="preserve">A </w:t>
      </w:r>
      <w:r w:rsidR="00573A02" w:rsidRPr="00D82BFE">
        <w:rPr>
          <w:rFonts w:eastAsia="SimSun"/>
          <w:lang w:eastAsia="zh-CN"/>
        </w:rPr>
        <w:t>principal components analysis</w:t>
      </w:r>
      <w:r w:rsidR="00BA1D85" w:rsidRPr="00D82BFE">
        <w:rPr>
          <w:rFonts w:eastAsia="SimSun"/>
          <w:lang w:eastAsia="zh-CN"/>
        </w:rPr>
        <w:t xml:space="preserve"> </w:t>
      </w:r>
      <w:r w:rsidR="00BA1D85">
        <w:rPr>
          <w:rFonts w:eastAsia="SimSun"/>
          <w:lang w:eastAsia="zh-CN"/>
        </w:rPr>
        <w:t xml:space="preserve">identified one factor of six items that accounted for 39% of the variance with factor loadings ranging from .86 to .72; namely </w:t>
      </w:r>
      <w:r w:rsidR="00BA1D85" w:rsidRPr="008F5CD0">
        <w:rPr>
          <w:rFonts w:eastAsia="SimSun"/>
          <w:lang w:eastAsia="zh-CN"/>
        </w:rPr>
        <w:t>raising children, attend</w:t>
      </w:r>
      <w:r w:rsidR="00BA1D85">
        <w:rPr>
          <w:rFonts w:eastAsia="SimSun"/>
          <w:lang w:eastAsia="zh-CN"/>
        </w:rPr>
        <w:t>ing</w:t>
      </w:r>
      <w:r w:rsidR="00BA1D85" w:rsidRPr="008F5CD0">
        <w:rPr>
          <w:rFonts w:eastAsia="SimSun"/>
          <w:lang w:eastAsia="zh-CN"/>
        </w:rPr>
        <w:t xml:space="preserve"> university, mak</w:t>
      </w:r>
      <w:r w:rsidR="00BA1D85">
        <w:rPr>
          <w:rFonts w:eastAsia="SimSun"/>
          <w:lang w:eastAsia="zh-CN"/>
        </w:rPr>
        <w:t>ing their</w:t>
      </w:r>
      <w:r w:rsidR="00BA1D85" w:rsidRPr="008F5CD0">
        <w:rPr>
          <w:rFonts w:eastAsia="SimSun"/>
          <w:lang w:eastAsia="zh-CN"/>
        </w:rPr>
        <w:t xml:space="preserve"> own decisions, manag</w:t>
      </w:r>
      <w:r w:rsidR="00BA1D85">
        <w:rPr>
          <w:rFonts w:eastAsia="SimSun"/>
          <w:lang w:eastAsia="zh-CN"/>
        </w:rPr>
        <w:t>ing</w:t>
      </w:r>
      <w:r w:rsidR="00BA1D85" w:rsidRPr="008F5CD0">
        <w:rPr>
          <w:rFonts w:eastAsia="SimSun"/>
          <w:lang w:eastAsia="zh-CN"/>
        </w:rPr>
        <w:t xml:space="preserve"> a business</w:t>
      </w:r>
      <w:r w:rsidR="00BA1D85">
        <w:rPr>
          <w:rFonts w:eastAsia="SimSun"/>
          <w:lang w:eastAsia="zh-CN"/>
        </w:rPr>
        <w:t xml:space="preserve">, hold a position of leadership in a community, and participating in elections.  A summary score was calculated with scores ranging from 6 to 42.  The Cronbach alpha was .92 and the overall mean score was 31.16 (SD 8.86).   </w:t>
      </w:r>
    </w:p>
    <w:p w14:paraId="59CF23A7" w14:textId="14063456" w:rsidR="00211E75" w:rsidRPr="00B575AB" w:rsidRDefault="007850B6" w:rsidP="007850B6">
      <w:pPr>
        <w:pStyle w:val="Heading2"/>
      </w:pPr>
      <w:r>
        <w:t>2.</w:t>
      </w:r>
      <w:r w:rsidR="00B35A58">
        <w:t>4</w:t>
      </w:r>
      <w:r>
        <w:t xml:space="preserve"> </w:t>
      </w:r>
      <w:r w:rsidR="00211E75" w:rsidRPr="00B575AB">
        <w:t>Definition</w:t>
      </w:r>
      <w:r>
        <w:t xml:space="preserve"> of intellectual Disability</w:t>
      </w:r>
    </w:p>
    <w:p w14:paraId="427B86CF" w14:textId="5C1E64A1" w:rsidR="00211E75" w:rsidRPr="00367B09" w:rsidRDefault="00211E75" w:rsidP="00211E75">
      <w:pPr>
        <w:jc w:val="both"/>
      </w:pPr>
      <w:r>
        <w:t>At the outset of the questionnaire, r</w:t>
      </w:r>
      <w:r w:rsidRPr="00367B09">
        <w:t xml:space="preserve">espondents were provided with this </w:t>
      </w:r>
      <w:r w:rsidRPr="00D82BFE">
        <w:t xml:space="preserve">definition adapted from that </w:t>
      </w:r>
      <w:r w:rsidR="00744377" w:rsidRPr="00D82BFE">
        <w:t>provided</w:t>
      </w:r>
      <w:r w:rsidRPr="00D82BFE">
        <w:t xml:space="preserve"> by the American Association on Intellectual and Developmental Disabilities (2019).  </w:t>
      </w:r>
      <w:r w:rsidRPr="007A363C">
        <w:rPr>
          <w:i/>
        </w:rPr>
        <w:t>“Intellectual disability (or ID) is a term used when a person has certain limitations in intellectual functioning and skills, including communication, social and self-care skills. These limitations can cause a child to develop and learn more slowly or differently than a typically developing child. Intellectual disability can happen any time before a child turns 18 years old, even before birth. People with certain conditions like Down Syndrome, Fragile-X, and others will have intellectual disabilities. Dyslexia and mental illness are not intellectual disabilities</w:t>
      </w:r>
      <w:r w:rsidRPr="00367B09">
        <w:t xml:space="preserve">”.  </w:t>
      </w:r>
    </w:p>
    <w:p w14:paraId="6061EB60" w14:textId="57B8DC00" w:rsidR="00A47844" w:rsidRPr="00367B09" w:rsidRDefault="007850B6" w:rsidP="007850B6">
      <w:pPr>
        <w:pStyle w:val="Heading2"/>
      </w:pPr>
      <w:r>
        <w:t>2.</w:t>
      </w:r>
      <w:r w:rsidR="00B35A58">
        <w:t>5</w:t>
      </w:r>
      <w:r>
        <w:t xml:space="preserve"> </w:t>
      </w:r>
      <w:r w:rsidR="00A47844" w:rsidRPr="00367B09">
        <w:t>Procedure</w:t>
      </w:r>
    </w:p>
    <w:p w14:paraId="1C45AC74" w14:textId="060B297B" w:rsidR="00211E75" w:rsidRPr="00D82BFE" w:rsidRDefault="00A47844" w:rsidP="00211E75">
      <w:pPr>
        <w:jc w:val="both"/>
      </w:pPr>
      <w:r w:rsidRPr="00D82BFE">
        <w:t>Kantar, or their associates in certain countries, were responsible for the recruitment of participants</w:t>
      </w:r>
      <w:r w:rsidR="00E364A7" w:rsidRPr="00D82BFE">
        <w:t xml:space="preserve"> through their existing panels</w:t>
      </w:r>
      <w:r w:rsidRPr="00D82BFE">
        <w:t xml:space="preserve">, the presentation of the questions online and recording </w:t>
      </w:r>
      <w:r w:rsidR="004D7F05" w:rsidRPr="00D82BFE">
        <w:t xml:space="preserve">of </w:t>
      </w:r>
      <w:r w:rsidRPr="00D82BFE">
        <w:t>responses.  The questionnaire was delivered online and through individual interviews in Panama</w:t>
      </w:r>
      <w:r w:rsidR="007A363C" w:rsidRPr="00D82BFE">
        <w:t xml:space="preserve"> due to the more limited internet access</w:t>
      </w:r>
      <w:r w:rsidRPr="00D82BFE">
        <w:t>.</w:t>
      </w:r>
      <w:r w:rsidR="00211E75" w:rsidRPr="00D82BFE">
        <w:t xml:space="preserve">  </w:t>
      </w:r>
    </w:p>
    <w:p w14:paraId="02593960" w14:textId="684C6E7C" w:rsidR="00211E75" w:rsidRPr="00D82BFE" w:rsidRDefault="00660A41" w:rsidP="00211E75">
      <w:pPr>
        <w:jc w:val="both"/>
      </w:pPr>
      <w:r w:rsidRPr="00D82BFE">
        <w:t xml:space="preserve">The survey was available in the language(s) appropriate to the country.  </w:t>
      </w:r>
      <w:r w:rsidR="00211E75" w:rsidRPr="00D82BFE">
        <w:t>The questionnaire was translated by Kantar staff into other languages</w:t>
      </w:r>
      <w:r w:rsidR="000E6F37" w:rsidRPr="00D82BFE">
        <w:t xml:space="preserve"> in line with their usual procedures and</w:t>
      </w:r>
      <w:r w:rsidR="00211E75" w:rsidRPr="00D82BFE">
        <w:t xml:space="preserve"> cognitively tested</w:t>
      </w:r>
      <w:r w:rsidR="000E6F37" w:rsidRPr="00D82BFE">
        <w:t xml:space="preserve"> by them.  The translations were </w:t>
      </w:r>
      <w:r w:rsidR="00211E75" w:rsidRPr="00D82BFE">
        <w:t xml:space="preserve">checked by Special Olympics personnel in each participating country for accuracy of translation and meaning.   However the number of items was constrained by Kantar’s requirement that online surveys had to be completed in 15 minutes or less.  </w:t>
      </w:r>
    </w:p>
    <w:p w14:paraId="4E356C0B" w14:textId="4DE17EF8" w:rsidR="00A47844" w:rsidRPr="00D82BFE" w:rsidRDefault="00A47844" w:rsidP="00367B09">
      <w:pPr>
        <w:jc w:val="both"/>
      </w:pPr>
      <w:r w:rsidRPr="00D82BFE">
        <w:t xml:space="preserve">For each survey, repeated waves of invitations </w:t>
      </w:r>
      <w:r w:rsidR="00231FB0" w:rsidRPr="00D82BFE">
        <w:t>were</w:t>
      </w:r>
      <w:r w:rsidRPr="00D82BFE">
        <w:t xml:space="preserve"> sent out </w:t>
      </w:r>
      <w:r w:rsidR="004D7F05" w:rsidRPr="00D82BFE">
        <w:t xml:space="preserve">to panels available in each location of the survey </w:t>
      </w:r>
      <w:r w:rsidRPr="00D82BFE">
        <w:t>until the sample sizes were attained</w:t>
      </w:r>
      <w:r w:rsidR="002567D1" w:rsidRPr="00D82BFE">
        <w:t xml:space="preserve"> and </w:t>
      </w:r>
      <w:r w:rsidRPr="00D82BFE">
        <w:t xml:space="preserve">balanced by national gender ratios and age.   </w:t>
      </w:r>
    </w:p>
    <w:p w14:paraId="727ECE90" w14:textId="3F86964E" w:rsidR="00A47844" w:rsidRPr="00367B09" w:rsidRDefault="00A47844" w:rsidP="00367B09">
      <w:pPr>
        <w:jc w:val="both"/>
      </w:pPr>
      <w:r w:rsidRPr="00367B09">
        <w:t xml:space="preserve">Panel members were not given any </w:t>
      </w:r>
      <w:r w:rsidR="002567D1">
        <w:t xml:space="preserve">specific </w:t>
      </w:r>
      <w:r w:rsidRPr="00367B09">
        <w:t>information about the content of the questionnaire when invited to participate in the survey but they first had to confirm their gender, age and provide a Zip Code (or equivalent).  Over</w:t>
      </w:r>
      <w:r w:rsidR="0042249A">
        <w:t xml:space="preserve"> </w:t>
      </w:r>
      <w:r w:rsidRPr="00367B09">
        <w:t xml:space="preserve">all </w:t>
      </w:r>
      <w:r w:rsidR="0042249A">
        <w:t xml:space="preserve">surveys, </w:t>
      </w:r>
      <w:r w:rsidRPr="00367B09">
        <w:t xml:space="preserve">7% of respondents dropped out at this point with a further 5% failing to complete the survey having commenced it.   </w:t>
      </w:r>
      <w:r w:rsidR="0042249A">
        <w:t xml:space="preserve">Hence </w:t>
      </w:r>
      <w:r w:rsidR="00504854">
        <w:t xml:space="preserve">the survey was completed by </w:t>
      </w:r>
      <w:r w:rsidR="0042249A">
        <w:t>an average of 88% persons</w:t>
      </w:r>
      <w:r w:rsidR="00504854">
        <w:t xml:space="preserve"> of those</w:t>
      </w:r>
      <w:r w:rsidR="0042249A">
        <w:t xml:space="preserve"> approached</w:t>
      </w:r>
      <w:r w:rsidR="00504854">
        <w:t>.</w:t>
      </w:r>
    </w:p>
    <w:p w14:paraId="4F706E90" w14:textId="7CB1F42B" w:rsidR="00A47844" w:rsidRDefault="00504854" w:rsidP="00367B09">
      <w:pPr>
        <w:jc w:val="both"/>
      </w:pPr>
      <w:r>
        <w:t>The online</w:t>
      </w:r>
      <w:r w:rsidR="00A47844" w:rsidRPr="00367B09">
        <w:t xml:space="preserve"> questionnaire required a response </w:t>
      </w:r>
      <w:r>
        <w:t xml:space="preserve">to each item </w:t>
      </w:r>
      <w:r w:rsidR="00A47844" w:rsidRPr="00367B09">
        <w:t xml:space="preserve">before </w:t>
      </w:r>
      <w:r>
        <w:t xml:space="preserve">respondents </w:t>
      </w:r>
      <w:r w:rsidR="00A47844" w:rsidRPr="00367B09">
        <w:t>could move on to the next question.  Hence there was no missing data on the main variables included in the questionnaire although a very small proportion of respondents chose not to disclose certain personal details.</w:t>
      </w:r>
    </w:p>
    <w:p w14:paraId="51F1003E" w14:textId="77777777" w:rsidR="00B21097" w:rsidRPr="00367B09" w:rsidRDefault="00B21097" w:rsidP="00367B09">
      <w:pPr>
        <w:jc w:val="both"/>
      </w:pPr>
    </w:p>
    <w:p w14:paraId="492D3455" w14:textId="5A1F46EB" w:rsidR="007A363C" w:rsidRPr="00367B09" w:rsidRDefault="007850B6" w:rsidP="007850B6">
      <w:pPr>
        <w:pStyle w:val="Heading2"/>
      </w:pPr>
      <w:r>
        <w:t>2.</w:t>
      </w:r>
      <w:r w:rsidR="00B35A58">
        <w:t>6</w:t>
      </w:r>
      <w:r>
        <w:t xml:space="preserve"> </w:t>
      </w:r>
      <w:r w:rsidR="007A363C" w:rsidRPr="00367B09">
        <w:t xml:space="preserve">Ethical Approval </w:t>
      </w:r>
    </w:p>
    <w:p w14:paraId="663D7DCA" w14:textId="5E091F88" w:rsidR="007A363C" w:rsidRDefault="007A363C" w:rsidP="007A363C">
      <w:pPr>
        <w:jc w:val="both"/>
      </w:pPr>
      <w:r w:rsidRPr="00367B09">
        <w:t>In line with standard market research practice, formal ethical approval was not sought for the surveys.  However, Kantar and their associates fully subscribed to the industry’s code of practice.  All responses were to be given anonymously so no-one could be identified through their participation.  Respondents could freely choose to take part and to drop-out without having to give a reason.  The only incentive provided was the award of points to Kantar panel members for taking part in a survey.  They were not given any type of extra or direct incentive which would make this survey more ‘appealing’ than any other survey (thus influencing the types of respondents completing this survey).</w:t>
      </w:r>
    </w:p>
    <w:p w14:paraId="063114A9" w14:textId="30CBB21C" w:rsidR="00A47844" w:rsidRPr="00367B09" w:rsidRDefault="007850B6" w:rsidP="007850B6">
      <w:pPr>
        <w:pStyle w:val="Heading2"/>
      </w:pPr>
      <w:r>
        <w:t>2.</w:t>
      </w:r>
      <w:r w:rsidR="00B35A58">
        <w:t>7</w:t>
      </w:r>
      <w:r>
        <w:t xml:space="preserve"> </w:t>
      </w:r>
      <w:r w:rsidR="00A47844" w:rsidRPr="00367B09">
        <w:t>Data analysis</w:t>
      </w:r>
    </w:p>
    <w:p w14:paraId="23F258BC" w14:textId="461E6B80" w:rsidR="00A47844" w:rsidRDefault="00A47844" w:rsidP="00367B09">
      <w:pPr>
        <w:jc w:val="both"/>
      </w:pPr>
      <w:r w:rsidRPr="00367B09">
        <w:t>Kantar and their associates undertook the data cleaning and anonymized the complete dataset which was made available to the authors who undertook the statistical analyses using SPSS</w:t>
      </w:r>
      <w:r w:rsidR="00231FB0">
        <w:t xml:space="preserve"> version 25.</w:t>
      </w:r>
      <w:r w:rsidRPr="00367B09">
        <w:t xml:space="preserve">  </w:t>
      </w:r>
      <w:r w:rsidR="00573A02">
        <w:t xml:space="preserve">Following </w:t>
      </w:r>
      <w:r w:rsidR="00231FB0">
        <w:t>t</w:t>
      </w:r>
      <w:r w:rsidRPr="00367B09">
        <w:t xml:space="preserve">he </w:t>
      </w:r>
      <w:r w:rsidR="00573A02">
        <w:rPr>
          <w:color w:val="FF0000"/>
        </w:rPr>
        <w:t>principal component analyses described above, summary scores w</w:t>
      </w:r>
      <w:r w:rsidR="000E6F37" w:rsidRPr="00B47E0A">
        <w:rPr>
          <w:color w:val="FF0000"/>
        </w:rPr>
        <w:t xml:space="preserve">ere identified </w:t>
      </w:r>
      <w:r w:rsidR="007A363C" w:rsidRPr="00B47E0A">
        <w:rPr>
          <w:color w:val="FF0000"/>
        </w:rPr>
        <w:t xml:space="preserve">for </w:t>
      </w:r>
      <w:r w:rsidR="00231FB0" w:rsidRPr="00B47E0A">
        <w:rPr>
          <w:color w:val="FF0000"/>
        </w:rPr>
        <w:t>each</w:t>
      </w:r>
      <w:r w:rsidR="007A363C" w:rsidRPr="00B47E0A">
        <w:rPr>
          <w:color w:val="FF0000"/>
        </w:rPr>
        <w:t xml:space="preserve"> </w:t>
      </w:r>
      <w:r w:rsidR="00B47E0A" w:rsidRPr="00B47E0A">
        <w:rPr>
          <w:color w:val="FF0000"/>
        </w:rPr>
        <w:t xml:space="preserve">of the </w:t>
      </w:r>
      <w:r w:rsidR="007F2C5D" w:rsidRPr="00B47E0A">
        <w:rPr>
          <w:color w:val="FF0000"/>
        </w:rPr>
        <w:t>outcome</w:t>
      </w:r>
      <w:r w:rsidR="00DC71A4" w:rsidRPr="00B47E0A">
        <w:rPr>
          <w:color w:val="FF0000"/>
        </w:rPr>
        <w:t>, predictor</w:t>
      </w:r>
      <w:r w:rsidR="007F2C5D" w:rsidRPr="00B47E0A">
        <w:rPr>
          <w:color w:val="FF0000"/>
        </w:rPr>
        <w:t xml:space="preserve"> and mediating </w:t>
      </w:r>
      <w:r w:rsidR="00231FB0" w:rsidRPr="00B47E0A">
        <w:rPr>
          <w:color w:val="FF0000"/>
        </w:rPr>
        <w:t>variables</w:t>
      </w:r>
      <w:r w:rsidR="00B47E0A" w:rsidRPr="00B47E0A">
        <w:rPr>
          <w:color w:val="FF0000"/>
        </w:rPr>
        <w:t xml:space="preserve"> included in the study</w:t>
      </w:r>
      <w:r w:rsidR="00573A02">
        <w:rPr>
          <w:color w:val="FF0000"/>
        </w:rPr>
        <w:t xml:space="preserve">.  </w:t>
      </w:r>
      <w:r w:rsidR="00AE2B95" w:rsidRPr="00AE2B95">
        <w:rPr>
          <w:color w:val="FF0000"/>
        </w:rPr>
        <w:t xml:space="preserve">Prior to analysis, issues of skewness, kurtosis and collinearity were checked for the continuous variables.  </w:t>
      </w:r>
      <w:r w:rsidR="00573A02">
        <w:rPr>
          <w:color w:val="FF0000"/>
        </w:rPr>
        <w:t xml:space="preserve">Checks </w:t>
      </w:r>
      <w:r w:rsidR="007F2C5D">
        <w:t xml:space="preserve">were </w:t>
      </w:r>
      <w:r w:rsidR="00AE2B95">
        <w:t xml:space="preserve">also </w:t>
      </w:r>
      <w:r w:rsidR="007F2C5D">
        <w:t xml:space="preserve">made as to whether the identified demographic characteristics </w:t>
      </w:r>
      <w:r w:rsidR="00DC71A4">
        <w:t xml:space="preserve">and categorical variables </w:t>
      </w:r>
      <w:r w:rsidR="007F2C5D">
        <w:t>proposed for the model had a significant relationship with the outcome</w:t>
      </w:r>
      <w:r w:rsidR="00B47E0A">
        <w:t>, predictor</w:t>
      </w:r>
      <w:r w:rsidR="007F2C5D">
        <w:t xml:space="preserve"> and/or mediating variables</w:t>
      </w:r>
      <w:r w:rsidR="00DC71A4">
        <w:t xml:space="preserve">. </w:t>
      </w:r>
      <w:r w:rsidR="000E6F37">
        <w:t xml:space="preserve"> </w:t>
      </w:r>
    </w:p>
    <w:p w14:paraId="4B5EB5BE" w14:textId="77777777" w:rsidR="0034065E" w:rsidRDefault="00AE2B95" w:rsidP="00367B09">
      <w:pPr>
        <w:jc w:val="both"/>
        <w:rPr>
          <w:color w:val="FF0000"/>
        </w:rPr>
      </w:pPr>
      <w:r w:rsidRPr="00AE2B95">
        <w:rPr>
          <w:color w:val="FF0000"/>
        </w:rPr>
        <w:t xml:space="preserve">A measurement model was developed </w:t>
      </w:r>
      <w:r>
        <w:rPr>
          <w:color w:val="FF0000"/>
        </w:rPr>
        <w:t xml:space="preserve">using path analysis in MPlus and </w:t>
      </w:r>
      <w:r w:rsidRPr="00AE2B95">
        <w:rPr>
          <w:color w:val="FF0000"/>
        </w:rPr>
        <w:t>based on a review from previous research literature in this area</w:t>
      </w:r>
      <w:r w:rsidR="00B21097">
        <w:rPr>
          <w:color w:val="FF0000"/>
        </w:rPr>
        <w:t xml:space="preserve"> as noted in the Introduction</w:t>
      </w:r>
      <w:r w:rsidRPr="00AE2B95">
        <w:rPr>
          <w:color w:val="FF0000"/>
        </w:rPr>
        <w:t xml:space="preserve">.  This formed the basic model of confirmatory model testing, albeit an untested model.  </w:t>
      </w:r>
    </w:p>
    <w:p w14:paraId="7BF4A851" w14:textId="77777777" w:rsidR="0034065E" w:rsidRDefault="00AE2B95" w:rsidP="00367B09">
      <w:pPr>
        <w:jc w:val="both"/>
        <w:rPr>
          <w:color w:val="FF0000"/>
        </w:rPr>
      </w:pPr>
      <w:r w:rsidRPr="00AE2B95">
        <w:rPr>
          <w:color w:val="FF0000"/>
        </w:rPr>
        <w:t xml:space="preserve">Modification indices from Mplus provided modification indices of potential relationships between variables that would improve the fit of the model (exploratory element). </w:t>
      </w:r>
      <w:r w:rsidR="0034065E" w:rsidRPr="0034065E">
        <w:rPr>
          <w:color w:val="FF0000"/>
        </w:rPr>
        <w:t>Maximum likelihood was used to fit the model as the continuous variable data were normally distributed.  An initial model with only continuous variables was initially tested. Non-significant relationships were removed from the model to provide as parsimonious a model as possible.  Correlations between all independent variables were initially established.  Non-significant relationships were removed from the model to provide as parsimonious a model as possible</w:t>
      </w:r>
      <w:r w:rsidR="0034065E">
        <w:rPr>
          <w:color w:val="FF0000"/>
        </w:rPr>
        <w:t xml:space="preserve">.   </w:t>
      </w:r>
      <w:r w:rsidRPr="00AE2B95">
        <w:rPr>
          <w:color w:val="FF0000"/>
        </w:rPr>
        <w:t>The</w:t>
      </w:r>
      <w:r w:rsidR="0034065E">
        <w:rPr>
          <w:color w:val="FF0000"/>
        </w:rPr>
        <w:t xml:space="preserve"> </w:t>
      </w:r>
      <w:r w:rsidRPr="00AE2B95">
        <w:rPr>
          <w:color w:val="FF0000"/>
        </w:rPr>
        <w:t xml:space="preserve">relationships included in the model </w:t>
      </w:r>
      <w:r w:rsidR="0034065E">
        <w:rPr>
          <w:color w:val="FF0000"/>
        </w:rPr>
        <w:t xml:space="preserve">were </w:t>
      </w:r>
      <w:r w:rsidRPr="00AE2B95">
        <w:rPr>
          <w:color w:val="FF0000"/>
        </w:rPr>
        <w:t xml:space="preserve">based on the strength and significance of the indices score and if they were theoretically relevant.  </w:t>
      </w:r>
    </w:p>
    <w:p w14:paraId="23602684" w14:textId="526D78C7" w:rsidR="00AE2B95" w:rsidRPr="00AE2B95" w:rsidRDefault="0034065E" w:rsidP="00367B09">
      <w:pPr>
        <w:jc w:val="both"/>
        <w:rPr>
          <w:color w:val="FF0000"/>
        </w:rPr>
      </w:pPr>
      <w:r>
        <w:rPr>
          <w:color w:val="FF0000"/>
        </w:rPr>
        <w:t>T</w:t>
      </w:r>
      <w:r w:rsidRPr="0034065E">
        <w:rPr>
          <w:color w:val="FF0000"/>
        </w:rPr>
        <w:t xml:space="preserve">he stratification command was used to 'cluster' responses within </w:t>
      </w:r>
      <w:r>
        <w:rPr>
          <w:color w:val="FF0000"/>
        </w:rPr>
        <w:t xml:space="preserve">US Cities and </w:t>
      </w:r>
      <w:r w:rsidRPr="0034065E">
        <w:rPr>
          <w:color w:val="FF0000"/>
        </w:rPr>
        <w:t>countries so that this would be controlled for in the analysis.</w:t>
      </w:r>
      <w:r>
        <w:rPr>
          <w:color w:val="FF0000"/>
        </w:rPr>
        <w:t xml:space="preserve">  The emergent </w:t>
      </w:r>
      <w:r w:rsidR="00AE2B95" w:rsidRPr="00AE2B95">
        <w:rPr>
          <w:color w:val="FF0000"/>
        </w:rPr>
        <w:t>model w</w:t>
      </w:r>
      <w:r>
        <w:rPr>
          <w:color w:val="FF0000"/>
        </w:rPr>
        <w:t xml:space="preserve">ould then be </w:t>
      </w:r>
      <w:r w:rsidR="00AE2B95" w:rsidRPr="00AE2B95">
        <w:rPr>
          <w:color w:val="FF0000"/>
        </w:rPr>
        <w:t xml:space="preserve"> relevant to all cities</w:t>
      </w:r>
      <w:r>
        <w:rPr>
          <w:color w:val="FF0000"/>
        </w:rPr>
        <w:t xml:space="preserve"> and </w:t>
      </w:r>
      <w:r w:rsidRPr="00AE2B95">
        <w:rPr>
          <w:color w:val="FF0000"/>
        </w:rPr>
        <w:t>countries</w:t>
      </w:r>
      <w:r w:rsidR="00AE2B95" w:rsidRPr="00AE2B95">
        <w:rPr>
          <w:color w:val="FF0000"/>
        </w:rPr>
        <w:t>.</w:t>
      </w:r>
    </w:p>
    <w:p w14:paraId="503CB6AD" w14:textId="16190368" w:rsidR="00A47844" w:rsidRPr="00367B09" w:rsidRDefault="00A47844" w:rsidP="007850B6">
      <w:pPr>
        <w:pStyle w:val="Heading1"/>
      </w:pPr>
      <w:r w:rsidRPr="00367B09">
        <w:t>3</w:t>
      </w:r>
      <w:r w:rsidR="007850B6">
        <w:t xml:space="preserve">. </w:t>
      </w:r>
      <w:r w:rsidRPr="00367B09">
        <w:t>R</w:t>
      </w:r>
      <w:r w:rsidR="007850B6">
        <w:t>esults</w:t>
      </w:r>
    </w:p>
    <w:p w14:paraId="5244F875" w14:textId="61ABFEDF" w:rsidR="00094928" w:rsidRDefault="007850B6" w:rsidP="007850B6">
      <w:pPr>
        <w:pStyle w:val="Heading2"/>
      </w:pPr>
      <w:r>
        <w:t>3.</w:t>
      </w:r>
      <w:r w:rsidR="00A562F1">
        <w:t>1</w:t>
      </w:r>
      <w:r>
        <w:t xml:space="preserve"> </w:t>
      </w:r>
      <w:r w:rsidR="00A47844" w:rsidRPr="00367B09">
        <w:t>Inter-relationships among the attitude summary scores</w:t>
      </w:r>
    </w:p>
    <w:p w14:paraId="0B78A036" w14:textId="74B7767E" w:rsidR="001D725C" w:rsidRDefault="001D725C" w:rsidP="00367B09">
      <w:pPr>
        <w:autoSpaceDE w:val="0"/>
        <w:autoSpaceDN w:val="0"/>
        <w:adjustRightInd w:val="0"/>
        <w:jc w:val="both"/>
        <w:rPr>
          <w:rFonts w:eastAsia="SimSun"/>
        </w:rPr>
      </w:pPr>
      <w:r>
        <w:rPr>
          <w:rFonts w:eastAsia="SimSun"/>
        </w:rPr>
        <w:t>The</w:t>
      </w:r>
      <w:r w:rsidRPr="001D725C">
        <w:rPr>
          <w:rFonts w:eastAsia="SimSun"/>
        </w:rPr>
        <w:t xml:space="preserve"> </w:t>
      </w:r>
      <w:r>
        <w:rPr>
          <w:rFonts w:eastAsia="SimSun"/>
        </w:rPr>
        <w:t xml:space="preserve">created measures </w:t>
      </w:r>
      <w:r w:rsidRPr="001D725C">
        <w:rPr>
          <w:rFonts w:eastAsia="SimSun"/>
        </w:rPr>
        <w:t>met all assumptions of normality</w:t>
      </w:r>
      <w:r w:rsidR="00094928">
        <w:rPr>
          <w:rFonts w:eastAsia="SimSun"/>
        </w:rPr>
        <w:t xml:space="preserve"> (see table 3).  </w:t>
      </w:r>
      <w:r w:rsidR="00C51C13">
        <w:rPr>
          <w:rFonts w:eastAsia="SimSun"/>
        </w:rPr>
        <w:t>The</w:t>
      </w:r>
      <w:r w:rsidR="00AD656F">
        <w:rPr>
          <w:rFonts w:eastAsia="SimSun"/>
        </w:rPr>
        <w:t xml:space="preserve"> mean scores (</w:t>
      </w:r>
      <w:r w:rsidR="00C51C13">
        <w:rPr>
          <w:rFonts w:eastAsia="SimSun"/>
        </w:rPr>
        <w:t>SDs</w:t>
      </w:r>
      <w:r w:rsidR="00AD656F">
        <w:rPr>
          <w:rFonts w:eastAsia="SimSun"/>
        </w:rPr>
        <w:t xml:space="preserve">) </w:t>
      </w:r>
      <w:r w:rsidR="00C51C13">
        <w:rPr>
          <w:rFonts w:eastAsia="SimSun"/>
        </w:rPr>
        <w:t xml:space="preserve">generally </w:t>
      </w:r>
      <w:r w:rsidR="00AD656F">
        <w:rPr>
          <w:rFonts w:eastAsia="SimSun"/>
        </w:rPr>
        <w:t>show</w:t>
      </w:r>
      <w:r>
        <w:rPr>
          <w:rFonts w:eastAsia="SimSun"/>
        </w:rPr>
        <w:t>ed</w:t>
      </w:r>
      <w:r w:rsidR="00AD656F">
        <w:rPr>
          <w:rFonts w:eastAsia="SimSun"/>
        </w:rPr>
        <w:t xml:space="preserve"> a positive attitude to people with </w:t>
      </w:r>
      <w:r w:rsidR="00C51C13">
        <w:rPr>
          <w:rFonts w:eastAsia="SimSun"/>
        </w:rPr>
        <w:t xml:space="preserve">intellectual disability </w:t>
      </w:r>
      <w:r w:rsidR="00AD656F">
        <w:rPr>
          <w:rFonts w:eastAsia="SimSun"/>
        </w:rPr>
        <w:t xml:space="preserve">and a broad spread in responses around mean scores.  </w:t>
      </w:r>
    </w:p>
    <w:p w14:paraId="0154EB7A" w14:textId="77777777" w:rsidR="006B7B80" w:rsidRPr="00D82BFE" w:rsidRDefault="00C51C13" w:rsidP="006B7B80">
      <w:pPr>
        <w:autoSpaceDE w:val="0"/>
        <w:autoSpaceDN w:val="0"/>
        <w:adjustRightInd w:val="0"/>
        <w:rPr>
          <w:b/>
          <w:sz w:val="22"/>
          <w:szCs w:val="22"/>
          <w:lang w:val="en-GB" w:eastAsia="en-US"/>
        </w:rPr>
      </w:pPr>
      <w:r w:rsidRPr="00D82BFE">
        <w:rPr>
          <w:b/>
          <w:sz w:val="22"/>
          <w:szCs w:val="22"/>
          <w:lang w:val="en-GB" w:eastAsia="en-US"/>
        </w:rPr>
        <w:t xml:space="preserve">Table 3: </w:t>
      </w:r>
    </w:p>
    <w:p w14:paraId="71C5B254" w14:textId="4D43558A" w:rsidR="00C51C13" w:rsidRPr="00D82BFE" w:rsidRDefault="00C51C13" w:rsidP="006B7B80">
      <w:pPr>
        <w:autoSpaceDE w:val="0"/>
        <w:autoSpaceDN w:val="0"/>
        <w:adjustRightInd w:val="0"/>
        <w:rPr>
          <w:bCs/>
          <w:i/>
          <w:iCs/>
          <w:sz w:val="22"/>
          <w:szCs w:val="22"/>
          <w:lang w:val="en-GB" w:eastAsia="en-US"/>
        </w:rPr>
      </w:pPr>
      <w:r w:rsidRPr="00D82BFE">
        <w:rPr>
          <w:bCs/>
          <w:i/>
          <w:iCs/>
          <w:sz w:val="22"/>
          <w:szCs w:val="22"/>
          <w:lang w:val="en-GB" w:eastAsia="en-US"/>
        </w:rPr>
        <w:t xml:space="preserve">Summary </w:t>
      </w:r>
      <w:r w:rsidR="00B75065" w:rsidRPr="00D82BFE">
        <w:rPr>
          <w:bCs/>
          <w:i/>
          <w:iCs/>
          <w:sz w:val="22"/>
          <w:szCs w:val="22"/>
          <w:lang w:val="en-GB" w:eastAsia="en-US"/>
        </w:rPr>
        <w:t>S</w:t>
      </w:r>
      <w:r w:rsidRPr="00D82BFE">
        <w:rPr>
          <w:bCs/>
          <w:i/>
          <w:iCs/>
          <w:sz w:val="22"/>
          <w:szCs w:val="22"/>
          <w:lang w:val="en-GB" w:eastAsia="en-US"/>
        </w:rPr>
        <w:t xml:space="preserve">tatistics for the </w:t>
      </w:r>
      <w:r w:rsidR="00B75065" w:rsidRPr="00D82BFE">
        <w:rPr>
          <w:bCs/>
          <w:i/>
          <w:iCs/>
          <w:sz w:val="22"/>
          <w:szCs w:val="22"/>
          <w:lang w:val="en-GB" w:eastAsia="en-US"/>
        </w:rPr>
        <w:t>M</w:t>
      </w:r>
      <w:r w:rsidRPr="00D82BFE">
        <w:rPr>
          <w:bCs/>
          <w:i/>
          <w:iCs/>
          <w:sz w:val="22"/>
          <w:szCs w:val="22"/>
          <w:lang w:val="en-GB" w:eastAsia="en-US"/>
        </w:rPr>
        <w:t xml:space="preserve">easures used in the </w:t>
      </w:r>
      <w:r w:rsidR="00B75065" w:rsidRPr="00D82BFE">
        <w:rPr>
          <w:bCs/>
          <w:i/>
          <w:iCs/>
          <w:sz w:val="22"/>
          <w:szCs w:val="22"/>
          <w:lang w:val="en-GB" w:eastAsia="en-US"/>
        </w:rPr>
        <w:t>M</w:t>
      </w:r>
      <w:r w:rsidRPr="00D82BFE">
        <w:rPr>
          <w:bCs/>
          <w:i/>
          <w:iCs/>
          <w:sz w:val="22"/>
          <w:szCs w:val="22"/>
          <w:lang w:val="en-GB" w:eastAsia="en-US"/>
        </w:rPr>
        <w:t>odel (N=36,508)</w:t>
      </w:r>
    </w:p>
    <w:tbl>
      <w:tblPr>
        <w:tblStyle w:val="TableGrid1"/>
        <w:tblW w:w="8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777"/>
        <w:gridCol w:w="1192"/>
        <w:gridCol w:w="1648"/>
        <w:gridCol w:w="1417"/>
        <w:gridCol w:w="1560"/>
      </w:tblGrid>
      <w:tr w:rsidR="00D82BFE" w:rsidRPr="00D82BFE" w14:paraId="552BCAEF" w14:textId="77777777" w:rsidTr="00B75065">
        <w:tc>
          <w:tcPr>
            <w:tcW w:w="2777" w:type="dxa"/>
            <w:tcBorders>
              <w:top w:val="single" w:sz="4" w:space="0" w:color="auto"/>
              <w:bottom w:val="single" w:sz="4" w:space="0" w:color="auto"/>
            </w:tcBorders>
          </w:tcPr>
          <w:p w14:paraId="485743F1" w14:textId="77777777" w:rsidR="00C51C13" w:rsidRPr="00D82BFE" w:rsidRDefault="00C51C13" w:rsidP="002C0527">
            <w:pPr>
              <w:autoSpaceDE w:val="0"/>
              <w:autoSpaceDN w:val="0"/>
              <w:adjustRightInd w:val="0"/>
              <w:spacing w:before="120" w:line="240" w:lineRule="auto"/>
              <w:ind w:left="62" w:right="62"/>
              <w:rPr>
                <w:b/>
                <w:bCs/>
                <w:sz w:val="22"/>
                <w:szCs w:val="22"/>
                <w:lang w:eastAsia="en-US"/>
              </w:rPr>
            </w:pPr>
            <w:r w:rsidRPr="00D82BFE">
              <w:rPr>
                <w:b/>
                <w:bCs/>
                <w:sz w:val="22"/>
                <w:szCs w:val="22"/>
                <w:lang w:eastAsia="en-US"/>
              </w:rPr>
              <w:t>Construct</w:t>
            </w:r>
          </w:p>
        </w:tc>
        <w:tc>
          <w:tcPr>
            <w:tcW w:w="1192" w:type="dxa"/>
            <w:tcBorders>
              <w:top w:val="single" w:sz="4" w:space="0" w:color="auto"/>
              <w:bottom w:val="single" w:sz="4" w:space="0" w:color="auto"/>
            </w:tcBorders>
          </w:tcPr>
          <w:p w14:paraId="56D63F1A" w14:textId="5801DF4C" w:rsidR="00C51C13" w:rsidRPr="00D82BFE" w:rsidRDefault="00C51C13" w:rsidP="002C0527">
            <w:pPr>
              <w:autoSpaceDE w:val="0"/>
              <w:autoSpaceDN w:val="0"/>
              <w:adjustRightInd w:val="0"/>
              <w:spacing w:before="120" w:line="240" w:lineRule="auto"/>
              <w:ind w:left="62" w:right="62"/>
              <w:jc w:val="center"/>
              <w:rPr>
                <w:b/>
                <w:bCs/>
                <w:sz w:val="22"/>
                <w:szCs w:val="22"/>
                <w:lang w:eastAsia="en-US"/>
              </w:rPr>
            </w:pPr>
            <w:r w:rsidRPr="00D82BFE">
              <w:rPr>
                <w:b/>
                <w:bCs/>
                <w:sz w:val="22"/>
                <w:szCs w:val="22"/>
                <w:lang w:eastAsia="en-US"/>
              </w:rPr>
              <w:t>N</w:t>
            </w:r>
            <w:r w:rsidR="00B75065" w:rsidRPr="00D82BFE">
              <w:rPr>
                <w:b/>
                <w:bCs/>
                <w:sz w:val="22"/>
                <w:szCs w:val="22"/>
                <w:lang w:eastAsia="en-US"/>
              </w:rPr>
              <w:t>umber</w:t>
            </w:r>
            <w:r w:rsidRPr="00D82BFE">
              <w:rPr>
                <w:b/>
                <w:bCs/>
                <w:sz w:val="22"/>
                <w:szCs w:val="22"/>
                <w:lang w:eastAsia="en-US"/>
              </w:rPr>
              <w:t xml:space="preserve"> items</w:t>
            </w:r>
          </w:p>
        </w:tc>
        <w:tc>
          <w:tcPr>
            <w:tcW w:w="1648" w:type="dxa"/>
            <w:tcBorders>
              <w:top w:val="single" w:sz="4" w:space="0" w:color="auto"/>
              <w:bottom w:val="single" w:sz="4" w:space="0" w:color="auto"/>
            </w:tcBorders>
          </w:tcPr>
          <w:p w14:paraId="743FBE61" w14:textId="77777777" w:rsidR="00C51C13" w:rsidRPr="00D82BFE" w:rsidRDefault="00C51C13" w:rsidP="002C0527">
            <w:pPr>
              <w:autoSpaceDE w:val="0"/>
              <w:autoSpaceDN w:val="0"/>
              <w:adjustRightInd w:val="0"/>
              <w:spacing w:before="120" w:line="240" w:lineRule="auto"/>
              <w:ind w:left="62" w:right="62"/>
              <w:jc w:val="center"/>
              <w:rPr>
                <w:b/>
                <w:bCs/>
                <w:sz w:val="22"/>
                <w:szCs w:val="22"/>
                <w:lang w:eastAsia="en-US"/>
              </w:rPr>
            </w:pPr>
            <w:r w:rsidRPr="00D82BFE">
              <w:rPr>
                <w:b/>
                <w:bCs/>
                <w:sz w:val="22"/>
                <w:szCs w:val="22"/>
                <w:lang w:eastAsia="en-US"/>
              </w:rPr>
              <w:t>Mean (SD)</w:t>
            </w:r>
          </w:p>
        </w:tc>
        <w:tc>
          <w:tcPr>
            <w:tcW w:w="1417" w:type="dxa"/>
            <w:tcBorders>
              <w:top w:val="single" w:sz="4" w:space="0" w:color="auto"/>
              <w:bottom w:val="single" w:sz="4" w:space="0" w:color="auto"/>
            </w:tcBorders>
          </w:tcPr>
          <w:p w14:paraId="4C778BB2" w14:textId="77777777" w:rsidR="00C51C13" w:rsidRPr="00D82BFE" w:rsidRDefault="00C51C13" w:rsidP="002C0527">
            <w:pPr>
              <w:autoSpaceDE w:val="0"/>
              <w:autoSpaceDN w:val="0"/>
              <w:adjustRightInd w:val="0"/>
              <w:spacing w:before="120" w:line="240" w:lineRule="auto"/>
              <w:ind w:left="62" w:right="62"/>
              <w:jc w:val="center"/>
              <w:rPr>
                <w:b/>
                <w:bCs/>
                <w:sz w:val="22"/>
                <w:szCs w:val="22"/>
                <w:lang w:eastAsia="en-US"/>
              </w:rPr>
            </w:pPr>
            <w:r w:rsidRPr="00D82BFE">
              <w:rPr>
                <w:b/>
                <w:bCs/>
                <w:sz w:val="22"/>
                <w:szCs w:val="22"/>
                <w:lang w:eastAsia="en-US"/>
              </w:rPr>
              <w:t>Skewness</w:t>
            </w:r>
          </w:p>
        </w:tc>
        <w:tc>
          <w:tcPr>
            <w:tcW w:w="1560" w:type="dxa"/>
            <w:tcBorders>
              <w:top w:val="single" w:sz="4" w:space="0" w:color="auto"/>
              <w:bottom w:val="single" w:sz="4" w:space="0" w:color="auto"/>
            </w:tcBorders>
          </w:tcPr>
          <w:p w14:paraId="2136FA44" w14:textId="77777777" w:rsidR="00C51C13" w:rsidRPr="00D82BFE" w:rsidRDefault="00C51C13" w:rsidP="002C0527">
            <w:pPr>
              <w:autoSpaceDE w:val="0"/>
              <w:autoSpaceDN w:val="0"/>
              <w:adjustRightInd w:val="0"/>
              <w:spacing w:before="120" w:line="240" w:lineRule="auto"/>
              <w:ind w:left="62" w:right="62"/>
              <w:jc w:val="center"/>
              <w:rPr>
                <w:b/>
                <w:bCs/>
                <w:sz w:val="22"/>
                <w:szCs w:val="22"/>
                <w:lang w:eastAsia="en-US"/>
              </w:rPr>
            </w:pPr>
            <w:r w:rsidRPr="00D82BFE">
              <w:rPr>
                <w:b/>
                <w:bCs/>
                <w:sz w:val="22"/>
                <w:szCs w:val="22"/>
                <w:lang w:eastAsia="en-US"/>
              </w:rPr>
              <w:t>Kurtosis</w:t>
            </w:r>
          </w:p>
        </w:tc>
      </w:tr>
      <w:tr w:rsidR="00D82BFE" w:rsidRPr="00D82BFE" w14:paraId="7C771D85" w14:textId="77777777" w:rsidTr="00B75065">
        <w:tc>
          <w:tcPr>
            <w:tcW w:w="2777" w:type="dxa"/>
            <w:tcBorders>
              <w:top w:val="single" w:sz="4" w:space="0" w:color="auto"/>
            </w:tcBorders>
          </w:tcPr>
          <w:p w14:paraId="0C151090" w14:textId="77777777" w:rsidR="00C51C13" w:rsidRPr="00D82BFE" w:rsidRDefault="00C51C13" w:rsidP="002C0527">
            <w:pPr>
              <w:autoSpaceDE w:val="0"/>
              <w:autoSpaceDN w:val="0"/>
              <w:adjustRightInd w:val="0"/>
              <w:spacing w:before="120" w:line="240" w:lineRule="auto"/>
              <w:ind w:left="62" w:right="62"/>
              <w:rPr>
                <w:sz w:val="22"/>
                <w:szCs w:val="22"/>
                <w:lang w:eastAsia="en-US"/>
              </w:rPr>
            </w:pPr>
            <w:r w:rsidRPr="00D82BFE">
              <w:rPr>
                <w:sz w:val="22"/>
                <w:szCs w:val="22"/>
                <w:lang w:eastAsia="en-US"/>
              </w:rPr>
              <w:t xml:space="preserve">Rights </w:t>
            </w:r>
          </w:p>
        </w:tc>
        <w:tc>
          <w:tcPr>
            <w:tcW w:w="1192" w:type="dxa"/>
            <w:tcBorders>
              <w:top w:val="single" w:sz="4" w:space="0" w:color="auto"/>
            </w:tcBorders>
          </w:tcPr>
          <w:p w14:paraId="1F2920B5"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7 items</w:t>
            </w:r>
          </w:p>
        </w:tc>
        <w:tc>
          <w:tcPr>
            <w:tcW w:w="1648" w:type="dxa"/>
            <w:tcBorders>
              <w:top w:val="single" w:sz="4" w:space="0" w:color="auto"/>
            </w:tcBorders>
          </w:tcPr>
          <w:p w14:paraId="07D882AB"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41.16 (8.0)</w:t>
            </w:r>
          </w:p>
        </w:tc>
        <w:tc>
          <w:tcPr>
            <w:tcW w:w="1417" w:type="dxa"/>
            <w:tcBorders>
              <w:top w:val="single" w:sz="4" w:space="0" w:color="auto"/>
            </w:tcBorders>
          </w:tcPr>
          <w:p w14:paraId="18199578"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-1.38</w:t>
            </w:r>
          </w:p>
        </w:tc>
        <w:tc>
          <w:tcPr>
            <w:tcW w:w="1560" w:type="dxa"/>
            <w:tcBorders>
              <w:top w:val="single" w:sz="4" w:space="0" w:color="auto"/>
            </w:tcBorders>
          </w:tcPr>
          <w:p w14:paraId="2887CAAD"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2.41</w:t>
            </w:r>
          </w:p>
        </w:tc>
      </w:tr>
      <w:tr w:rsidR="00D82BFE" w:rsidRPr="00D82BFE" w14:paraId="0ABBEFF2" w14:textId="77777777" w:rsidTr="00B75065">
        <w:tc>
          <w:tcPr>
            <w:tcW w:w="2777" w:type="dxa"/>
          </w:tcPr>
          <w:p w14:paraId="00B46CE2" w14:textId="567DD015" w:rsidR="00C51C13" w:rsidRPr="00D82BFE" w:rsidRDefault="00C51C13" w:rsidP="002C0527">
            <w:pPr>
              <w:autoSpaceDE w:val="0"/>
              <w:autoSpaceDN w:val="0"/>
              <w:adjustRightInd w:val="0"/>
              <w:spacing w:before="120" w:line="240" w:lineRule="auto"/>
              <w:ind w:left="62" w:right="62"/>
              <w:rPr>
                <w:sz w:val="22"/>
                <w:szCs w:val="22"/>
                <w:lang w:eastAsia="en-US"/>
              </w:rPr>
            </w:pPr>
            <w:r w:rsidRPr="00D82BFE">
              <w:rPr>
                <w:sz w:val="22"/>
                <w:szCs w:val="22"/>
                <w:lang w:eastAsia="en-US"/>
              </w:rPr>
              <w:t xml:space="preserve">Community </w:t>
            </w:r>
            <w:r w:rsidR="00B64557" w:rsidRPr="00D82BFE">
              <w:rPr>
                <w:sz w:val="22"/>
                <w:szCs w:val="22"/>
                <w:lang w:eastAsia="en-US"/>
              </w:rPr>
              <w:t>Acceptance</w:t>
            </w:r>
          </w:p>
        </w:tc>
        <w:tc>
          <w:tcPr>
            <w:tcW w:w="1192" w:type="dxa"/>
          </w:tcPr>
          <w:p w14:paraId="24C1CD6E"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5 items</w:t>
            </w:r>
          </w:p>
        </w:tc>
        <w:tc>
          <w:tcPr>
            <w:tcW w:w="1648" w:type="dxa"/>
          </w:tcPr>
          <w:p w14:paraId="39F2B8B3"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16.55 (7.0)</w:t>
            </w:r>
          </w:p>
        </w:tc>
        <w:tc>
          <w:tcPr>
            <w:tcW w:w="1417" w:type="dxa"/>
          </w:tcPr>
          <w:p w14:paraId="2FA471CC"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0.28</w:t>
            </w:r>
          </w:p>
        </w:tc>
        <w:tc>
          <w:tcPr>
            <w:tcW w:w="1560" w:type="dxa"/>
          </w:tcPr>
          <w:p w14:paraId="52AE7B45"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-0.37</w:t>
            </w:r>
          </w:p>
        </w:tc>
      </w:tr>
      <w:tr w:rsidR="00D82BFE" w:rsidRPr="00D82BFE" w14:paraId="74F9126B" w14:textId="77777777" w:rsidTr="00B75065">
        <w:tc>
          <w:tcPr>
            <w:tcW w:w="2777" w:type="dxa"/>
          </w:tcPr>
          <w:p w14:paraId="66F0BD46" w14:textId="77777777" w:rsidR="00C51C13" w:rsidRPr="00D82BFE" w:rsidRDefault="00C51C13" w:rsidP="002C0527">
            <w:pPr>
              <w:autoSpaceDE w:val="0"/>
              <w:autoSpaceDN w:val="0"/>
              <w:adjustRightInd w:val="0"/>
              <w:spacing w:before="120" w:line="240" w:lineRule="auto"/>
              <w:ind w:left="62" w:right="62"/>
              <w:rPr>
                <w:sz w:val="22"/>
                <w:szCs w:val="22"/>
                <w:lang w:eastAsia="en-US"/>
              </w:rPr>
            </w:pPr>
            <w:r w:rsidRPr="00D82BFE">
              <w:rPr>
                <w:sz w:val="22"/>
                <w:szCs w:val="22"/>
                <w:lang w:eastAsia="en-US"/>
              </w:rPr>
              <w:t xml:space="preserve">Capable </w:t>
            </w:r>
          </w:p>
        </w:tc>
        <w:tc>
          <w:tcPr>
            <w:tcW w:w="1192" w:type="dxa"/>
          </w:tcPr>
          <w:p w14:paraId="3C9A26A2"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6 items</w:t>
            </w:r>
          </w:p>
        </w:tc>
        <w:tc>
          <w:tcPr>
            <w:tcW w:w="1648" w:type="dxa"/>
          </w:tcPr>
          <w:p w14:paraId="00C8E687"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31.16 (8.9)</w:t>
            </w:r>
          </w:p>
        </w:tc>
        <w:tc>
          <w:tcPr>
            <w:tcW w:w="1417" w:type="dxa"/>
          </w:tcPr>
          <w:p w14:paraId="36407C12"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0.29</w:t>
            </w:r>
          </w:p>
        </w:tc>
        <w:tc>
          <w:tcPr>
            <w:tcW w:w="1560" w:type="dxa"/>
          </w:tcPr>
          <w:p w14:paraId="62E48CC3"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-0.14</w:t>
            </w:r>
          </w:p>
        </w:tc>
      </w:tr>
      <w:tr w:rsidR="00D82BFE" w:rsidRPr="00D82BFE" w14:paraId="5EC09848" w14:textId="77777777" w:rsidTr="00B75065">
        <w:tc>
          <w:tcPr>
            <w:tcW w:w="2777" w:type="dxa"/>
            <w:tcBorders>
              <w:bottom w:val="single" w:sz="4" w:space="0" w:color="auto"/>
            </w:tcBorders>
          </w:tcPr>
          <w:p w14:paraId="12447D33" w14:textId="38A49242" w:rsidR="00C51C13" w:rsidRPr="00D82BFE" w:rsidRDefault="00C51C13" w:rsidP="002C0527">
            <w:pPr>
              <w:autoSpaceDE w:val="0"/>
              <w:autoSpaceDN w:val="0"/>
              <w:adjustRightInd w:val="0"/>
              <w:spacing w:before="120" w:line="240" w:lineRule="auto"/>
              <w:ind w:left="62" w:right="62"/>
              <w:rPr>
                <w:sz w:val="22"/>
                <w:szCs w:val="22"/>
                <w:lang w:eastAsia="en-US"/>
              </w:rPr>
            </w:pPr>
            <w:r w:rsidRPr="00D82BFE">
              <w:rPr>
                <w:sz w:val="22"/>
                <w:szCs w:val="22"/>
                <w:lang w:eastAsia="en-US"/>
              </w:rPr>
              <w:t xml:space="preserve">Comfort  </w:t>
            </w:r>
          </w:p>
        </w:tc>
        <w:tc>
          <w:tcPr>
            <w:tcW w:w="1192" w:type="dxa"/>
            <w:tcBorders>
              <w:bottom w:val="single" w:sz="4" w:space="0" w:color="auto"/>
            </w:tcBorders>
          </w:tcPr>
          <w:p w14:paraId="6883B769"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8 items</w:t>
            </w:r>
          </w:p>
        </w:tc>
        <w:tc>
          <w:tcPr>
            <w:tcW w:w="1648" w:type="dxa"/>
            <w:tcBorders>
              <w:bottom w:val="single" w:sz="4" w:space="0" w:color="auto"/>
            </w:tcBorders>
          </w:tcPr>
          <w:p w14:paraId="20202597"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31.38 (5.9)</w:t>
            </w:r>
          </w:p>
        </w:tc>
        <w:tc>
          <w:tcPr>
            <w:tcW w:w="1417" w:type="dxa"/>
            <w:tcBorders>
              <w:bottom w:val="single" w:sz="4" w:space="0" w:color="auto"/>
            </w:tcBorders>
          </w:tcPr>
          <w:p w14:paraId="0C4EE1A8"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-0.50</w:t>
            </w:r>
          </w:p>
        </w:tc>
        <w:tc>
          <w:tcPr>
            <w:tcW w:w="1560" w:type="dxa"/>
            <w:tcBorders>
              <w:bottom w:val="single" w:sz="4" w:space="0" w:color="auto"/>
            </w:tcBorders>
          </w:tcPr>
          <w:p w14:paraId="4933AEAA" w14:textId="77777777" w:rsidR="00C51C13" w:rsidRPr="00D82BFE" w:rsidRDefault="00C51C13" w:rsidP="002C0527">
            <w:pPr>
              <w:autoSpaceDE w:val="0"/>
              <w:autoSpaceDN w:val="0"/>
              <w:adjustRightInd w:val="0"/>
              <w:spacing w:before="120" w:line="240" w:lineRule="auto"/>
              <w:ind w:left="62" w:right="62"/>
              <w:jc w:val="center"/>
              <w:rPr>
                <w:sz w:val="22"/>
                <w:szCs w:val="22"/>
                <w:lang w:eastAsia="en-US"/>
              </w:rPr>
            </w:pPr>
            <w:r w:rsidRPr="00D82BFE">
              <w:rPr>
                <w:sz w:val="22"/>
                <w:szCs w:val="22"/>
                <w:lang w:eastAsia="en-US"/>
              </w:rPr>
              <w:t>0.35</w:t>
            </w:r>
          </w:p>
        </w:tc>
      </w:tr>
    </w:tbl>
    <w:p w14:paraId="74A69D92" w14:textId="77777777" w:rsidR="00C51C13" w:rsidRDefault="00C51C13" w:rsidP="00367B09">
      <w:pPr>
        <w:autoSpaceDE w:val="0"/>
        <w:autoSpaceDN w:val="0"/>
        <w:adjustRightInd w:val="0"/>
        <w:jc w:val="both"/>
        <w:rPr>
          <w:rFonts w:eastAsia="SimSun"/>
          <w:lang w:eastAsia="zh-CN"/>
        </w:rPr>
      </w:pPr>
    </w:p>
    <w:p w14:paraId="02399FA3" w14:textId="01095573" w:rsidR="00094928" w:rsidRDefault="00AD656F" w:rsidP="00367B09">
      <w:pPr>
        <w:autoSpaceDE w:val="0"/>
        <w:autoSpaceDN w:val="0"/>
        <w:adjustRightInd w:val="0"/>
        <w:jc w:val="both"/>
        <w:rPr>
          <w:rFonts w:eastAsia="SimSun"/>
          <w:lang w:eastAsia="zh-CN"/>
        </w:rPr>
      </w:pPr>
      <w:r>
        <w:rPr>
          <w:rFonts w:eastAsia="SimSun"/>
          <w:lang w:eastAsia="zh-CN"/>
        </w:rPr>
        <w:t xml:space="preserve">Prior to undertaking the </w:t>
      </w:r>
      <w:r w:rsidR="004F3B68">
        <w:rPr>
          <w:rFonts w:eastAsia="SimSun"/>
          <w:lang w:eastAsia="zh-CN"/>
        </w:rPr>
        <w:t>p</w:t>
      </w:r>
      <w:r>
        <w:rPr>
          <w:rFonts w:eastAsia="SimSun"/>
          <w:lang w:eastAsia="zh-CN"/>
        </w:rPr>
        <w:t xml:space="preserve">ath </w:t>
      </w:r>
      <w:r w:rsidR="004F3B68">
        <w:rPr>
          <w:rFonts w:eastAsia="SimSun"/>
          <w:lang w:eastAsia="zh-CN"/>
        </w:rPr>
        <w:t>a</w:t>
      </w:r>
      <w:r>
        <w:rPr>
          <w:rFonts w:eastAsia="SimSun"/>
          <w:lang w:eastAsia="zh-CN"/>
        </w:rPr>
        <w:t>nalysis</w:t>
      </w:r>
      <w:r w:rsidR="004F3B68">
        <w:rPr>
          <w:rFonts w:eastAsia="SimSun"/>
          <w:lang w:eastAsia="zh-CN"/>
        </w:rPr>
        <w:t>,</w:t>
      </w:r>
      <w:r>
        <w:rPr>
          <w:rFonts w:eastAsia="SimSun"/>
          <w:lang w:eastAsia="zh-CN"/>
        </w:rPr>
        <w:t xml:space="preserve"> the inter-relationships between the various measures</w:t>
      </w:r>
      <w:r w:rsidR="00231FB0">
        <w:rPr>
          <w:rFonts w:eastAsia="SimSun"/>
          <w:lang w:eastAsia="zh-CN"/>
        </w:rPr>
        <w:t xml:space="preserve"> were assessed</w:t>
      </w:r>
      <w:r>
        <w:rPr>
          <w:rFonts w:eastAsia="SimSun"/>
          <w:lang w:eastAsia="zh-CN"/>
        </w:rPr>
        <w:t xml:space="preserve">.  </w:t>
      </w:r>
      <w:r w:rsidR="00D23F95" w:rsidRPr="00D23F95">
        <w:rPr>
          <w:rFonts w:eastAsia="SimSun"/>
          <w:color w:val="FF0000"/>
          <w:lang w:eastAsia="zh-CN"/>
        </w:rPr>
        <w:t>They were as follows: Rights with comfort r=.27; with capability r=0.49;  Community with comfort r=-.29; with rights r=-.03; with capability r=-.09.</w:t>
      </w:r>
      <w:r w:rsidR="00D23F95">
        <w:rPr>
          <w:rFonts w:eastAsia="SimSun"/>
          <w:color w:val="FF0000"/>
          <w:lang w:eastAsia="zh-CN"/>
        </w:rPr>
        <w:t xml:space="preserve">  </w:t>
      </w:r>
      <w:r>
        <w:rPr>
          <w:rFonts w:eastAsia="SimSun"/>
          <w:lang w:eastAsia="zh-CN"/>
        </w:rPr>
        <w:t xml:space="preserve">Although there </w:t>
      </w:r>
      <w:r w:rsidRPr="00CB7044">
        <w:rPr>
          <w:rFonts w:eastAsia="SimSun"/>
          <w:lang w:eastAsia="zh-CN"/>
        </w:rPr>
        <w:t xml:space="preserve">were </w:t>
      </w:r>
      <w:r w:rsidR="00B21097">
        <w:rPr>
          <w:rFonts w:eastAsia="SimSun"/>
          <w:lang w:eastAsia="zh-CN"/>
        </w:rPr>
        <w:t xml:space="preserve">some </w:t>
      </w:r>
      <w:r w:rsidRPr="00CB7044">
        <w:rPr>
          <w:rFonts w:eastAsia="SimSun"/>
          <w:lang w:eastAsia="zh-CN"/>
        </w:rPr>
        <w:t xml:space="preserve">statistically significant </w:t>
      </w:r>
      <w:r>
        <w:rPr>
          <w:rFonts w:eastAsia="SimSun"/>
          <w:lang w:eastAsia="zh-CN"/>
        </w:rPr>
        <w:t xml:space="preserve">correlations </w:t>
      </w:r>
      <w:r w:rsidR="00D23F95">
        <w:rPr>
          <w:rFonts w:eastAsia="SimSun"/>
          <w:lang w:eastAsia="zh-CN"/>
        </w:rPr>
        <w:t>among these m</w:t>
      </w:r>
      <w:r>
        <w:rPr>
          <w:rFonts w:eastAsia="SimSun"/>
          <w:lang w:eastAsia="zh-CN"/>
        </w:rPr>
        <w:t>easures</w:t>
      </w:r>
      <w:r w:rsidR="00D23F95">
        <w:rPr>
          <w:rFonts w:eastAsia="SimSun"/>
          <w:lang w:eastAsia="zh-CN"/>
        </w:rPr>
        <w:t xml:space="preserve">, </w:t>
      </w:r>
      <w:r w:rsidRPr="00CB7044">
        <w:rPr>
          <w:rFonts w:eastAsia="SimSun"/>
          <w:lang w:eastAsia="zh-CN"/>
        </w:rPr>
        <w:t xml:space="preserve">the relationships were not at a level to </w:t>
      </w:r>
      <w:r w:rsidR="00231FB0">
        <w:rPr>
          <w:rFonts w:eastAsia="SimSun"/>
          <w:lang w:eastAsia="zh-CN"/>
        </w:rPr>
        <w:t>indicate multicollinearity</w:t>
      </w:r>
      <w:r w:rsidR="004F3B68">
        <w:rPr>
          <w:rFonts w:eastAsia="SimSun"/>
          <w:lang w:eastAsia="zh-CN"/>
        </w:rPr>
        <w:t>.</w:t>
      </w:r>
    </w:p>
    <w:p w14:paraId="27215BFD" w14:textId="1793A2A5" w:rsidR="00A864DC" w:rsidRPr="00094928" w:rsidRDefault="00A864DC" w:rsidP="00367B09">
      <w:pPr>
        <w:autoSpaceDE w:val="0"/>
        <w:autoSpaceDN w:val="0"/>
        <w:adjustRightInd w:val="0"/>
        <w:jc w:val="both"/>
        <w:rPr>
          <w:rFonts w:eastAsia="SimSun"/>
          <w:b/>
        </w:rPr>
      </w:pPr>
      <w:r>
        <w:rPr>
          <w:rFonts w:eastAsia="SimSun"/>
          <w:lang w:eastAsia="zh-CN"/>
        </w:rPr>
        <w:t>The relationship</w:t>
      </w:r>
      <w:r w:rsidR="00604ED0">
        <w:rPr>
          <w:rFonts w:eastAsia="SimSun"/>
          <w:lang w:eastAsia="zh-CN"/>
        </w:rPr>
        <w:t>s</w:t>
      </w:r>
      <w:r>
        <w:rPr>
          <w:rFonts w:eastAsia="SimSun"/>
          <w:lang w:eastAsia="zh-CN"/>
        </w:rPr>
        <w:t xml:space="preserve"> between the demographic characteristics of respondents shown in table 2 and the two main outcome variables of rights and community acceptance w</w:t>
      </w:r>
      <w:r w:rsidR="00604ED0">
        <w:rPr>
          <w:rFonts w:eastAsia="SimSun"/>
          <w:lang w:eastAsia="zh-CN"/>
        </w:rPr>
        <w:t xml:space="preserve">ere </w:t>
      </w:r>
      <w:r>
        <w:rPr>
          <w:rFonts w:eastAsia="SimSun"/>
          <w:lang w:eastAsia="zh-CN"/>
        </w:rPr>
        <w:t xml:space="preserve"> explored using bivariate </w:t>
      </w:r>
      <w:r w:rsidR="00604ED0">
        <w:rPr>
          <w:rFonts w:eastAsia="SimSun"/>
          <w:lang w:eastAsia="zh-CN"/>
        </w:rPr>
        <w:t xml:space="preserve">analyses. These confirmed that age, marital status, parenting and  employment status were not significantly related and were not included in the model. </w:t>
      </w:r>
    </w:p>
    <w:p w14:paraId="40EAB473" w14:textId="0A4209B8" w:rsidR="00A621B7" w:rsidRPr="00AD656F" w:rsidRDefault="007850B6" w:rsidP="007850B6">
      <w:pPr>
        <w:pStyle w:val="Heading2"/>
        <w:rPr>
          <w:lang w:eastAsia="zh-CN"/>
        </w:rPr>
      </w:pPr>
      <w:r>
        <w:rPr>
          <w:lang w:eastAsia="zh-CN"/>
        </w:rPr>
        <w:t>3.</w:t>
      </w:r>
      <w:r w:rsidR="00A562F1">
        <w:rPr>
          <w:lang w:eastAsia="zh-CN"/>
        </w:rPr>
        <w:t>2</w:t>
      </w:r>
      <w:r>
        <w:rPr>
          <w:lang w:eastAsia="zh-CN"/>
        </w:rPr>
        <w:t xml:space="preserve"> </w:t>
      </w:r>
      <w:r w:rsidR="00A621B7">
        <w:rPr>
          <w:lang w:eastAsia="zh-CN"/>
        </w:rPr>
        <w:t>Path Analysis</w:t>
      </w:r>
      <w:r w:rsidR="00474F5D">
        <w:rPr>
          <w:lang w:eastAsia="zh-CN"/>
        </w:rPr>
        <w:t xml:space="preserve"> </w:t>
      </w:r>
    </w:p>
    <w:p w14:paraId="60C2480F" w14:textId="71031724" w:rsidR="0087367B" w:rsidRDefault="0087367B" w:rsidP="0087367B">
      <w:pPr>
        <w:jc w:val="both"/>
        <w:rPr>
          <w:rFonts w:eastAsia="SimSun"/>
          <w:lang w:eastAsia="zh-CN"/>
        </w:rPr>
      </w:pPr>
      <w:r w:rsidRPr="00CB7044">
        <w:rPr>
          <w:rFonts w:eastAsia="SimSun"/>
          <w:lang w:eastAsia="zh-CN"/>
        </w:rPr>
        <w:t xml:space="preserve">The model was stratified according to countries (and cities in the US) so that the path analysis model would be applicable within each </w:t>
      </w:r>
      <w:r>
        <w:rPr>
          <w:rFonts w:eastAsia="SimSun"/>
          <w:lang w:eastAsia="zh-CN"/>
        </w:rPr>
        <w:t>location’s</w:t>
      </w:r>
      <w:r w:rsidRPr="00CB7044">
        <w:rPr>
          <w:rFonts w:eastAsia="SimSun"/>
          <w:lang w:eastAsia="zh-CN"/>
        </w:rPr>
        <w:t xml:space="preserve"> data subset. The model portrayed in Figure 1 was a </w:t>
      </w:r>
      <w:r w:rsidR="0087579A">
        <w:rPr>
          <w:rFonts w:eastAsia="SimSun"/>
          <w:lang w:eastAsia="zh-CN"/>
        </w:rPr>
        <w:t xml:space="preserve">good </w:t>
      </w:r>
      <w:r w:rsidRPr="00CB7044">
        <w:rPr>
          <w:rFonts w:eastAsia="SimSun"/>
          <w:lang w:eastAsia="zh-CN"/>
        </w:rPr>
        <w:t xml:space="preserve">statistical fit for the data.  </w:t>
      </w:r>
      <w:r>
        <w:rPr>
          <w:rFonts w:eastAsia="SimSun"/>
          <w:lang w:eastAsia="zh-CN"/>
        </w:rPr>
        <w:t>A</w:t>
      </w:r>
      <w:r w:rsidRPr="00474F5D">
        <w:rPr>
          <w:rFonts w:eastAsia="SimSun"/>
          <w:lang w:eastAsia="zh-CN"/>
        </w:rPr>
        <w:t xml:space="preserve">ll </w:t>
      </w:r>
      <w:r>
        <w:rPr>
          <w:rFonts w:eastAsia="SimSun"/>
          <w:lang w:eastAsia="zh-CN"/>
        </w:rPr>
        <w:t xml:space="preserve">the </w:t>
      </w:r>
      <w:r w:rsidRPr="00474F5D">
        <w:rPr>
          <w:rFonts w:eastAsia="SimSun"/>
          <w:lang w:eastAsia="zh-CN"/>
        </w:rPr>
        <w:t xml:space="preserve">measures of fit </w:t>
      </w:r>
      <w:r>
        <w:rPr>
          <w:rFonts w:eastAsia="SimSun"/>
          <w:lang w:eastAsia="zh-CN"/>
        </w:rPr>
        <w:t>were a</w:t>
      </w:r>
      <w:r w:rsidRPr="00474F5D">
        <w:rPr>
          <w:rFonts w:eastAsia="SimSun"/>
          <w:lang w:eastAsia="zh-CN"/>
        </w:rPr>
        <w:t>t a statistically acceptable level</w:t>
      </w:r>
      <w:r>
        <w:rPr>
          <w:rFonts w:eastAsia="SimSun"/>
          <w:lang w:eastAsia="zh-CN"/>
        </w:rPr>
        <w:t xml:space="preserve">: </w:t>
      </w:r>
      <w:r w:rsidRPr="00CB7044">
        <w:rPr>
          <w:rFonts w:eastAsia="SimSun"/>
          <w:lang w:eastAsia="zh-CN"/>
        </w:rPr>
        <w:t xml:space="preserve">Chi-square test of model fit </w:t>
      </w:r>
      <w:r>
        <w:rPr>
          <w:rFonts w:eastAsia="SimSun"/>
          <w:lang w:eastAsia="zh-CN"/>
        </w:rPr>
        <w:t>=</w:t>
      </w:r>
      <w:r w:rsidR="006833A9">
        <w:rPr>
          <w:rFonts w:eastAsia="SimSun"/>
          <w:lang w:eastAsia="zh-CN"/>
        </w:rPr>
        <w:t>617</w:t>
      </w:r>
      <w:r w:rsidR="00267BFD">
        <w:rPr>
          <w:rFonts w:eastAsia="SimSun"/>
          <w:lang w:eastAsia="zh-CN"/>
        </w:rPr>
        <w:t>, df = 14</w:t>
      </w:r>
      <w:r w:rsidRPr="00CB7044">
        <w:rPr>
          <w:rFonts w:eastAsia="SimSun"/>
          <w:lang w:eastAsia="zh-CN"/>
        </w:rPr>
        <w:t>, p&gt;0.001</w:t>
      </w:r>
      <w:r>
        <w:rPr>
          <w:rFonts w:eastAsia="SimSun"/>
          <w:lang w:eastAsia="zh-CN"/>
        </w:rPr>
        <w:t xml:space="preserve">: </w:t>
      </w:r>
      <w:r w:rsidR="00267BFD">
        <w:rPr>
          <w:rFonts w:eastAsia="SimSun"/>
          <w:lang w:eastAsia="zh-CN"/>
        </w:rPr>
        <w:t>RMSEA = 0.0</w:t>
      </w:r>
      <w:r w:rsidR="006833A9">
        <w:rPr>
          <w:rFonts w:eastAsia="SimSun"/>
          <w:lang w:eastAsia="zh-CN"/>
        </w:rPr>
        <w:t>35</w:t>
      </w:r>
      <w:r>
        <w:rPr>
          <w:rFonts w:eastAsia="SimSun"/>
          <w:lang w:eastAsia="zh-CN"/>
        </w:rPr>
        <w:t>;</w:t>
      </w:r>
      <w:r w:rsidR="006833A9">
        <w:rPr>
          <w:rFonts w:eastAsia="SimSun"/>
          <w:lang w:eastAsia="zh-CN"/>
        </w:rPr>
        <w:t xml:space="preserve"> 90% RMSEA 0.033</w:t>
      </w:r>
      <w:r w:rsidRPr="00CB7044">
        <w:rPr>
          <w:rFonts w:eastAsia="SimSun"/>
          <w:lang w:eastAsia="zh-CN"/>
        </w:rPr>
        <w:t xml:space="preserve"> – </w:t>
      </w:r>
      <w:r w:rsidR="006833A9">
        <w:rPr>
          <w:rFonts w:eastAsia="SimSun"/>
          <w:lang w:eastAsia="zh-CN"/>
        </w:rPr>
        <w:t>0.037</w:t>
      </w:r>
      <w:r>
        <w:rPr>
          <w:rFonts w:eastAsia="SimSun"/>
          <w:lang w:eastAsia="zh-CN"/>
        </w:rPr>
        <w:t xml:space="preserve"> (Probability RMSEA &lt; 1.0); </w:t>
      </w:r>
      <w:r w:rsidR="006833A9">
        <w:rPr>
          <w:rFonts w:eastAsia="SimSun"/>
          <w:lang w:eastAsia="zh-CN"/>
        </w:rPr>
        <w:t>Confirmatory Fit Index = 0.99; TLI = 0.97</w:t>
      </w:r>
      <w:r>
        <w:rPr>
          <w:rFonts w:eastAsia="SimSun"/>
          <w:lang w:eastAsia="zh-CN"/>
        </w:rPr>
        <w:t xml:space="preserve">. </w:t>
      </w:r>
    </w:p>
    <w:p w14:paraId="6A92CCF8" w14:textId="006E6B2E" w:rsidR="00153D4B" w:rsidRPr="00153D4B" w:rsidRDefault="00153D4B" w:rsidP="00153D4B">
      <w:pPr>
        <w:jc w:val="center"/>
        <w:rPr>
          <w:rFonts w:eastAsia="SimSun"/>
          <w:i/>
          <w:iCs/>
          <w:lang w:eastAsia="zh-CN"/>
        </w:rPr>
      </w:pPr>
      <w:r w:rsidRPr="00153D4B">
        <w:rPr>
          <w:rFonts w:eastAsia="SimSun"/>
          <w:i/>
          <w:iCs/>
          <w:lang w:eastAsia="zh-CN"/>
        </w:rPr>
        <w:t>Insert Figure 1 about here</w:t>
      </w:r>
    </w:p>
    <w:p w14:paraId="7F5C3819" w14:textId="12D49B77" w:rsidR="005F425B" w:rsidRDefault="007A1D2A" w:rsidP="00F0631E">
      <w:pPr>
        <w:jc w:val="both"/>
        <w:rPr>
          <w:rFonts w:eastAsia="SimSun"/>
          <w:lang w:eastAsia="zh-CN"/>
        </w:rPr>
      </w:pPr>
      <w:r w:rsidRPr="00EE4137">
        <w:rPr>
          <w:rFonts w:eastAsia="SimSun"/>
          <w:lang w:eastAsia="zh-CN"/>
        </w:rPr>
        <w:t>The model e</w:t>
      </w:r>
      <w:r w:rsidR="005F425B" w:rsidRPr="00EE4137">
        <w:rPr>
          <w:rFonts w:eastAsia="SimSun"/>
          <w:lang w:eastAsia="zh-CN"/>
        </w:rPr>
        <w:t xml:space="preserve">xplained the following variance: </w:t>
      </w:r>
      <w:r w:rsidR="006833A9">
        <w:rPr>
          <w:rFonts w:eastAsia="SimSun"/>
          <w:lang w:eastAsia="zh-CN"/>
        </w:rPr>
        <w:t>Rights 52</w:t>
      </w:r>
      <w:r w:rsidR="00153D4B">
        <w:rPr>
          <w:rFonts w:eastAsia="SimSun"/>
          <w:lang w:eastAsia="zh-CN"/>
        </w:rPr>
        <w:t xml:space="preserve">%, </w:t>
      </w:r>
      <w:r w:rsidR="006833A9">
        <w:rPr>
          <w:rFonts w:eastAsia="SimSun"/>
          <w:lang w:eastAsia="zh-CN"/>
        </w:rPr>
        <w:t>Comfort 29</w:t>
      </w:r>
      <w:r w:rsidR="00BE4A5B">
        <w:rPr>
          <w:rFonts w:eastAsia="SimSun"/>
          <w:lang w:eastAsia="zh-CN"/>
        </w:rPr>
        <w:t xml:space="preserve">%, </w:t>
      </w:r>
      <w:r w:rsidR="006833A9">
        <w:rPr>
          <w:rFonts w:eastAsia="SimSun"/>
          <w:lang w:eastAsia="zh-CN"/>
        </w:rPr>
        <w:t>Special Olympics involvement 24</w:t>
      </w:r>
      <w:r w:rsidR="00153D4B">
        <w:rPr>
          <w:rFonts w:eastAsia="SimSun"/>
          <w:lang w:eastAsia="zh-CN"/>
        </w:rPr>
        <w:t>%</w:t>
      </w:r>
      <w:r w:rsidR="00BE4A5B">
        <w:rPr>
          <w:rFonts w:eastAsia="SimSun"/>
          <w:lang w:eastAsia="zh-CN"/>
        </w:rPr>
        <w:t xml:space="preserve">, </w:t>
      </w:r>
      <w:r w:rsidR="00153D4B">
        <w:rPr>
          <w:rFonts w:eastAsia="SimSun"/>
          <w:lang w:eastAsia="zh-CN"/>
        </w:rPr>
        <w:t xml:space="preserve">Community </w:t>
      </w:r>
      <w:r w:rsidR="005076B8">
        <w:rPr>
          <w:rFonts w:eastAsia="SimSun"/>
          <w:lang w:eastAsia="zh-CN"/>
        </w:rPr>
        <w:t>acceptance</w:t>
      </w:r>
      <w:r w:rsidR="00153D4B">
        <w:rPr>
          <w:rFonts w:eastAsia="SimSun"/>
          <w:lang w:eastAsia="zh-CN"/>
        </w:rPr>
        <w:t xml:space="preserve"> 12</w:t>
      </w:r>
      <w:r w:rsidR="00153D4B" w:rsidRPr="00EE4137">
        <w:rPr>
          <w:rFonts w:eastAsia="SimSun"/>
          <w:lang w:eastAsia="zh-CN"/>
        </w:rPr>
        <w:t>%</w:t>
      </w:r>
      <w:r w:rsidR="006833A9">
        <w:rPr>
          <w:rFonts w:eastAsia="SimSun"/>
          <w:lang w:eastAsia="zh-CN"/>
        </w:rPr>
        <w:t xml:space="preserve"> and Capable 2</w:t>
      </w:r>
      <w:r w:rsidR="00BE4A5B">
        <w:rPr>
          <w:rFonts w:eastAsia="SimSun"/>
          <w:lang w:eastAsia="zh-CN"/>
        </w:rPr>
        <w:t>%</w:t>
      </w:r>
      <w:r w:rsidR="005F425B" w:rsidRPr="00EE4137">
        <w:rPr>
          <w:rFonts w:eastAsia="SimSun"/>
          <w:lang w:eastAsia="zh-CN"/>
        </w:rPr>
        <w:t xml:space="preserve">.  Examination of the results show that the model could be further supplemented </w:t>
      </w:r>
      <w:r w:rsidR="00295769">
        <w:rPr>
          <w:rFonts w:eastAsia="SimSun"/>
          <w:lang w:eastAsia="zh-CN"/>
        </w:rPr>
        <w:t xml:space="preserve">in order </w:t>
      </w:r>
      <w:r w:rsidR="005F425B" w:rsidRPr="00EE4137">
        <w:rPr>
          <w:rFonts w:eastAsia="SimSun"/>
          <w:lang w:eastAsia="zh-CN"/>
        </w:rPr>
        <w:t>to explain a higher percentage of the variance</w:t>
      </w:r>
      <w:r w:rsidR="005076B8">
        <w:rPr>
          <w:rFonts w:eastAsia="SimSun"/>
          <w:lang w:eastAsia="zh-CN"/>
        </w:rPr>
        <w:t>; a point discussed later</w:t>
      </w:r>
      <w:r w:rsidR="005F425B" w:rsidRPr="00EE4137">
        <w:rPr>
          <w:rFonts w:eastAsia="SimSun"/>
          <w:lang w:eastAsia="zh-CN"/>
        </w:rPr>
        <w:t>.</w:t>
      </w:r>
    </w:p>
    <w:p w14:paraId="04E9F793" w14:textId="77777777" w:rsidR="006D4151" w:rsidRPr="00D82BFE" w:rsidRDefault="006D4151" w:rsidP="006D4151">
      <w:pPr>
        <w:spacing w:after="200" w:line="276" w:lineRule="auto"/>
        <w:rPr>
          <w:rFonts w:eastAsia="SimSun"/>
          <w:b/>
          <w:bCs/>
          <w:lang w:eastAsia="zh-CN"/>
        </w:rPr>
      </w:pPr>
      <w:r w:rsidRPr="00D82BFE">
        <w:rPr>
          <w:rFonts w:eastAsia="SimSun"/>
          <w:b/>
          <w:bCs/>
          <w:lang w:eastAsia="zh-CN"/>
        </w:rPr>
        <w:t xml:space="preserve">Figure 1 </w:t>
      </w:r>
    </w:p>
    <w:p w14:paraId="263A7CEA" w14:textId="002D33FA" w:rsidR="006D4151" w:rsidRPr="00D82BFE" w:rsidRDefault="006D4151" w:rsidP="006D4151">
      <w:pPr>
        <w:spacing w:after="200" w:line="276" w:lineRule="auto"/>
        <w:rPr>
          <w:rFonts w:eastAsia="SimSun"/>
          <w:i/>
          <w:iCs/>
          <w:lang w:eastAsia="zh-CN"/>
        </w:rPr>
      </w:pPr>
      <w:r w:rsidRPr="00D82BFE">
        <w:rPr>
          <w:rFonts w:eastAsia="SimSun"/>
          <w:i/>
          <w:iCs/>
          <w:lang w:eastAsia="zh-CN"/>
        </w:rPr>
        <w:t xml:space="preserve">The Inter-relationships among the Variables Predictive of the Rights and Community Acceptance of Persons with Intellectual Disability. </w:t>
      </w:r>
    </w:p>
    <w:p w14:paraId="015CD610" w14:textId="1B37BD93" w:rsidR="006D4151" w:rsidRDefault="006D4151" w:rsidP="002372EE">
      <w:pPr>
        <w:jc w:val="center"/>
        <w:rPr>
          <w:rFonts w:eastAsia="SimSun"/>
          <w:lang w:eastAsia="zh-CN"/>
        </w:rPr>
      </w:pPr>
      <w:r>
        <w:rPr>
          <w:noProof/>
          <w:lang w:val="en-GB"/>
        </w:rPr>
        <w:drawing>
          <wp:inline distT="0" distB="0" distL="0" distR="0" wp14:anchorId="22D01277" wp14:editId="24DCEAB2">
            <wp:extent cx="5288508" cy="365764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0538" cy="3672877"/>
                    </a:xfrm>
                    <a:prstGeom prst="rect">
                      <a:avLst/>
                    </a:prstGeom>
                    <a:noFill/>
                    <a:ln>
                      <a:noFill/>
                    </a:ln>
                  </pic:spPr>
                </pic:pic>
              </a:graphicData>
            </a:graphic>
          </wp:inline>
        </w:drawing>
      </w:r>
    </w:p>
    <w:p w14:paraId="776A9EB4" w14:textId="3018106A" w:rsidR="00001393" w:rsidRPr="00001393" w:rsidRDefault="006D4151" w:rsidP="00295769">
      <w:pPr>
        <w:spacing w:after="200" w:line="276" w:lineRule="auto"/>
        <w:jc w:val="center"/>
        <w:rPr>
          <w:rFonts w:eastAsia="SimSun"/>
          <w:sz w:val="22"/>
          <w:szCs w:val="22"/>
          <w:lang w:eastAsia="zh-CN"/>
        </w:rPr>
      </w:pPr>
      <w:r>
        <w:rPr>
          <w:rFonts w:eastAsia="SimSun"/>
          <w:b/>
          <w:bCs/>
          <w:lang w:eastAsia="zh-CN"/>
        </w:rPr>
        <w:t xml:space="preserve"> </w:t>
      </w:r>
      <w:r w:rsidR="00001393">
        <w:rPr>
          <w:rFonts w:eastAsia="SimSun"/>
          <w:b/>
          <w:bCs/>
          <w:lang w:eastAsia="zh-CN"/>
        </w:rPr>
        <w:t>(</w:t>
      </w:r>
      <w:r w:rsidR="00001393" w:rsidRPr="00001393">
        <w:rPr>
          <w:rFonts w:eastAsia="SimSun"/>
          <w:sz w:val="22"/>
          <w:szCs w:val="22"/>
          <w:lang w:eastAsia="zh-CN"/>
        </w:rPr>
        <w:t>Note: The solid line indicates a direct relationship with the outcome variables and the dotted line the significant relationships among the predictor variables.</w:t>
      </w:r>
      <w:r w:rsidR="00CC7074">
        <w:rPr>
          <w:rFonts w:eastAsia="SimSun"/>
          <w:sz w:val="22"/>
          <w:szCs w:val="22"/>
          <w:lang w:eastAsia="zh-CN"/>
        </w:rPr>
        <w:t xml:space="preserve">  The </w:t>
      </w:r>
      <w:r w:rsidR="00604ED0">
        <w:rPr>
          <w:rFonts w:eastAsia="SimSun"/>
          <w:sz w:val="22"/>
          <w:szCs w:val="22"/>
          <w:lang w:eastAsia="zh-CN"/>
        </w:rPr>
        <w:t xml:space="preserve">emergent </w:t>
      </w:r>
      <w:r w:rsidR="00CC7074">
        <w:rPr>
          <w:rFonts w:eastAsia="SimSun"/>
          <w:sz w:val="22"/>
          <w:szCs w:val="22"/>
          <w:lang w:eastAsia="zh-CN"/>
        </w:rPr>
        <w:t>mediating variables are grouped in the middle of the Figure.</w:t>
      </w:r>
      <w:r w:rsidR="00001393" w:rsidRPr="00001393">
        <w:rPr>
          <w:rFonts w:eastAsia="SimSun"/>
          <w:sz w:val="22"/>
          <w:szCs w:val="22"/>
          <w:lang w:eastAsia="zh-CN"/>
        </w:rPr>
        <w:t>)</w:t>
      </w:r>
    </w:p>
    <w:p w14:paraId="31F9DC39" w14:textId="77777777" w:rsidR="002372EE" w:rsidRDefault="000B65E6" w:rsidP="0087367B">
      <w:pPr>
        <w:jc w:val="both"/>
        <w:rPr>
          <w:rFonts w:eastAsia="SimSun"/>
          <w:lang w:eastAsia="zh-CN"/>
        </w:rPr>
      </w:pPr>
      <w:r>
        <w:rPr>
          <w:rFonts w:eastAsia="SimSun"/>
          <w:lang w:eastAsia="zh-CN"/>
        </w:rPr>
        <w:t>Table 4 summarises t</w:t>
      </w:r>
      <w:r w:rsidR="00EE4137">
        <w:rPr>
          <w:rFonts w:eastAsia="SimSun"/>
          <w:lang w:eastAsia="zh-CN"/>
        </w:rPr>
        <w:t xml:space="preserve">he relationship, direction </w:t>
      </w:r>
      <w:r w:rsidR="0087367B" w:rsidRPr="00474F5D">
        <w:rPr>
          <w:rFonts w:eastAsia="SimSun"/>
          <w:lang w:eastAsia="zh-CN"/>
        </w:rPr>
        <w:t xml:space="preserve">and </w:t>
      </w:r>
      <w:r w:rsidR="0087367B">
        <w:rPr>
          <w:rFonts w:eastAsia="SimSun"/>
          <w:lang w:eastAsia="zh-CN"/>
        </w:rPr>
        <w:t xml:space="preserve">the </w:t>
      </w:r>
      <w:r w:rsidR="0087367B" w:rsidRPr="00474F5D">
        <w:rPr>
          <w:rFonts w:eastAsia="SimSun"/>
          <w:lang w:eastAsia="zh-CN"/>
        </w:rPr>
        <w:t xml:space="preserve">strength of </w:t>
      </w:r>
      <w:r>
        <w:rPr>
          <w:rFonts w:eastAsia="SimSun"/>
          <w:lang w:eastAsia="zh-CN"/>
        </w:rPr>
        <w:t>inter-relationships in the final model.</w:t>
      </w:r>
      <w:r w:rsidR="0087367B" w:rsidRPr="00474F5D">
        <w:rPr>
          <w:rFonts w:eastAsia="SimSun"/>
          <w:lang w:eastAsia="zh-CN"/>
        </w:rPr>
        <w:t xml:space="preserve"> </w:t>
      </w:r>
    </w:p>
    <w:p w14:paraId="041A974F" w14:textId="74481FD6" w:rsidR="005A1CDF" w:rsidRPr="00D82BFE" w:rsidRDefault="00662E1D" w:rsidP="005A1CDF">
      <w:pPr>
        <w:spacing w:after="200" w:line="276" w:lineRule="auto"/>
        <w:rPr>
          <w:b/>
        </w:rPr>
      </w:pPr>
      <w:r w:rsidRPr="00D82BFE">
        <w:rPr>
          <w:b/>
        </w:rPr>
        <w:t xml:space="preserve">Table </w:t>
      </w:r>
      <w:r w:rsidR="001D725C" w:rsidRPr="00D82BFE">
        <w:rPr>
          <w:b/>
        </w:rPr>
        <w:t>4</w:t>
      </w:r>
      <w:r w:rsidRPr="00D82BFE">
        <w:rPr>
          <w:b/>
        </w:rPr>
        <w:t xml:space="preserve">  </w:t>
      </w:r>
    </w:p>
    <w:p w14:paraId="58978DD9" w14:textId="50EC4659" w:rsidR="00662E1D" w:rsidRPr="00D82BFE" w:rsidRDefault="00662E1D" w:rsidP="005A1CDF">
      <w:pPr>
        <w:spacing w:after="200" w:line="276" w:lineRule="auto"/>
        <w:rPr>
          <w:bCs/>
          <w:i/>
          <w:iCs/>
        </w:rPr>
      </w:pPr>
      <w:r w:rsidRPr="00D82BFE">
        <w:rPr>
          <w:bCs/>
          <w:i/>
          <w:iCs/>
        </w:rPr>
        <w:t xml:space="preserve">Relationship between </w:t>
      </w:r>
      <w:r w:rsidR="005A1CDF" w:rsidRPr="00D82BFE">
        <w:rPr>
          <w:bCs/>
          <w:i/>
          <w:iCs/>
        </w:rPr>
        <w:t>E</w:t>
      </w:r>
      <w:r w:rsidRPr="00D82BFE">
        <w:rPr>
          <w:bCs/>
          <w:i/>
          <w:iCs/>
        </w:rPr>
        <w:t xml:space="preserve">xogenous and </w:t>
      </w:r>
      <w:r w:rsidR="005A1CDF" w:rsidRPr="00D82BFE">
        <w:rPr>
          <w:bCs/>
          <w:i/>
          <w:iCs/>
        </w:rPr>
        <w:t>E</w:t>
      </w:r>
      <w:r w:rsidRPr="00D82BFE">
        <w:rPr>
          <w:bCs/>
          <w:i/>
          <w:iCs/>
        </w:rPr>
        <w:t xml:space="preserve">ndogenous </w:t>
      </w:r>
      <w:r w:rsidR="005A1CDF" w:rsidRPr="00D82BFE">
        <w:rPr>
          <w:bCs/>
          <w:i/>
          <w:iCs/>
        </w:rPr>
        <w:t>V</w:t>
      </w:r>
      <w:r w:rsidRPr="00D82BFE">
        <w:rPr>
          <w:bCs/>
          <w:i/>
          <w:iCs/>
        </w:rPr>
        <w:t xml:space="preserve">ariables in </w:t>
      </w:r>
      <w:r w:rsidR="000B65E6" w:rsidRPr="00D82BFE">
        <w:rPr>
          <w:bCs/>
          <w:i/>
          <w:iCs/>
        </w:rPr>
        <w:t xml:space="preserve">the </w:t>
      </w:r>
      <w:r w:rsidRPr="00D82BFE">
        <w:rPr>
          <w:bCs/>
          <w:i/>
          <w:iCs/>
        </w:rPr>
        <w:t>Path Analysis model</w:t>
      </w:r>
    </w:p>
    <w:tbl>
      <w:tblPr>
        <w:tblStyle w:val="TableGrid"/>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1607"/>
        <w:gridCol w:w="1607"/>
        <w:gridCol w:w="1606"/>
        <w:gridCol w:w="1607"/>
        <w:gridCol w:w="1607"/>
      </w:tblGrid>
      <w:tr w:rsidR="00D82BFE" w:rsidRPr="00D82BFE" w14:paraId="0DF4E686" w14:textId="03F3EB07" w:rsidTr="005A1CDF">
        <w:trPr>
          <w:trHeight w:val="498"/>
        </w:trPr>
        <w:tc>
          <w:tcPr>
            <w:tcW w:w="1606" w:type="dxa"/>
            <w:tcBorders>
              <w:top w:val="single" w:sz="4" w:space="0" w:color="auto"/>
              <w:bottom w:val="single" w:sz="4" w:space="0" w:color="auto"/>
            </w:tcBorders>
          </w:tcPr>
          <w:p w14:paraId="49299772" w14:textId="3D23BD44" w:rsidR="00001393" w:rsidRPr="00D82BFE" w:rsidRDefault="00001393" w:rsidP="00001393">
            <w:pPr>
              <w:spacing w:before="60" w:after="60" w:line="240" w:lineRule="auto"/>
              <w:jc w:val="center"/>
              <w:rPr>
                <w:b/>
                <w:sz w:val="22"/>
                <w:szCs w:val="22"/>
              </w:rPr>
            </w:pPr>
            <w:r w:rsidRPr="00D82BFE">
              <w:rPr>
                <w:b/>
                <w:sz w:val="22"/>
                <w:szCs w:val="22"/>
              </w:rPr>
              <w:t>Rights         on</w:t>
            </w:r>
          </w:p>
        </w:tc>
        <w:tc>
          <w:tcPr>
            <w:tcW w:w="1607" w:type="dxa"/>
            <w:tcBorders>
              <w:top w:val="single" w:sz="4" w:space="0" w:color="auto"/>
              <w:bottom w:val="single" w:sz="4" w:space="0" w:color="auto"/>
            </w:tcBorders>
          </w:tcPr>
          <w:p w14:paraId="15772C69" w14:textId="47575ED9" w:rsidR="00001393" w:rsidRPr="00D82BFE" w:rsidRDefault="00001393" w:rsidP="00001393">
            <w:pPr>
              <w:spacing w:before="60" w:after="60" w:line="240" w:lineRule="auto"/>
              <w:jc w:val="center"/>
              <w:rPr>
                <w:b/>
                <w:sz w:val="22"/>
                <w:szCs w:val="22"/>
              </w:rPr>
            </w:pPr>
            <w:r w:rsidRPr="00D82BFE">
              <w:rPr>
                <w:b/>
                <w:sz w:val="22"/>
                <w:szCs w:val="22"/>
              </w:rPr>
              <w:t>Community Acceptance on</w:t>
            </w:r>
          </w:p>
        </w:tc>
        <w:tc>
          <w:tcPr>
            <w:tcW w:w="1607" w:type="dxa"/>
            <w:tcBorders>
              <w:top w:val="single" w:sz="4" w:space="0" w:color="auto"/>
              <w:bottom w:val="single" w:sz="4" w:space="0" w:color="auto"/>
            </w:tcBorders>
          </w:tcPr>
          <w:p w14:paraId="53C6456C" w14:textId="35B7A8C3" w:rsidR="00001393" w:rsidRPr="00D82BFE" w:rsidRDefault="00001393" w:rsidP="00001393">
            <w:pPr>
              <w:spacing w:before="60" w:after="60" w:line="240" w:lineRule="auto"/>
              <w:jc w:val="center"/>
              <w:rPr>
                <w:b/>
                <w:sz w:val="22"/>
                <w:szCs w:val="22"/>
              </w:rPr>
            </w:pPr>
            <w:r w:rsidRPr="00D82BFE">
              <w:rPr>
                <w:b/>
                <w:sz w:val="22"/>
                <w:szCs w:val="22"/>
              </w:rPr>
              <w:t>Comfort     on</w:t>
            </w:r>
          </w:p>
        </w:tc>
        <w:tc>
          <w:tcPr>
            <w:tcW w:w="1606" w:type="dxa"/>
            <w:tcBorders>
              <w:top w:val="single" w:sz="4" w:space="0" w:color="auto"/>
              <w:bottom w:val="single" w:sz="4" w:space="0" w:color="auto"/>
            </w:tcBorders>
          </w:tcPr>
          <w:p w14:paraId="3DB45E18" w14:textId="38816852" w:rsidR="00001393" w:rsidRPr="00D82BFE" w:rsidRDefault="005A1CDF" w:rsidP="00001393">
            <w:pPr>
              <w:spacing w:before="60" w:after="60" w:line="240" w:lineRule="auto"/>
              <w:jc w:val="center"/>
              <w:rPr>
                <w:b/>
                <w:sz w:val="22"/>
                <w:szCs w:val="22"/>
              </w:rPr>
            </w:pPr>
            <w:r w:rsidRPr="00D82BFE">
              <w:rPr>
                <w:b/>
                <w:sz w:val="22"/>
                <w:szCs w:val="22"/>
              </w:rPr>
              <w:t>Engagement</w:t>
            </w:r>
            <w:r w:rsidR="00001393" w:rsidRPr="00D82BFE">
              <w:rPr>
                <w:b/>
                <w:sz w:val="22"/>
                <w:szCs w:val="22"/>
              </w:rPr>
              <w:t xml:space="preserve"> Special Olympics on</w:t>
            </w:r>
          </w:p>
        </w:tc>
        <w:tc>
          <w:tcPr>
            <w:tcW w:w="1607" w:type="dxa"/>
            <w:tcBorders>
              <w:top w:val="single" w:sz="4" w:space="0" w:color="auto"/>
              <w:bottom w:val="single" w:sz="4" w:space="0" w:color="auto"/>
            </w:tcBorders>
          </w:tcPr>
          <w:p w14:paraId="5BA3D38B" w14:textId="61D21D73" w:rsidR="00001393" w:rsidRPr="00D82BFE" w:rsidRDefault="00001393" w:rsidP="00001393">
            <w:pPr>
              <w:spacing w:before="60" w:after="60" w:line="240" w:lineRule="auto"/>
              <w:jc w:val="center"/>
              <w:rPr>
                <w:b/>
                <w:sz w:val="22"/>
                <w:szCs w:val="22"/>
              </w:rPr>
            </w:pPr>
            <w:r w:rsidRPr="00D82BFE">
              <w:rPr>
                <w:b/>
                <w:sz w:val="22"/>
                <w:szCs w:val="22"/>
              </w:rPr>
              <w:t>Capability  on</w:t>
            </w:r>
          </w:p>
        </w:tc>
        <w:tc>
          <w:tcPr>
            <w:tcW w:w="1607" w:type="dxa"/>
            <w:tcBorders>
              <w:top w:val="single" w:sz="4" w:space="0" w:color="auto"/>
              <w:bottom w:val="single" w:sz="4" w:space="0" w:color="auto"/>
            </w:tcBorders>
          </w:tcPr>
          <w:p w14:paraId="3F8C0C36" w14:textId="37DB3D88" w:rsidR="00001393" w:rsidRPr="00D82BFE" w:rsidRDefault="00001393" w:rsidP="00001393">
            <w:pPr>
              <w:spacing w:before="60" w:after="60" w:line="240" w:lineRule="auto"/>
              <w:jc w:val="center"/>
              <w:rPr>
                <w:b/>
                <w:sz w:val="22"/>
                <w:szCs w:val="22"/>
              </w:rPr>
            </w:pPr>
            <w:r w:rsidRPr="00D82BFE">
              <w:rPr>
                <w:b/>
                <w:sz w:val="22"/>
                <w:szCs w:val="22"/>
              </w:rPr>
              <w:t>IHDI            on</w:t>
            </w:r>
          </w:p>
        </w:tc>
      </w:tr>
      <w:tr w:rsidR="00D82BFE" w:rsidRPr="00D82BFE" w14:paraId="3EAA522A" w14:textId="7ABD54F2" w:rsidTr="005A1CDF">
        <w:trPr>
          <w:trHeight w:val="513"/>
        </w:trPr>
        <w:tc>
          <w:tcPr>
            <w:tcW w:w="1606" w:type="dxa"/>
            <w:tcBorders>
              <w:top w:val="single" w:sz="4" w:space="0" w:color="auto"/>
            </w:tcBorders>
          </w:tcPr>
          <w:p w14:paraId="073C57A8" w14:textId="4052C206" w:rsidR="00001393" w:rsidRPr="00D82BFE" w:rsidRDefault="00001393" w:rsidP="00001393">
            <w:pPr>
              <w:spacing w:before="60" w:after="60" w:line="240" w:lineRule="auto"/>
              <w:jc w:val="center"/>
              <w:rPr>
                <w:sz w:val="22"/>
                <w:szCs w:val="22"/>
              </w:rPr>
            </w:pPr>
            <w:r w:rsidRPr="00D82BFE">
              <w:rPr>
                <w:sz w:val="22"/>
                <w:szCs w:val="22"/>
              </w:rPr>
              <w:t>Capability (0.41)</w:t>
            </w:r>
          </w:p>
        </w:tc>
        <w:tc>
          <w:tcPr>
            <w:tcW w:w="1607" w:type="dxa"/>
            <w:tcBorders>
              <w:top w:val="single" w:sz="4" w:space="0" w:color="auto"/>
            </w:tcBorders>
          </w:tcPr>
          <w:p w14:paraId="56318DBE" w14:textId="2FC0142D" w:rsidR="00001393" w:rsidRPr="00D82BFE" w:rsidRDefault="00001393" w:rsidP="00001393">
            <w:pPr>
              <w:spacing w:before="60" w:after="60" w:line="240" w:lineRule="auto"/>
              <w:jc w:val="center"/>
              <w:rPr>
                <w:sz w:val="22"/>
                <w:szCs w:val="22"/>
              </w:rPr>
            </w:pPr>
            <w:r w:rsidRPr="00D82BFE">
              <w:rPr>
                <w:sz w:val="22"/>
                <w:szCs w:val="22"/>
              </w:rPr>
              <w:t>Comfort        (-0.27)</w:t>
            </w:r>
          </w:p>
        </w:tc>
        <w:tc>
          <w:tcPr>
            <w:tcW w:w="1607" w:type="dxa"/>
            <w:tcBorders>
              <w:top w:val="single" w:sz="4" w:space="0" w:color="auto"/>
            </w:tcBorders>
          </w:tcPr>
          <w:p w14:paraId="693E1DAA" w14:textId="16EC88C1" w:rsidR="00001393" w:rsidRPr="00D82BFE" w:rsidRDefault="00001393" w:rsidP="00001393">
            <w:pPr>
              <w:spacing w:before="60" w:after="60" w:line="240" w:lineRule="auto"/>
              <w:jc w:val="center"/>
              <w:rPr>
                <w:sz w:val="22"/>
                <w:szCs w:val="22"/>
              </w:rPr>
            </w:pPr>
            <w:r w:rsidRPr="00D82BFE">
              <w:rPr>
                <w:sz w:val="22"/>
                <w:szCs w:val="22"/>
              </w:rPr>
              <w:t>Capability (0.29)</w:t>
            </w:r>
          </w:p>
        </w:tc>
        <w:tc>
          <w:tcPr>
            <w:tcW w:w="1606" w:type="dxa"/>
            <w:tcBorders>
              <w:top w:val="single" w:sz="4" w:space="0" w:color="auto"/>
            </w:tcBorders>
          </w:tcPr>
          <w:p w14:paraId="1D2B6D39" w14:textId="53F4FFE7" w:rsidR="00001393" w:rsidRPr="00D82BFE" w:rsidRDefault="00001393" w:rsidP="00001393">
            <w:pPr>
              <w:spacing w:before="60" w:after="60" w:line="240" w:lineRule="auto"/>
              <w:jc w:val="center"/>
              <w:rPr>
                <w:sz w:val="22"/>
                <w:szCs w:val="22"/>
              </w:rPr>
            </w:pPr>
            <w:r w:rsidRPr="00D82BFE">
              <w:rPr>
                <w:sz w:val="22"/>
                <w:szCs w:val="22"/>
              </w:rPr>
              <w:t>Education (0.05)</w:t>
            </w:r>
          </w:p>
        </w:tc>
        <w:tc>
          <w:tcPr>
            <w:tcW w:w="1607" w:type="dxa"/>
            <w:tcBorders>
              <w:top w:val="single" w:sz="4" w:space="0" w:color="auto"/>
            </w:tcBorders>
          </w:tcPr>
          <w:p w14:paraId="30FB8B9E" w14:textId="4B8A8C0B" w:rsidR="00001393" w:rsidRPr="00D82BFE" w:rsidRDefault="00001393" w:rsidP="00001393">
            <w:pPr>
              <w:spacing w:before="60" w:after="60" w:line="240" w:lineRule="auto"/>
              <w:jc w:val="center"/>
              <w:rPr>
                <w:sz w:val="22"/>
                <w:szCs w:val="22"/>
              </w:rPr>
            </w:pPr>
            <w:r w:rsidRPr="00D82BFE">
              <w:rPr>
                <w:sz w:val="22"/>
                <w:szCs w:val="22"/>
              </w:rPr>
              <w:t>ISO          (0.26)</w:t>
            </w:r>
          </w:p>
        </w:tc>
        <w:tc>
          <w:tcPr>
            <w:tcW w:w="1607" w:type="dxa"/>
            <w:tcBorders>
              <w:top w:val="single" w:sz="4" w:space="0" w:color="auto"/>
            </w:tcBorders>
          </w:tcPr>
          <w:p w14:paraId="4C70C63E" w14:textId="61023A0E" w:rsidR="00001393" w:rsidRPr="00D82BFE" w:rsidRDefault="00001393" w:rsidP="00001393">
            <w:pPr>
              <w:spacing w:before="60" w:after="60" w:line="240" w:lineRule="auto"/>
              <w:jc w:val="center"/>
              <w:rPr>
                <w:sz w:val="22"/>
                <w:szCs w:val="22"/>
              </w:rPr>
            </w:pPr>
            <w:r w:rsidRPr="00D82BFE">
              <w:rPr>
                <w:sz w:val="22"/>
                <w:szCs w:val="22"/>
              </w:rPr>
              <w:t>Capability (0.01)</w:t>
            </w:r>
          </w:p>
        </w:tc>
      </w:tr>
      <w:tr w:rsidR="00D82BFE" w:rsidRPr="00D82BFE" w14:paraId="6A219F4A" w14:textId="1D721BF5" w:rsidTr="005A1CDF">
        <w:trPr>
          <w:trHeight w:val="498"/>
        </w:trPr>
        <w:tc>
          <w:tcPr>
            <w:tcW w:w="1606" w:type="dxa"/>
          </w:tcPr>
          <w:p w14:paraId="271EF565" w14:textId="0D856CD2" w:rsidR="00001393" w:rsidRPr="00D82BFE" w:rsidRDefault="00001393" w:rsidP="00001393">
            <w:pPr>
              <w:spacing w:before="60" w:after="60" w:line="240" w:lineRule="auto"/>
              <w:jc w:val="center"/>
              <w:rPr>
                <w:sz w:val="22"/>
                <w:szCs w:val="22"/>
              </w:rPr>
            </w:pPr>
            <w:r w:rsidRPr="00D82BFE">
              <w:rPr>
                <w:sz w:val="22"/>
                <w:szCs w:val="22"/>
              </w:rPr>
              <w:t>Community   (-0.07)</w:t>
            </w:r>
          </w:p>
        </w:tc>
        <w:tc>
          <w:tcPr>
            <w:tcW w:w="1607" w:type="dxa"/>
          </w:tcPr>
          <w:p w14:paraId="1484FF1C" w14:textId="123DA85B" w:rsidR="00001393" w:rsidRPr="00D82BFE" w:rsidRDefault="00001393" w:rsidP="00001393">
            <w:pPr>
              <w:spacing w:before="60" w:after="60" w:line="240" w:lineRule="auto"/>
              <w:jc w:val="center"/>
              <w:rPr>
                <w:sz w:val="22"/>
                <w:szCs w:val="22"/>
              </w:rPr>
            </w:pPr>
            <w:r w:rsidRPr="00D82BFE">
              <w:rPr>
                <w:sz w:val="22"/>
                <w:szCs w:val="22"/>
              </w:rPr>
              <w:t>Education     (-0.20)</w:t>
            </w:r>
          </w:p>
        </w:tc>
        <w:tc>
          <w:tcPr>
            <w:tcW w:w="1607" w:type="dxa"/>
          </w:tcPr>
          <w:p w14:paraId="4A61564E" w14:textId="1EE4CD62" w:rsidR="00001393" w:rsidRPr="00D82BFE" w:rsidRDefault="00001393" w:rsidP="00001393">
            <w:pPr>
              <w:spacing w:before="60" w:after="60" w:line="240" w:lineRule="auto"/>
              <w:jc w:val="center"/>
              <w:rPr>
                <w:sz w:val="22"/>
                <w:szCs w:val="22"/>
              </w:rPr>
            </w:pPr>
            <w:r w:rsidRPr="00D82BFE">
              <w:rPr>
                <w:sz w:val="22"/>
                <w:szCs w:val="22"/>
              </w:rPr>
              <w:t>ISO               (-0.01)</w:t>
            </w:r>
          </w:p>
        </w:tc>
        <w:tc>
          <w:tcPr>
            <w:tcW w:w="1606" w:type="dxa"/>
          </w:tcPr>
          <w:p w14:paraId="62269C88" w14:textId="790A25B2" w:rsidR="00001393" w:rsidRPr="00D82BFE" w:rsidRDefault="00001393" w:rsidP="00001393">
            <w:pPr>
              <w:spacing w:before="60" w:after="60" w:line="240" w:lineRule="auto"/>
              <w:jc w:val="center"/>
              <w:rPr>
                <w:sz w:val="22"/>
                <w:szCs w:val="22"/>
              </w:rPr>
            </w:pPr>
            <w:r w:rsidRPr="00D82BFE">
              <w:rPr>
                <w:sz w:val="22"/>
                <w:szCs w:val="22"/>
              </w:rPr>
              <w:t>Contact (0.19)</w:t>
            </w:r>
          </w:p>
        </w:tc>
        <w:tc>
          <w:tcPr>
            <w:tcW w:w="1607" w:type="dxa"/>
          </w:tcPr>
          <w:p w14:paraId="69B8D8E3" w14:textId="2609D46A" w:rsidR="00001393" w:rsidRPr="00D82BFE" w:rsidRDefault="00001393" w:rsidP="00001393">
            <w:pPr>
              <w:spacing w:before="60" w:after="60" w:line="240" w:lineRule="auto"/>
              <w:jc w:val="center"/>
              <w:rPr>
                <w:sz w:val="22"/>
                <w:szCs w:val="22"/>
              </w:rPr>
            </w:pPr>
            <w:r w:rsidRPr="00D82BFE">
              <w:rPr>
                <w:sz w:val="22"/>
                <w:szCs w:val="22"/>
              </w:rPr>
              <w:t>Contact        (-2.40)</w:t>
            </w:r>
          </w:p>
        </w:tc>
        <w:tc>
          <w:tcPr>
            <w:tcW w:w="1607" w:type="dxa"/>
          </w:tcPr>
          <w:p w14:paraId="3DA73AE7" w14:textId="18B78F14" w:rsidR="00001393" w:rsidRPr="00D82BFE" w:rsidRDefault="00001393" w:rsidP="00001393">
            <w:pPr>
              <w:spacing w:before="60" w:after="60" w:line="240" w:lineRule="auto"/>
              <w:jc w:val="center"/>
              <w:rPr>
                <w:sz w:val="22"/>
                <w:szCs w:val="22"/>
              </w:rPr>
            </w:pPr>
            <w:r w:rsidRPr="00D82BFE">
              <w:rPr>
                <w:sz w:val="22"/>
                <w:szCs w:val="22"/>
              </w:rPr>
              <w:t>ISO               (-0.30)</w:t>
            </w:r>
          </w:p>
        </w:tc>
      </w:tr>
      <w:tr w:rsidR="00D82BFE" w:rsidRPr="00D82BFE" w14:paraId="42A2E16D" w14:textId="538B92E6" w:rsidTr="005A1CDF">
        <w:trPr>
          <w:trHeight w:val="513"/>
        </w:trPr>
        <w:tc>
          <w:tcPr>
            <w:tcW w:w="1606" w:type="dxa"/>
          </w:tcPr>
          <w:p w14:paraId="26E8BED0" w14:textId="5C33C0AE" w:rsidR="00001393" w:rsidRPr="00D82BFE" w:rsidRDefault="00001393" w:rsidP="00001393">
            <w:pPr>
              <w:spacing w:before="60" w:after="60" w:line="240" w:lineRule="auto"/>
              <w:jc w:val="center"/>
              <w:rPr>
                <w:sz w:val="22"/>
                <w:szCs w:val="22"/>
              </w:rPr>
            </w:pPr>
            <w:r w:rsidRPr="00D82BFE">
              <w:rPr>
                <w:sz w:val="22"/>
                <w:szCs w:val="22"/>
              </w:rPr>
              <w:t>IHDI              (-0.56)</w:t>
            </w:r>
          </w:p>
        </w:tc>
        <w:tc>
          <w:tcPr>
            <w:tcW w:w="1607" w:type="dxa"/>
          </w:tcPr>
          <w:p w14:paraId="015A89F2" w14:textId="171BF2C8" w:rsidR="00001393" w:rsidRPr="00D82BFE" w:rsidRDefault="00001393" w:rsidP="00001393">
            <w:pPr>
              <w:spacing w:before="60" w:after="60" w:line="240" w:lineRule="auto"/>
              <w:jc w:val="center"/>
              <w:rPr>
                <w:sz w:val="22"/>
                <w:szCs w:val="22"/>
              </w:rPr>
            </w:pPr>
            <w:r w:rsidRPr="00D82BFE">
              <w:rPr>
                <w:sz w:val="22"/>
                <w:szCs w:val="22"/>
              </w:rPr>
              <w:t>IHDI       (0.76)</w:t>
            </w:r>
          </w:p>
        </w:tc>
        <w:tc>
          <w:tcPr>
            <w:tcW w:w="1607" w:type="dxa"/>
          </w:tcPr>
          <w:p w14:paraId="416DA156" w14:textId="273A1251" w:rsidR="00001393" w:rsidRPr="00D82BFE" w:rsidRDefault="00001393" w:rsidP="00001393">
            <w:pPr>
              <w:spacing w:before="60" w:after="60" w:line="240" w:lineRule="auto"/>
              <w:jc w:val="center"/>
              <w:rPr>
                <w:sz w:val="22"/>
                <w:szCs w:val="22"/>
              </w:rPr>
            </w:pPr>
            <w:r w:rsidRPr="00D82BFE">
              <w:rPr>
                <w:sz w:val="22"/>
                <w:szCs w:val="22"/>
              </w:rPr>
              <w:t>Contact</w:t>
            </w:r>
          </w:p>
          <w:p w14:paraId="0202D371" w14:textId="25D32999" w:rsidR="00001393" w:rsidRPr="00D82BFE" w:rsidRDefault="00001393" w:rsidP="00001393">
            <w:pPr>
              <w:spacing w:before="60" w:after="60" w:line="240" w:lineRule="auto"/>
              <w:jc w:val="center"/>
              <w:rPr>
                <w:sz w:val="22"/>
                <w:szCs w:val="22"/>
              </w:rPr>
            </w:pPr>
            <w:r w:rsidRPr="00D82BFE">
              <w:rPr>
                <w:sz w:val="22"/>
                <w:szCs w:val="22"/>
              </w:rPr>
              <w:t>(-2.22)</w:t>
            </w:r>
          </w:p>
        </w:tc>
        <w:tc>
          <w:tcPr>
            <w:tcW w:w="1606" w:type="dxa"/>
          </w:tcPr>
          <w:p w14:paraId="5A309004" w14:textId="26E3AA46" w:rsidR="00001393" w:rsidRPr="00D82BFE" w:rsidRDefault="00001393" w:rsidP="00001393">
            <w:pPr>
              <w:spacing w:before="60" w:after="60" w:line="240" w:lineRule="auto"/>
              <w:jc w:val="center"/>
              <w:rPr>
                <w:sz w:val="22"/>
                <w:szCs w:val="22"/>
              </w:rPr>
            </w:pPr>
            <w:r w:rsidRPr="00D82BFE">
              <w:rPr>
                <w:sz w:val="22"/>
                <w:szCs w:val="22"/>
              </w:rPr>
              <w:t>Comfort        (-0.01)</w:t>
            </w:r>
          </w:p>
        </w:tc>
        <w:tc>
          <w:tcPr>
            <w:tcW w:w="1607" w:type="dxa"/>
          </w:tcPr>
          <w:p w14:paraId="49ECFEBD" w14:textId="7E4FE5D1" w:rsidR="00001393" w:rsidRPr="00D82BFE" w:rsidRDefault="00001393" w:rsidP="00001393">
            <w:pPr>
              <w:spacing w:before="60" w:after="60" w:line="240" w:lineRule="auto"/>
              <w:jc w:val="center"/>
              <w:rPr>
                <w:sz w:val="22"/>
                <w:szCs w:val="22"/>
              </w:rPr>
            </w:pPr>
          </w:p>
        </w:tc>
        <w:tc>
          <w:tcPr>
            <w:tcW w:w="1607" w:type="dxa"/>
          </w:tcPr>
          <w:p w14:paraId="2C8F595F" w14:textId="77777777" w:rsidR="00001393" w:rsidRPr="00D82BFE" w:rsidRDefault="00001393" w:rsidP="00001393">
            <w:pPr>
              <w:spacing w:before="60" w:after="60" w:line="240" w:lineRule="auto"/>
              <w:jc w:val="center"/>
              <w:rPr>
                <w:sz w:val="22"/>
                <w:szCs w:val="22"/>
              </w:rPr>
            </w:pPr>
          </w:p>
        </w:tc>
      </w:tr>
      <w:tr w:rsidR="00D82BFE" w:rsidRPr="00D82BFE" w14:paraId="027EA318" w14:textId="77777777" w:rsidTr="005A1CDF">
        <w:trPr>
          <w:trHeight w:val="103"/>
        </w:trPr>
        <w:tc>
          <w:tcPr>
            <w:tcW w:w="1606" w:type="dxa"/>
          </w:tcPr>
          <w:p w14:paraId="390939A6" w14:textId="08A57A93" w:rsidR="00001393" w:rsidRPr="00D82BFE" w:rsidRDefault="00001393" w:rsidP="00001393">
            <w:pPr>
              <w:spacing w:before="60" w:after="60" w:line="240" w:lineRule="auto"/>
              <w:jc w:val="center"/>
              <w:rPr>
                <w:sz w:val="22"/>
                <w:szCs w:val="22"/>
              </w:rPr>
            </w:pPr>
            <w:r w:rsidRPr="00D82BFE">
              <w:rPr>
                <w:sz w:val="22"/>
                <w:szCs w:val="22"/>
              </w:rPr>
              <w:t>Education     (-0.82)</w:t>
            </w:r>
          </w:p>
        </w:tc>
        <w:tc>
          <w:tcPr>
            <w:tcW w:w="1607" w:type="dxa"/>
          </w:tcPr>
          <w:p w14:paraId="5CE16FFC" w14:textId="0B5A1C19" w:rsidR="00001393" w:rsidRPr="00D82BFE" w:rsidRDefault="00001393" w:rsidP="00001393">
            <w:pPr>
              <w:spacing w:before="60" w:after="60" w:line="240" w:lineRule="auto"/>
              <w:jc w:val="center"/>
              <w:rPr>
                <w:sz w:val="22"/>
                <w:szCs w:val="22"/>
              </w:rPr>
            </w:pPr>
            <w:r w:rsidRPr="00D82BFE">
              <w:rPr>
                <w:sz w:val="22"/>
                <w:szCs w:val="22"/>
              </w:rPr>
              <w:t>Gender         (-0.86)</w:t>
            </w:r>
          </w:p>
        </w:tc>
        <w:tc>
          <w:tcPr>
            <w:tcW w:w="1607" w:type="dxa"/>
          </w:tcPr>
          <w:p w14:paraId="7090E17E" w14:textId="5776CCC9" w:rsidR="00001393" w:rsidRPr="00D82BFE" w:rsidRDefault="00001393" w:rsidP="00001393">
            <w:pPr>
              <w:spacing w:before="60" w:after="60" w:line="240" w:lineRule="auto"/>
              <w:jc w:val="center"/>
              <w:rPr>
                <w:sz w:val="22"/>
                <w:szCs w:val="22"/>
              </w:rPr>
            </w:pPr>
            <w:r w:rsidRPr="00D82BFE">
              <w:rPr>
                <w:sz w:val="22"/>
                <w:szCs w:val="22"/>
              </w:rPr>
              <w:t>Rights     (0.34)</w:t>
            </w:r>
          </w:p>
        </w:tc>
        <w:tc>
          <w:tcPr>
            <w:tcW w:w="1606" w:type="dxa"/>
          </w:tcPr>
          <w:p w14:paraId="08ABE3DA" w14:textId="77777777" w:rsidR="00001393" w:rsidRPr="00D82BFE" w:rsidRDefault="00001393" w:rsidP="00001393">
            <w:pPr>
              <w:spacing w:before="60" w:after="60" w:line="240" w:lineRule="auto"/>
              <w:jc w:val="center"/>
              <w:rPr>
                <w:sz w:val="22"/>
                <w:szCs w:val="22"/>
              </w:rPr>
            </w:pPr>
          </w:p>
        </w:tc>
        <w:tc>
          <w:tcPr>
            <w:tcW w:w="1607" w:type="dxa"/>
          </w:tcPr>
          <w:p w14:paraId="31F5767D" w14:textId="1411C47E" w:rsidR="00001393" w:rsidRPr="00D82BFE" w:rsidRDefault="00001393" w:rsidP="00001393">
            <w:pPr>
              <w:spacing w:before="60" w:after="60" w:line="240" w:lineRule="auto"/>
              <w:jc w:val="center"/>
              <w:rPr>
                <w:sz w:val="22"/>
                <w:szCs w:val="22"/>
              </w:rPr>
            </w:pPr>
          </w:p>
        </w:tc>
        <w:tc>
          <w:tcPr>
            <w:tcW w:w="1607" w:type="dxa"/>
          </w:tcPr>
          <w:p w14:paraId="221E6112" w14:textId="77777777" w:rsidR="00001393" w:rsidRPr="00D82BFE" w:rsidRDefault="00001393" w:rsidP="00001393">
            <w:pPr>
              <w:spacing w:before="60" w:after="60" w:line="240" w:lineRule="auto"/>
              <w:jc w:val="center"/>
              <w:rPr>
                <w:sz w:val="22"/>
                <w:szCs w:val="22"/>
              </w:rPr>
            </w:pPr>
          </w:p>
        </w:tc>
      </w:tr>
      <w:tr w:rsidR="00D82BFE" w:rsidRPr="00D82BFE" w14:paraId="1DE67A03" w14:textId="77777777" w:rsidTr="005A1CDF">
        <w:trPr>
          <w:trHeight w:val="256"/>
        </w:trPr>
        <w:tc>
          <w:tcPr>
            <w:tcW w:w="1606" w:type="dxa"/>
            <w:tcBorders>
              <w:bottom w:val="single" w:sz="4" w:space="0" w:color="auto"/>
            </w:tcBorders>
          </w:tcPr>
          <w:p w14:paraId="7F6737F5" w14:textId="0F1010C0" w:rsidR="00001393" w:rsidRPr="00D82BFE" w:rsidRDefault="00001393" w:rsidP="00001393">
            <w:pPr>
              <w:spacing w:before="60" w:after="60" w:line="240" w:lineRule="auto"/>
              <w:jc w:val="center"/>
              <w:rPr>
                <w:sz w:val="22"/>
                <w:szCs w:val="22"/>
              </w:rPr>
            </w:pPr>
            <w:r w:rsidRPr="00D82BFE">
              <w:rPr>
                <w:sz w:val="22"/>
                <w:szCs w:val="22"/>
              </w:rPr>
              <w:t>Comfort (0.34)</w:t>
            </w:r>
          </w:p>
        </w:tc>
        <w:tc>
          <w:tcPr>
            <w:tcW w:w="1607" w:type="dxa"/>
            <w:tcBorders>
              <w:bottom w:val="single" w:sz="4" w:space="0" w:color="auto"/>
            </w:tcBorders>
          </w:tcPr>
          <w:p w14:paraId="2FE90345" w14:textId="77777777" w:rsidR="00001393" w:rsidRPr="00D82BFE" w:rsidRDefault="00001393" w:rsidP="00001393">
            <w:pPr>
              <w:spacing w:before="60" w:after="60" w:line="240" w:lineRule="auto"/>
              <w:jc w:val="center"/>
              <w:rPr>
                <w:sz w:val="22"/>
                <w:szCs w:val="22"/>
              </w:rPr>
            </w:pPr>
          </w:p>
        </w:tc>
        <w:tc>
          <w:tcPr>
            <w:tcW w:w="1607" w:type="dxa"/>
            <w:tcBorders>
              <w:bottom w:val="single" w:sz="4" w:space="0" w:color="auto"/>
            </w:tcBorders>
          </w:tcPr>
          <w:p w14:paraId="664762F2" w14:textId="77777777" w:rsidR="00001393" w:rsidRPr="00D82BFE" w:rsidRDefault="00001393" w:rsidP="00001393">
            <w:pPr>
              <w:spacing w:before="60" w:after="60" w:line="240" w:lineRule="auto"/>
              <w:jc w:val="center"/>
              <w:rPr>
                <w:sz w:val="22"/>
                <w:szCs w:val="22"/>
              </w:rPr>
            </w:pPr>
          </w:p>
        </w:tc>
        <w:tc>
          <w:tcPr>
            <w:tcW w:w="1606" w:type="dxa"/>
            <w:tcBorders>
              <w:bottom w:val="single" w:sz="4" w:space="0" w:color="auto"/>
            </w:tcBorders>
          </w:tcPr>
          <w:p w14:paraId="4AAEA74F" w14:textId="77777777" w:rsidR="00001393" w:rsidRPr="00D82BFE" w:rsidRDefault="00001393" w:rsidP="00001393">
            <w:pPr>
              <w:spacing w:before="60" w:after="60" w:line="240" w:lineRule="auto"/>
              <w:jc w:val="center"/>
              <w:rPr>
                <w:sz w:val="22"/>
                <w:szCs w:val="22"/>
              </w:rPr>
            </w:pPr>
          </w:p>
        </w:tc>
        <w:tc>
          <w:tcPr>
            <w:tcW w:w="1607" w:type="dxa"/>
            <w:tcBorders>
              <w:bottom w:val="single" w:sz="4" w:space="0" w:color="auto"/>
            </w:tcBorders>
          </w:tcPr>
          <w:p w14:paraId="35DA9CED" w14:textId="4550E003" w:rsidR="00001393" w:rsidRPr="00D82BFE" w:rsidRDefault="00001393" w:rsidP="00001393">
            <w:pPr>
              <w:spacing w:before="60" w:after="60" w:line="240" w:lineRule="auto"/>
              <w:jc w:val="center"/>
              <w:rPr>
                <w:sz w:val="22"/>
                <w:szCs w:val="22"/>
              </w:rPr>
            </w:pPr>
          </w:p>
        </w:tc>
        <w:tc>
          <w:tcPr>
            <w:tcW w:w="1607" w:type="dxa"/>
            <w:tcBorders>
              <w:bottom w:val="single" w:sz="4" w:space="0" w:color="auto"/>
            </w:tcBorders>
          </w:tcPr>
          <w:p w14:paraId="17908261" w14:textId="77777777" w:rsidR="00001393" w:rsidRPr="00D82BFE" w:rsidRDefault="00001393" w:rsidP="00001393">
            <w:pPr>
              <w:spacing w:before="60" w:after="60" w:line="240" w:lineRule="auto"/>
              <w:jc w:val="center"/>
              <w:rPr>
                <w:sz w:val="22"/>
                <w:szCs w:val="22"/>
              </w:rPr>
            </w:pPr>
          </w:p>
        </w:tc>
      </w:tr>
    </w:tbl>
    <w:p w14:paraId="386C8076" w14:textId="77777777" w:rsidR="0052080D" w:rsidRPr="00D82BFE" w:rsidRDefault="0052080D" w:rsidP="00A401ED"/>
    <w:p w14:paraId="271CEF03" w14:textId="66A9970E" w:rsidR="00A401ED" w:rsidRPr="00A401ED" w:rsidRDefault="00A401ED" w:rsidP="00A401ED">
      <w:r w:rsidRPr="00A401ED">
        <w:t xml:space="preserve">The four variables of </w:t>
      </w:r>
      <w:r w:rsidR="004F3B68">
        <w:t>r</w:t>
      </w:r>
      <w:r w:rsidR="004F3B68" w:rsidRPr="00A401ED">
        <w:t>ights</w:t>
      </w:r>
      <w:r w:rsidRPr="00A401ED">
        <w:t xml:space="preserve">, </w:t>
      </w:r>
      <w:r w:rsidR="004F3B68">
        <w:t>c</w:t>
      </w:r>
      <w:r w:rsidRPr="00A401ED">
        <w:t xml:space="preserve">ommunity </w:t>
      </w:r>
      <w:r w:rsidR="00B64557">
        <w:t>acceptance</w:t>
      </w:r>
      <w:r w:rsidRPr="00A401ED">
        <w:t xml:space="preserve"> (negatively scored)</w:t>
      </w:r>
      <w:r w:rsidR="005076B8">
        <w:t xml:space="preserve">, </w:t>
      </w:r>
      <w:r w:rsidR="00C51C13">
        <w:t>c</w:t>
      </w:r>
      <w:r w:rsidRPr="00A401ED">
        <w:t>omfort at meeting</w:t>
      </w:r>
      <w:r>
        <w:t xml:space="preserve"> and </w:t>
      </w:r>
      <w:r w:rsidR="00C51C13">
        <w:t>c</w:t>
      </w:r>
      <w:r>
        <w:t xml:space="preserve">apability were all inter-connected as shown in </w:t>
      </w:r>
      <w:r w:rsidR="00991447">
        <w:t>t</w:t>
      </w:r>
      <w:r>
        <w:t xml:space="preserve">able </w:t>
      </w:r>
      <w:r w:rsidR="001D725C">
        <w:t>4</w:t>
      </w:r>
      <w:r>
        <w:t xml:space="preserve">.  </w:t>
      </w:r>
      <w:r w:rsidR="004F3B68">
        <w:t>Belief</w:t>
      </w:r>
      <w:r w:rsidRPr="00A401ED">
        <w:t xml:space="preserve"> in the rights of people with </w:t>
      </w:r>
      <w:bookmarkStart w:id="3" w:name="_Hlk34490709"/>
      <w:r w:rsidR="00C51C13">
        <w:t>intellectual disability</w:t>
      </w:r>
      <w:r w:rsidR="00C51C13" w:rsidRPr="00A401ED">
        <w:t xml:space="preserve"> </w:t>
      </w:r>
      <w:bookmarkEnd w:id="3"/>
      <w:r w:rsidRPr="00A401ED">
        <w:t>w</w:t>
      </w:r>
      <w:r w:rsidR="004F3B68">
        <w:t>as</w:t>
      </w:r>
      <w:r w:rsidRPr="00A401ED">
        <w:t xml:space="preserve"> positively associated with belief in </w:t>
      </w:r>
      <w:r>
        <w:t xml:space="preserve">the capabilities of people with </w:t>
      </w:r>
      <w:r w:rsidR="0052080D">
        <w:t>intellectual disability</w:t>
      </w:r>
      <w:r w:rsidR="004F3B68">
        <w:t>,</w:t>
      </w:r>
      <w:r>
        <w:t xml:space="preserve"> comfort at meeting person with </w:t>
      </w:r>
      <w:r w:rsidR="00C51C13" w:rsidRPr="00C51C13">
        <w:t>intellectual disability</w:t>
      </w:r>
      <w:r>
        <w:t xml:space="preserve"> </w:t>
      </w:r>
      <w:r w:rsidR="001D725C">
        <w:t xml:space="preserve">and </w:t>
      </w:r>
      <w:r w:rsidR="004F3B68">
        <w:t>higher ratings of their</w:t>
      </w:r>
      <w:r>
        <w:t xml:space="preserve"> community as being </w:t>
      </w:r>
      <w:r w:rsidR="005076B8">
        <w:t>accepting of</w:t>
      </w:r>
      <w:r>
        <w:t xml:space="preserve"> </w:t>
      </w:r>
      <w:r w:rsidR="004F3B68">
        <w:t>someone with</w:t>
      </w:r>
      <w:r w:rsidR="00C51C13">
        <w:t xml:space="preserve"> an</w:t>
      </w:r>
      <w:r w:rsidR="004F3B68">
        <w:t xml:space="preserve"> intellectual disabilit</w:t>
      </w:r>
      <w:r w:rsidR="00C51C13">
        <w:t>y</w:t>
      </w:r>
      <w:r>
        <w:t xml:space="preserve">.  </w:t>
      </w:r>
    </w:p>
    <w:p w14:paraId="007A59C1" w14:textId="7B2B386E" w:rsidR="00474F5D" w:rsidRPr="00474F5D" w:rsidRDefault="00A401ED" w:rsidP="00474F5D">
      <w:pPr>
        <w:jc w:val="both"/>
        <w:rPr>
          <w:rFonts w:eastAsia="SimSun"/>
          <w:lang w:eastAsia="zh-CN"/>
        </w:rPr>
      </w:pPr>
      <w:r>
        <w:rPr>
          <w:rFonts w:eastAsia="SimSun"/>
          <w:lang w:eastAsia="zh-CN"/>
        </w:rPr>
        <w:t xml:space="preserve">The </w:t>
      </w:r>
      <w:r w:rsidR="00474F5D" w:rsidRPr="00474F5D">
        <w:rPr>
          <w:rFonts w:eastAsia="SimSun"/>
          <w:lang w:eastAsia="zh-CN"/>
        </w:rPr>
        <w:t xml:space="preserve">Inequality-adjusted Human Development Index (IHDI) was </w:t>
      </w:r>
      <w:r w:rsidR="00295769">
        <w:rPr>
          <w:rFonts w:eastAsia="SimSun"/>
          <w:lang w:eastAsia="zh-CN"/>
        </w:rPr>
        <w:t xml:space="preserve">directly </w:t>
      </w:r>
      <w:r w:rsidR="00474F5D" w:rsidRPr="00474F5D">
        <w:rPr>
          <w:rFonts w:eastAsia="SimSun"/>
          <w:lang w:eastAsia="zh-CN"/>
        </w:rPr>
        <w:t xml:space="preserve">associated with </w:t>
      </w:r>
      <w:r w:rsidR="009C3626">
        <w:rPr>
          <w:rFonts w:eastAsia="SimSun"/>
          <w:lang w:eastAsia="zh-CN"/>
        </w:rPr>
        <w:t xml:space="preserve">rights </w:t>
      </w:r>
      <w:r>
        <w:rPr>
          <w:rFonts w:eastAsia="SimSun"/>
          <w:lang w:eastAsia="zh-CN"/>
        </w:rPr>
        <w:t xml:space="preserve">and </w:t>
      </w:r>
      <w:r w:rsidR="009C3626">
        <w:rPr>
          <w:rFonts w:eastAsia="SimSun"/>
          <w:lang w:eastAsia="zh-CN"/>
        </w:rPr>
        <w:t xml:space="preserve">community </w:t>
      </w:r>
      <w:bookmarkStart w:id="4" w:name="_Hlk34493023"/>
      <w:r w:rsidR="00B64557">
        <w:rPr>
          <w:rFonts w:eastAsia="SimSun"/>
          <w:lang w:eastAsia="zh-CN"/>
        </w:rPr>
        <w:t>acceptance</w:t>
      </w:r>
      <w:bookmarkEnd w:id="4"/>
      <w:r w:rsidR="005076B8">
        <w:rPr>
          <w:rFonts w:eastAsia="SimSun"/>
          <w:lang w:eastAsia="zh-CN"/>
        </w:rPr>
        <w:t xml:space="preserve"> i</w:t>
      </w:r>
      <w:r>
        <w:rPr>
          <w:rFonts w:eastAsia="SimSun"/>
          <w:lang w:eastAsia="zh-CN"/>
        </w:rPr>
        <w:t>n that respondents in countries with higher</w:t>
      </w:r>
      <w:r w:rsidR="00474F5D" w:rsidRPr="00474F5D">
        <w:rPr>
          <w:rFonts w:eastAsia="SimSun"/>
          <w:lang w:eastAsia="zh-CN"/>
        </w:rPr>
        <w:t xml:space="preserve"> IHDI scores were associated with </w:t>
      </w:r>
      <w:r>
        <w:rPr>
          <w:rFonts w:eastAsia="SimSun"/>
          <w:lang w:eastAsia="zh-CN"/>
        </w:rPr>
        <w:t xml:space="preserve">more </w:t>
      </w:r>
      <w:r w:rsidR="00474F5D" w:rsidRPr="00474F5D">
        <w:rPr>
          <w:rFonts w:eastAsia="SimSun"/>
          <w:lang w:eastAsia="zh-CN"/>
        </w:rPr>
        <w:t xml:space="preserve">positive perceptions </w:t>
      </w:r>
      <w:r>
        <w:rPr>
          <w:rFonts w:eastAsia="SimSun"/>
          <w:lang w:eastAsia="zh-CN"/>
        </w:rPr>
        <w:t>on these t</w:t>
      </w:r>
      <w:r w:rsidR="00295769">
        <w:rPr>
          <w:rFonts w:eastAsia="SimSun"/>
          <w:lang w:eastAsia="zh-CN"/>
        </w:rPr>
        <w:t xml:space="preserve">wo </w:t>
      </w:r>
      <w:r>
        <w:rPr>
          <w:rFonts w:eastAsia="SimSun"/>
          <w:lang w:eastAsia="zh-CN"/>
        </w:rPr>
        <w:t xml:space="preserve">measures. </w:t>
      </w:r>
      <w:r w:rsidR="00295769">
        <w:rPr>
          <w:rFonts w:eastAsia="SimSun"/>
          <w:lang w:eastAsia="zh-CN"/>
        </w:rPr>
        <w:t xml:space="preserve">  </w:t>
      </w:r>
    </w:p>
    <w:p w14:paraId="70D1F8C8" w14:textId="2F2702FF" w:rsidR="00474F5D" w:rsidRPr="00474F5D" w:rsidRDefault="00302465" w:rsidP="00474F5D">
      <w:pPr>
        <w:jc w:val="both"/>
        <w:rPr>
          <w:rFonts w:eastAsia="SimSun"/>
          <w:lang w:eastAsia="zh-CN"/>
        </w:rPr>
      </w:pPr>
      <w:r>
        <w:rPr>
          <w:rFonts w:eastAsia="SimSun"/>
          <w:lang w:eastAsia="zh-CN"/>
        </w:rPr>
        <w:t>The other variables inc</w:t>
      </w:r>
      <w:r w:rsidR="00D545CD">
        <w:rPr>
          <w:rFonts w:eastAsia="SimSun"/>
          <w:lang w:eastAsia="zh-CN"/>
        </w:rPr>
        <w:t>l</w:t>
      </w:r>
      <w:r>
        <w:rPr>
          <w:rFonts w:eastAsia="SimSun"/>
          <w:lang w:eastAsia="zh-CN"/>
        </w:rPr>
        <w:t xml:space="preserve">uded in the model did not have a direct effect </w:t>
      </w:r>
      <w:r w:rsidR="001C10BC">
        <w:rPr>
          <w:rFonts w:eastAsia="SimSun"/>
          <w:lang w:eastAsia="zh-CN"/>
        </w:rPr>
        <w:t>on</w:t>
      </w:r>
      <w:r>
        <w:rPr>
          <w:rFonts w:eastAsia="SimSun"/>
          <w:lang w:eastAsia="zh-CN"/>
        </w:rPr>
        <w:t xml:space="preserve"> </w:t>
      </w:r>
      <w:r w:rsidR="00D545CD">
        <w:rPr>
          <w:rFonts w:eastAsia="SimSun"/>
          <w:lang w:eastAsia="zh-CN"/>
        </w:rPr>
        <w:t>perceptions</w:t>
      </w:r>
      <w:r>
        <w:rPr>
          <w:rFonts w:eastAsia="SimSun"/>
          <w:lang w:eastAsia="zh-CN"/>
        </w:rPr>
        <w:t xml:space="preserve"> of right and community </w:t>
      </w:r>
      <w:r w:rsidR="00B64557" w:rsidRPr="00B64557">
        <w:rPr>
          <w:rFonts w:eastAsia="SimSun"/>
          <w:lang w:eastAsia="zh-CN"/>
        </w:rPr>
        <w:t>acceptance</w:t>
      </w:r>
      <w:r>
        <w:rPr>
          <w:rFonts w:eastAsia="SimSun"/>
          <w:lang w:eastAsia="zh-CN"/>
        </w:rPr>
        <w:t xml:space="preserve">, </w:t>
      </w:r>
      <w:r w:rsidR="001C10BC">
        <w:rPr>
          <w:rFonts w:eastAsia="SimSun"/>
          <w:lang w:eastAsia="zh-CN"/>
        </w:rPr>
        <w:t>but</w:t>
      </w:r>
      <w:r>
        <w:rPr>
          <w:rFonts w:eastAsia="SimSun"/>
          <w:lang w:eastAsia="zh-CN"/>
        </w:rPr>
        <w:t xml:space="preserve"> were mediated through other variables</w:t>
      </w:r>
      <w:r w:rsidR="00001393">
        <w:rPr>
          <w:rFonts w:eastAsia="SimSun"/>
          <w:lang w:eastAsia="zh-CN"/>
        </w:rPr>
        <w:t xml:space="preserve"> as shown by the dotted lines in Figure 1</w:t>
      </w:r>
      <w:r>
        <w:rPr>
          <w:rFonts w:eastAsia="SimSun"/>
          <w:lang w:eastAsia="zh-CN"/>
        </w:rPr>
        <w:t>.  Thus r</w:t>
      </w:r>
      <w:r w:rsidR="00474F5D" w:rsidRPr="00474F5D">
        <w:rPr>
          <w:rFonts w:eastAsia="SimSun"/>
          <w:lang w:eastAsia="zh-CN"/>
        </w:rPr>
        <w:t xml:space="preserve">espondents who had more frequent contact with people with </w:t>
      </w:r>
      <w:r w:rsidR="00C51C13" w:rsidRPr="00C51C13">
        <w:rPr>
          <w:rFonts w:eastAsia="SimSun"/>
          <w:lang w:eastAsia="zh-CN"/>
        </w:rPr>
        <w:t xml:space="preserve">intellectual disability </w:t>
      </w:r>
      <w:r w:rsidR="00474F5D" w:rsidRPr="00474F5D">
        <w:rPr>
          <w:rFonts w:eastAsia="SimSun"/>
          <w:lang w:eastAsia="zh-CN"/>
        </w:rPr>
        <w:t xml:space="preserve">were more likely to feel comfortable meeting a person with </w:t>
      </w:r>
      <w:r w:rsidR="00C51C13" w:rsidRPr="00C51C13">
        <w:rPr>
          <w:rFonts w:eastAsia="SimSun"/>
          <w:lang w:eastAsia="zh-CN"/>
        </w:rPr>
        <w:t xml:space="preserve">intellectual disability </w:t>
      </w:r>
      <w:r w:rsidR="00474F5D" w:rsidRPr="00474F5D">
        <w:rPr>
          <w:rFonts w:eastAsia="SimSun"/>
          <w:lang w:eastAsia="zh-CN"/>
        </w:rPr>
        <w:t xml:space="preserve">and </w:t>
      </w:r>
      <w:r w:rsidR="00A401ED">
        <w:rPr>
          <w:rFonts w:eastAsia="SimSun"/>
          <w:lang w:eastAsia="zh-CN"/>
        </w:rPr>
        <w:t xml:space="preserve">rated </w:t>
      </w:r>
      <w:r w:rsidR="00991447">
        <w:rPr>
          <w:rFonts w:eastAsia="SimSun"/>
          <w:lang w:eastAsia="zh-CN"/>
        </w:rPr>
        <w:t>them</w:t>
      </w:r>
      <w:r w:rsidR="00C51C13" w:rsidRPr="00C51C13">
        <w:rPr>
          <w:rFonts w:eastAsia="SimSun"/>
          <w:lang w:eastAsia="zh-CN"/>
        </w:rPr>
        <w:t xml:space="preserve"> </w:t>
      </w:r>
      <w:r w:rsidR="00A401ED">
        <w:rPr>
          <w:rFonts w:eastAsia="SimSun"/>
          <w:lang w:eastAsia="zh-CN"/>
        </w:rPr>
        <w:t xml:space="preserve">more highly on </w:t>
      </w:r>
      <w:r w:rsidR="009C3626">
        <w:rPr>
          <w:rFonts w:eastAsia="SimSun"/>
          <w:lang w:eastAsia="zh-CN"/>
        </w:rPr>
        <w:t>capabilities</w:t>
      </w:r>
      <w:r w:rsidR="00A401ED">
        <w:rPr>
          <w:rFonts w:eastAsia="SimSun"/>
          <w:lang w:eastAsia="zh-CN"/>
        </w:rPr>
        <w:t>.</w:t>
      </w:r>
      <w:r w:rsidR="00474F5D" w:rsidRPr="00474F5D">
        <w:rPr>
          <w:rFonts w:eastAsia="SimSun"/>
          <w:lang w:eastAsia="zh-CN"/>
        </w:rPr>
        <w:t xml:space="preserve">  </w:t>
      </w:r>
      <w:r w:rsidR="00A401ED">
        <w:rPr>
          <w:rFonts w:eastAsia="SimSun"/>
          <w:lang w:eastAsia="zh-CN"/>
        </w:rPr>
        <w:t>Also</w:t>
      </w:r>
      <w:r w:rsidR="00B87AB0">
        <w:rPr>
          <w:rFonts w:eastAsia="SimSun"/>
          <w:lang w:eastAsia="zh-CN"/>
        </w:rPr>
        <w:t>,</w:t>
      </w:r>
      <w:r w:rsidR="00A401ED">
        <w:rPr>
          <w:rFonts w:eastAsia="SimSun"/>
          <w:lang w:eastAsia="zh-CN"/>
        </w:rPr>
        <w:t xml:space="preserve"> university educated respondents scored higher on </w:t>
      </w:r>
      <w:r w:rsidR="009C3626">
        <w:rPr>
          <w:rFonts w:eastAsia="SimSun"/>
          <w:lang w:eastAsia="zh-CN"/>
        </w:rPr>
        <w:t xml:space="preserve">comfort </w:t>
      </w:r>
      <w:r w:rsidR="00A401ED">
        <w:rPr>
          <w:rFonts w:eastAsia="SimSun"/>
          <w:lang w:eastAsia="zh-CN"/>
        </w:rPr>
        <w:t xml:space="preserve">and </w:t>
      </w:r>
      <w:r w:rsidR="009C3626">
        <w:rPr>
          <w:rFonts w:eastAsia="SimSun"/>
          <w:lang w:eastAsia="zh-CN"/>
        </w:rPr>
        <w:t xml:space="preserve">community </w:t>
      </w:r>
      <w:r w:rsidR="00B64557" w:rsidRPr="00B64557">
        <w:rPr>
          <w:rFonts w:eastAsia="SimSun"/>
          <w:lang w:eastAsia="zh-CN"/>
        </w:rPr>
        <w:t>acceptance</w:t>
      </w:r>
      <w:r w:rsidR="00211E75">
        <w:rPr>
          <w:rFonts w:eastAsia="SimSun"/>
          <w:lang w:eastAsia="zh-CN"/>
        </w:rPr>
        <w:t xml:space="preserve"> </w:t>
      </w:r>
      <w:r w:rsidR="00A401ED">
        <w:rPr>
          <w:rFonts w:eastAsia="SimSun"/>
          <w:lang w:eastAsia="zh-CN"/>
        </w:rPr>
        <w:t xml:space="preserve">and in turn had </w:t>
      </w:r>
      <w:r w:rsidR="00474F5D" w:rsidRPr="00474F5D">
        <w:rPr>
          <w:rFonts w:eastAsia="SimSun"/>
          <w:lang w:eastAsia="zh-CN"/>
        </w:rPr>
        <w:t xml:space="preserve">positive view of the </w:t>
      </w:r>
      <w:r w:rsidR="009C3626">
        <w:rPr>
          <w:rFonts w:eastAsia="SimSun"/>
          <w:lang w:eastAsia="zh-CN"/>
        </w:rPr>
        <w:t>r</w:t>
      </w:r>
      <w:r w:rsidR="00474F5D" w:rsidRPr="00474F5D">
        <w:rPr>
          <w:rFonts w:eastAsia="SimSun"/>
          <w:lang w:eastAsia="zh-CN"/>
        </w:rPr>
        <w:t xml:space="preserve">ights of people with </w:t>
      </w:r>
      <w:r w:rsidR="00C51C13" w:rsidRPr="00C51C13">
        <w:rPr>
          <w:rFonts w:eastAsia="SimSun"/>
          <w:lang w:eastAsia="zh-CN"/>
        </w:rPr>
        <w:t>intellectual disability</w:t>
      </w:r>
      <w:r w:rsidR="00474F5D" w:rsidRPr="00474F5D">
        <w:rPr>
          <w:rFonts w:eastAsia="SimSun"/>
          <w:lang w:eastAsia="zh-CN"/>
        </w:rPr>
        <w:t>.</w:t>
      </w:r>
    </w:p>
    <w:p w14:paraId="42420F49" w14:textId="5E1770ED" w:rsidR="00474F5D" w:rsidRPr="00474F5D" w:rsidRDefault="00E174B5" w:rsidP="00474F5D">
      <w:pPr>
        <w:jc w:val="both"/>
        <w:rPr>
          <w:rFonts w:eastAsia="SimSun"/>
          <w:lang w:eastAsia="zh-CN"/>
        </w:rPr>
      </w:pPr>
      <w:r>
        <w:rPr>
          <w:rFonts w:eastAsia="SimSun"/>
          <w:lang w:eastAsia="zh-CN"/>
        </w:rPr>
        <w:t>University educated r</w:t>
      </w:r>
      <w:r w:rsidR="00474F5D" w:rsidRPr="00474F5D">
        <w:rPr>
          <w:rFonts w:eastAsia="SimSun"/>
          <w:lang w:eastAsia="zh-CN"/>
        </w:rPr>
        <w:t xml:space="preserve">espondents </w:t>
      </w:r>
      <w:r w:rsidR="001C10BC" w:rsidRPr="00474F5D">
        <w:rPr>
          <w:rFonts w:eastAsia="SimSun"/>
          <w:lang w:eastAsia="zh-CN"/>
        </w:rPr>
        <w:t>were</w:t>
      </w:r>
      <w:r w:rsidR="001C10BC">
        <w:rPr>
          <w:rFonts w:eastAsia="SimSun"/>
          <w:lang w:eastAsia="zh-CN"/>
        </w:rPr>
        <w:t xml:space="preserve"> </w:t>
      </w:r>
      <w:r>
        <w:rPr>
          <w:rFonts w:eastAsia="SimSun"/>
          <w:lang w:eastAsia="zh-CN"/>
        </w:rPr>
        <w:t xml:space="preserve">also </w:t>
      </w:r>
      <w:r w:rsidR="00474F5D" w:rsidRPr="00474F5D">
        <w:rPr>
          <w:rFonts w:eastAsia="SimSun"/>
          <w:lang w:eastAsia="zh-CN"/>
        </w:rPr>
        <w:t xml:space="preserve">more likely to be involved </w:t>
      </w:r>
      <w:r>
        <w:rPr>
          <w:rFonts w:eastAsia="SimSun"/>
          <w:lang w:eastAsia="zh-CN"/>
        </w:rPr>
        <w:t>and</w:t>
      </w:r>
      <w:r w:rsidR="00474F5D" w:rsidRPr="00474F5D">
        <w:rPr>
          <w:rFonts w:eastAsia="SimSun"/>
          <w:lang w:eastAsia="zh-CN"/>
        </w:rPr>
        <w:t xml:space="preserve"> </w:t>
      </w:r>
      <w:r w:rsidR="00A401ED">
        <w:rPr>
          <w:rFonts w:eastAsia="SimSun"/>
          <w:lang w:eastAsia="zh-CN"/>
        </w:rPr>
        <w:t>a</w:t>
      </w:r>
      <w:r>
        <w:rPr>
          <w:rFonts w:eastAsia="SimSun"/>
          <w:lang w:eastAsia="zh-CN"/>
        </w:rPr>
        <w:t>ware of S</w:t>
      </w:r>
      <w:r w:rsidR="00474F5D" w:rsidRPr="00474F5D">
        <w:rPr>
          <w:rFonts w:eastAsia="SimSun"/>
          <w:lang w:eastAsia="zh-CN"/>
        </w:rPr>
        <w:t>pecial Olympics</w:t>
      </w:r>
      <w:r>
        <w:rPr>
          <w:rFonts w:eastAsia="SimSun"/>
          <w:lang w:eastAsia="zh-CN"/>
        </w:rPr>
        <w:t xml:space="preserve"> as were </w:t>
      </w:r>
      <w:r w:rsidR="00474F5D" w:rsidRPr="00474F5D">
        <w:rPr>
          <w:rFonts w:eastAsia="SimSun"/>
          <w:lang w:eastAsia="zh-CN"/>
        </w:rPr>
        <w:t xml:space="preserve">respondents </w:t>
      </w:r>
      <w:r>
        <w:rPr>
          <w:rFonts w:eastAsia="SimSun"/>
          <w:lang w:eastAsia="zh-CN"/>
        </w:rPr>
        <w:t xml:space="preserve">who reported having </w:t>
      </w:r>
      <w:r w:rsidR="00302465">
        <w:rPr>
          <w:rFonts w:eastAsia="SimSun"/>
          <w:lang w:eastAsia="zh-CN"/>
        </w:rPr>
        <w:t xml:space="preserve">more </w:t>
      </w:r>
      <w:r w:rsidR="00474F5D" w:rsidRPr="00474F5D">
        <w:rPr>
          <w:rFonts w:eastAsia="SimSun"/>
          <w:lang w:eastAsia="zh-CN"/>
        </w:rPr>
        <w:t>frequen</w:t>
      </w:r>
      <w:r w:rsidR="00302465">
        <w:rPr>
          <w:rFonts w:eastAsia="SimSun"/>
          <w:lang w:eastAsia="zh-CN"/>
        </w:rPr>
        <w:t>t</w:t>
      </w:r>
      <w:r w:rsidR="00474F5D" w:rsidRPr="00474F5D">
        <w:rPr>
          <w:rFonts w:eastAsia="SimSun"/>
          <w:lang w:eastAsia="zh-CN"/>
        </w:rPr>
        <w:t xml:space="preserve"> </w:t>
      </w:r>
      <w:r>
        <w:rPr>
          <w:rFonts w:eastAsia="SimSun"/>
          <w:lang w:eastAsia="zh-CN"/>
        </w:rPr>
        <w:t xml:space="preserve">personal contacts with people with </w:t>
      </w:r>
      <w:bookmarkStart w:id="5" w:name="_Hlk34490745"/>
      <w:r w:rsidR="00C51C13" w:rsidRPr="00C51C13">
        <w:rPr>
          <w:rFonts w:eastAsia="SimSun"/>
          <w:lang w:eastAsia="zh-CN"/>
        </w:rPr>
        <w:t>intellectual disability</w:t>
      </w:r>
      <w:bookmarkEnd w:id="5"/>
      <w:r>
        <w:rPr>
          <w:rFonts w:eastAsia="SimSun"/>
          <w:lang w:eastAsia="zh-CN"/>
        </w:rPr>
        <w:t xml:space="preserve">. </w:t>
      </w:r>
      <w:r w:rsidR="00302465">
        <w:rPr>
          <w:rFonts w:eastAsia="SimSun"/>
          <w:lang w:eastAsia="zh-CN"/>
        </w:rPr>
        <w:t xml:space="preserve"> </w:t>
      </w:r>
      <w:r w:rsidR="00D43A4A">
        <w:rPr>
          <w:rFonts w:eastAsia="SimSun"/>
          <w:lang w:eastAsia="zh-CN"/>
        </w:rPr>
        <w:t>However,</w:t>
      </w:r>
      <w:r w:rsidR="00302465">
        <w:rPr>
          <w:rFonts w:eastAsia="SimSun"/>
          <w:lang w:eastAsia="zh-CN"/>
        </w:rPr>
        <w:t xml:space="preserve"> engagement with Special Olympics was associated with higher ratings of </w:t>
      </w:r>
      <w:r w:rsidR="009C3626">
        <w:rPr>
          <w:rFonts w:eastAsia="SimSun"/>
          <w:lang w:eastAsia="zh-CN"/>
        </w:rPr>
        <w:t xml:space="preserve">capability </w:t>
      </w:r>
      <w:r w:rsidR="00302465">
        <w:rPr>
          <w:rFonts w:eastAsia="SimSun"/>
          <w:lang w:eastAsia="zh-CN"/>
        </w:rPr>
        <w:t xml:space="preserve">and </w:t>
      </w:r>
      <w:r w:rsidR="009C3626">
        <w:rPr>
          <w:rFonts w:eastAsia="SimSun"/>
          <w:lang w:eastAsia="zh-CN"/>
        </w:rPr>
        <w:t>c</w:t>
      </w:r>
      <w:r w:rsidR="00302465">
        <w:rPr>
          <w:rFonts w:eastAsia="SimSun"/>
          <w:lang w:eastAsia="zh-CN"/>
        </w:rPr>
        <w:t>omfort at meeting</w:t>
      </w:r>
      <w:r w:rsidR="00982C6C">
        <w:rPr>
          <w:rFonts w:eastAsia="SimSun"/>
          <w:lang w:eastAsia="zh-CN"/>
        </w:rPr>
        <w:t xml:space="preserve"> a person with ID</w:t>
      </w:r>
      <w:r w:rsidR="00302465">
        <w:rPr>
          <w:rFonts w:eastAsia="SimSun"/>
          <w:lang w:eastAsia="zh-CN"/>
        </w:rPr>
        <w:t xml:space="preserve"> but not on rights</w:t>
      </w:r>
      <w:r w:rsidR="00982C6C">
        <w:rPr>
          <w:rFonts w:eastAsia="SimSun"/>
          <w:lang w:eastAsia="zh-CN"/>
        </w:rPr>
        <w:t xml:space="preserve"> of people with </w:t>
      </w:r>
      <w:r w:rsidR="00991447" w:rsidRPr="00991447">
        <w:rPr>
          <w:rFonts w:eastAsia="SimSun"/>
          <w:lang w:eastAsia="zh-CN"/>
        </w:rPr>
        <w:t>intellectual disability</w:t>
      </w:r>
      <w:r w:rsidR="00302465">
        <w:rPr>
          <w:rFonts w:eastAsia="SimSun"/>
          <w:lang w:eastAsia="zh-CN"/>
        </w:rPr>
        <w:t xml:space="preserve">.  </w:t>
      </w:r>
    </w:p>
    <w:p w14:paraId="05108EF4" w14:textId="0BD80BF2" w:rsidR="00474F5D" w:rsidRPr="00474F5D" w:rsidRDefault="00E174B5" w:rsidP="00474F5D">
      <w:pPr>
        <w:jc w:val="both"/>
        <w:rPr>
          <w:rFonts w:eastAsia="SimSun"/>
          <w:lang w:eastAsia="zh-CN"/>
        </w:rPr>
      </w:pPr>
      <w:r>
        <w:rPr>
          <w:rFonts w:eastAsia="SimSun"/>
          <w:lang w:eastAsia="zh-CN"/>
        </w:rPr>
        <w:t>In sum</w:t>
      </w:r>
      <w:r w:rsidR="00B94710">
        <w:rPr>
          <w:rFonts w:eastAsia="SimSun"/>
          <w:lang w:eastAsia="zh-CN"/>
        </w:rPr>
        <w:t>mary</w:t>
      </w:r>
      <w:r>
        <w:rPr>
          <w:rFonts w:eastAsia="SimSun"/>
          <w:lang w:eastAsia="zh-CN"/>
        </w:rPr>
        <w:t xml:space="preserve">, </w:t>
      </w:r>
      <w:r w:rsidR="00474F5D" w:rsidRPr="00474F5D">
        <w:rPr>
          <w:rFonts w:eastAsia="SimSun"/>
          <w:lang w:eastAsia="zh-CN"/>
        </w:rPr>
        <w:t xml:space="preserve">the </w:t>
      </w:r>
      <w:r w:rsidR="00B94710">
        <w:rPr>
          <w:rFonts w:eastAsia="SimSun"/>
          <w:lang w:eastAsia="zh-CN"/>
        </w:rPr>
        <w:t xml:space="preserve">relationships identified in the </w:t>
      </w:r>
      <w:r w:rsidR="00474F5D" w:rsidRPr="00474F5D">
        <w:rPr>
          <w:rFonts w:eastAsia="SimSun"/>
          <w:lang w:eastAsia="zh-CN"/>
        </w:rPr>
        <w:t xml:space="preserve">model </w:t>
      </w:r>
      <w:r w:rsidR="006A3871">
        <w:rPr>
          <w:rFonts w:eastAsia="SimSun"/>
          <w:lang w:eastAsia="zh-CN"/>
        </w:rPr>
        <w:t>indicate</w:t>
      </w:r>
      <w:r w:rsidR="00B94710">
        <w:rPr>
          <w:rFonts w:eastAsia="SimSun"/>
          <w:lang w:eastAsia="zh-CN"/>
        </w:rPr>
        <w:t xml:space="preserve"> that </w:t>
      </w:r>
      <w:r w:rsidR="00001393">
        <w:rPr>
          <w:rFonts w:eastAsia="SimSun"/>
          <w:lang w:eastAsia="zh-CN"/>
        </w:rPr>
        <w:t xml:space="preserve">comfort at meeting people with </w:t>
      </w:r>
      <w:r w:rsidR="00991447" w:rsidRPr="00991447">
        <w:rPr>
          <w:rFonts w:eastAsia="SimSun"/>
          <w:lang w:eastAsia="zh-CN"/>
        </w:rPr>
        <w:t>intellectual disability</w:t>
      </w:r>
      <w:r w:rsidR="00B94710">
        <w:rPr>
          <w:rFonts w:eastAsia="SimSun"/>
          <w:lang w:eastAsia="zh-CN"/>
        </w:rPr>
        <w:t xml:space="preserve">, IHDI </w:t>
      </w:r>
      <w:r w:rsidR="00474F5D" w:rsidRPr="00474F5D">
        <w:rPr>
          <w:rFonts w:eastAsia="SimSun"/>
          <w:lang w:eastAsia="zh-CN"/>
        </w:rPr>
        <w:t xml:space="preserve">and education levels have strong impact on positive perceptions of people with </w:t>
      </w:r>
      <w:r w:rsidR="00C51C13" w:rsidRPr="00C51C13">
        <w:rPr>
          <w:rFonts w:eastAsia="SimSun"/>
          <w:lang w:eastAsia="zh-CN"/>
        </w:rPr>
        <w:t>intellectual disability</w:t>
      </w:r>
      <w:r w:rsidR="00474F5D" w:rsidRPr="00474F5D">
        <w:rPr>
          <w:rFonts w:eastAsia="SimSun"/>
          <w:lang w:eastAsia="zh-CN"/>
        </w:rPr>
        <w:t xml:space="preserve"> and their rights and role in society.</w:t>
      </w:r>
    </w:p>
    <w:p w14:paraId="72B4D3DC" w14:textId="6B3BFB1B" w:rsidR="00765014" w:rsidRDefault="007850B6" w:rsidP="007850B6">
      <w:pPr>
        <w:pStyle w:val="Heading1"/>
        <w:rPr>
          <w:lang w:val="en-GB"/>
        </w:rPr>
      </w:pPr>
      <w:r>
        <w:rPr>
          <w:lang w:val="en-GB"/>
        </w:rPr>
        <w:t xml:space="preserve">4. </w:t>
      </w:r>
      <w:r w:rsidR="00765014">
        <w:rPr>
          <w:lang w:val="en-GB"/>
        </w:rPr>
        <w:t xml:space="preserve">Discussion </w:t>
      </w:r>
    </w:p>
    <w:p w14:paraId="64149C79" w14:textId="67E1B40C" w:rsidR="00A20C2D" w:rsidRDefault="007D2D49" w:rsidP="007D2D49">
      <w:pPr>
        <w:shd w:val="clear" w:color="auto" w:fill="FFFFFF"/>
        <w:rPr>
          <w:rFonts w:eastAsia="Times New Roman"/>
          <w:color w:val="000000"/>
          <w:lang w:val="en-GB"/>
        </w:rPr>
      </w:pPr>
      <w:r w:rsidRPr="007D2D49">
        <w:rPr>
          <w:rFonts w:eastAsia="Times New Roman"/>
          <w:color w:val="000000"/>
          <w:lang w:val="en-GB"/>
        </w:rPr>
        <w:t xml:space="preserve">This </w:t>
      </w:r>
      <w:r>
        <w:rPr>
          <w:rFonts w:eastAsia="Times New Roman"/>
          <w:color w:val="000000"/>
          <w:lang w:val="en-GB"/>
        </w:rPr>
        <w:t xml:space="preserve">study and the model </w:t>
      </w:r>
      <w:r w:rsidR="006A3871">
        <w:rPr>
          <w:rFonts w:eastAsia="Times New Roman"/>
          <w:color w:val="000000"/>
          <w:lang w:val="en-GB"/>
        </w:rPr>
        <w:t>that emerged</w:t>
      </w:r>
      <w:r w:rsidR="009C3626">
        <w:rPr>
          <w:rFonts w:eastAsia="Times New Roman"/>
          <w:color w:val="000000"/>
          <w:lang w:val="en-GB"/>
        </w:rPr>
        <w:t xml:space="preserve"> is the first to include r</w:t>
      </w:r>
      <w:r>
        <w:rPr>
          <w:rFonts w:eastAsia="Times New Roman"/>
          <w:color w:val="000000"/>
          <w:lang w:val="en-GB"/>
        </w:rPr>
        <w:t xml:space="preserve">epresentative samples </w:t>
      </w:r>
      <w:r w:rsidR="00D84A52">
        <w:rPr>
          <w:rFonts w:eastAsia="Times New Roman"/>
          <w:color w:val="000000"/>
          <w:lang w:val="en-GB"/>
        </w:rPr>
        <w:t xml:space="preserve">in terms of gender and age </w:t>
      </w:r>
      <w:r>
        <w:rPr>
          <w:rFonts w:eastAsia="Times New Roman"/>
          <w:color w:val="000000"/>
          <w:lang w:val="en-GB"/>
        </w:rPr>
        <w:t xml:space="preserve">of the general population </w:t>
      </w:r>
      <w:r w:rsidR="009C3626">
        <w:rPr>
          <w:rFonts w:eastAsia="Times New Roman"/>
          <w:color w:val="000000"/>
          <w:lang w:val="en-GB"/>
        </w:rPr>
        <w:t>from a globally diverse sample</w:t>
      </w:r>
      <w:r>
        <w:rPr>
          <w:rFonts w:eastAsia="Times New Roman"/>
          <w:color w:val="000000"/>
          <w:lang w:val="en-GB"/>
        </w:rPr>
        <w:t>.</w:t>
      </w:r>
      <w:r w:rsidR="009C3626">
        <w:rPr>
          <w:rFonts w:eastAsia="Times New Roman"/>
          <w:color w:val="000000"/>
          <w:lang w:val="en-GB"/>
        </w:rPr>
        <w:t xml:space="preserve"> It is also unique for </w:t>
      </w:r>
      <w:r w:rsidR="00001393">
        <w:rPr>
          <w:rFonts w:eastAsia="Times New Roman"/>
          <w:color w:val="000000"/>
          <w:lang w:val="en-GB"/>
        </w:rPr>
        <w:t xml:space="preserve">the </w:t>
      </w:r>
      <w:r w:rsidR="00337F50">
        <w:rPr>
          <w:rFonts w:eastAsia="Times New Roman"/>
          <w:color w:val="000000"/>
          <w:lang w:val="en-GB"/>
        </w:rPr>
        <w:t>focus on</w:t>
      </w:r>
      <w:r>
        <w:rPr>
          <w:rFonts w:eastAsia="Times New Roman"/>
          <w:color w:val="000000"/>
          <w:lang w:val="en-GB"/>
        </w:rPr>
        <w:t xml:space="preserve"> two pertinent themes from the UN Convention: namely rights and community inclusion</w:t>
      </w:r>
      <w:r w:rsidR="009C3626">
        <w:rPr>
          <w:rFonts w:eastAsia="Times New Roman"/>
          <w:color w:val="000000"/>
          <w:lang w:val="en-GB"/>
        </w:rPr>
        <w:t xml:space="preserve"> of people with intellectual disabilit</w:t>
      </w:r>
      <w:r w:rsidR="00604ED0">
        <w:rPr>
          <w:rFonts w:eastAsia="Times New Roman"/>
          <w:color w:val="000000"/>
          <w:lang w:val="en-GB"/>
        </w:rPr>
        <w:t>y</w:t>
      </w:r>
      <w:r>
        <w:rPr>
          <w:rFonts w:eastAsia="Times New Roman"/>
          <w:color w:val="000000"/>
          <w:lang w:val="en-GB"/>
        </w:rPr>
        <w:t xml:space="preserve">. The measures included in the model were psychometrically </w:t>
      </w:r>
      <w:r w:rsidR="00A20C2D">
        <w:rPr>
          <w:rFonts w:eastAsia="Times New Roman"/>
          <w:color w:val="000000"/>
          <w:lang w:val="en-GB"/>
        </w:rPr>
        <w:t>sound</w:t>
      </w:r>
      <w:r w:rsidR="002C2F30">
        <w:rPr>
          <w:rFonts w:eastAsia="Times New Roman"/>
          <w:color w:val="000000"/>
          <w:lang w:val="en-GB"/>
        </w:rPr>
        <w:t xml:space="preserve"> confirm</w:t>
      </w:r>
      <w:r w:rsidR="006A3871">
        <w:rPr>
          <w:rFonts w:eastAsia="Times New Roman"/>
          <w:color w:val="000000"/>
          <w:lang w:val="en-GB"/>
        </w:rPr>
        <w:t>ing</w:t>
      </w:r>
      <w:r w:rsidR="002C2F30">
        <w:rPr>
          <w:rFonts w:eastAsia="Times New Roman"/>
          <w:color w:val="000000"/>
          <w:lang w:val="en-GB"/>
        </w:rPr>
        <w:t xml:space="preserve"> </w:t>
      </w:r>
      <w:r w:rsidR="00066654">
        <w:rPr>
          <w:rFonts w:eastAsia="Times New Roman"/>
          <w:color w:val="000000"/>
          <w:lang w:val="en-GB"/>
        </w:rPr>
        <w:t>the model’s</w:t>
      </w:r>
      <w:r w:rsidR="002C2F30">
        <w:rPr>
          <w:rFonts w:eastAsia="Times New Roman"/>
          <w:color w:val="000000"/>
          <w:lang w:val="en-GB"/>
        </w:rPr>
        <w:t xml:space="preserve"> robustness</w:t>
      </w:r>
      <w:r w:rsidR="00A20C2D">
        <w:rPr>
          <w:rFonts w:eastAsia="Times New Roman"/>
          <w:color w:val="000000"/>
          <w:lang w:val="en-GB"/>
        </w:rPr>
        <w:t>.  Moreover</w:t>
      </w:r>
      <w:r w:rsidR="002C2F30">
        <w:rPr>
          <w:rFonts w:eastAsia="Times New Roman"/>
          <w:color w:val="000000"/>
          <w:lang w:val="en-GB"/>
        </w:rPr>
        <w:t xml:space="preserve"> the model held </w:t>
      </w:r>
      <w:r w:rsidR="00A20C2D">
        <w:rPr>
          <w:rFonts w:eastAsia="Times New Roman"/>
          <w:color w:val="000000"/>
          <w:lang w:val="en-GB"/>
        </w:rPr>
        <w:t xml:space="preserve">across </w:t>
      </w:r>
      <w:r w:rsidR="002C2F30">
        <w:rPr>
          <w:rFonts w:eastAsia="Times New Roman"/>
          <w:color w:val="000000"/>
          <w:lang w:val="en-GB"/>
        </w:rPr>
        <w:t xml:space="preserve">the variety of </w:t>
      </w:r>
      <w:r w:rsidR="006A3871">
        <w:rPr>
          <w:rFonts w:eastAsia="Times New Roman"/>
          <w:color w:val="000000"/>
          <w:lang w:val="en-GB"/>
        </w:rPr>
        <w:t xml:space="preserve">countries </w:t>
      </w:r>
      <w:r w:rsidR="002C2F30">
        <w:rPr>
          <w:rFonts w:eastAsia="Times New Roman"/>
          <w:color w:val="000000"/>
          <w:lang w:val="en-GB"/>
        </w:rPr>
        <w:t>included in the study and would like</w:t>
      </w:r>
      <w:r w:rsidR="00D84A52">
        <w:rPr>
          <w:rFonts w:eastAsia="Times New Roman"/>
          <w:color w:val="000000"/>
          <w:lang w:val="en-GB"/>
        </w:rPr>
        <w:t>ly</w:t>
      </w:r>
      <w:r w:rsidR="002C2F30">
        <w:rPr>
          <w:rFonts w:eastAsia="Times New Roman"/>
          <w:color w:val="000000"/>
          <w:lang w:val="en-GB"/>
        </w:rPr>
        <w:t xml:space="preserve"> apply to other countries</w:t>
      </w:r>
      <w:r w:rsidR="007D69EB">
        <w:rPr>
          <w:rFonts w:eastAsia="Times New Roman"/>
          <w:color w:val="000000"/>
          <w:lang w:val="en-GB"/>
        </w:rPr>
        <w:t xml:space="preserve"> beyond those sampled</w:t>
      </w:r>
      <w:r w:rsidR="00A20C2D">
        <w:rPr>
          <w:rFonts w:eastAsia="Times New Roman"/>
          <w:color w:val="000000"/>
          <w:lang w:val="en-GB"/>
        </w:rPr>
        <w:t xml:space="preserve">; a claim that few studies can make.  </w:t>
      </w:r>
    </w:p>
    <w:p w14:paraId="52AE7BC3" w14:textId="0420A126" w:rsidR="00E9604B" w:rsidRDefault="002C2F30" w:rsidP="00E9604B">
      <w:pPr>
        <w:shd w:val="clear" w:color="auto" w:fill="FFFFFF"/>
        <w:rPr>
          <w:rFonts w:eastAsia="Times New Roman"/>
          <w:color w:val="000000"/>
          <w:lang w:val="en-GB"/>
        </w:rPr>
      </w:pPr>
      <w:r>
        <w:rPr>
          <w:rFonts w:eastAsia="Times New Roman"/>
          <w:color w:val="000000"/>
          <w:lang w:val="en-GB"/>
        </w:rPr>
        <w:t>The mod</w:t>
      </w:r>
      <w:r w:rsidR="00066654">
        <w:rPr>
          <w:rFonts w:eastAsia="Times New Roman"/>
          <w:color w:val="000000"/>
          <w:lang w:val="en-GB"/>
        </w:rPr>
        <w:t>el confirms some well-</w:t>
      </w:r>
      <w:r>
        <w:rPr>
          <w:rFonts w:eastAsia="Times New Roman"/>
          <w:color w:val="000000"/>
          <w:lang w:val="en-GB"/>
        </w:rPr>
        <w:t xml:space="preserve">established findings </w:t>
      </w:r>
      <w:r w:rsidR="006A3871">
        <w:rPr>
          <w:rFonts w:eastAsia="Times New Roman"/>
          <w:color w:val="000000"/>
          <w:lang w:val="en-GB"/>
        </w:rPr>
        <w:t>regarding</w:t>
      </w:r>
      <w:r>
        <w:rPr>
          <w:rFonts w:eastAsia="Times New Roman"/>
          <w:color w:val="000000"/>
          <w:lang w:val="en-GB"/>
        </w:rPr>
        <w:t xml:space="preserve"> the relationships between frequent personal co</w:t>
      </w:r>
      <w:r w:rsidR="00E9604B">
        <w:rPr>
          <w:rFonts w:eastAsia="Times New Roman"/>
          <w:color w:val="000000"/>
          <w:lang w:val="en-GB"/>
        </w:rPr>
        <w:t>nta</w:t>
      </w:r>
      <w:r>
        <w:rPr>
          <w:rFonts w:eastAsia="Times New Roman"/>
          <w:color w:val="000000"/>
          <w:lang w:val="en-GB"/>
        </w:rPr>
        <w:t xml:space="preserve">ct and positive appraisal by the public of </w:t>
      </w:r>
      <w:r w:rsidR="00E9604B">
        <w:rPr>
          <w:rFonts w:eastAsia="Times New Roman"/>
          <w:color w:val="000000"/>
          <w:lang w:val="en-GB"/>
        </w:rPr>
        <w:t xml:space="preserve">people with intellectual disability in terms of their capabilities and comfort at meeting them which is line with the contact hypothesis    However the model develops this relationship further in that it suggests that personal contact with people with </w:t>
      </w:r>
      <w:r w:rsidR="00E9604B" w:rsidRPr="00C51C13">
        <w:rPr>
          <w:rFonts w:eastAsia="Times New Roman"/>
          <w:color w:val="000000"/>
          <w:lang w:val="en-GB"/>
        </w:rPr>
        <w:t>intellectual disability</w:t>
      </w:r>
      <w:r w:rsidR="00E9604B">
        <w:rPr>
          <w:rFonts w:eastAsia="Times New Roman"/>
          <w:color w:val="000000"/>
          <w:lang w:val="en-GB"/>
        </w:rPr>
        <w:t xml:space="preserve"> exerts its effect on public perceptions of their rights and community acceptance indirectly through increased perceptions of their capabilities, comfort</w:t>
      </w:r>
      <w:r w:rsidR="00337F50">
        <w:rPr>
          <w:rFonts w:eastAsia="Times New Roman"/>
          <w:color w:val="000000"/>
          <w:lang w:val="en-GB"/>
        </w:rPr>
        <w:t xml:space="preserve"> at meeting</w:t>
      </w:r>
      <w:r w:rsidR="00E9604B">
        <w:rPr>
          <w:rFonts w:eastAsia="Times New Roman"/>
          <w:color w:val="000000"/>
          <w:lang w:val="en-GB"/>
        </w:rPr>
        <w:t xml:space="preserve"> and </w:t>
      </w:r>
      <w:r w:rsidR="00337F50">
        <w:rPr>
          <w:rFonts w:eastAsia="Times New Roman"/>
          <w:color w:val="000000"/>
          <w:lang w:val="en-GB"/>
        </w:rPr>
        <w:t xml:space="preserve">an </w:t>
      </w:r>
      <w:r w:rsidR="00E9604B">
        <w:rPr>
          <w:rFonts w:eastAsia="Times New Roman"/>
          <w:color w:val="000000"/>
          <w:lang w:val="en-GB"/>
        </w:rPr>
        <w:t xml:space="preserve">engagement with Special Olympics. </w:t>
      </w:r>
    </w:p>
    <w:p w14:paraId="6496E502" w14:textId="06AAC525" w:rsidR="00446C59" w:rsidRDefault="003678FE" w:rsidP="007D2D49">
      <w:pPr>
        <w:shd w:val="clear" w:color="auto" w:fill="FFFFFF"/>
        <w:rPr>
          <w:rFonts w:eastAsia="Times New Roman"/>
          <w:color w:val="000000"/>
          <w:lang w:val="en-GB"/>
        </w:rPr>
      </w:pPr>
      <w:r>
        <w:rPr>
          <w:rFonts w:eastAsia="Times New Roman"/>
          <w:color w:val="000000"/>
          <w:lang w:val="en-GB"/>
        </w:rPr>
        <w:t>Two implications flow from this</w:t>
      </w:r>
      <w:r w:rsidR="00446C59">
        <w:rPr>
          <w:rFonts w:eastAsia="Times New Roman"/>
          <w:color w:val="000000"/>
          <w:lang w:val="en-GB"/>
        </w:rPr>
        <w:t>.  T</w:t>
      </w:r>
      <w:r>
        <w:rPr>
          <w:rFonts w:eastAsia="Times New Roman"/>
          <w:color w:val="000000"/>
          <w:lang w:val="en-GB"/>
        </w:rPr>
        <w:t xml:space="preserve">he capabilities of people with intellectual </w:t>
      </w:r>
      <w:r w:rsidR="00604ED0">
        <w:rPr>
          <w:rFonts w:eastAsia="Times New Roman"/>
          <w:color w:val="000000"/>
          <w:lang w:val="en-GB"/>
        </w:rPr>
        <w:t>disability</w:t>
      </w:r>
      <w:r>
        <w:rPr>
          <w:rFonts w:eastAsia="Times New Roman"/>
          <w:color w:val="000000"/>
          <w:lang w:val="en-GB"/>
        </w:rPr>
        <w:t xml:space="preserve"> </w:t>
      </w:r>
      <w:r w:rsidR="007B72B5">
        <w:rPr>
          <w:rFonts w:eastAsia="Times New Roman"/>
          <w:color w:val="000000"/>
          <w:lang w:val="en-GB"/>
        </w:rPr>
        <w:t>should</w:t>
      </w:r>
      <w:r w:rsidR="00446C59">
        <w:rPr>
          <w:rFonts w:eastAsia="Times New Roman"/>
          <w:color w:val="000000"/>
          <w:lang w:val="en-GB"/>
        </w:rPr>
        <w:t xml:space="preserve"> be promoted </w:t>
      </w:r>
      <w:r>
        <w:rPr>
          <w:rFonts w:eastAsia="Times New Roman"/>
          <w:color w:val="000000"/>
          <w:lang w:val="en-GB"/>
        </w:rPr>
        <w:t>rather than their inability which too often dominates in media portrayals and in charitable fund-raising efforts</w:t>
      </w:r>
      <w:r w:rsidR="00D21C2F">
        <w:rPr>
          <w:rFonts w:eastAsia="Times New Roman"/>
          <w:color w:val="000000"/>
          <w:lang w:val="en-GB"/>
        </w:rPr>
        <w:t xml:space="preserve"> (Renwick, 2016)</w:t>
      </w:r>
      <w:r>
        <w:rPr>
          <w:rFonts w:eastAsia="Times New Roman"/>
          <w:color w:val="000000"/>
          <w:lang w:val="en-GB"/>
        </w:rPr>
        <w:t xml:space="preserve">.  </w:t>
      </w:r>
      <w:r w:rsidR="00446C59">
        <w:rPr>
          <w:rFonts w:eastAsia="Times New Roman"/>
          <w:color w:val="000000"/>
          <w:lang w:val="en-GB"/>
        </w:rPr>
        <w:t xml:space="preserve"> Also</w:t>
      </w:r>
      <w:r w:rsidR="009C3626">
        <w:rPr>
          <w:rFonts w:eastAsia="Times New Roman"/>
          <w:color w:val="000000"/>
          <w:lang w:val="en-GB"/>
        </w:rPr>
        <w:t>,</w:t>
      </w:r>
      <w:r w:rsidR="00446C59">
        <w:rPr>
          <w:rFonts w:eastAsia="Times New Roman"/>
          <w:color w:val="000000"/>
          <w:lang w:val="en-GB"/>
        </w:rPr>
        <w:t xml:space="preserve"> future research </w:t>
      </w:r>
      <w:r w:rsidR="007B72B5">
        <w:rPr>
          <w:rFonts w:eastAsia="Times New Roman"/>
          <w:color w:val="000000"/>
          <w:lang w:val="en-GB"/>
        </w:rPr>
        <w:t>should</w:t>
      </w:r>
      <w:r w:rsidR="00446C59">
        <w:rPr>
          <w:rFonts w:eastAsia="Times New Roman"/>
          <w:color w:val="000000"/>
          <w:lang w:val="en-GB"/>
        </w:rPr>
        <w:t xml:space="preserve"> </w:t>
      </w:r>
      <w:r w:rsidR="007B72B5">
        <w:rPr>
          <w:rFonts w:eastAsia="Times New Roman"/>
          <w:color w:val="000000"/>
          <w:lang w:val="en-GB"/>
        </w:rPr>
        <w:t xml:space="preserve">further </w:t>
      </w:r>
      <w:r w:rsidR="00446C59">
        <w:rPr>
          <w:rFonts w:eastAsia="Times New Roman"/>
          <w:color w:val="000000"/>
          <w:lang w:val="en-GB"/>
        </w:rPr>
        <w:t xml:space="preserve">explore </w:t>
      </w:r>
      <w:r w:rsidR="00446C59" w:rsidRPr="00D82BFE">
        <w:rPr>
          <w:rFonts w:eastAsia="Times New Roman"/>
          <w:lang w:val="en-GB"/>
        </w:rPr>
        <w:t xml:space="preserve">public understanding of intellectual disability and particularly the </w:t>
      </w:r>
      <w:r w:rsidR="002567D1" w:rsidRPr="00D82BFE">
        <w:rPr>
          <w:rFonts w:eastAsia="Times New Roman"/>
          <w:lang w:val="en-GB"/>
        </w:rPr>
        <w:t xml:space="preserve">main </w:t>
      </w:r>
      <w:r w:rsidR="00446C59" w:rsidRPr="00D82BFE">
        <w:rPr>
          <w:rFonts w:eastAsia="Times New Roman"/>
          <w:lang w:val="en-GB"/>
        </w:rPr>
        <w:t>differences</w:t>
      </w:r>
      <w:r w:rsidR="002567D1" w:rsidRPr="00D82BFE">
        <w:rPr>
          <w:rFonts w:eastAsia="Times New Roman"/>
          <w:lang w:val="en-GB"/>
        </w:rPr>
        <w:t xml:space="preserve"> they </w:t>
      </w:r>
      <w:r w:rsidR="00B47E0A" w:rsidRPr="00D82BFE">
        <w:rPr>
          <w:rFonts w:eastAsia="Times New Roman"/>
          <w:lang w:val="en-GB"/>
        </w:rPr>
        <w:t>perceive between</w:t>
      </w:r>
      <w:r w:rsidR="00446C59" w:rsidRPr="00D82BFE">
        <w:rPr>
          <w:rFonts w:eastAsia="Times New Roman"/>
          <w:lang w:val="en-GB"/>
        </w:rPr>
        <w:t xml:space="preserve"> </w:t>
      </w:r>
      <w:r w:rsidR="007B72B5" w:rsidRPr="00D82BFE">
        <w:rPr>
          <w:rFonts w:eastAsia="Times New Roman"/>
          <w:lang w:val="en-GB"/>
        </w:rPr>
        <w:t>people with</w:t>
      </w:r>
      <w:r w:rsidR="00C51C13" w:rsidRPr="00D82BFE">
        <w:rPr>
          <w:rFonts w:eastAsia="Times New Roman"/>
          <w:lang w:val="en-GB"/>
        </w:rPr>
        <w:t xml:space="preserve"> intellectual disability</w:t>
      </w:r>
      <w:r w:rsidR="007B72B5" w:rsidRPr="00D82BFE">
        <w:rPr>
          <w:rFonts w:eastAsia="Times New Roman"/>
          <w:lang w:val="en-GB"/>
        </w:rPr>
        <w:t xml:space="preserve"> </w:t>
      </w:r>
      <w:r w:rsidR="00446C59" w:rsidRPr="00D82BFE">
        <w:rPr>
          <w:rFonts w:eastAsia="Times New Roman"/>
          <w:lang w:val="en-GB"/>
        </w:rPr>
        <w:t xml:space="preserve">and others in society who are not given this label. </w:t>
      </w:r>
      <w:r w:rsidR="00066654" w:rsidRPr="00D82BFE">
        <w:rPr>
          <w:rFonts w:eastAsia="Times New Roman"/>
          <w:lang w:val="en-GB"/>
        </w:rPr>
        <w:t xml:space="preserve"> </w:t>
      </w:r>
    </w:p>
    <w:p w14:paraId="7E12B604" w14:textId="530905DC" w:rsidR="00B705D4" w:rsidRDefault="0099614D" w:rsidP="007D2D49">
      <w:pPr>
        <w:shd w:val="clear" w:color="auto" w:fill="FFFFFF"/>
        <w:rPr>
          <w:rFonts w:eastAsia="Times New Roman"/>
          <w:color w:val="000000"/>
          <w:lang w:val="en-GB"/>
        </w:rPr>
      </w:pPr>
      <w:r>
        <w:rPr>
          <w:rFonts w:eastAsia="Times New Roman"/>
          <w:color w:val="000000"/>
          <w:lang w:val="en-GB"/>
        </w:rPr>
        <w:t xml:space="preserve">Personal comfort </w:t>
      </w:r>
      <w:r w:rsidRPr="0099614D">
        <w:rPr>
          <w:rFonts w:eastAsia="Times New Roman"/>
          <w:color w:val="000000"/>
          <w:lang w:val="en-GB"/>
        </w:rPr>
        <w:t>in meeting people with intellectual disabilit</w:t>
      </w:r>
      <w:r w:rsidR="00C51C13">
        <w:rPr>
          <w:rFonts w:eastAsia="Times New Roman"/>
          <w:color w:val="000000"/>
          <w:lang w:val="en-GB"/>
        </w:rPr>
        <w:t>y h</w:t>
      </w:r>
      <w:r>
        <w:rPr>
          <w:rFonts w:eastAsia="Times New Roman"/>
          <w:color w:val="000000"/>
          <w:lang w:val="en-GB"/>
        </w:rPr>
        <w:t xml:space="preserve">as been </w:t>
      </w:r>
      <w:r w:rsidRPr="0099614D">
        <w:rPr>
          <w:rFonts w:eastAsia="Times New Roman"/>
          <w:color w:val="000000"/>
          <w:lang w:val="en-GB"/>
        </w:rPr>
        <w:t>associated with more positive attitudes</w:t>
      </w:r>
      <w:r>
        <w:rPr>
          <w:rFonts w:eastAsia="Times New Roman"/>
          <w:color w:val="000000"/>
          <w:lang w:val="en-GB"/>
        </w:rPr>
        <w:t xml:space="preserve"> both for the general public (McConkey, 2015)</w:t>
      </w:r>
      <w:r w:rsidRPr="0099614D">
        <w:rPr>
          <w:rFonts w:eastAsia="Times New Roman"/>
          <w:color w:val="000000"/>
          <w:lang w:val="en-GB"/>
        </w:rPr>
        <w:t xml:space="preserve"> </w:t>
      </w:r>
      <w:r>
        <w:rPr>
          <w:rFonts w:eastAsia="Times New Roman"/>
          <w:color w:val="000000"/>
          <w:lang w:val="en-GB"/>
        </w:rPr>
        <w:t>and professional groups such as healthcare staff</w:t>
      </w:r>
      <w:r w:rsidRPr="0099614D">
        <w:rPr>
          <w:rFonts w:eastAsia="Times New Roman"/>
          <w:color w:val="000000"/>
          <w:lang w:val="en-GB"/>
        </w:rPr>
        <w:t xml:space="preserve"> </w:t>
      </w:r>
      <w:r>
        <w:rPr>
          <w:rFonts w:eastAsia="Times New Roman"/>
          <w:color w:val="000000"/>
          <w:lang w:val="en-GB"/>
        </w:rPr>
        <w:t>(</w:t>
      </w:r>
      <w:r w:rsidRPr="0099614D">
        <w:rPr>
          <w:rFonts w:eastAsia="Times New Roman"/>
          <w:color w:val="000000"/>
          <w:lang w:val="en-GB"/>
        </w:rPr>
        <w:t>Morins et al., 2013).</w:t>
      </w:r>
      <w:r>
        <w:rPr>
          <w:rFonts w:eastAsia="Times New Roman"/>
          <w:color w:val="000000"/>
          <w:lang w:val="en-GB"/>
        </w:rPr>
        <w:t xml:space="preserve"> </w:t>
      </w:r>
      <w:r w:rsidR="00C51C13">
        <w:rPr>
          <w:rFonts w:eastAsia="Times New Roman"/>
          <w:color w:val="000000"/>
          <w:lang w:val="en-GB"/>
        </w:rPr>
        <w:t xml:space="preserve"> </w:t>
      </w:r>
      <w:r w:rsidRPr="0099614D">
        <w:rPr>
          <w:rFonts w:eastAsia="Times New Roman"/>
          <w:color w:val="000000"/>
          <w:lang w:val="en-GB"/>
        </w:rPr>
        <w:t>Conversely</w:t>
      </w:r>
      <w:r>
        <w:rPr>
          <w:rFonts w:eastAsia="Times New Roman"/>
          <w:color w:val="000000"/>
          <w:lang w:val="en-GB"/>
        </w:rPr>
        <w:t>,</w:t>
      </w:r>
      <w:r w:rsidRPr="0099614D">
        <w:rPr>
          <w:rFonts w:eastAsia="Times New Roman"/>
          <w:color w:val="000000"/>
          <w:lang w:val="en-GB"/>
        </w:rPr>
        <w:t xml:space="preserve"> </w:t>
      </w:r>
      <w:r w:rsidR="007B72B5">
        <w:rPr>
          <w:rFonts w:eastAsia="Times New Roman"/>
          <w:color w:val="000000"/>
          <w:lang w:val="en-GB"/>
        </w:rPr>
        <w:t>lack of</w:t>
      </w:r>
      <w:r>
        <w:rPr>
          <w:rFonts w:eastAsia="Times New Roman"/>
          <w:color w:val="000000"/>
          <w:lang w:val="en-GB"/>
        </w:rPr>
        <w:t xml:space="preserve"> personal contact </w:t>
      </w:r>
      <w:r w:rsidR="007B72B5">
        <w:rPr>
          <w:rFonts w:eastAsia="Times New Roman"/>
          <w:color w:val="000000"/>
          <w:lang w:val="en-GB"/>
        </w:rPr>
        <w:t>is related to more</w:t>
      </w:r>
      <w:r>
        <w:rPr>
          <w:rFonts w:eastAsia="Times New Roman"/>
          <w:color w:val="000000"/>
          <w:lang w:val="en-GB"/>
        </w:rPr>
        <w:t xml:space="preserve"> </w:t>
      </w:r>
      <w:r w:rsidRPr="0099614D">
        <w:rPr>
          <w:rFonts w:eastAsia="Times New Roman"/>
          <w:color w:val="000000"/>
          <w:lang w:val="en-GB"/>
        </w:rPr>
        <w:t xml:space="preserve">discomfort at the thought of meeting a person with intellectual </w:t>
      </w:r>
      <w:r w:rsidR="00604ED0">
        <w:rPr>
          <w:rFonts w:eastAsia="Times New Roman"/>
          <w:color w:val="000000"/>
          <w:lang w:val="en-GB"/>
        </w:rPr>
        <w:t>disability</w:t>
      </w:r>
      <w:r>
        <w:rPr>
          <w:rFonts w:eastAsia="Times New Roman"/>
          <w:color w:val="000000"/>
          <w:lang w:val="en-GB"/>
        </w:rPr>
        <w:t xml:space="preserve">.  But the model also suggests that </w:t>
      </w:r>
      <w:r w:rsidR="007B72B5">
        <w:rPr>
          <w:rFonts w:eastAsia="Times New Roman"/>
          <w:color w:val="000000"/>
          <w:lang w:val="en-GB"/>
        </w:rPr>
        <w:t xml:space="preserve">viewing people with intellectual disability as more capable can minimize </w:t>
      </w:r>
      <w:r>
        <w:rPr>
          <w:rFonts w:eastAsia="Times New Roman"/>
          <w:color w:val="000000"/>
          <w:lang w:val="en-GB"/>
        </w:rPr>
        <w:t>this discomfort</w:t>
      </w:r>
      <w:r w:rsidR="007B72B5">
        <w:rPr>
          <w:rFonts w:eastAsia="Times New Roman"/>
          <w:color w:val="000000"/>
          <w:lang w:val="en-GB"/>
        </w:rPr>
        <w:t xml:space="preserve">. </w:t>
      </w:r>
      <w:r w:rsidR="00B705D4">
        <w:rPr>
          <w:rFonts w:eastAsia="Times New Roman"/>
          <w:color w:val="000000"/>
          <w:lang w:val="en-GB"/>
        </w:rPr>
        <w:t>Hence</w:t>
      </w:r>
      <w:r w:rsidR="009C3626">
        <w:rPr>
          <w:rFonts w:eastAsia="Times New Roman"/>
          <w:color w:val="000000"/>
          <w:lang w:val="en-GB"/>
        </w:rPr>
        <w:t>,</w:t>
      </w:r>
      <w:r w:rsidR="00B705D4">
        <w:rPr>
          <w:rFonts w:eastAsia="Times New Roman"/>
          <w:color w:val="000000"/>
          <w:lang w:val="en-GB"/>
        </w:rPr>
        <w:t xml:space="preserve"> creating opportunities for the public to experience personal contacts with even one person is a key step towards reducing their discomfort and in turn changing attitudes. </w:t>
      </w:r>
    </w:p>
    <w:p w14:paraId="30766033" w14:textId="56DD3A83" w:rsidR="00B705D4" w:rsidRDefault="00B705D4" w:rsidP="007D2D49">
      <w:pPr>
        <w:shd w:val="clear" w:color="auto" w:fill="FFFFFF"/>
        <w:rPr>
          <w:rFonts w:eastAsia="Times New Roman"/>
          <w:color w:val="000000"/>
          <w:lang w:val="en-GB"/>
        </w:rPr>
      </w:pPr>
      <w:r>
        <w:rPr>
          <w:rFonts w:eastAsia="Times New Roman"/>
          <w:color w:val="000000"/>
          <w:lang w:val="en-GB"/>
        </w:rPr>
        <w:t xml:space="preserve">The model also highlights the contribution that an organisation such as Special Olympics can make to </w:t>
      </w:r>
      <w:r w:rsidR="00F412B3">
        <w:rPr>
          <w:rFonts w:eastAsia="Times New Roman"/>
          <w:color w:val="000000"/>
          <w:lang w:val="en-GB"/>
        </w:rPr>
        <w:t>influenci</w:t>
      </w:r>
      <w:r w:rsidR="007D69EB">
        <w:rPr>
          <w:rFonts w:eastAsia="Times New Roman"/>
          <w:color w:val="000000"/>
          <w:lang w:val="en-GB"/>
        </w:rPr>
        <w:t xml:space="preserve">ng </w:t>
      </w:r>
      <w:r>
        <w:rPr>
          <w:rFonts w:eastAsia="Times New Roman"/>
          <w:color w:val="000000"/>
          <w:lang w:val="en-GB"/>
        </w:rPr>
        <w:t>public attitudes</w:t>
      </w:r>
      <w:r w:rsidR="00F412B3">
        <w:rPr>
          <w:rFonts w:eastAsia="Times New Roman"/>
          <w:color w:val="000000"/>
          <w:lang w:val="en-GB"/>
        </w:rPr>
        <w:t xml:space="preserve"> particularly with respect to community acceptance</w:t>
      </w:r>
      <w:r>
        <w:rPr>
          <w:rFonts w:eastAsia="Times New Roman"/>
          <w:color w:val="000000"/>
          <w:lang w:val="en-GB"/>
        </w:rPr>
        <w:t xml:space="preserve">.  </w:t>
      </w:r>
      <w:r w:rsidR="005E5C4D">
        <w:rPr>
          <w:rFonts w:eastAsia="Times New Roman"/>
          <w:color w:val="000000"/>
          <w:lang w:val="en-GB"/>
        </w:rPr>
        <w:t xml:space="preserve">Although </w:t>
      </w:r>
      <w:r w:rsidR="00C51C13">
        <w:rPr>
          <w:rFonts w:eastAsia="Times New Roman"/>
          <w:color w:val="000000"/>
          <w:lang w:val="en-GB"/>
        </w:rPr>
        <w:t xml:space="preserve">engagement with </w:t>
      </w:r>
      <w:r w:rsidR="005E5C4D">
        <w:rPr>
          <w:rFonts w:eastAsia="Times New Roman"/>
          <w:color w:val="000000"/>
          <w:lang w:val="en-GB"/>
        </w:rPr>
        <w:t xml:space="preserve">the organisation did not have a direct influence on </w:t>
      </w:r>
      <w:r w:rsidR="00C51C13">
        <w:rPr>
          <w:rFonts w:eastAsia="Times New Roman"/>
          <w:color w:val="000000"/>
          <w:lang w:val="en-GB"/>
        </w:rPr>
        <w:t xml:space="preserve">respondents’ </w:t>
      </w:r>
      <w:r w:rsidR="005E5C4D">
        <w:rPr>
          <w:rFonts w:eastAsia="Times New Roman"/>
          <w:color w:val="000000"/>
          <w:lang w:val="en-GB"/>
        </w:rPr>
        <w:t>perceptions of rights</w:t>
      </w:r>
      <w:r w:rsidR="00337F50">
        <w:rPr>
          <w:rFonts w:eastAsia="Times New Roman"/>
          <w:color w:val="000000"/>
          <w:lang w:val="en-GB"/>
        </w:rPr>
        <w:t xml:space="preserve"> or community acceptance</w:t>
      </w:r>
      <w:r w:rsidR="005E5C4D">
        <w:rPr>
          <w:rFonts w:eastAsia="Times New Roman"/>
          <w:color w:val="000000"/>
          <w:lang w:val="en-GB"/>
        </w:rPr>
        <w:t xml:space="preserve">, </w:t>
      </w:r>
      <w:r w:rsidR="00C51C13">
        <w:rPr>
          <w:rFonts w:eastAsia="Times New Roman"/>
          <w:color w:val="000000"/>
          <w:lang w:val="en-GB"/>
        </w:rPr>
        <w:t xml:space="preserve">those </w:t>
      </w:r>
      <w:r w:rsidR="005E5C4D">
        <w:rPr>
          <w:rFonts w:eastAsia="Times New Roman"/>
          <w:color w:val="000000"/>
          <w:lang w:val="en-GB"/>
        </w:rPr>
        <w:t xml:space="preserve">who were involved with </w:t>
      </w:r>
      <w:r w:rsidR="00032926">
        <w:rPr>
          <w:rFonts w:eastAsia="Times New Roman"/>
          <w:color w:val="000000"/>
          <w:lang w:val="en-GB"/>
        </w:rPr>
        <w:t>Special Olympics</w:t>
      </w:r>
      <w:r w:rsidR="005E5C4D">
        <w:rPr>
          <w:rFonts w:eastAsia="Times New Roman"/>
          <w:color w:val="000000"/>
          <w:lang w:val="en-GB"/>
        </w:rPr>
        <w:t xml:space="preserve"> perceived people with intellectual </w:t>
      </w:r>
      <w:r w:rsidR="00604ED0">
        <w:rPr>
          <w:rFonts w:eastAsia="Times New Roman"/>
          <w:color w:val="000000"/>
          <w:lang w:val="en-GB"/>
        </w:rPr>
        <w:t>disability</w:t>
      </w:r>
      <w:r w:rsidR="005E5C4D">
        <w:rPr>
          <w:rFonts w:eastAsia="Times New Roman"/>
          <w:color w:val="000000"/>
          <w:lang w:val="en-GB"/>
        </w:rPr>
        <w:t xml:space="preserve"> as more capable and were </w:t>
      </w:r>
      <w:r w:rsidR="00066654">
        <w:rPr>
          <w:rFonts w:eastAsia="Times New Roman"/>
          <w:color w:val="000000"/>
          <w:lang w:val="en-GB"/>
        </w:rPr>
        <w:t xml:space="preserve">more </w:t>
      </w:r>
      <w:r w:rsidR="005E5C4D">
        <w:rPr>
          <w:rFonts w:eastAsia="Times New Roman"/>
          <w:color w:val="000000"/>
          <w:lang w:val="en-GB"/>
        </w:rPr>
        <w:t xml:space="preserve">comfortable at meeting them.  These outcomes confirm the </w:t>
      </w:r>
      <w:r w:rsidR="00066654">
        <w:rPr>
          <w:rFonts w:eastAsia="Times New Roman"/>
          <w:color w:val="000000"/>
          <w:lang w:val="en-GB"/>
        </w:rPr>
        <w:t>role that</w:t>
      </w:r>
      <w:r w:rsidR="005E5C4D">
        <w:rPr>
          <w:rFonts w:eastAsia="Times New Roman"/>
          <w:color w:val="000000"/>
          <w:lang w:val="en-GB"/>
        </w:rPr>
        <w:t xml:space="preserve"> Special Olympics </w:t>
      </w:r>
      <w:r w:rsidR="00066654">
        <w:rPr>
          <w:rFonts w:eastAsia="Times New Roman"/>
          <w:color w:val="000000"/>
          <w:lang w:val="en-GB"/>
        </w:rPr>
        <w:t xml:space="preserve">plays </w:t>
      </w:r>
      <w:r w:rsidR="005E5C4D">
        <w:rPr>
          <w:rFonts w:eastAsia="Times New Roman"/>
          <w:color w:val="000000"/>
          <w:lang w:val="en-GB"/>
        </w:rPr>
        <w:t>in promoting the talents of their athletes in competitions especially</w:t>
      </w:r>
      <w:r w:rsidR="00337F50">
        <w:rPr>
          <w:rFonts w:eastAsia="Times New Roman"/>
          <w:color w:val="000000"/>
          <w:lang w:val="en-GB"/>
        </w:rPr>
        <w:t xml:space="preserve"> </w:t>
      </w:r>
      <w:r w:rsidR="005E5C4D">
        <w:rPr>
          <w:rFonts w:eastAsia="Times New Roman"/>
          <w:color w:val="000000"/>
          <w:lang w:val="en-GB"/>
        </w:rPr>
        <w:t xml:space="preserve">and the opportunities they provide for the public to meet athletes as players, volunteers or spectators under the pleasurable circumstances of sport.  </w:t>
      </w:r>
      <w:r w:rsidR="00F70E0E">
        <w:rPr>
          <w:rFonts w:eastAsia="Times New Roman"/>
          <w:color w:val="000000"/>
          <w:lang w:val="en-GB"/>
        </w:rPr>
        <w:t xml:space="preserve">The lack of a direct influence </w:t>
      </w:r>
      <w:r w:rsidR="00066654">
        <w:rPr>
          <w:rFonts w:eastAsia="Times New Roman"/>
          <w:color w:val="000000"/>
          <w:lang w:val="en-GB"/>
        </w:rPr>
        <w:t xml:space="preserve">that Special Olympics has </w:t>
      </w:r>
      <w:r w:rsidR="00F70E0E">
        <w:rPr>
          <w:rFonts w:eastAsia="Times New Roman"/>
          <w:color w:val="000000"/>
          <w:lang w:val="en-GB"/>
        </w:rPr>
        <w:t>on</w:t>
      </w:r>
      <w:r w:rsidR="00E826BA">
        <w:rPr>
          <w:rFonts w:eastAsia="Times New Roman"/>
          <w:color w:val="000000"/>
          <w:lang w:val="en-GB"/>
        </w:rPr>
        <w:t xml:space="preserve"> the public’s</w:t>
      </w:r>
      <w:r w:rsidR="00F70E0E">
        <w:rPr>
          <w:rFonts w:eastAsia="Times New Roman"/>
          <w:color w:val="000000"/>
          <w:lang w:val="en-GB"/>
        </w:rPr>
        <w:t xml:space="preserve"> perceptions</w:t>
      </w:r>
      <w:r w:rsidR="00066654">
        <w:rPr>
          <w:rFonts w:eastAsia="Times New Roman"/>
          <w:color w:val="000000"/>
          <w:lang w:val="en-GB"/>
        </w:rPr>
        <w:t xml:space="preserve"> of r</w:t>
      </w:r>
      <w:r w:rsidR="00F70E0E">
        <w:rPr>
          <w:rFonts w:eastAsia="Times New Roman"/>
          <w:color w:val="000000"/>
          <w:lang w:val="en-GB"/>
        </w:rPr>
        <w:t xml:space="preserve">ights </w:t>
      </w:r>
      <w:r w:rsidR="00337F50">
        <w:rPr>
          <w:rFonts w:eastAsia="Times New Roman"/>
          <w:color w:val="000000"/>
          <w:lang w:val="en-GB"/>
        </w:rPr>
        <w:t xml:space="preserve">and community acceptance </w:t>
      </w:r>
      <w:r w:rsidR="00F70E0E">
        <w:rPr>
          <w:rFonts w:eastAsia="Times New Roman"/>
          <w:color w:val="000000"/>
          <w:lang w:val="en-GB"/>
        </w:rPr>
        <w:t>could point to a need for</w:t>
      </w:r>
      <w:r w:rsidR="00032926">
        <w:rPr>
          <w:rFonts w:eastAsia="Times New Roman"/>
          <w:color w:val="000000"/>
          <w:lang w:val="en-GB"/>
        </w:rPr>
        <w:t xml:space="preserve"> the</w:t>
      </w:r>
      <w:r w:rsidR="00F70E0E">
        <w:rPr>
          <w:rFonts w:eastAsia="Times New Roman"/>
          <w:color w:val="000000"/>
          <w:lang w:val="en-GB"/>
        </w:rPr>
        <w:t xml:space="preserve"> organisation to become more explicit in promoting the rights and </w:t>
      </w:r>
      <w:r w:rsidR="00066654">
        <w:rPr>
          <w:rFonts w:eastAsia="Times New Roman"/>
          <w:color w:val="000000"/>
          <w:lang w:val="en-GB"/>
        </w:rPr>
        <w:t xml:space="preserve">the </w:t>
      </w:r>
      <w:r w:rsidR="007D69EB">
        <w:rPr>
          <w:rFonts w:eastAsia="Times New Roman"/>
          <w:color w:val="000000"/>
          <w:lang w:val="en-GB"/>
        </w:rPr>
        <w:t>wider</w:t>
      </w:r>
      <w:r w:rsidR="00066654">
        <w:rPr>
          <w:rFonts w:eastAsia="Times New Roman"/>
          <w:color w:val="000000"/>
          <w:lang w:val="en-GB"/>
        </w:rPr>
        <w:t xml:space="preserve"> </w:t>
      </w:r>
      <w:r w:rsidR="00F70E0E">
        <w:rPr>
          <w:rFonts w:eastAsia="Times New Roman"/>
          <w:color w:val="000000"/>
          <w:lang w:val="en-GB"/>
        </w:rPr>
        <w:t>community inclusion of persons with intellectual disability</w:t>
      </w:r>
      <w:r w:rsidR="007D69EB">
        <w:rPr>
          <w:rFonts w:eastAsia="Times New Roman"/>
          <w:color w:val="000000"/>
          <w:lang w:val="en-GB"/>
        </w:rPr>
        <w:t xml:space="preserve"> beyond </w:t>
      </w:r>
      <w:r w:rsidR="00F23D6A">
        <w:rPr>
          <w:rFonts w:eastAsia="Times New Roman"/>
          <w:color w:val="000000"/>
          <w:lang w:val="en-GB"/>
        </w:rPr>
        <w:t xml:space="preserve">participation in </w:t>
      </w:r>
      <w:r w:rsidR="007D69EB">
        <w:rPr>
          <w:rFonts w:eastAsia="Times New Roman"/>
          <w:color w:val="000000"/>
          <w:lang w:val="en-GB"/>
        </w:rPr>
        <w:t>sports</w:t>
      </w:r>
      <w:r w:rsidR="00F70E0E">
        <w:rPr>
          <w:rFonts w:eastAsia="Times New Roman"/>
          <w:color w:val="000000"/>
          <w:lang w:val="en-GB"/>
        </w:rPr>
        <w:t xml:space="preserve">.  </w:t>
      </w:r>
    </w:p>
    <w:p w14:paraId="699703D7" w14:textId="576FAF6C" w:rsidR="0099614D" w:rsidRDefault="001D725C" w:rsidP="007D2D49">
      <w:pPr>
        <w:shd w:val="clear" w:color="auto" w:fill="FFFFFF"/>
        <w:rPr>
          <w:rFonts w:eastAsia="Times New Roman"/>
          <w:color w:val="000000"/>
          <w:lang w:val="en-GB"/>
        </w:rPr>
      </w:pPr>
      <w:r w:rsidRPr="00D82BFE">
        <w:rPr>
          <w:rFonts w:eastAsia="Times New Roman"/>
          <w:lang w:val="en-GB"/>
        </w:rPr>
        <w:t>F</w:t>
      </w:r>
      <w:r w:rsidR="00B705D4" w:rsidRPr="00D82BFE">
        <w:rPr>
          <w:rFonts w:eastAsia="Times New Roman"/>
          <w:lang w:val="en-GB"/>
        </w:rPr>
        <w:t xml:space="preserve">uture studies could usefully confirm if a similar impact holds for </w:t>
      </w:r>
      <w:r w:rsidRPr="00D82BFE">
        <w:rPr>
          <w:rFonts w:eastAsia="Times New Roman"/>
          <w:lang w:val="en-GB"/>
        </w:rPr>
        <w:t xml:space="preserve">other </w:t>
      </w:r>
      <w:r w:rsidR="002567D1" w:rsidRPr="00D82BFE">
        <w:rPr>
          <w:rFonts w:eastAsia="Times New Roman"/>
          <w:lang w:val="en-GB"/>
        </w:rPr>
        <w:t xml:space="preserve">international agencies or </w:t>
      </w:r>
      <w:r w:rsidR="00B705D4" w:rsidRPr="00D82BFE">
        <w:rPr>
          <w:rFonts w:eastAsia="Times New Roman"/>
          <w:lang w:val="en-GB"/>
        </w:rPr>
        <w:t xml:space="preserve">national </w:t>
      </w:r>
      <w:r w:rsidR="00B705D4">
        <w:rPr>
          <w:rFonts w:eastAsia="Times New Roman"/>
          <w:color w:val="000000"/>
          <w:lang w:val="en-GB"/>
        </w:rPr>
        <w:t>organisations</w:t>
      </w:r>
      <w:r w:rsidR="00EB370E">
        <w:rPr>
          <w:rFonts w:eastAsia="Times New Roman"/>
          <w:color w:val="000000"/>
          <w:lang w:val="en-GB"/>
        </w:rPr>
        <w:t xml:space="preserve"> in particular countries</w:t>
      </w:r>
      <w:r w:rsidR="007D69EB">
        <w:rPr>
          <w:rFonts w:eastAsia="Times New Roman"/>
          <w:color w:val="000000"/>
          <w:lang w:val="en-GB"/>
        </w:rPr>
        <w:t xml:space="preserve">, </w:t>
      </w:r>
      <w:r w:rsidR="00337F50">
        <w:rPr>
          <w:rFonts w:eastAsia="Times New Roman"/>
          <w:color w:val="000000"/>
          <w:lang w:val="en-GB"/>
        </w:rPr>
        <w:t xml:space="preserve">especially </w:t>
      </w:r>
      <w:r w:rsidR="007D69EB">
        <w:rPr>
          <w:rFonts w:eastAsia="Times New Roman"/>
          <w:color w:val="000000"/>
          <w:lang w:val="en-GB"/>
        </w:rPr>
        <w:t>those engaged in advocacy</w:t>
      </w:r>
      <w:r w:rsidR="00F23D6A">
        <w:rPr>
          <w:rFonts w:eastAsia="Times New Roman"/>
          <w:color w:val="000000"/>
          <w:lang w:val="en-GB"/>
        </w:rPr>
        <w:t xml:space="preserve"> for persons with a disability</w:t>
      </w:r>
      <w:r w:rsidR="00B705D4">
        <w:rPr>
          <w:rFonts w:eastAsia="Times New Roman"/>
          <w:color w:val="000000"/>
          <w:lang w:val="en-GB"/>
        </w:rPr>
        <w:t xml:space="preserve">.   </w:t>
      </w:r>
    </w:p>
    <w:p w14:paraId="0EE8E1C4" w14:textId="49FD55FF" w:rsidR="00EB370E" w:rsidRDefault="00337F50" w:rsidP="007D2D49">
      <w:pPr>
        <w:shd w:val="clear" w:color="auto" w:fill="FFFFFF"/>
        <w:rPr>
          <w:rFonts w:eastAsia="Times New Roman"/>
          <w:color w:val="000000"/>
          <w:lang w:val="en-GB"/>
        </w:rPr>
      </w:pPr>
      <w:r>
        <w:rPr>
          <w:rFonts w:eastAsia="Times New Roman"/>
          <w:color w:val="000000"/>
          <w:lang w:val="en-GB"/>
        </w:rPr>
        <w:t>T</w:t>
      </w:r>
      <w:r w:rsidR="001E153F">
        <w:rPr>
          <w:rFonts w:eastAsia="Times New Roman"/>
          <w:color w:val="000000"/>
          <w:lang w:val="en-GB"/>
        </w:rPr>
        <w:t xml:space="preserve">he model also identified that the wider </w:t>
      </w:r>
      <w:r w:rsidR="00066654">
        <w:rPr>
          <w:rFonts w:eastAsia="Times New Roman"/>
          <w:color w:val="000000"/>
          <w:lang w:val="en-GB"/>
        </w:rPr>
        <w:t xml:space="preserve">societal </w:t>
      </w:r>
      <w:r w:rsidR="001E153F">
        <w:rPr>
          <w:rFonts w:eastAsia="Times New Roman"/>
          <w:color w:val="000000"/>
          <w:lang w:val="en-GB"/>
        </w:rPr>
        <w:t>context had a direct influence o</w:t>
      </w:r>
      <w:r w:rsidR="00066654">
        <w:rPr>
          <w:rFonts w:eastAsia="Times New Roman"/>
          <w:color w:val="000000"/>
          <w:lang w:val="en-GB"/>
        </w:rPr>
        <w:t>n</w:t>
      </w:r>
      <w:r w:rsidR="001E153F">
        <w:rPr>
          <w:rFonts w:eastAsia="Times New Roman"/>
          <w:color w:val="000000"/>
          <w:lang w:val="en-GB"/>
        </w:rPr>
        <w:t xml:space="preserve"> public perceptions of rights and community </w:t>
      </w:r>
      <w:r w:rsidR="00F23D6A">
        <w:rPr>
          <w:rFonts w:eastAsia="Times New Roman"/>
          <w:color w:val="000000"/>
          <w:lang w:val="en-GB"/>
        </w:rPr>
        <w:t xml:space="preserve">acceptance </w:t>
      </w:r>
      <w:r w:rsidR="00066654">
        <w:rPr>
          <w:rFonts w:eastAsia="Times New Roman"/>
          <w:color w:val="000000"/>
          <w:lang w:val="en-GB"/>
        </w:rPr>
        <w:t xml:space="preserve">of persons with intellectual </w:t>
      </w:r>
      <w:r w:rsidR="00604ED0">
        <w:rPr>
          <w:rFonts w:eastAsia="Times New Roman"/>
          <w:color w:val="000000"/>
          <w:lang w:val="en-GB"/>
        </w:rPr>
        <w:t>disability</w:t>
      </w:r>
      <w:r w:rsidR="001E153F">
        <w:rPr>
          <w:rFonts w:eastAsia="Times New Roman"/>
          <w:color w:val="000000"/>
          <w:lang w:val="en-GB"/>
        </w:rPr>
        <w:t>.   Respondents living in nations who scored highly in terms of IHDI were more likely to support the</w:t>
      </w:r>
      <w:r w:rsidR="00066654">
        <w:rPr>
          <w:rFonts w:eastAsia="Times New Roman"/>
          <w:color w:val="000000"/>
          <w:lang w:val="en-GB"/>
        </w:rPr>
        <w:t xml:space="preserve">ir </w:t>
      </w:r>
      <w:r w:rsidR="001E153F">
        <w:rPr>
          <w:rFonts w:eastAsia="Times New Roman"/>
          <w:color w:val="000000"/>
          <w:lang w:val="en-GB"/>
        </w:rPr>
        <w:t xml:space="preserve">rights and perceive their communities to be more welcoming of </w:t>
      </w:r>
      <w:r w:rsidR="00032926">
        <w:rPr>
          <w:rFonts w:eastAsia="Times New Roman"/>
          <w:color w:val="000000"/>
          <w:lang w:val="en-GB"/>
        </w:rPr>
        <w:t>people with intellectual disability</w:t>
      </w:r>
      <w:r w:rsidR="001E153F">
        <w:rPr>
          <w:rFonts w:eastAsia="Times New Roman"/>
          <w:color w:val="000000"/>
          <w:lang w:val="en-GB"/>
        </w:rPr>
        <w:t xml:space="preserve">.  These impacts may have been </w:t>
      </w:r>
      <w:r w:rsidR="00032926">
        <w:rPr>
          <w:rFonts w:eastAsia="Times New Roman"/>
          <w:color w:val="000000"/>
          <w:lang w:val="en-GB"/>
        </w:rPr>
        <w:t>even</w:t>
      </w:r>
      <w:r w:rsidR="001E153F">
        <w:rPr>
          <w:rFonts w:eastAsia="Times New Roman"/>
          <w:color w:val="000000"/>
          <w:lang w:val="en-GB"/>
        </w:rPr>
        <w:t xml:space="preserve"> greater </w:t>
      </w:r>
      <w:r w:rsidR="00032926">
        <w:rPr>
          <w:rFonts w:eastAsia="Times New Roman"/>
          <w:color w:val="000000"/>
          <w:lang w:val="en-GB"/>
        </w:rPr>
        <w:t xml:space="preserve">if </w:t>
      </w:r>
      <w:r w:rsidR="001E153F">
        <w:rPr>
          <w:rFonts w:eastAsia="Times New Roman"/>
          <w:color w:val="000000"/>
          <w:lang w:val="en-GB"/>
        </w:rPr>
        <w:t>nations with lower IHDI scores</w:t>
      </w:r>
      <w:r w:rsidR="00032926">
        <w:rPr>
          <w:rFonts w:eastAsia="Times New Roman"/>
          <w:color w:val="000000"/>
          <w:lang w:val="en-GB"/>
        </w:rPr>
        <w:t>, such as</w:t>
      </w:r>
      <w:r w:rsidR="00F23D6A">
        <w:rPr>
          <w:rFonts w:eastAsia="Times New Roman"/>
          <w:color w:val="000000"/>
          <w:lang w:val="en-GB"/>
        </w:rPr>
        <w:t xml:space="preserve"> those in</w:t>
      </w:r>
      <w:r w:rsidR="00032926">
        <w:rPr>
          <w:rFonts w:eastAsia="Times New Roman"/>
          <w:color w:val="000000"/>
          <w:lang w:val="en-GB"/>
        </w:rPr>
        <w:t xml:space="preserve"> Eastern Europe and Africa</w:t>
      </w:r>
      <w:r w:rsidR="00E826BA">
        <w:rPr>
          <w:rFonts w:eastAsia="Times New Roman"/>
          <w:color w:val="000000"/>
          <w:lang w:val="en-GB"/>
        </w:rPr>
        <w:t>,</w:t>
      </w:r>
      <w:r w:rsidR="001E153F">
        <w:rPr>
          <w:rFonts w:eastAsia="Times New Roman"/>
          <w:color w:val="000000"/>
          <w:lang w:val="en-GB"/>
        </w:rPr>
        <w:t xml:space="preserve"> </w:t>
      </w:r>
      <w:r w:rsidR="00032926">
        <w:rPr>
          <w:rFonts w:eastAsia="Times New Roman"/>
          <w:color w:val="000000"/>
          <w:lang w:val="en-GB"/>
        </w:rPr>
        <w:t xml:space="preserve">were </w:t>
      </w:r>
      <w:r w:rsidR="001E153F">
        <w:rPr>
          <w:rFonts w:eastAsia="Times New Roman"/>
          <w:color w:val="000000"/>
          <w:lang w:val="en-GB"/>
        </w:rPr>
        <w:t xml:space="preserve">included in the study.   </w:t>
      </w:r>
      <w:r w:rsidR="00A10D6A">
        <w:rPr>
          <w:rFonts w:eastAsia="Times New Roman"/>
          <w:color w:val="000000"/>
          <w:lang w:val="en-GB"/>
        </w:rPr>
        <w:t xml:space="preserve">Equally </w:t>
      </w:r>
      <w:r w:rsidR="00066654">
        <w:rPr>
          <w:rFonts w:eastAsia="Times New Roman"/>
          <w:color w:val="000000"/>
          <w:lang w:val="en-GB"/>
        </w:rPr>
        <w:t>the IHDI</w:t>
      </w:r>
      <w:r w:rsidR="00A10D6A">
        <w:rPr>
          <w:rFonts w:eastAsia="Times New Roman"/>
          <w:color w:val="000000"/>
          <w:lang w:val="en-GB"/>
        </w:rPr>
        <w:t xml:space="preserve"> measure takes no account of intra-country differences such as </w:t>
      </w:r>
      <w:r w:rsidR="00032926">
        <w:rPr>
          <w:rFonts w:eastAsia="Times New Roman"/>
          <w:color w:val="000000"/>
          <w:lang w:val="en-GB"/>
        </w:rPr>
        <w:t xml:space="preserve">those </w:t>
      </w:r>
      <w:r w:rsidR="00E826BA">
        <w:rPr>
          <w:rFonts w:eastAsia="Times New Roman"/>
          <w:color w:val="000000"/>
          <w:lang w:val="en-GB"/>
        </w:rPr>
        <w:t>which</w:t>
      </w:r>
      <w:r w:rsidR="00032926">
        <w:rPr>
          <w:rFonts w:eastAsia="Times New Roman"/>
          <w:color w:val="000000"/>
          <w:lang w:val="en-GB"/>
        </w:rPr>
        <w:t xml:space="preserve"> </w:t>
      </w:r>
      <w:r w:rsidR="00A10D6A">
        <w:rPr>
          <w:rFonts w:eastAsia="Times New Roman"/>
          <w:color w:val="000000"/>
          <w:lang w:val="en-GB"/>
        </w:rPr>
        <w:t>might be experienced by respondents from different cultures</w:t>
      </w:r>
      <w:r w:rsidR="00066654">
        <w:rPr>
          <w:rFonts w:eastAsia="Times New Roman"/>
          <w:color w:val="000000"/>
          <w:lang w:val="en-GB"/>
        </w:rPr>
        <w:t xml:space="preserve"> within the same country</w:t>
      </w:r>
      <w:r w:rsidR="007D69EB">
        <w:rPr>
          <w:rFonts w:eastAsia="Times New Roman"/>
          <w:color w:val="000000"/>
          <w:lang w:val="en-GB"/>
        </w:rPr>
        <w:t xml:space="preserve">.  </w:t>
      </w:r>
      <w:r w:rsidR="00066654">
        <w:rPr>
          <w:rFonts w:eastAsia="Times New Roman"/>
          <w:color w:val="000000"/>
          <w:lang w:val="en-GB"/>
        </w:rPr>
        <w:t>T</w:t>
      </w:r>
      <w:r w:rsidR="00A10D6A">
        <w:rPr>
          <w:rFonts w:eastAsia="Times New Roman"/>
          <w:color w:val="000000"/>
          <w:lang w:val="en-GB"/>
        </w:rPr>
        <w:t xml:space="preserve">hese findings point to the importance of contextualising attitudinal research on intellectual disability within the wider societal responses to inequalities experienced by citizens from different marginalised groups.  </w:t>
      </w:r>
      <w:r w:rsidR="007D69EB">
        <w:rPr>
          <w:rFonts w:eastAsia="Times New Roman"/>
          <w:color w:val="000000"/>
          <w:lang w:val="en-GB"/>
        </w:rPr>
        <w:t>Moreover</w:t>
      </w:r>
      <w:r w:rsidR="008D4038">
        <w:rPr>
          <w:rFonts w:eastAsia="Times New Roman"/>
          <w:color w:val="000000"/>
          <w:lang w:val="en-GB"/>
        </w:rPr>
        <w:t>,</w:t>
      </w:r>
      <w:r w:rsidR="007D69EB">
        <w:rPr>
          <w:rFonts w:eastAsia="Times New Roman"/>
          <w:color w:val="000000"/>
          <w:lang w:val="en-GB"/>
        </w:rPr>
        <w:t xml:space="preserve"> </w:t>
      </w:r>
      <w:r w:rsidR="00A10D6A">
        <w:rPr>
          <w:rFonts w:eastAsia="Times New Roman"/>
          <w:color w:val="000000"/>
          <w:lang w:val="en-GB"/>
        </w:rPr>
        <w:t>they also suggest that more pos</w:t>
      </w:r>
      <w:r w:rsidR="007D69EB">
        <w:rPr>
          <w:rFonts w:eastAsia="Times New Roman"/>
          <w:color w:val="000000"/>
          <w:lang w:val="en-GB"/>
        </w:rPr>
        <w:t xml:space="preserve">itive attitudes to people with intellectual </w:t>
      </w:r>
      <w:r w:rsidR="00604ED0">
        <w:rPr>
          <w:rFonts w:eastAsia="Times New Roman"/>
          <w:color w:val="000000"/>
          <w:lang w:val="en-GB"/>
        </w:rPr>
        <w:t>disability</w:t>
      </w:r>
      <w:r w:rsidR="00A10D6A">
        <w:rPr>
          <w:rFonts w:eastAsia="Times New Roman"/>
          <w:color w:val="000000"/>
          <w:lang w:val="en-GB"/>
        </w:rPr>
        <w:t xml:space="preserve"> </w:t>
      </w:r>
      <w:r w:rsidR="00066654">
        <w:rPr>
          <w:rFonts w:eastAsia="Times New Roman"/>
          <w:color w:val="000000"/>
          <w:lang w:val="en-GB"/>
        </w:rPr>
        <w:t xml:space="preserve">might also </w:t>
      </w:r>
      <w:r w:rsidR="00A10D6A">
        <w:rPr>
          <w:rFonts w:eastAsia="Times New Roman"/>
          <w:color w:val="000000"/>
          <w:lang w:val="en-GB"/>
        </w:rPr>
        <w:t xml:space="preserve">come from </w:t>
      </w:r>
      <w:r w:rsidR="004D7902">
        <w:rPr>
          <w:rFonts w:eastAsia="Times New Roman"/>
          <w:color w:val="000000"/>
          <w:lang w:val="en-GB"/>
        </w:rPr>
        <w:t xml:space="preserve">aligning their needs with those of others </w:t>
      </w:r>
      <w:r w:rsidR="00066654">
        <w:rPr>
          <w:rFonts w:eastAsia="Times New Roman"/>
          <w:color w:val="000000"/>
          <w:lang w:val="en-GB"/>
        </w:rPr>
        <w:t xml:space="preserve">marginalised groups </w:t>
      </w:r>
      <w:r w:rsidR="004D7902">
        <w:rPr>
          <w:rFonts w:eastAsia="Times New Roman"/>
          <w:color w:val="000000"/>
          <w:lang w:val="en-GB"/>
        </w:rPr>
        <w:t xml:space="preserve">facing stigma and discrimination. </w:t>
      </w:r>
    </w:p>
    <w:p w14:paraId="6FF96CEE" w14:textId="5B3415C0" w:rsidR="00337F50" w:rsidRDefault="00337F50" w:rsidP="00337F50">
      <w:pPr>
        <w:shd w:val="clear" w:color="auto" w:fill="FFFFFF"/>
        <w:rPr>
          <w:rFonts w:eastAsia="Times New Roman"/>
          <w:color w:val="000000"/>
          <w:lang w:val="en-GB"/>
        </w:rPr>
      </w:pPr>
      <w:r>
        <w:rPr>
          <w:rFonts w:eastAsia="Times New Roman"/>
          <w:color w:val="000000"/>
          <w:lang w:val="en-GB"/>
        </w:rPr>
        <w:t>Finally the model also confirmed that persons with higher education are more supportive of rights and community acceptance of persons with ID</w:t>
      </w:r>
      <w:r w:rsidR="00440367">
        <w:rPr>
          <w:rFonts w:eastAsia="Times New Roman"/>
          <w:color w:val="000000"/>
          <w:lang w:val="en-GB"/>
        </w:rPr>
        <w:t xml:space="preserve"> as well as being more comfortable at meeting them and becoming involved with organisations such as Special Olympics.  But i</w:t>
      </w:r>
      <w:r>
        <w:rPr>
          <w:rFonts w:eastAsia="Times New Roman"/>
          <w:color w:val="000000"/>
          <w:lang w:val="en-GB"/>
        </w:rPr>
        <w:t>n contrast to previous research</w:t>
      </w:r>
      <w:r w:rsidR="00440367">
        <w:rPr>
          <w:rFonts w:eastAsia="Times New Roman"/>
          <w:color w:val="000000"/>
          <w:lang w:val="en-GB"/>
        </w:rPr>
        <w:t xml:space="preserve"> (Scior, 2011), gender made little contribution to the overall model which suggests that other variables </w:t>
      </w:r>
      <w:r w:rsidR="00B80BB3">
        <w:rPr>
          <w:rFonts w:eastAsia="Times New Roman"/>
          <w:color w:val="000000"/>
          <w:lang w:val="en-GB"/>
        </w:rPr>
        <w:t xml:space="preserve">were more influential in shaping attitudes to rights in particular.  However </w:t>
      </w:r>
      <w:r w:rsidR="00302F6D">
        <w:rPr>
          <w:rFonts w:eastAsia="Times New Roman"/>
          <w:color w:val="000000"/>
          <w:lang w:val="en-GB"/>
        </w:rPr>
        <w:t xml:space="preserve">females do seem to be more disposed to </w:t>
      </w:r>
      <w:r w:rsidR="008F2087">
        <w:rPr>
          <w:rFonts w:eastAsia="Times New Roman"/>
          <w:color w:val="000000"/>
          <w:lang w:val="en-GB"/>
        </w:rPr>
        <w:t xml:space="preserve">the </w:t>
      </w:r>
      <w:r w:rsidR="00302F6D">
        <w:rPr>
          <w:rFonts w:eastAsia="Times New Roman"/>
          <w:color w:val="000000"/>
          <w:lang w:val="en-GB"/>
        </w:rPr>
        <w:t>community accept</w:t>
      </w:r>
      <w:r w:rsidR="008F2087">
        <w:rPr>
          <w:rFonts w:eastAsia="Times New Roman"/>
          <w:color w:val="000000"/>
          <w:lang w:val="en-GB"/>
        </w:rPr>
        <w:t xml:space="preserve">ing people with ID </w:t>
      </w:r>
      <w:r w:rsidR="00302F6D">
        <w:rPr>
          <w:rFonts w:eastAsia="Times New Roman"/>
          <w:color w:val="000000"/>
          <w:lang w:val="en-GB"/>
        </w:rPr>
        <w:t>although the reasons for this are not cl</w:t>
      </w:r>
      <w:r w:rsidR="008F2087">
        <w:rPr>
          <w:rFonts w:eastAsia="Times New Roman"/>
          <w:color w:val="000000"/>
          <w:lang w:val="en-GB"/>
        </w:rPr>
        <w:t>e</w:t>
      </w:r>
      <w:r w:rsidR="00302F6D">
        <w:rPr>
          <w:rFonts w:eastAsia="Times New Roman"/>
          <w:color w:val="000000"/>
          <w:lang w:val="en-GB"/>
        </w:rPr>
        <w:t xml:space="preserve">ar from this study. </w:t>
      </w:r>
      <w:r w:rsidR="0022532A">
        <w:rPr>
          <w:rFonts w:eastAsia="Times New Roman"/>
          <w:color w:val="000000"/>
          <w:lang w:val="en-GB"/>
        </w:rPr>
        <w:t xml:space="preserve"> </w:t>
      </w:r>
      <w:r w:rsidR="008F2087">
        <w:rPr>
          <w:rFonts w:eastAsia="Times New Roman"/>
          <w:color w:val="000000"/>
          <w:lang w:val="en-GB"/>
        </w:rPr>
        <w:t xml:space="preserve">  </w:t>
      </w:r>
    </w:p>
    <w:p w14:paraId="5DB649DD" w14:textId="1BEC9ED0" w:rsidR="00F23D6A" w:rsidRDefault="00E071B1" w:rsidP="007D2D49">
      <w:pPr>
        <w:shd w:val="clear" w:color="auto" w:fill="FFFFFF"/>
        <w:rPr>
          <w:rFonts w:eastAsia="Times New Roman"/>
          <w:color w:val="000000"/>
          <w:lang w:val="en-GB"/>
        </w:rPr>
      </w:pPr>
      <w:r>
        <w:rPr>
          <w:rFonts w:eastAsia="Times New Roman"/>
          <w:color w:val="000000"/>
          <w:lang w:val="en-GB"/>
        </w:rPr>
        <w:t>Future research on the model could further test its validity in three ways.  First</w:t>
      </w:r>
      <w:r w:rsidR="009C3626">
        <w:rPr>
          <w:rFonts w:eastAsia="Times New Roman"/>
          <w:color w:val="000000"/>
          <w:lang w:val="en-GB"/>
        </w:rPr>
        <w:t>,</w:t>
      </w:r>
      <w:r>
        <w:rPr>
          <w:rFonts w:eastAsia="Times New Roman"/>
          <w:color w:val="000000"/>
          <w:lang w:val="en-GB"/>
        </w:rPr>
        <w:t xml:space="preserve"> this model</w:t>
      </w:r>
      <w:r w:rsidR="009C3626">
        <w:rPr>
          <w:rFonts w:eastAsia="Times New Roman"/>
          <w:color w:val="000000"/>
          <w:lang w:val="en-GB"/>
        </w:rPr>
        <w:t xml:space="preserve"> may</w:t>
      </w:r>
      <w:r>
        <w:rPr>
          <w:rFonts w:eastAsia="Times New Roman"/>
          <w:color w:val="000000"/>
          <w:lang w:val="en-GB"/>
        </w:rPr>
        <w:t xml:space="preserve"> be applicable when the attitudes to particular subgroups </w:t>
      </w:r>
      <w:r w:rsidR="007D69EB">
        <w:rPr>
          <w:rFonts w:eastAsia="Times New Roman"/>
          <w:color w:val="000000"/>
          <w:lang w:val="en-GB"/>
        </w:rPr>
        <w:t xml:space="preserve">of the population </w:t>
      </w:r>
      <w:r>
        <w:rPr>
          <w:rFonts w:eastAsia="Times New Roman"/>
          <w:color w:val="000000"/>
          <w:lang w:val="en-GB"/>
        </w:rPr>
        <w:t>are the focus of study, such as teachers</w:t>
      </w:r>
      <w:r w:rsidR="007D69EB">
        <w:rPr>
          <w:rFonts w:eastAsia="Times New Roman"/>
          <w:color w:val="000000"/>
          <w:lang w:val="en-GB"/>
        </w:rPr>
        <w:t xml:space="preserve"> and </w:t>
      </w:r>
      <w:r>
        <w:rPr>
          <w:rFonts w:eastAsia="Times New Roman"/>
          <w:color w:val="000000"/>
          <w:lang w:val="en-GB"/>
        </w:rPr>
        <w:t>healthcare workers</w:t>
      </w:r>
      <w:r w:rsidR="00F23D6A">
        <w:rPr>
          <w:rFonts w:eastAsia="Times New Roman"/>
          <w:color w:val="000000"/>
          <w:lang w:val="en-GB"/>
        </w:rPr>
        <w:t>, who are</w:t>
      </w:r>
      <w:r>
        <w:rPr>
          <w:rFonts w:eastAsia="Times New Roman"/>
          <w:color w:val="000000"/>
          <w:lang w:val="en-GB"/>
        </w:rPr>
        <w:t xml:space="preserve"> more likely to encounter people with intellectual disability as part of their job </w:t>
      </w:r>
      <w:r w:rsidR="00E95974">
        <w:rPr>
          <w:rFonts w:eastAsia="Times New Roman"/>
          <w:color w:val="000000"/>
          <w:lang w:val="en-GB"/>
        </w:rPr>
        <w:t>(Morin et al., 2018)</w:t>
      </w:r>
      <w:r>
        <w:rPr>
          <w:rFonts w:eastAsia="Times New Roman"/>
          <w:color w:val="000000"/>
          <w:lang w:val="en-GB"/>
        </w:rPr>
        <w:t xml:space="preserve">.  </w:t>
      </w:r>
      <w:r w:rsidR="00F23D6A">
        <w:rPr>
          <w:rFonts w:eastAsia="Times New Roman"/>
          <w:color w:val="000000"/>
          <w:lang w:val="en-GB"/>
        </w:rPr>
        <w:t xml:space="preserve">Fostering more positive attitudes among such community personnel is a pre-requisite to greater inclusion. </w:t>
      </w:r>
      <w:r>
        <w:rPr>
          <w:rFonts w:eastAsia="Times New Roman"/>
          <w:color w:val="000000"/>
          <w:lang w:val="en-GB"/>
        </w:rPr>
        <w:t>Secondly, the model</w:t>
      </w:r>
      <w:r w:rsidR="009C3626">
        <w:rPr>
          <w:rFonts w:eastAsia="Times New Roman"/>
          <w:color w:val="000000"/>
          <w:lang w:val="en-GB"/>
        </w:rPr>
        <w:t xml:space="preserve"> should be examined for</w:t>
      </w:r>
      <w:r>
        <w:rPr>
          <w:rFonts w:eastAsia="Times New Roman"/>
          <w:color w:val="000000"/>
          <w:lang w:val="en-GB"/>
        </w:rPr>
        <w:t xml:space="preserve"> applicab</w:t>
      </w:r>
      <w:r w:rsidR="009C3626">
        <w:rPr>
          <w:rFonts w:eastAsia="Times New Roman"/>
          <w:color w:val="000000"/>
          <w:lang w:val="en-GB"/>
        </w:rPr>
        <w:t>ility</w:t>
      </w:r>
      <w:r>
        <w:rPr>
          <w:rFonts w:eastAsia="Times New Roman"/>
          <w:color w:val="000000"/>
          <w:lang w:val="en-GB"/>
        </w:rPr>
        <w:t xml:space="preserve"> </w:t>
      </w:r>
      <w:r w:rsidR="00AB1158">
        <w:rPr>
          <w:rFonts w:eastAsia="Times New Roman"/>
          <w:color w:val="000000"/>
          <w:lang w:val="en-GB"/>
        </w:rPr>
        <w:t>in understanding public attitudes to</w:t>
      </w:r>
      <w:r>
        <w:rPr>
          <w:rFonts w:eastAsia="Times New Roman"/>
          <w:color w:val="000000"/>
          <w:lang w:val="en-GB"/>
        </w:rPr>
        <w:t xml:space="preserve"> other marginalised groups such as persons with mental health problems or ethnic minoritie</w:t>
      </w:r>
      <w:r w:rsidR="00A940CC">
        <w:rPr>
          <w:rFonts w:eastAsia="Times New Roman"/>
          <w:color w:val="000000"/>
          <w:lang w:val="en-GB"/>
        </w:rPr>
        <w:t>s</w:t>
      </w:r>
      <w:r>
        <w:rPr>
          <w:rFonts w:eastAsia="Times New Roman"/>
          <w:color w:val="000000"/>
          <w:lang w:val="en-GB"/>
        </w:rPr>
        <w:t xml:space="preserve">.  Thirdly, </w:t>
      </w:r>
      <w:r w:rsidR="00F23D6A">
        <w:rPr>
          <w:rFonts w:eastAsia="Times New Roman"/>
          <w:color w:val="000000"/>
          <w:lang w:val="en-GB"/>
        </w:rPr>
        <w:t xml:space="preserve">the model should be considered a work in progress and </w:t>
      </w:r>
      <w:r w:rsidR="009C3626">
        <w:rPr>
          <w:rFonts w:eastAsia="Times New Roman"/>
          <w:color w:val="000000"/>
          <w:lang w:val="en-GB"/>
        </w:rPr>
        <w:t xml:space="preserve">ought to be tested </w:t>
      </w:r>
      <w:r w:rsidR="00F23D6A">
        <w:rPr>
          <w:rFonts w:eastAsia="Times New Roman"/>
          <w:color w:val="000000"/>
          <w:lang w:val="en-GB"/>
        </w:rPr>
        <w:t xml:space="preserve">with </w:t>
      </w:r>
      <w:r>
        <w:rPr>
          <w:rFonts w:eastAsia="Times New Roman"/>
          <w:color w:val="000000"/>
          <w:lang w:val="en-GB"/>
        </w:rPr>
        <w:t xml:space="preserve">different attitudinal domains </w:t>
      </w:r>
      <w:r w:rsidR="00F23D6A">
        <w:rPr>
          <w:rFonts w:eastAsia="Times New Roman"/>
          <w:color w:val="000000"/>
          <w:lang w:val="en-GB"/>
        </w:rPr>
        <w:t xml:space="preserve">included </w:t>
      </w:r>
      <w:r w:rsidR="00B23E70">
        <w:rPr>
          <w:rFonts w:eastAsia="Times New Roman"/>
          <w:color w:val="000000"/>
          <w:lang w:val="en-GB"/>
        </w:rPr>
        <w:t>such as knowledge of intellectual disability or likely behavioural responses in contexts such as prioritisation for healthc</w:t>
      </w:r>
      <w:r w:rsidR="00AB1158">
        <w:rPr>
          <w:rFonts w:eastAsia="Times New Roman"/>
          <w:color w:val="000000"/>
          <w:lang w:val="en-GB"/>
        </w:rPr>
        <w:t>are or social security benefits</w:t>
      </w:r>
      <w:r w:rsidR="009C3626">
        <w:rPr>
          <w:rFonts w:eastAsia="Times New Roman"/>
          <w:color w:val="000000"/>
          <w:lang w:val="en-GB"/>
        </w:rPr>
        <w:t>.</w:t>
      </w:r>
      <w:r w:rsidR="00B23E70">
        <w:rPr>
          <w:rFonts w:eastAsia="Times New Roman"/>
          <w:color w:val="000000"/>
          <w:lang w:val="en-GB"/>
        </w:rPr>
        <w:t xml:space="preserve"> </w:t>
      </w:r>
      <w:r w:rsidR="00161CDF">
        <w:rPr>
          <w:rFonts w:eastAsia="Times New Roman"/>
          <w:color w:val="000000"/>
          <w:lang w:val="en-GB"/>
        </w:rPr>
        <w:t xml:space="preserve"> </w:t>
      </w:r>
      <w:r w:rsidR="00F23D6A">
        <w:rPr>
          <w:rFonts w:eastAsia="Times New Roman"/>
          <w:color w:val="000000"/>
          <w:lang w:val="en-GB"/>
        </w:rPr>
        <w:t xml:space="preserve">These could explain some of the unexplained variance identified in the present analyses.  </w:t>
      </w:r>
    </w:p>
    <w:p w14:paraId="53BF75F1" w14:textId="310243E9" w:rsidR="00566BF1" w:rsidRDefault="00370577" w:rsidP="007D2D49">
      <w:pPr>
        <w:shd w:val="clear" w:color="auto" w:fill="FFFFFF"/>
        <w:rPr>
          <w:rFonts w:eastAsia="Times New Roman"/>
          <w:color w:val="000000"/>
          <w:lang w:val="en-GB"/>
        </w:rPr>
      </w:pPr>
      <w:r>
        <w:rPr>
          <w:rFonts w:eastAsia="Times New Roman"/>
          <w:color w:val="000000"/>
          <w:lang w:val="en-GB"/>
        </w:rPr>
        <w:t xml:space="preserve">There </w:t>
      </w:r>
      <w:r w:rsidR="00B476E3">
        <w:rPr>
          <w:rFonts w:eastAsia="Times New Roman"/>
          <w:color w:val="000000"/>
          <w:lang w:val="en-GB"/>
        </w:rPr>
        <w:t xml:space="preserve">were three main </w:t>
      </w:r>
      <w:r>
        <w:rPr>
          <w:rFonts w:eastAsia="Times New Roman"/>
          <w:color w:val="000000"/>
          <w:lang w:val="en-GB"/>
        </w:rPr>
        <w:t>limitations inherent in the way information was gathered</w:t>
      </w:r>
      <w:r w:rsidR="008F2087">
        <w:rPr>
          <w:rFonts w:eastAsia="Times New Roman"/>
          <w:color w:val="000000"/>
          <w:lang w:val="en-GB"/>
        </w:rPr>
        <w:t xml:space="preserve"> in this study.</w:t>
      </w:r>
      <w:r>
        <w:rPr>
          <w:rFonts w:eastAsia="Times New Roman"/>
          <w:color w:val="000000"/>
          <w:lang w:val="en-GB"/>
        </w:rPr>
        <w:t xml:space="preserve">  In common with many other attitudinal studies, the responses obtained may not reflect how the public would actually behave when faced </w:t>
      </w:r>
      <w:r w:rsidR="00772ACC">
        <w:rPr>
          <w:rFonts w:eastAsia="Times New Roman"/>
          <w:color w:val="000000"/>
          <w:lang w:val="en-GB"/>
        </w:rPr>
        <w:t xml:space="preserve">with </w:t>
      </w:r>
      <w:r>
        <w:rPr>
          <w:rFonts w:eastAsia="Times New Roman"/>
          <w:color w:val="000000"/>
          <w:lang w:val="en-GB"/>
        </w:rPr>
        <w:t xml:space="preserve">the reality of </w:t>
      </w:r>
      <w:r w:rsidR="00AA59A5">
        <w:rPr>
          <w:rFonts w:eastAsia="Times New Roman"/>
          <w:color w:val="000000"/>
          <w:lang w:val="en-GB"/>
        </w:rPr>
        <w:t>support</w:t>
      </w:r>
      <w:r>
        <w:rPr>
          <w:rFonts w:eastAsia="Times New Roman"/>
          <w:color w:val="000000"/>
          <w:lang w:val="en-GB"/>
        </w:rPr>
        <w:t xml:space="preserve">ing the rights of people with intellectual </w:t>
      </w:r>
      <w:r w:rsidR="00604ED0">
        <w:rPr>
          <w:rFonts w:eastAsia="Times New Roman"/>
          <w:color w:val="000000"/>
          <w:lang w:val="en-GB"/>
        </w:rPr>
        <w:t>disability</w:t>
      </w:r>
      <w:r>
        <w:rPr>
          <w:rFonts w:eastAsia="Times New Roman"/>
          <w:color w:val="000000"/>
          <w:lang w:val="en-GB"/>
        </w:rPr>
        <w:t xml:space="preserve"> or welcoming them to their neighbourh</w:t>
      </w:r>
      <w:r w:rsidR="00772ACC">
        <w:rPr>
          <w:rFonts w:eastAsia="Times New Roman"/>
          <w:color w:val="000000"/>
          <w:lang w:val="en-GB"/>
        </w:rPr>
        <w:t>ood.  It has been argued that i</w:t>
      </w:r>
      <w:r>
        <w:rPr>
          <w:rFonts w:eastAsia="Times New Roman"/>
          <w:color w:val="000000"/>
          <w:lang w:val="en-GB"/>
        </w:rPr>
        <w:t>nternet surveys reduce socially desirable responding compared to face-to-face interview</w:t>
      </w:r>
      <w:r w:rsidR="00772ACC">
        <w:rPr>
          <w:rFonts w:eastAsia="Times New Roman"/>
          <w:color w:val="000000"/>
          <w:lang w:val="en-GB"/>
        </w:rPr>
        <w:t>s (</w:t>
      </w:r>
      <w:r w:rsidR="00F72FB8" w:rsidRPr="00F72FB8">
        <w:rPr>
          <w:rFonts w:eastAsia="Times New Roman"/>
          <w:color w:val="000000"/>
          <w:lang w:val="en-GB"/>
        </w:rPr>
        <w:t>Krumpal</w:t>
      </w:r>
      <w:r w:rsidR="00F72FB8">
        <w:rPr>
          <w:rFonts w:eastAsia="Times New Roman"/>
          <w:color w:val="000000"/>
          <w:lang w:val="en-GB"/>
        </w:rPr>
        <w:t>, 2013</w:t>
      </w:r>
      <w:r w:rsidR="00772ACC">
        <w:rPr>
          <w:rFonts w:eastAsia="Times New Roman"/>
          <w:color w:val="000000"/>
          <w:lang w:val="en-GB"/>
        </w:rPr>
        <w:t>)</w:t>
      </w:r>
      <w:r w:rsidR="009D1D99">
        <w:rPr>
          <w:rFonts w:eastAsia="Times New Roman"/>
          <w:color w:val="000000"/>
          <w:lang w:val="en-GB"/>
        </w:rPr>
        <w:t>,</w:t>
      </w:r>
      <w:r>
        <w:rPr>
          <w:rFonts w:eastAsia="Times New Roman"/>
          <w:color w:val="000000"/>
          <w:lang w:val="en-GB"/>
        </w:rPr>
        <w:t xml:space="preserve"> while others have argued that implicit measurements of attitudes may give a </w:t>
      </w:r>
      <w:r w:rsidR="006F088B">
        <w:rPr>
          <w:rFonts w:eastAsia="Times New Roman"/>
          <w:color w:val="000000"/>
          <w:lang w:val="en-GB"/>
        </w:rPr>
        <w:t xml:space="preserve">complementary </w:t>
      </w:r>
      <w:r>
        <w:rPr>
          <w:rFonts w:eastAsia="Times New Roman"/>
          <w:color w:val="000000"/>
          <w:lang w:val="en-GB"/>
        </w:rPr>
        <w:t>reflection of public perceptions</w:t>
      </w:r>
      <w:r w:rsidR="00772ACC">
        <w:rPr>
          <w:rFonts w:eastAsia="Times New Roman"/>
          <w:color w:val="000000"/>
          <w:lang w:val="en-GB"/>
        </w:rPr>
        <w:t xml:space="preserve"> (</w:t>
      </w:r>
      <w:r w:rsidR="006F088B">
        <w:rPr>
          <w:rFonts w:eastAsia="Times New Roman"/>
          <w:color w:val="000000"/>
          <w:lang w:val="en-GB"/>
        </w:rPr>
        <w:t>Wilson &amp; Scior, 2015</w:t>
      </w:r>
      <w:r w:rsidR="00772ACC">
        <w:rPr>
          <w:rFonts w:eastAsia="Times New Roman"/>
          <w:color w:val="000000"/>
          <w:lang w:val="en-GB"/>
        </w:rPr>
        <w:t>)</w:t>
      </w:r>
      <w:r>
        <w:rPr>
          <w:rFonts w:eastAsia="Times New Roman"/>
          <w:color w:val="000000"/>
          <w:lang w:val="en-GB"/>
        </w:rPr>
        <w:t xml:space="preserve">.  </w:t>
      </w:r>
      <w:r w:rsidR="00772ACC">
        <w:rPr>
          <w:rFonts w:eastAsia="Times New Roman"/>
          <w:color w:val="000000"/>
          <w:lang w:val="en-GB"/>
        </w:rPr>
        <w:t xml:space="preserve">To date, there is little empirical evidence to support either of these positions. </w:t>
      </w:r>
    </w:p>
    <w:p w14:paraId="67A96AC6" w14:textId="595E1508" w:rsidR="007406EB" w:rsidRDefault="006F088B" w:rsidP="007D2D49">
      <w:pPr>
        <w:shd w:val="clear" w:color="auto" w:fill="FFFFFF"/>
        <w:rPr>
          <w:rFonts w:eastAsia="Times New Roman"/>
          <w:color w:val="000000"/>
          <w:lang w:val="en-GB"/>
        </w:rPr>
      </w:pPr>
      <w:r>
        <w:rPr>
          <w:rFonts w:eastAsia="Times New Roman"/>
          <w:color w:val="000000"/>
          <w:lang w:val="en-GB"/>
        </w:rPr>
        <w:t>Secondly, t</w:t>
      </w:r>
      <w:r w:rsidR="00772ACC">
        <w:rPr>
          <w:rFonts w:eastAsia="Times New Roman"/>
          <w:color w:val="000000"/>
          <w:lang w:val="en-GB"/>
        </w:rPr>
        <w:t xml:space="preserve">he choice of online </w:t>
      </w:r>
      <w:r w:rsidR="00AB1158">
        <w:rPr>
          <w:rFonts w:eastAsia="Times New Roman"/>
          <w:color w:val="000000"/>
          <w:lang w:val="en-GB"/>
        </w:rPr>
        <w:t xml:space="preserve">surveys </w:t>
      </w:r>
      <w:r w:rsidR="00772ACC">
        <w:rPr>
          <w:rFonts w:eastAsia="Times New Roman"/>
          <w:color w:val="000000"/>
          <w:lang w:val="en-GB"/>
        </w:rPr>
        <w:t>resulted in skewed samples with a bias towards those who were computer literate with internet access.  Hence less educated persons from poorer backgrounds were possibly under-represented in the surveys</w:t>
      </w:r>
      <w:r w:rsidR="00AB1158">
        <w:rPr>
          <w:rFonts w:eastAsia="Times New Roman"/>
          <w:color w:val="000000"/>
          <w:lang w:val="en-GB"/>
        </w:rPr>
        <w:t xml:space="preserve"> which was compounded by the omission of low income countries</w:t>
      </w:r>
      <w:r w:rsidR="00772ACC">
        <w:rPr>
          <w:rFonts w:eastAsia="Times New Roman"/>
          <w:color w:val="000000"/>
          <w:lang w:val="en-GB"/>
        </w:rPr>
        <w:t xml:space="preserve">.  </w:t>
      </w:r>
      <w:r>
        <w:rPr>
          <w:rFonts w:eastAsia="Times New Roman"/>
          <w:color w:val="000000"/>
          <w:lang w:val="en-GB"/>
        </w:rPr>
        <w:t>Future research should address this issue.</w:t>
      </w:r>
      <w:r w:rsidR="00032926">
        <w:rPr>
          <w:rFonts w:eastAsia="Times New Roman"/>
          <w:color w:val="000000"/>
          <w:lang w:val="en-GB"/>
        </w:rPr>
        <w:t xml:space="preserve"> </w:t>
      </w:r>
    </w:p>
    <w:p w14:paraId="5AD7B40D" w14:textId="66598B7C" w:rsidR="00B476E3" w:rsidRDefault="006F088B" w:rsidP="007D2D49">
      <w:pPr>
        <w:shd w:val="clear" w:color="auto" w:fill="FFFFFF"/>
        <w:rPr>
          <w:rFonts w:eastAsia="Times New Roman"/>
          <w:color w:val="000000"/>
          <w:lang w:val="en-GB"/>
        </w:rPr>
      </w:pPr>
      <w:r>
        <w:rPr>
          <w:rFonts w:eastAsia="Times New Roman"/>
          <w:color w:val="000000"/>
          <w:lang w:val="en-GB"/>
        </w:rPr>
        <w:t>Thirdly, a</w:t>
      </w:r>
      <w:r w:rsidR="00B476E3">
        <w:rPr>
          <w:rFonts w:eastAsia="Times New Roman"/>
          <w:color w:val="000000"/>
          <w:lang w:val="en-GB"/>
        </w:rPr>
        <w:t xml:space="preserve">lthough respondents were presented with a definition of intellectual disability, no checks were made to ascertain </w:t>
      </w:r>
      <w:r>
        <w:rPr>
          <w:rFonts w:eastAsia="Times New Roman"/>
          <w:color w:val="000000"/>
          <w:lang w:val="en-GB"/>
        </w:rPr>
        <w:t>how they had</w:t>
      </w:r>
      <w:r w:rsidR="00B476E3">
        <w:rPr>
          <w:rFonts w:eastAsia="Times New Roman"/>
          <w:color w:val="000000"/>
          <w:lang w:val="en-GB"/>
        </w:rPr>
        <w:t xml:space="preserve"> interpreted </w:t>
      </w:r>
      <w:r>
        <w:rPr>
          <w:rFonts w:eastAsia="Times New Roman"/>
          <w:color w:val="000000"/>
          <w:lang w:val="en-GB"/>
        </w:rPr>
        <w:t>‘</w:t>
      </w:r>
      <w:r w:rsidR="00B476E3">
        <w:rPr>
          <w:rFonts w:eastAsia="Times New Roman"/>
          <w:color w:val="000000"/>
          <w:lang w:val="en-GB"/>
        </w:rPr>
        <w:t>intellectual disability</w:t>
      </w:r>
      <w:r>
        <w:rPr>
          <w:rFonts w:eastAsia="Times New Roman"/>
          <w:color w:val="000000"/>
          <w:lang w:val="en-GB"/>
        </w:rPr>
        <w:t xml:space="preserve">’ </w:t>
      </w:r>
      <w:r w:rsidR="007406EB">
        <w:rPr>
          <w:rFonts w:eastAsia="Times New Roman"/>
          <w:color w:val="000000"/>
          <w:lang w:val="en-GB"/>
        </w:rPr>
        <w:t xml:space="preserve">and whether they perceived it to include </w:t>
      </w:r>
      <w:r w:rsidR="00B476E3">
        <w:rPr>
          <w:rFonts w:eastAsia="Times New Roman"/>
          <w:color w:val="000000"/>
          <w:lang w:val="en-GB"/>
        </w:rPr>
        <w:t xml:space="preserve">persons with learning </w:t>
      </w:r>
      <w:r w:rsidR="00604ED0">
        <w:rPr>
          <w:rFonts w:eastAsia="Times New Roman"/>
          <w:color w:val="000000"/>
          <w:lang w:val="en-GB"/>
        </w:rPr>
        <w:t>disability</w:t>
      </w:r>
      <w:r w:rsidR="007406EB">
        <w:rPr>
          <w:rFonts w:eastAsia="Times New Roman"/>
          <w:color w:val="000000"/>
          <w:lang w:val="en-GB"/>
        </w:rPr>
        <w:t xml:space="preserve"> (such as dyslexia), </w:t>
      </w:r>
      <w:r w:rsidR="00B476E3">
        <w:rPr>
          <w:rFonts w:eastAsia="Times New Roman"/>
          <w:color w:val="000000"/>
          <w:lang w:val="en-GB"/>
        </w:rPr>
        <w:t xml:space="preserve"> autism or brain injury.  </w:t>
      </w:r>
    </w:p>
    <w:p w14:paraId="3545CCAB" w14:textId="0DFA3AA6" w:rsidR="007850B6" w:rsidRDefault="007850B6" w:rsidP="00C57DD8">
      <w:pPr>
        <w:pStyle w:val="Heading1"/>
        <w:rPr>
          <w:lang w:val="en-GB"/>
        </w:rPr>
      </w:pPr>
      <w:r>
        <w:rPr>
          <w:lang w:val="en-GB"/>
        </w:rPr>
        <w:t>Conclusions</w:t>
      </w:r>
    </w:p>
    <w:p w14:paraId="39CB70BF" w14:textId="200788E0" w:rsidR="0041394C" w:rsidRDefault="00C57DD8" w:rsidP="007D2D49">
      <w:pPr>
        <w:shd w:val="clear" w:color="auto" w:fill="FFFFFF"/>
        <w:rPr>
          <w:rFonts w:eastAsia="Times New Roman"/>
          <w:color w:val="000000"/>
          <w:lang w:val="en-GB"/>
        </w:rPr>
      </w:pPr>
      <w:r>
        <w:rPr>
          <w:rFonts w:eastAsia="Times New Roman"/>
          <w:color w:val="000000"/>
          <w:lang w:val="en-GB"/>
        </w:rPr>
        <w:t>T</w:t>
      </w:r>
      <w:r w:rsidR="0041394C">
        <w:rPr>
          <w:rFonts w:eastAsia="Times New Roman"/>
          <w:color w:val="000000"/>
          <w:lang w:val="en-GB"/>
        </w:rPr>
        <w:t xml:space="preserve">he development and testing of a model was intended to guide further research and a range of suggestions have been made for the form and format that future studies might take.  Our hope also was that a model would guide the development of interventions to promote more positive attitudes and again, practical strategies have been proposed; the evaluation of which would further support the validity of the model. </w:t>
      </w:r>
    </w:p>
    <w:p w14:paraId="43ECFF95" w14:textId="0D919A77" w:rsidR="00127E37" w:rsidRDefault="00127E37" w:rsidP="007D2D49">
      <w:pPr>
        <w:shd w:val="clear" w:color="auto" w:fill="FFFFFF"/>
        <w:rPr>
          <w:rFonts w:eastAsia="Times New Roman"/>
          <w:color w:val="000000"/>
          <w:lang w:val="en-GB"/>
        </w:rPr>
      </w:pPr>
      <w:r>
        <w:rPr>
          <w:rFonts w:eastAsia="Times New Roman"/>
          <w:color w:val="000000"/>
          <w:lang w:val="en-GB"/>
        </w:rPr>
        <w:t xml:space="preserve">Nonetheless some major methodological challenges remain in undertaking attitudinal research but being aware of them, is the first step to overcoming them. </w:t>
      </w:r>
      <w:r w:rsidR="0065098D">
        <w:rPr>
          <w:rFonts w:eastAsia="Times New Roman"/>
          <w:color w:val="000000"/>
          <w:lang w:val="en-GB"/>
        </w:rPr>
        <w:t xml:space="preserve"> The rationale for further studies of public attitudes if anything is stronger than ever, as people with intellectual </w:t>
      </w:r>
      <w:r w:rsidR="00604ED0">
        <w:rPr>
          <w:rFonts w:eastAsia="Times New Roman"/>
          <w:color w:val="000000"/>
          <w:lang w:val="en-GB"/>
        </w:rPr>
        <w:t>disability</w:t>
      </w:r>
      <w:r w:rsidR="0065098D">
        <w:rPr>
          <w:rFonts w:eastAsia="Times New Roman"/>
          <w:color w:val="000000"/>
          <w:lang w:val="en-GB"/>
        </w:rPr>
        <w:t xml:space="preserve"> strive for equal opportunities to become part of, rather </w:t>
      </w:r>
      <w:r w:rsidR="007406EB">
        <w:rPr>
          <w:rFonts w:eastAsia="Times New Roman"/>
          <w:color w:val="000000"/>
          <w:lang w:val="en-GB"/>
        </w:rPr>
        <w:t xml:space="preserve">than </w:t>
      </w:r>
      <w:r w:rsidR="0065098D">
        <w:rPr>
          <w:rFonts w:eastAsia="Times New Roman"/>
          <w:color w:val="000000"/>
          <w:lang w:val="en-GB"/>
        </w:rPr>
        <w:t>a part from, their local communities.</w:t>
      </w:r>
    </w:p>
    <w:p w14:paraId="0444D0BC" w14:textId="2211859C" w:rsidR="00A57719" w:rsidRDefault="00A57719">
      <w:pPr>
        <w:shd w:val="clear" w:color="auto" w:fill="FFFFFF"/>
        <w:spacing w:before="100" w:beforeAutospacing="1" w:after="100" w:afterAutospacing="1" w:line="240" w:lineRule="auto"/>
        <w:rPr>
          <w:rFonts w:eastAsia="Times New Roman"/>
          <w:b/>
          <w:color w:val="000000"/>
          <w:lang w:val="en-GB"/>
        </w:rPr>
      </w:pPr>
      <w:r>
        <w:rPr>
          <w:rFonts w:eastAsia="Times New Roman"/>
          <w:b/>
          <w:color w:val="000000"/>
          <w:lang w:val="en-GB"/>
        </w:rPr>
        <w:t>References</w:t>
      </w:r>
    </w:p>
    <w:p w14:paraId="07142E67" w14:textId="0F1D59A9" w:rsidR="00A57719" w:rsidRDefault="00A57719" w:rsidP="00A57719">
      <w:pPr>
        <w:spacing w:after="240" w:line="240" w:lineRule="auto"/>
        <w:ind w:left="720" w:hanging="720"/>
      </w:pPr>
      <w:r>
        <w:t>Authors reference (</w:t>
      </w:r>
      <w:r w:rsidRPr="00AF48F4">
        <w:t>20</w:t>
      </w:r>
      <w:r w:rsidR="00A45E54">
        <w:t>20</w:t>
      </w:r>
      <w:r>
        <w:t>a)</w:t>
      </w:r>
      <w:r w:rsidRPr="00AF48F4">
        <w:t xml:space="preserve"> </w:t>
      </w:r>
      <w:r>
        <w:t xml:space="preserve"> </w:t>
      </w:r>
      <w:r w:rsidRPr="00AF48F4">
        <w:t>Engagement with Special Olympics by the general public in 17 countries world-wide.</w:t>
      </w:r>
    </w:p>
    <w:p w14:paraId="2C44DFDD" w14:textId="78D5855B" w:rsidR="00A57719" w:rsidRDefault="00A57719" w:rsidP="00A57719">
      <w:pPr>
        <w:spacing w:after="240" w:line="240" w:lineRule="auto"/>
        <w:ind w:left="720" w:hanging="720"/>
      </w:pPr>
      <w:r>
        <w:t>Authors reference (20</w:t>
      </w:r>
      <w:r w:rsidR="00A45E54">
        <w:t>20</w:t>
      </w:r>
      <w:r>
        <w:t xml:space="preserve">b) </w:t>
      </w:r>
      <w:r w:rsidRPr="00E15751">
        <w:t>An international study of public contact with people who have an intellectual disability</w:t>
      </w:r>
      <w:r>
        <w:t xml:space="preserve">. </w:t>
      </w:r>
    </w:p>
    <w:p w14:paraId="694CEED5" w14:textId="77777777" w:rsidR="00A57719" w:rsidRDefault="00A57719" w:rsidP="00A57719">
      <w:pPr>
        <w:spacing w:after="240" w:line="240" w:lineRule="auto"/>
        <w:ind w:left="720" w:hanging="720"/>
      </w:pPr>
    </w:p>
    <w:p w14:paraId="231A26BB" w14:textId="7D9AFCEE" w:rsidR="00A225BF" w:rsidRDefault="00A225BF" w:rsidP="00A57719">
      <w:pPr>
        <w:spacing w:after="240" w:line="240" w:lineRule="auto"/>
        <w:ind w:left="720" w:hanging="720"/>
      </w:pPr>
      <w:r w:rsidRPr="00A225BF">
        <w:t>Allport, G. W. (1954). The nature of prejudice. Addison Wesley.</w:t>
      </w:r>
    </w:p>
    <w:p w14:paraId="47736182" w14:textId="07864589" w:rsidR="00A57719" w:rsidRDefault="00A57719" w:rsidP="00A57719">
      <w:pPr>
        <w:spacing w:after="240" w:line="240" w:lineRule="auto"/>
        <w:ind w:left="720" w:hanging="720"/>
      </w:pPr>
      <w:r w:rsidRPr="00AF4858">
        <w:t>American Association on Intellectual and Developmental Disabilities (2019)</w:t>
      </w:r>
      <w:r>
        <w:t xml:space="preserve"> </w:t>
      </w:r>
      <w:hyperlink r:id="rId12" w:history="1">
        <w:r w:rsidRPr="00AD0A2E">
          <w:rPr>
            <w:rStyle w:val="Hyperlink"/>
          </w:rPr>
          <w:t>https://www.aaidd.org/intellectual-disability/definition</w:t>
        </w:r>
      </w:hyperlink>
      <w:r>
        <w:t xml:space="preserve">. Last accessed </w:t>
      </w:r>
      <w:r w:rsidR="00744377">
        <w:t>19 June</w:t>
      </w:r>
      <w:r w:rsidR="007406EB">
        <w:t>, 2020.</w:t>
      </w:r>
    </w:p>
    <w:p w14:paraId="04483235" w14:textId="77777777" w:rsidR="00E551D3" w:rsidRDefault="00E551D3" w:rsidP="00E551D3">
      <w:pPr>
        <w:spacing w:after="240" w:line="240" w:lineRule="auto"/>
        <w:ind w:left="720" w:hanging="720"/>
      </w:pPr>
      <w:r w:rsidRPr="0015487F">
        <w:t>Beadle-Brown, J., Mansell, J., &amp; Kozma, A. (2007). Deinstitutionalization in intellectual disabilities. Current Opinion in Psychiatry, 20(5), 437-442.</w:t>
      </w:r>
    </w:p>
    <w:p w14:paraId="1228CF5A" w14:textId="77777777" w:rsidR="004B2C47" w:rsidRDefault="004B2C47" w:rsidP="005B4E80">
      <w:pPr>
        <w:spacing w:after="240" w:line="240" w:lineRule="auto"/>
        <w:ind w:left="720" w:hanging="720"/>
        <w:rPr>
          <w:color w:val="FF0000"/>
        </w:rPr>
      </w:pPr>
      <w:r w:rsidRPr="004B2C47">
        <w:rPr>
          <w:color w:val="FF0000"/>
        </w:rPr>
        <w:t>Cook, J. E., Purdie-Vaughns, V., Meyer, I. H., &amp; Busch, J. T. (2014). Intervening within and across levels: A multilevel approach to stigma and public health. Social Science &amp; Medicine, 103, 101-109.</w:t>
      </w:r>
    </w:p>
    <w:p w14:paraId="6D35BAF1" w14:textId="5C5A8B97" w:rsidR="00BF72A6" w:rsidRPr="00D82BFE" w:rsidRDefault="00BF72A6" w:rsidP="00A57719">
      <w:pPr>
        <w:spacing w:after="240" w:line="240" w:lineRule="auto"/>
        <w:ind w:left="720" w:hanging="720"/>
      </w:pPr>
      <w:bookmarkStart w:id="6" w:name="_Hlk43297887"/>
      <w:r w:rsidRPr="00D82BFE">
        <w:t>Harada, C. M., Siperstein, G. N., Parker, R. C., &amp; Lenox</w:t>
      </w:r>
      <w:bookmarkEnd w:id="6"/>
      <w:r w:rsidRPr="00D82BFE">
        <w:t>, D. (2011). Promoting social inclusion for people with intellectual disabilities through sport: Special Olympics International, global sport initiatives and strategies. Sport in Society, 14(9), 1131-1148.</w:t>
      </w:r>
    </w:p>
    <w:p w14:paraId="307082EE" w14:textId="5B0F18C2" w:rsidR="00A57719" w:rsidRDefault="00A57719" w:rsidP="00A57719">
      <w:pPr>
        <w:spacing w:after="240" w:line="240" w:lineRule="auto"/>
        <w:ind w:left="720" w:hanging="720"/>
      </w:pPr>
      <w:r w:rsidRPr="00C17A9A">
        <w:t>Hughes, R., &amp; Huby, M. (2012). The construction and interpretation of vignettes in social research. Social Work and Social Sciences Review, 11(1), 36-51.</w:t>
      </w:r>
    </w:p>
    <w:p w14:paraId="675BC1F8" w14:textId="77777777" w:rsidR="00A57719" w:rsidRDefault="00A57719" w:rsidP="00A57719">
      <w:pPr>
        <w:spacing w:after="240" w:line="240" w:lineRule="auto"/>
        <w:ind w:left="720" w:hanging="720"/>
      </w:pPr>
      <w:r w:rsidRPr="0079663D">
        <w:t>Keith, J. M., Bennetto, L., &amp; Rogge, R. D. (2015). The relationship between contact and attitudes: Reducing prejudice toward individuals with intellectual and developmental disabilities. Research in developmental disabilities, 47, 14-26.</w:t>
      </w:r>
    </w:p>
    <w:p w14:paraId="3B8B28C6" w14:textId="492D2761" w:rsidR="00F72FB8" w:rsidRDefault="00F72FB8" w:rsidP="00A57719">
      <w:pPr>
        <w:spacing w:after="240" w:line="240" w:lineRule="auto"/>
        <w:ind w:left="720" w:hanging="720"/>
      </w:pPr>
      <w:r w:rsidRPr="00F72FB8">
        <w:t>Krumpal, I. (2013). Determinants of social desirability bias in sensitive surveys: a literature review. Quality &amp; Quantity, 47(4), 2025-2047.</w:t>
      </w:r>
    </w:p>
    <w:p w14:paraId="462D3B4F" w14:textId="2CABAFF9" w:rsidR="00A57719" w:rsidRDefault="00A57719" w:rsidP="00A57719">
      <w:pPr>
        <w:spacing w:after="240" w:line="240" w:lineRule="auto"/>
        <w:ind w:left="720" w:hanging="720"/>
      </w:pPr>
      <w:r w:rsidRPr="00A34281">
        <w:t>Lombardi, M., Vandenbussche, H., Claes, C., Schalock, R. L., De Maeyer, J., &amp; Vandevelde, S. (2019). The Concept of Quality of Life as Framework for Implementing the UNCRPD. Journal of Policy and Practice in Intellectual Disabilities</w:t>
      </w:r>
      <w:r w:rsidR="004B2C47">
        <w:t xml:space="preserve"> (early view)</w:t>
      </w:r>
      <w:r w:rsidRPr="00A34281">
        <w:t>.</w:t>
      </w:r>
    </w:p>
    <w:p w14:paraId="504914F9" w14:textId="77777777" w:rsidR="00A57719" w:rsidRDefault="00A57719" w:rsidP="00A57719">
      <w:pPr>
        <w:spacing w:after="240" w:line="240" w:lineRule="auto"/>
        <w:ind w:left="720" w:hanging="720"/>
      </w:pPr>
      <w:r w:rsidRPr="00012136">
        <w:t>McConkey, R. (2015). Measuring public discomfort at meeting people with disabilities. Research in developmental disabilities, 45, 220-228.</w:t>
      </w:r>
    </w:p>
    <w:p w14:paraId="6495D7EC" w14:textId="4EB98CCF" w:rsidR="00ED1886" w:rsidRDefault="00ED1886" w:rsidP="00A57719">
      <w:pPr>
        <w:spacing w:after="240" w:line="240" w:lineRule="auto"/>
        <w:ind w:left="720" w:hanging="720"/>
      </w:pPr>
      <w:r w:rsidRPr="00ED1886">
        <w:t>Mannan, H., McVeigh, J., Amin, M., MacLachlan, M., Swartz, L., Munthali, A., &amp; Van Rooy, G. (2012). Core concepts of human rights and inclusion of vulnerable groups in the disability and rehabilitation policies of Malawi, Namibia, Sudan, and South Africa. Journal of Disability Policy Studies, 23(2), 67-81.</w:t>
      </w:r>
    </w:p>
    <w:p w14:paraId="1EB6750B" w14:textId="6B66DF6A" w:rsidR="00A57719" w:rsidRDefault="00A57719" w:rsidP="00A57719">
      <w:pPr>
        <w:spacing w:after="240" w:line="240" w:lineRule="auto"/>
        <w:ind w:left="720" w:hanging="720"/>
      </w:pPr>
      <w:r w:rsidRPr="00B30FDF">
        <w:t>Merrells, J., Buchanan, A., &amp; Waters, R. (2018). The experience of social inclusion for people with intellectual disability within community recreational programs: A systematic review. Journal of Intellectual &amp; Developmental Disability, 43(4), 381-391.</w:t>
      </w:r>
    </w:p>
    <w:p w14:paraId="58B4DFA4" w14:textId="77777777" w:rsidR="00A57719" w:rsidRDefault="00A57719" w:rsidP="00A57719">
      <w:pPr>
        <w:spacing w:after="240" w:line="240" w:lineRule="auto"/>
        <w:ind w:left="720" w:hanging="720"/>
      </w:pPr>
      <w:r>
        <w:t>Mittler, P. (2015). The UN Convention on the Rights of Persons with D</w:t>
      </w:r>
      <w:r w:rsidRPr="000132A8">
        <w:t>isabilities: Implementing a Paradigm Shift. Journal of Policy and Practice in Intellectual Disabilities, 12(2), 79-89.</w:t>
      </w:r>
    </w:p>
    <w:p w14:paraId="2DF47CB5" w14:textId="67004198" w:rsidR="00A57719" w:rsidRDefault="00A57719" w:rsidP="00A57719">
      <w:pPr>
        <w:spacing w:after="240" w:line="240" w:lineRule="auto"/>
        <w:ind w:left="720" w:hanging="720"/>
      </w:pPr>
      <w:r w:rsidRPr="00C1429D">
        <w:t>Morin, D., Crocker, A. G., Beaulieu</w:t>
      </w:r>
      <w:r w:rsidRPr="00C1429D">
        <w:rPr>
          <w:rFonts w:ascii="Cambria Math" w:hAnsi="Cambria Math" w:cs="Cambria Math"/>
        </w:rPr>
        <w:t>‐</w:t>
      </w:r>
      <w:r w:rsidRPr="00C1429D">
        <w:t>Bergeron, R., &amp; Caron, J. (2013). Validation of the attitudes toward intellectual disability–ATTID questionnaire. Journal of Intellectual Disability Research, 57(3), 268-278.</w:t>
      </w:r>
    </w:p>
    <w:p w14:paraId="0231A8F6" w14:textId="77777777" w:rsidR="00642DA9" w:rsidRPr="00D82BFE" w:rsidRDefault="00642DA9" w:rsidP="00642DA9">
      <w:pPr>
        <w:spacing w:after="240" w:line="240" w:lineRule="auto"/>
        <w:ind w:left="720" w:hanging="720"/>
      </w:pPr>
      <w:bookmarkStart w:id="7" w:name="_Hlk43299102"/>
      <w:r w:rsidRPr="00D82BFE">
        <w:t>Morin, D., Rivard, M., Crocker, A. G., Boursier, C. P., &amp; Caron, J. (2013</w:t>
      </w:r>
      <w:bookmarkEnd w:id="7"/>
      <w:r w:rsidRPr="00D82BFE">
        <w:t>). Public attitudes towards intellectual disability: A multidimensional perspective. Journal of Intellectual Disability Research, 57(3), 279-292.</w:t>
      </w:r>
    </w:p>
    <w:p w14:paraId="26FD56E7" w14:textId="50D85CAA" w:rsidR="00E95974" w:rsidRDefault="00E95974" w:rsidP="00A57719">
      <w:pPr>
        <w:spacing w:after="240" w:line="240" w:lineRule="auto"/>
        <w:ind w:left="720" w:hanging="720"/>
      </w:pPr>
      <w:r w:rsidRPr="00E95974">
        <w:t>Morin, D., Valois, P., Crocker, A. G., Robitaille, C., &amp; Lopes, T. (2018). Attitudes of health care professionals toward people with intellectual disability: a comparison with the general population. Journal of Intellectual Disability Research, 62(9), 746-758.</w:t>
      </w:r>
    </w:p>
    <w:p w14:paraId="1760F556" w14:textId="2CDCA046" w:rsidR="00A57719" w:rsidRDefault="00A57719" w:rsidP="00A57719">
      <w:pPr>
        <w:spacing w:after="240" w:line="240" w:lineRule="auto"/>
        <w:ind w:left="720" w:hanging="720"/>
      </w:pPr>
      <w:r w:rsidRPr="00C1429D">
        <w:t>Ouellette</w:t>
      </w:r>
      <w:r w:rsidRPr="00C1429D">
        <w:rPr>
          <w:rFonts w:ascii="Cambria Math" w:hAnsi="Cambria Math" w:cs="Cambria Math"/>
        </w:rPr>
        <w:t>‐</w:t>
      </w:r>
      <w:r w:rsidRPr="00C1429D">
        <w:t>Kuntz, H., Burge, P., Brown, H. K., &amp; Arsenault, E. (2010). Public attitudes towards individuals with intellectual disabilities as measured by the concept of social distance. Journal of Applied Research in Intellectual Disabilities, 23(2), 132-142.</w:t>
      </w:r>
    </w:p>
    <w:p w14:paraId="7DB0A5F3" w14:textId="77777777" w:rsidR="00A57719" w:rsidRDefault="00A57719" w:rsidP="00A57719">
      <w:pPr>
        <w:spacing w:after="240" w:line="240" w:lineRule="auto"/>
        <w:ind w:left="720" w:hanging="720"/>
      </w:pPr>
      <w:r w:rsidRPr="00DE5D61">
        <w:t>Palad, Y. Y., Barquia, R. B., Domingo, H. C., Flores, C. K., Padilla, L. I., &amp; Ramel, J. M. D. (2016). Scoping review of instruments measuring attitudes toward disability. Disability and Health Journal, 9(3), 354-374.</w:t>
      </w:r>
    </w:p>
    <w:p w14:paraId="7CDB66F1" w14:textId="77777777" w:rsidR="00A57719" w:rsidRDefault="00A57719" w:rsidP="00A57719">
      <w:pPr>
        <w:spacing w:after="240" w:line="240" w:lineRule="auto"/>
        <w:ind w:left="720" w:hanging="720"/>
      </w:pPr>
      <w:bookmarkStart w:id="8" w:name="_Hlk34392802"/>
      <w:r w:rsidRPr="00B30FDF">
        <w:t>Paluck,</w:t>
      </w:r>
      <w:bookmarkEnd w:id="8"/>
      <w:r w:rsidRPr="00B30FDF">
        <w:t xml:space="preserve"> E. L., Green, S. A. &amp; Green, D. P., 2018. The contact hypothesis re-evaluated. Behavioural Public Policy, pp 1-30.  https://doi.org/10.1017/bpp.2018.25</w:t>
      </w:r>
    </w:p>
    <w:p w14:paraId="3C2AAF8D" w14:textId="77777777" w:rsidR="00E551D3" w:rsidRDefault="00E551D3" w:rsidP="00E551D3">
      <w:pPr>
        <w:spacing w:after="240" w:line="240" w:lineRule="auto"/>
        <w:ind w:left="720" w:hanging="720"/>
      </w:pPr>
      <w:r w:rsidRPr="0015487F">
        <w:t>Peterson, L. (2014). The measurement of non-economic inequality in well-being indices. Social indicators research, 119(2), 581-598.</w:t>
      </w:r>
      <w:r>
        <w:t xml:space="preserve">  </w:t>
      </w:r>
    </w:p>
    <w:p w14:paraId="08091B93" w14:textId="77777777" w:rsidR="00A57719" w:rsidRDefault="00A57719" w:rsidP="00A57719">
      <w:pPr>
        <w:spacing w:after="240" w:line="240" w:lineRule="auto"/>
        <w:ind w:left="720" w:hanging="720"/>
      </w:pPr>
      <w:r w:rsidRPr="00B30FDF">
        <w:t>Ramiah, A.A. &amp;  Hewstone, M., 2013. Intergroup contact as a tool for reducing, resolving, and preventing intergroup conflict: Evidence, limitations, and potential. American Psychologist, 68(7), 527- 542. https://psycnet.apa.org/doi/10.1037/a0032603</w:t>
      </w:r>
    </w:p>
    <w:p w14:paraId="0539E169" w14:textId="252A4373" w:rsidR="00D21C2F" w:rsidRDefault="00D21C2F" w:rsidP="00A57719">
      <w:pPr>
        <w:spacing w:after="240" w:line="240" w:lineRule="auto"/>
        <w:ind w:left="720" w:hanging="720"/>
      </w:pPr>
      <w:r w:rsidRPr="00D21C2F">
        <w:t xml:space="preserve">Renwick, R. (2016). Rarely seen, seldom heard: People with intellectual disabilities in the mass media. </w:t>
      </w:r>
      <w:r w:rsidR="004B2C47">
        <w:t xml:space="preserve">In </w:t>
      </w:r>
      <w:r>
        <w:t>K. Scior &amp; S. Werner (</w:t>
      </w:r>
      <w:r w:rsidR="004B2C47">
        <w:t>E</w:t>
      </w:r>
      <w:r>
        <w:t xml:space="preserve">ds). </w:t>
      </w:r>
      <w:r w:rsidRPr="00D21C2F">
        <w:t>Intellectual Disability and Stigma (pp. 61-75). Palgrave Macmillan</w:t>
      </w:r>
      <w:r w:rsidR="004B2C47">
        <w:t>.</w:t>
      </w:r>
    </w:p>
    <w:p w14:paraId="607378CB" w14:textId="5C1C82CA" w:rsidR="00A57719" w:rsidRDefault="00A57719" w:rsidP="00A57719">
      <w:pPr>
        <w:spacing w:after="240" w:line="240" w:lineRule="auto"/>
        <w:ind w:left="720" w:hanging="720"/>
      </w:pPr>
      <w:r w:rsidRPr="009528FB">
        <w:t>Siperstein, G. N., Parker, R. C., Bardon, J. N., &amp; Widaman, K. F. (2007). A national study of youth attitudes toward the inclusion of students with intellectual disabilities. Exceptional children, 73(4), 435-455.</w:t>
      </w:r>
    </w:p>
    <w:p w14:paraId="48EDEBE5" w14:textId="77777777" w:rsidR="00A57719" w:rsidRDefault="00A57719" w:rsidP="00A57719">
      <w:pPr>
        <w:spacing w:after="240" w:line="240" w:lineRule="auto"/>
        <w:ind w:left="720" w:hanging="720"/>
      </w:pPr>
      <w:r w:rsidRPr="00AF48F4">
        <w:t>Scior, K., 2011. Public awareness, attitudes and beliefs regarding intellectual disability: A system</w:t>
      </w:r>
      <w:r>
        <w:t xml:space="preserve">atic review. Research in Developmental Disabilities, 32(6), </w:t>
      </w:r>
      <w:r w:rsidRPr="00AF48F4">
        <w:t>2164-2182.</w:t>
      </w:r>
      <w:r>
        <w:t xml:space="preserve"> </w:t>
      </w:r>
      <w:hyperlink r:id="rId13" w:history="1">
        <w:r w:rsidRPr="00EC245D">
          <w:rPr>
            <w:rStyle w:val="Hyperlink"/>
          </w:rPr>
          <w:t>https://doi.org/10.1016/j.ridd.2011.07.005</w:t>
        </w:r>
      </w:hyperlink>
    </w:p>
    <w:p w14:paraId="1F70A47F" w14:textId="0195C5D7" w:rsidR="00C57DD8" w:rsidRDefault="00C57DD8" w:rsidP="00A57719">
      <w:pPr>
        <w:spacing w:after="240" w:line="240" w:lineRule="auto"/>
        <w:ind w:left="720" w:hanging="720"/>
      </w:pPr>
      <w:r w:rsidRPr="00C57DD8">
        <w:t>Scior, K., Addai</w:t>
      </w:r>
      <w:r w:rsidRPr="00C57DD8">
        <w:rPr>
          <w:rFonts w:ascii="Cambria Math" w:hAnsi="Cambria Math" w:cs="Cambria Math"/>
        </w:rPr>
        <w:t>‐</w:t>
      </w:r>
      <w:r w:rsidRPr="00C57DD8">
        <w:t>Davis, J., Kenyon, M., &amp; Sheridan, J. C. (2013). Stigma, public awareness about intellectual disability and attitudes to inclusion among different ethnic groups. Journal of Intellectual Disability Research, 57(11), 1014-1026.</w:t>
      </w:r>
    </w:p>
    <w:p w14:paraId="6A7F9C76" w14:textId="1D7B54CB" w:rsidR="00A57719" w:rsidRDefault="00A57719" w:rsidP="00A57719">
      <w:pPr>
        <w:spacing w:after="240" w:line="240" w:lineRule="auto"/>
        <w:ind w:left="720" w:hanging="720"/>
      </w:pPr>
      <w:r w:rsidRPr="00EE7313">
        <w:t>Scior, K., Hamid, A., Hastings, R., Werner, S., Belton, C., Laniyan, A., ... &amp; Kett, M. (2016). Consigned to the margins: a call for global action to challenge intellectual disability stigma. The Lancet Global Health, 4(5), e294-e295.</w:t>
      </w:r>
    </w:p>
    <w:p w14:paraId="44735BE7" w14:textId="2020B828" w:rsidR="00642DA9" w:rsidRPr="00642DA9" w:rsidRDefault="00642DA9" w:rsidP="00E551D3">
      <w:pPr>
        <w:spacing w:after="240" w:line="240" w:lineRule="auto"/>
        <w:ind w:left="720" w:hanging="720"/>
        <w:rPr>
          <w:color w:val="FF0000"/>
        </w:rPr>
      </w:pPr>
      <w:r w:rsidRPr="00642DA9">
        <w:rPr>
          <w:color w:val="FF0000"/>
        </w:rPr>
        <w:t>Scior, K. &amp; Werner, S.</w:t>
      </w:r>
      <w:r w:rsidR="00E826BA">
        <w:rPr>
          <w:color w:val="FF0000"/>
        </w:rPr>
        <w:t xml:space="preserve"> (</w:t>
      </w:r>
      <w:r w:rsidR="004B2C47">
        <w:rPr>
          <w:color w:val="FF0000"/>
        </w:rPr>
        <w:t>E</w:t>
      </w:r>
      <w:r w:rsidR="00E826BA">
        <w:rPr>
          <w:color w:val="FF0000"/>
        </w:rPr>
        <w:t>ds</w:t>
      </w:r>
      <w:r w:rsidR="004B2C47">
        <w:rPr>
          <w:color w:val="FF0000"/>
        </w:rPr>
        <w:t>.</w:t>
      </w:r>
      <w:r w:rsidR="00E826BA">
        <w:rPr>
          <w:color w:val="FF0000"/>
        </w:rPr>
        <w:t>)</w:t>
      </w:r>
      <w:r w:rsidR="004B2C47">
        <w:rPr>
          <w:color w:val="FF0000"/>
        </w:rPr>
        <w:t>.</w:t>
      </w:r>
      <w:r w:rsidRPr="00642DA9">
        <w:rPr>
          <w:color w:val="FF0000"/>
        </w:rPr>
        <w:t xml:space="preserve"> (2016). Intellectual disability and stigma. Palgrave Macmillan.</w:t>
      </w:r>
    </w:p>
    <w:p w14:paraId="142A68C3" w14:textId="2FCC1CA3" w:rsidR="00E551D3" w:rsidRDefault="00E551D3" w:rsidP="00E551D3">
      <w:pPr>
        <w:spacing w:after="240" w:line="240" w:lineRule="auto"/>
        <w:ind w:left="720" w:hanging="720"/>
      </w:pPr>
      <w:r>
        <w:t xml:space="preserve">Special Olympics (2019) </w:t>
      </w:r>
      <w:hyperlink r:id="rId14" w:history="1">
        <w:r w:rsidRPr="005F6B48">
          <w:rPr>
            <w:rStyle w:val="Hyperlink"/>
          </w:rPr>
          <w:t>https://media.specialolympics.org/resources/strategic-plan/Special-Olympics-Global-Strategic-Plan---2016-2020.pdf</w:t>
        </w:r>
      </w:hyperlink>
      <w:r>
        <w:t xml:space="preserve">  Last accessed 15 November 2019.</w:t>
      </w:r>
    </w:p>
    <w:p w14:paraId="3CA246C4" w14:textId="77777777" w:rsidR="00A57719" w:rsidRDefault="00A57719" w:rsidP="00A57719">
      <w:pPr>
        <w:spacing w:after="240" w:line="240" w:lineRule="auto"/>
        <w:ind w:left="720" w:hanging="720"/>
      </w:pPr>
      <w:r w:rsidRPr="00283358">
        <w:t>Tichá, R., Qian, X., Stancliffe, R. J., Larson, S. A., &amp; Bonardi, A. (2018). Alignment between the Convention on the Rights of Persons with Disabilities and the National Core Indicators Adult Consumer Survey. Journal of Policy and Practice in Intellectual Disabilities, 15(3), 247-255.</w:t>
      </w:r>
    </w:p>
    <w:p w14:paraId="38819642" w14:textId="77777777" w:rsidR="00A57719" w:rsidRPr="00AF48F4" w:rsidRDefault="00A57719" w:rsidP="00A57719">
      <w:pPr>
        <w:spacing w:after="240" w:line="240" w:lineRule="auto"/>
        <w:ind w:left="720" w:hanging="720"/>
      </w:pPr>
      <w:r w:rsidRPr="00AF48F4">
        <w:t xml:space="preserve">United Nations. (2006). Convention on the Rights of Persons with Disabilities. Retrieved from </w:t>
      </w:r>
      <w:hyperlink r:id="rId15" w:history="1">
        <w:r w:rsidRPr="00AF48F4">
          <w:rPr>
            <w:rStyle w:val="Hyperlink"/>
          </w:rPr>
          <w:t>http://www.un.org/disabilities/documents/convention/convoptprot-e.pdf</w:t>
        </w:r>
      </w:hyperlink>
      <w:r w:rsidRPr="00AF48F4">
        <w:t xml:space="preserve"> (last accessed 30 May 2019)</w:t>
      </w:r>
    </w:p>
    <w:p w14:paraId="5E6E3FA3" w14:textId="77777777" w:rsidR="00A57719" w:rsidRDefault="00A57719" w:rsidP="00A57719">
      <w:pPr>
        <w:spacing w:after="240" w:line="240" w:lineRule="auto"/>
        <w:ind w:left="720" w:hanging="720"/>
      </w:pPr>
      <w:r>
        <w:t xml:space="preserve">UNDP (2019)  </w:t>
      </w:r>
      <w:hyperlink r:id="rId16" w:history="1">
        <w:r w:rsidRPr="003222F3">
          <w:rPr>
            <w:rStyle w:val="Hyperlink"/>
          </w:rPr>
          <w:t>http://hdr.undp.org/en/content/inequality-adjusted-human-development-index-ihdi</w:t>
        </w:r>
      </w:hyperlink>
      <w:r>
        <w:t xml:space="preserve">  last accessed 12 November 2019. </w:t>
      </w:r>
    </w:p>
    <w:p w14:paraId="7CDAC613" w14:textId="49B42984" w:rsidR="006A2CAC" w:rsidRDefault="00A57719" w:rsidP="00E551D3">
      <w:pPr>
        <w:spacing w:after="240" w:line="240" w:lineRule="auto"/>
        <w:ind w:left="720" w:hanging="720"/>
      </w:pPr>
      <w:r w:rsidRPr="00B30FDF">
        <w:t>Werner, S., &amp; Scior, K. (2016). Interventions aimed at tackling intellectual disability stigma: What works and what still needs to be done. In</w:t>
      </w:r>
      <w:r>
        <w:t xml:space="preserve"> K, Scior &amp; S. Werner (</w:t>
      </w:r>
      <w:r w:rsidR="004B2C47">
        <w:t>E</w:t>
      </w:r>
      <w:r>
        <w:t>ds)</w:t>
      </w:r>
      <w:r w:rsidR="004B2C47">
        <w:t>.</w:t>
      </w:r>
      <w:r>
        <w:t xml:space="preserve"> </w:t>
      </w:r>
      <w:r w:rsidRPr="00B30FDF">
        <w:t xml:space="preserve"> Intellectual disability and stigma (pp. 129-147). Palgrave Macmillan</w:t>
      </w:r>
      <w:r w:rsidR="004B2C47">
        <w:t>.</w:t>
      </w:r>
      <w:r w:rsidRPr="00B30FDF">
        <w:t xml:space="preserve"> </w:t>
      </w:r>
    </w:p>
    <w:p w14:paraId="58C7200F" w14:textId="51954B15" w:rsidR="00BA1D85" w:rsidRDefault="00BA1D85" w:rsidP="00E551D3">
      <w:pPr>
        <w:spacing w:after="240" w:line="240" w:lineRule="auto"/>
        <w:ind w:left="720" w:hanging="720"/>
      </w:pPr>
      <w:r w:rsidRPr="00BA1D85">
        <w:t xml:space="preserve">World Health Organisation and World Bank (2011)  World report on disability.  </w:t>
      </w:r>
      <w:r w:rsidR="004B2C47" w:rsidRPr="00BA1D85">
        <w:t>WHO.</w:t>
      </w:r>
      <w:r w:rsidRPr="00BA1D85">
        <w:t xml:space="preserve"> </w:t>
      </w:r>
    </w:p>
    <w:p w14:paraId="60FAF8D7" w14:textId="6EF6C1B1" w:rsidR="00E551D3" w:rsidRDefault="00E551D3" w:rsidP="00E551D3">
      <w:pPr>
        <w:spacing w:after="240" w:line="240" w:lineRule="auto"/>
        <w:ind w:left="720" w:hanging="720"/>
      </w:pPr>
      <w:r w:rsidRPr="0015487F">
        <w:t>Wilkinson, R. &amp; Pickett, K. (2010). The spirit level: Why equality is better for everyone. Penguin UK.</w:t>
      </w:r>
      <w:r>
        <w:t xml:space="preserve">  </w:t>
      </w:r>
    </w:p>
    <w:p w14:paraId="6B84D5AA" w14:textId="05D5D752" w:rsidR="006F088B" w:rsidRDefault="006F088B" w:rsidP="00E551D3">
      <w:pPr>
        <w:spacing w:after="240" w:line="240" w:lineRule="auto"/>
        <w:ind w:left="720" w:hanging="720"/>
      </w:pPr>
      <w:r w:rsidRPr="006F088B">
        <w:t>Wilson</w:t>
      </w:r>
      <w:r>
        <w:t xml:space="preserve">, </w:t>
      </w:r>
      <w:r w:rsidRPr="006F088B">
        <w:t>M</w:t>
      </w:r>
      <w:r>
        <w:t>.</w:t>
      </w:r>
      <w:r w:rsidRPr="006F088B">
        <w:t>C</w:t>
      </w:r>
      <w:r>
        <w:t xml:space="preserve">. &amp; </w:t>
      </w:r>
      <w:r w:rsidRPr="006F088B">
        <w:t>Scior</w:t>
      </w:r>
      <w:r>
        <w:t xml:space="preserve">, </w:t>
      </w:r>
      <w:r w:rsidRPr="006F088B">
        <w:t>K</w:t>
      </w:r>
      <w:r>
        <w:t xml:space="preserve">. </w:t>
      </w:r>
      <w:r w:rsidRPr="006F088B">
        <w:t>(2015)</w:t>
      </w:r>
      <w:r>
        <w:t xml:space="preserve"> </w:t>
      </w:r>
      <w:r w:rsidRPr="006F088B">
        <w:t>Implicit</w:t>
      </w:r>
      <w:r>
        <w:t xml:space="preserve"> a</w:t>
      </w:r>
      <w:r w:rsidRPr="006F088B">
        <w:t>ttitudes</w:t>
      </w:r>
      <w:r>
        <w:t xml:space="preserve"> t</w:t>
      </w:r>
      <w:r w:rsidRPr="006F088B">
        <w:t>owards</w:t>
      </w:r>
      <w:r>
        <w:t xml:space="preserve"> p</w:t>
      </w:r>
      <w:r w:rsidRPr="006F088B">
        <w:t>eople</w:t>
      </w:r>
      <w:r>
        <w:t xml:space="preserve"> </w:t>
      </w:r>
      <w:r w:rsidRPr="006F088B">
        <w:t>with</w:t>
      </w:r>
      <w:r>
        <w:t xml:space="preserve"> i</w:t>
      </w:r>
      <w:r w:rsidRPr="006F088B">
        <w:t>ntellectua</w:t>
      </w:r>
      <w:r>
        <w:t>l d</w:t>
      </w:r>
      <w:r w:rsidRPr="006F088B">
        <w:t>isabilities:</w:t>
      </w:r>
      <w:r>
        <w:t xml:space="preserve"> </w:t>
      </w:r>
      <w:r w:rsidRPr="006F088B">
        <w:t xml:space="preserve">Their </w:t>
      </w:r>
      <w:r>
        <w:t>r</w:t>
      </w:r>
      <w:r w:rsidRPr="006F088B">
        <w:t>elationship</w:t>
      </w:r>
      <w:r>
        <w:t xml:space="preserve"> </w:t>
      </w:r>
      <w:r w:rsidRPr="006F088B">
        <w:t>with</w:t>
      </w:r>
      <w:r>
        <w:t xml:space="preserve"> e</w:t>
      </w:r>
      <w:r w:rsidRPr="006F088B">
        <w:t>xplicit</w:t>
      </w:r>
      <w:r>
        <w:t xml:space="preserve"> a</w:t>
      </w:r>
      <w:r w:rsidRPr="006F088B">
        <w:t>ttitudes,</w:t>
      </w:r>
      <w:r>
        <w:t xml:space="preserve"> s</w:t>
      </w:r>
      <w:r w:rsidRPr="006F088B">
        <w:t>ocial</w:t>
      </w:r>
      <w:r>
        <w:t xml:space="preserve"> d</w:t>
      </w:r>
      <w:r w:rsidRPr="006F088B">
        <w:t xml:space="preserve">istance, </w:t>
      </w:r>
      <w:r>
        <w:t>e</w:t>
      </w:r>
      <w:r w:rsidRPr="006F088B">
        <w:t>motions</w:t>
      </w:r>
      <w:r>
        <w:t xml:space="preserve"> </w:t>
      </w:r>
      <w:r w:rsidRPr="006F088B">
        <w:t>and</w:t>
      </w:r>
      <w:r>
        <w:t xml:space="preserve"> </w:t>
      </w:r>
      <w:r w:rsidRPr="006F088B">
        <w:t>Contact.</w:t>
      </w:r>
      <w:r>
        <w:t xml:space="preserve"> </w:t>
      </w:r>
      <w:r w:rsidRPr="006F088B">
        <w:t>PLoSONE10(9):e0137902. doi:10.1371/journal.pone.0137902</w:t>
      </w:r>
    </w:p>
    <w:p w14:paraId="6B0AF2DA" w14:textId="77777777" w:rsidR="002D5C97" w:rsidRDefault="002D5C97">
      <w:pPr>
        <w:spacing w:line="240" w:lineRule="auto"/>
        <w:jc w:val="center"/>
        <w:rPr>
          <w:b/>
          <w:sz w:val="22"/>
          <w:szCs w:val="22"/>
        </w:rPr>
      </w:pPr>
    </w:p>
    <w:sectPr w:rsidR="002D5C97" w:rsidSect="003505AD">
      <w:footerReference w:type="default" r:id="rId17"/>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77D18" w14:textId="77777777" w:rsidR="00A5579E" w:rsidRDefault="00A5579E">
      <w:pPr>
        <w:spacing w:after="0" w:line="240" w:lineRule="auto"/>
      </w:pPr>
      <w:r>
        <w:separator/>
      </w:r>
    </w:p>
  </w:endnote>
  <w:endnote w:type="continuationSeparator" w:id="0">
    <w:p w14:paraId="3BECB6C5" w14:textId="77777777" w:rsidR="00A5579E" w:rsidRDefault="00A5579E">
      <w:pPr>
        <w:spacing w:after="0" w:line="240" w:lineRule="auto"/>
      </w:pPr>
      <w:r>
        <w:continuationSeparator/>
      </w:r>
    </w:p>
  </w:endnote>
  <w:endnote w:type="continuationNotice" w:id="1">
    <w:p w14:paraId="5B6C809E" w14:textId="77777777" w:rsidR="00A5579E" w:rsidRDefault="00A557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5EC7" w14:textId="3954E032" w:rsidR="00E364A7" w:rsidRDefault="00E364A7">
    <w:pPr>
      <w:pStyle w:val="Footer"/>
      <w:ind w:left="4847"/>
      <w:jc w:val="right"/>
    </w:pPr>
    <w:r>
      <w:fldChar w:fldCharType="begin"/>
    </w:r>
    <w:r>
      <w:instrText xml:space="preserve"> PAGE   \* MERGEFORMAT </w:instrText>
    </w:r>
    <w:r>
      <w:fldChar w:fldCharType="separate"/>
    </w:r>
    <w:r w:rsidR="00A5579E">
      <w:rPr>
        <w:noProof/>
      </w:rPr>
      <w:t>1</w:t>
    </w:r>
    <w:r>
      <w:rPr>
        <w:noProof/>
      </w:rPr>
      <w:fldChar w:fldCharType="end"/>
    </w:r>
  </w:p>
  <w:p w14:paraId="1EC6B450" w14:textId="77777777" w:rsidR="00E364A7" w:rsidRDefault="00E364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EF4F2" w14:textId="77777777" w:rsidR="00A5579E" w:rsidRDefault="00A5579E">
      <w:pPr>
        <w:spacing w:after="0" w:line="240" w:lineRule="auto"/>
      </w:pPr>
      <w:r>
        <w:separator/>
      </w:r>
    </w:p>
  </w:footnote>
  <w:footnote w:type="continuationSeparator" w:id="0">
    <w:p w14:paraId="3D56A0AE" w14:textId="77777777" w:rsidR="00A5579E" w:rsidRDefault="00A5579E">
      <w:pPr>
        <w:spacing w:after="0" w:line="240" w:lineRule="auto"/>
      </w:pPr>
      <w:r>
        <w:continuationSeparator/>
      </w:r>
    </w:p>
  </w:footnote>
  <w:footnote w:type="continuationNotice" w:id="1">
    <w:p w14:paraId="396E00F6" w14:textId="77777777" w:rsidR="00A5579E" w:rsidRDefault="00A5579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146F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000002"/>
    <w:multiLevelType w:val="hybridMultilevel"/>
    <w:tmpl w:val="745A0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CB10BB0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hybridMultilevel"/>
    <w:tmpl w:val="6C04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E98EB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0000006"/>
    <w:multiLevelType w:val="hybridMultilevel"/>
    <w:tmpl w:val="A6D83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0000007"/>
    <w:multiLevelType w:val="hybridMultilevel"/>
    <w:tmpl w:val="EF1A5606"/>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E5AC76AA"/>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3EEAF150"/>
    <w:lvl w:ilvl="0" w:tplc="761CA92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440A9AD8"/>
    <w:lvl w:ilvl="0" w:tplc="761CA92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5C08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AD02C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000000D"/>
    <w:multiLevelType w:val="hybridMultilevel"/>
    <w:tmpl w:val="E71CC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E93C54F6"/>
    <w:lvl w:ilvl="0" w:tplc="E4320196">
      <w:start w:val="1"/>
      <w:numFmt w:val="bullet"/>
      <w:lvlText w:val="•"/>
      <w:lvlJc w:val="left"/>
      <w:pPr>
        <w:tabs>
          <w:tab w:val="left" w:pos="720"/>
        </w:tabs>
        <w:ind w:left="720" w:hanging="360"/>
      </w:pPr>
      <w:rPr>
        <w:rFonts w:ascii="Arial" w:hAnsi="Arial" w:hint="default"/>
      </w:rPr>
    </w:lvl>
    <w:lvl w:ilvl="1" w:tplc="51628ADE" w:tentative="1">
      <w:start w:val="1"/>
      <w:numFmt w:val="bullet"/>
      <w:lvlText w:val="•"/>
      <w:lvlJc w:val="left"/>
      <w:pPr>
        <w:tabs>
          <w:tab w:val="left" w:pos="1440"/>
        </w:tabs>
        <w:ind w:left="1440" w:hanging="360"/>
      </w:pPr>
      <w:rPr>
        <w:rFonts w:ascii="Arial" w:hAnsi="Arial" w:hint="default"/>
      </w:rPr>
    </w:lvl>
    <w:lvl w:ilvl="2" w:tplc="073CCEC6" w:tentative="1">
      <w:start w:val="1"/>
      <w:numFmt w:val="bullet"/>
      <w:lvlText w:val="•"/>
      <w:lvlJc w:val="left"/>
      <w:pPr>
        <w:tabs>
          <w:tab w:val="left" w:pos="2160"/>
        </w:tabs>
        <w:ind w:left="2160" w:hanging="360"/>
      </w:pPr>
      <w:rPr>
        <w:rFonts w:ascii="Arial" w:hAnsi="Arial" w:hint="default"/>
      </w:rPr>
    </w:lvl>
    <w:lvl w:ilvl="3" w:tplc="2B465FCC" w:tentative="1">
      <w:start w:val="1"/>
      <w:numFmt w:val="bullet"/>
      <w:lvlText w:val="•"/>
      <w:lvlJc w:val="left"/>
      <w:pPr>
        <w:tabs>
          <w:tab w:val="left" w:pos="2880"/>
        </w:tabs>
        <w:ind w:left="2880" w:hanging="360"/>
      </w:pPr>
      <w:rPr>
        <w:rFonts w:ascii="Arial" w:hAnsi="Arial" w:hint="default"/>
      </w:rPr>
    </w:lvl>
    <w:lvl w:ilvl="4" w:tplc="7DA6C19E" w:tentative="1">
      <w:start w:val="1"/>
      <w:numFmt w:val="bullet"/>
      <w:lvlText w:val="•"/>
      <w:lvlJc w:val="left"/>
      <w:pPr>
        <w:tabs>
          <w:tab w:val="left" w:pos="3600"/>
        </w:tabs>
        <w:ind w:left="3600" w:hanging="360"/>
      </w:pPr>
      <w:rPr>
        <w:rFonts w:ascii="Arial" w:hAnsi="Arial" w:hint="default"/>
      </w:rPr>
    </w:lvl>
    <w:lvl w:ilvl="5" w:tplc="67E09A32" w:tentative="1">
      <w:start w:val="1"/>
      <w:numFmt w:val="bullet"/>
      <w:lvlText w:val="•"/>
      <w:lvlJc w:val="left"/>
      <w:pPr>
        <w:tabs>
          <w:tab w:val="left" w:pos="4320"/>
        </w:tabs>
        <w:ind w:left="4320" w:hanging="360"/>
      </w:pPr>
      <w:rPr>
        <w:rFonts w:ascii="Arial" w:hAnsi="Arial" w:hint="default"/>
      </w:rPr>
    </w:lvl>
    <w:lvl w:ilvl="6" w:tplc="EC0AD9A2" w:tentative="1">
      <w:start w:val="1"/>
      <w:numFmt w:val="bullet"/>
      <w:lvlText w:val="•"/>
      <w:lvlJc w:val="left"/>
      <w:pPr>
        <w:tabs>
          <w:tab w:val="left" w:pos="5040"/>
        </w:tabs>
        <w:ind w:left="5040" w:hanging="360"/>
      </w:pPr>
      <w:rPr>
        <w:rFonts w:ascii="Arial" w:hAnsi="Arial" w:hint="default"/>
      </w:rPr>
    </w:lvl>
    <w:lvl w:ilvl="7" w:tplc="AB0C6C04" w:tentative="1">
      <w:start w:val="1"/>
      <w:numFmt w:val="bullet"/>
      <w:lvlText w:val="•"/>
      <w:lvlJc w:val="left"/>
      <w:pPr>
        <w:tabs>
          <w:tab w:val="left" w:pos="5760"/>
        </w:tabs>
        <w:ind w:left="5760" w:hanging="360"/>
      </w:pPr>
      <w:rPr>
        <w:rFonts w:ascii="Arial" w:hAnsi="Arial" w:hint="default"/>
      </w:rPr>
    </w:lvl>
    <w:lvl w:ilvl="8" w:tplc="667C4416" w:tentative="1">
      <w:start w:val="1"/>
      <w:numFmt w:val="bullet"/>
      <w:lvlText w:val="•"/>
      <w:lvlJc w:val="left"/>
      <w:pPr>
        <w:tabs>
          <w:tab w:val="left" w:pos="6480"/>
        </w:tabs>
        <w:ind w:left="6480" w:hanging="360"/>
      </w:pPr>
      <w:rPr>
        <w:rFonts w:ascii="Arial" w:hAnsi="Arial" w:hint="default"/>
      </w:rPr>
    </w:lvl>
  </w:abstractNum>
  <w:abstractNum w:abstractNumId="14" w15:restartNumberingAfterBreak="0">
    <w:nsid w:val="0000000F"/>
    <w:multiLevelType w:val="hybridMultilevel"/>
    <w:tmpl w:val="3FFE5D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5D70F1D6"/>
    <w:lvl w:ilvl="0" w:tplc="08090005">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0000011"/>
    <w:multiLevelType w:val="hybridMultilevel"/>
    <w:tmpl w:val="343C4E72"/>
    <w:lvl w:ilvl="0" w:tplc="664011F0">
      <w:start w:val="1"/>
      <w:numFmt w:val="decimal"/>
      <w:lvlText w:val="%1."/>
      <w:lvlJc w:val="left"/>
      <w:pPr>
        <w:ind w:left="2520" w:hanging="360"/>
      </w:pPr>
      <w:rPr>
        <w:rFonts w:hint="default"/>
        <w:color w:val="auto"/>
      </w:rPr>
    </w:lvl>
    <w:lvl w:ilvl="1" w:tplc="08090019" w:tentative="1">
      <w:start w:val="1"/>
      <w:numFmt w:val="lowerLetter"/>
      <w:lvlText w:val="%2."/>
      <w:lvlJc w:val="left"/>
      <w:pPr>
        <w:ind w:left="2529" w:hanging="360"/>
      </w:pPr>
    </w:lvl>
    <w:lvl w:ilvl="2" w:tplc="0809001B" w:tentative="1">
      <w:start w:val="1"/>
      <w:numFmt w:val="lowerRoman"/>
      <w:lvlText w:val="%3."/>
      <w:lvlJc w:val="right"/>
      <w:pPr>
        <w:ind w:left="3249" w:hanging="180"/>
      </w:pPr>
    </w:lvl>
    <w:lvl w:ilvl="3" w:tplc="0809000F" w:tentative="1">
      <w:start w:val="1"/>
      <w:numFmt w:val="decimal"/>
      <w:lvlText w:val="%4."/>
      <w:lvlJc w:val="left"/>
      <w:pPr>
        <w:ind w:left="3969" w:hanging="360"/>
      </w:pPr>
    </w:lvl>
    <w:lvl w:ilvl="4" w:tplc="08090019" w:tentative="1">
      <w:start w:val="1"/>
      <w:numFmt w:val="lowerLetter"/>
      <w:lvlText w:val="%5."/>
      <w:lvlJc w:val="left"/>
      <w:pPr>
        <w:ind w:left="4689" w:hanging="360"/>
      </w:pPr>
    </w:lvl>
    <w:lvl w:ilvl="5" w:tplc="0809001B" w:tentative="1">
      <w:start w:val="1"/>
      <w:numFmt w:val="lowerRoman"/>
      <w:lvlText w:val="%6."/>
      <w:lvlJc w:val="right"/>
      <w:pPr>
        <w:ind w:left="5409" w:hanging="180"/>
      </w:pPr>
    </w:lvl>
    <w:lvl w:ilvl="6" w:tplc="0809000F" w:tentative="1">
      <w:start w:val="1"/>
      <w:numFmt w:val="decimal"/>
      <w:lvlText w:val="%7."/>
      <w:lvlJc w:val="left"/>
      <w:pPr>
        <w:ind w:left="6129" w:hanging="360"/>
      </w:pPr>
    </w:lvl>
    <w:lvl w:ilvl="7" w:tplc="08090019" w:tentative="1">
      <w:start w:val="1"/>
      <w:numFmt w:val="lowerLetter"/>
      <w:lvlText w:val="%8."/>
      <w:lvlJc w:val="left"/>
      <w:pPr>
        <w:ind w:left="6849" w:hanging="360"/>
      </w:pPr>
    </w:lvl>
    <w:lvl w:ilvl="8" w:tplc="0809001B" w:tentative="1">
      <w:start w:val="1"/>
      <w:numFmt w:val="lowerRoman"/>
      <w:lvlText w:val="%9."/>
      <w:lvlJc w:val="right"/>
      <w:pPr>
        <w:ind w:left="7569" w:hanging="180"/>
      </w:pPr>
    </w:lvl>
  </w:abstractNum>
  <w:abstractNum w:abstractNumId="17" w15:restartNumberingAfterBreak="0">
    <w:nsid w:val="00000012"/>
    <w:multiLevelType w:val="hybridMultilevel"/>
    <w:tmpl w:val="4C5AA0FC"/>
    <w:lvl w:ilvl="0" w:tplc="761CA92A">
      <w:start w:val="1"/>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00000013"/>
    <w:multiLevelType w:val="hybridMultilevel"/>
    <w:tmpl w:val="BBE6F1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DD50D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CC881406"/>
    <w:lvl w:ilvl="0" w:tplc="08090005">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00000016"/>
    <w:multiLevelType w:val="hybridMultilevel"/>
    <w:tmpl w:val="DEB8FCF0"/>
    <w:lvl w:ilvl="0" w:tplc="761CA92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multilevel"/>
    <w:tmpl w:val="2A2E85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00000018"/>
    <w:multiLevelType w:val="hybridMultilevel"/>
    <w:tmpl w:val="35FE9C3E"/>
    <w:lvl w:ilvl="0" w:tplc="761CA92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042A36C4"/>
    <w:lvl w:ilvl="0" w:tplc="08090005">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0000001A"/>
    <w:multiLevelType w:val="hybridMultilevel"/>
    <w:tmpl w:val="EDD0F532"/>
    <w:lvl w:ilvl="0" w:tplc="664011F0">
      <w:start w:val="1"/>
      <w:numFmt w:val="decimal"/>
      <w:lvlText w:val="%1."/>
      <w:lvlJc w:val="left"/>
      <w:pPr>
        <w:ind w:left="1431" w:hanging="360"/>
      </w:pPr>
      <w:rPr>
        <w:rFonts w:hint="default"/>
        <w:color w:val="auto"/>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26" w15:restartNumberingAfterBreak="0">
    <w:nsid w:val="0000001B"/>
    <w:multiLevelType w:val="hybridMultilevel"/>
    <w:tmpl w:val="5A329758"/>
    <w:lvl w:ilvl="0" w:tplc="761CA92A">
      <w:start w:val="1"/>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0000001C"/>
    <w:multiLevelType w:val="hybridMultilevel"/>
    <w:tmpl w:val="EDD0F532"/>
    <w:lvl w:ilvl="0" w:tplc="664011F0">
      <w:start w:val="1"/>
      <w:numFmt w:val="decimal"/>
      <w:lvlText w:val="%1."/>
      <w:lvlJc w:val="left"/>
      <w:pPr>
        <w:ind w:left="1431" w:hanging="360"/>
      </w:pPr>
      <w:rPr>
        <w:rFonts w:hint="default"/>
        <w:color w:val="auto"/>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28" w15:restartNumberingAfterBreak="0">
    <w:nsid w:val="0000001D"/>
    <w:multiLevelType w:val="hybridMultilevel"/>
    <w:tmpl w:val="08AC0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F15111B"/>
    <w:multiLevelType w:val="hybridMultilevel"/>
    <w:tmpl w:val="CE24BE16"/>
    <w:lvl w:ilvl="0" w:tplc="9766D0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3A30B2"/>
    <w:multiLevelType w:val="hybridMultilevel"/>
    <w:tmpl w:val="A86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2920CA"/>
    <w:multiLevelType w:val="hybridMultilevel"/>
    <w:tmpl w:val="2910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362980"/>
    <w:multiLevelType w:val="hybridMultilevel"/>
    <w:tmpl w:val="B3F07F24"/>
    <w:lvl w:ilvl="0" w:tplc="9766D0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27E7E"/>
    <w:multiLevelType w:val="hybridMultilevel"/>
    <w:tmpl w:val="D6E81C18"/>
    <w:lvl w:ilvl="0" w:tplc="9766D0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3C3A1B"/>
    <w:multiLevelType w:val="hybridMultilevel"/>
    <w:tmpl w:val="AA58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BC1505"/>
    <w:multiLevelType w:val="hybridMultilevel"/>
    <w:tmpl w:val="428C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260EF"/>
    <w:multiLevelType w:val="hybridMultilevel"/>
    <w:tmpl w:val="AD7AB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3963BB"/>
    <w:multiLevelType w:val="hybridMultilevel"/>
    <w:tmpl w:val="DA6013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EC715A"/>
    <w:multiLevelType w:val="hybridMultilevel"/>
    <w:tmpl w:val="D660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5"/>
  </w:num>
  <w:num w:numId="4">
    <w:abstractNumId w:val="20"/>
  </w:num>
  <w:num w:numId="5">
    <w:abstractNumId w:val="6"/>
  </w:num>
  <w:num w:numId="6">
    <w:abstractNumId w:val="28"/>
  </w:num>
  <w:num w:numId="7">
    <w:abstractNumId w:val="27"/>
  </w:num>
  <w:num w:numId="8">
    <w:abstractNumId w:val="11"/>
  </w:num>
  <w:num w:numId="9">
    <w:abstractNumId w:val="15"/>
  </w:num>
  <w:num w:numId="10">
    <w:abstractNumId w:val="19"/>
  </w:num>
  <w:num w:numId="11">
    <w:abstractNumId w:val="23"/>
  </w:num>
  <w:num w:numId="12">
    <w:abstractNumId w:val="12"/>
  </w:num>
  <w:num w:numId="13">
    <w:abstractNumId w:val="14"/>
  </w:num>
  <w:num w:numId="14">
    <w:abstractNumId w:val="24"/>
  </w:num>
  <w:num w:numId="15">
    <w:abstractNumId w:val="2"/>
  </w:num>
  <w:num w:numId="16">
    <w:abstractNumId w:val="37"/>
  </w:num>
  <w:num w:numId="17">
    <w:abstractNumId w:val="4"/>
  </w:num>
  <w:num w:numId="18">
    <w:abstractNumId w:val="0"/>
  </w:num>
  <w:num w:numId="19">
    <w:abstractNumId w:val="25"/>
  </w:num>
  <w:num w:numId="20">
    <w:abstractNumId w:val="10"/>
  </w:num>
  <w:num w:numId="21">
    <w:abstractNumId w:val="26"/>
  </w:num>
  <w:num w:numId="22">
    <w:abstractNumId w:val="9"/>
  </w:num>
  <w:num w:numId="23">
    <w:abstractNumId w:val="3"/>
  </w:num>
  <w:num w:numId="24">
    <w:abstractNumId w:val="8"/>
  </w:num>
  <w:num w:numId="25">
    <w:abstractNumId w:val="13"/>
  </w:num>
  <w:num w:numId="26">
    <w:abstractNumId w:val="18"/>
  </w:num>
  <w:num w:numId="27">
    <w:abstractNumId w:val="17"/>
  </w:num>
  <w:num w:numId="28">
    <w:abstractNumId w:val="16"/>
  </w:num>
  <w:num w:numId="29">
    <w:abstractNumId w:val="1"/>
  </w:num>
  <w:num w:numId="30">
    <w:abstractNumId w:val="21"/>
  </w:num>
  <w:num w:numId="31">
    <w:abstractNumId w:val="35"/>
  </w:num>
  <w:num w:numId="32">
    <w:abstractNumId w:val="32"/>
  </w:num>
  <w:num w:numId="33">
    <w:abstractNumId w:val="29"/>
  </w:num>
  <w:num w:numId="34">
    <w:abstractNumId w:val="33"/>
  </w:num>
  <w:num w:numId="35">
    <w:abstractNumId w:val="31"/>
  </w:num>
  <w:num w:numId="36">
    <w:abstractNumId w:val="36"/>
  </w:num>
  <w:num w:numId="37">
    <w:abstractNumId w:val="30"/>
  </w:num>
  <w:num w:numId="38">
    <w:abstractNumId w:val="3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97"/>
    <w:rsid w:val="00001393"/>
    <w:rsid w:val="0000436C"/>
    <w:rsid w:val="000059CE"/>
    <w:rsid w:val="000062F8"/>
    <w:rsid w:val="000137B8"/>
    <w:rsid w:val="00030998"/>
    <w:rsid w:val="000311E5"/>
    <w:rsid w:val="000323E1"/>
    <w:rsid w:val="00032926"/>
    <w:rsid w:val="000348C2"/>
    <w:rsid w:val="00034F3F"/>
    <w:rsid w:val="0003782A"/>
    <w:rsid w:val="0004043D"/>
    <w:rsid w:val="00040EBB"/>
    <w:rsid w:val="00043F99"/>
    <w:rsid w:val="00047644"/>
    <w:rsid w:val="000562F2"/>
    <w:rsid w:val="00056BA8"/>
    <w:rsid w:val="00062570"/>
    <w:rsid w:val="0006405F"/>
    <w:rsid w:val="00066654"/>
    <w:rsid w:val="00080E55"/>
    <w:rsid w:val="0008543D"/>
    <w:rsid w:val="00085716"/>
    <w:rsid w:val="00094875"/>
    <w:rsid w:val="00094928"/>
    <w:rsid w:val="00095A04"/>
    <w:rsid w:val="00096751"/>
    <w:rsid w:val="000A378F"/>
    <w:rsid w:val="000A558A"/>
    <w:rsid w:val="000B65E6"/>
    <w:rsid w:val="000D1162"/>
    <w:rsid w:val="000D2E4F"/>
    <w:rsid w:val="000D5961"/>
    <w:rsid w:val="000D6FAA"/>
    <w:rsid w:val="000E5D97"/>
    <w:rsid w:val="000E6F37"/>
    <w:rsid w:val="000E7A12"/>
    <w:rsid w:val="000F0DF4"/>
    <w:rsid w:val="000F2D83"/>
    <w:rsid w:val="000F470B"/>
    <w:rsid w:val="00103BF9"/>
    <w:rsid w:val="001078B4"/>
    <w:rsid w:val="00112261"/>
    <w:rsid w:val="00117ADA"/>
    <w:rsid w:val="001211F6"/>
    <w:rsid w:val="001213D5"/>
    <w:rsid w:val="00124350"/>
    <w:rsid w:val="001259BD"/>
    <w:rsid w:val="00127E37"/>
    <w:rsid w:val="0013007C"/>
    <w:rsid w:val="001316D7"/>
    <w:rsid w:val="00131B92"/>
    <w:rsid w:val="00135D95"/>
    <w:rsid w:val="00137237"/>
    <w:rsid w:val="00141F3D"/>
    <w:rsid w:val="001438D2"/>
    <w:rsid w:val="0014399C"/>
    <w:rsid w:val="00153D4B"/>
    <w:rsid w:val="00156A95"/>
    <w:rsid w:val="00161CDF"/>
    <w:rsid w:val="00163982"/>
    <w:rsid w:val="00164DD8"/>
    <w:rsid w:val="00172417"/>
    <w:rsid w:val="001740EC"/>
    <w:rsid w:val="00184996"/>
    <w:rsid w:val="00187370"/>
    <w:rsid w:val="0019022C"/>
    <w:rsid w:val="00193AF6"/>
    <w:rsid w:val="0019589A"/>
    <w:rsid w:val="001967B2"/>
    <w:rsid w:val="001A078D"/>
    <w:rsid w:val="001A621B"/>
    <w:rsid w:val="001C10BC"/>
    <w:rsid w:val="001C357E"/>
    <w:rsid w:val="001C4D27"/>
    <w:rsid w:val="001D16F7"/>
    <w:rsid w:val="001D35B9"/>
    <w:rsid w:val="001D53FD"/>
    <w:rsid w:val="001D725C"/>
    <w:rsid w:val="001E153F"/>
    <w:rsid w:val="001E413E"/>
    <w:rsid w:val="001E4232"/>
    <w:rsid w:val="001E7CFD"/>
    <w:rsid w:val="001F0B21"/>
    <w:rsid w:val="001F49EB"/>
    <w:rsid w:val="001F4A2A"/>
    <w:rsid w:val="00200851"/>
    <w:rsid w:val="002008CB"/>
    <w:rsid w:val="00200D6D"/>
    <w:rsid w:val="00211E75"/>
    <w:rsid w:val="00213163"/>
    <w:rsid w:val="0022532A"/>
    <w:rsid w:val="002260E0"/>
    <w:rsid w:val="00226743"/>
    <w:rsid w:val="00226E74"/>
    <w:rsid w:val="00231FB0"/>
    <w:rsid w:val="00232815"/>
    <w:rsid w:val="002343D2"/>
    <w:rsid w:val="002372EE"/>
    <w:rsid w:val="0024146A"/>
    <w:rsid w:val="00242750"/>
    <w:rsid w:val="0024529C"/>
    <w:rsid w:val="00251D59"/>
    <w:rsid w:val="00251FDD"/>
    <w:rsid w:val="00252892"/>
    <w:rsid w:val="00252E88"/>
    <w:rsid w:val="002567D1"/>
    <w:rsid w:val="002577FC"/>
    <w:rsid w:val="00262834"/>
    <w:rsid w:val="00262909"/>
    <w:rsid w:val="00263CC5"/>
    <w:rsid w:val="00267BFD"/>
    <w:rsid w:val="00277C8B"/>
    <w:rsid w:val="00280ECF"/>
    <w:rsid w:val="00295769"/>
    <w:rsid w:val="00297D02"/>
    <w:rsid w:val="002A00BB"/>
    <w:rsid w:val="002B4094"/>
    <w:rsid w:val="002C0527"/>
    <w:rsid w:val="002C15D2"/>
    <w:rsid w:val="002C2F30"/>
    <w:rsid w:val="002C33EB"/>
    <w:rsid w:val="002D3A4F"/>
    <w:rsid w:val="002D5C97"/>
    <w:rsid w:val="002D777F"/>
    <w:rsid w:val="002D7835"/>
    <w:rsid w:val="002E5B8A"/>
    <w:rsid w:val="002F718F"/>
    <w:rsid w:val="00302465"/>
    <w:rsid w:val="00302F6D"/>
    <w:rsid w:val="00303828"/>
    <w:rsid w:val="0030513C"/>
    <w:rsid w:val="0030626D"/>
    <w:rsid w:val="00313C66"/>
    <w:rsid w:val="003255E7"/>
    <w:rsid w:val="00336712"/>
    <w:rsid w:val="00337F50"/>
    <w:rsid w:val="0034065E"/>
    <w:rsid w:val="00340778"/>
    <w:rsid w:val="003505AD"/>
    <w:rsid w:val="0035131A"/>
    <w:rsid w:val="00352759"/>
    <w:rsid w:val="00356895"/>
    <w:rsid w:val="0036212B"/>
    <w:rsid w:val="00362827"/>
    <w:rsid w:val="00362F41"/>
    <w:rsid w:val="00365E7D"/>
    <w:rsid w:val="003678FE"/>
    <w:rsid w:val="00367B09"/>
    <w:rsid w:val="00370577"/>
    <w:rsid w:val="00376A9C"/>
    <w:rsid w:val="003773E9"/>
    <w:rsid w:val="00381ABF"/>
    <w:rsid w:val="00385756"/>
    <w:rsid w:val="00394B48"/>
    <w:rsid w:val="003A0219"/>
    <w:rsid w:val="003A0621"/>
    <w:rsid w:val="003A7820"/>
    <w:rsid w:val="003B35C9"/>
    <w:rsid w:val="003D4814"/>
    <w:rsid w:val="003D7424"/>
    <w:rsid w:val="003E1B7A"/>
    <w:rsid w:val="003E549F"/>
    <w:rsid w:val="003E71C7"/>
    <w:rsid w:val="003F1F1A"/>
    <w:rsid w:val="003F2681"/>
    <w:rsid w:val="003F3BDF"/>
    <w:rsid w:val="003F54E6"/>
    <w:rsid w:val="003F627D"/>
    <w:rsid w:val="003F6E26"/>
    <w:rsid w:val="00402372"/>
    <w:rsid w:val="00406C90"/>
    <w:rsid w:val="00412CB3"/>
    <w:rsid w:val="00412E33"/>
    <w:rsid w:val="00413878"/>
    <w:rsid w:val="0041394C"/>
    <w:rsid w:val="00417D15"/>
    <w:rsid w:val="0042249A"/>
    <w:rsid w:val="00433AEF"/>
    <w:rsid w:val="00435E30"/>
    <w:rsid w:val="00440367"/>
    <w:rsid w:val="0044235C"/>
    <w:rsid w:val="00445458"/>
    <w:rsid w:val="00445F62"/>
    <w:rsid w:val="00446C59"/>
    <w:rsid w:val="00453B04"/>
    <w:rsid w:val="00454476"/>
    <w:rsid w:val="00461CF5"/>
    <w:rsid w:val="00474F5D"/>
    <w:rsid w:val="00475E2F"/>
    <w:rsid w:val="004831CA"/>
    <w:rsid w:val="004859A6"/>
    <w:rsid w:val="00490242"/>
    <w:rsid w:val="004A0B31"/>
    <w:rsid w:val="004A26F5"/>
    <w:rsid w:val="004A282A"/>
    <w:rsid w:val="004A7B4E"/>
    <w:rsid w:val="004B1828"/>
    <w:rsid w:val="004B2C47"/>
    <w:rsid w:val="004B45B9"/>
    <w:rsid w:val="004C38B5"/>
    <w:rsid w:val="004C44CF"/>
    <w:rsid w:val="004C7C06"/>
    <w:rsid w:val="004D3E9A"/>
    <w:rsid w:val="004D5661"/>
    <w:rsid w:val="004D6C91"/>
    <w:rsid w:val="004D7902"/>
    <w:rsid w:val="004D7F05"/>
    <w:rsid w:val="004E1332"/>
    <w:rsid w:val="004E1F2E"/>
    <w:rsid w:val="004E41A4"/>
    <w:rsid w:val="004E5528"/>
    <w:rsid w:val="004E5B39"/>
    <w:rsid w:val="004E6857"/>
    <w:rsid w:val="004F3B68"/>
    <w:rsid w:val="004F5AE1"/>
    <w:rsid w:val="00504854"/>
    <w:rsid w:val="00504C03"/>
    <w:rsid w:val="005076B8"/>
    <w:rsid w:val="00511973"/>
    <w:rsid w:val="00512EEF"/>
    <w:rsid w:val="00516013"/>
    <w:rsid w:val="0051641D"/>
    <w:rsid w:val="0052080D"/>
    <w:rsid w:val="00530C45"/>
    <w:rsid w:val="00532E1C"/>
    <w:rsid w:val="00532E3B"/>
    <w:rsid w:val="00534B84"/>
    <w:rsid w:val="005364AA"/>
    <w:rsid w:val="00540AC0"/>
    <w:rsid w:val="00541AB8"/>
    <w:rsid w:val="005478F6"/>
    <w:rsid w:val="0055278D"/>
    <w:rsid w:val="00557A30"/>
    <w:rsid w:val="00561C16"/>
    <w:rsid w:val="00566626"/>
    <w:rsid w:val="00566A0C"/>
    <w:rsid w:val="00566BF1"/>
    <w:rsid w:val="00567250"/>
    <w:rsid w:val="005727A3"/>
    <w:rsid w:val="00573A02"/>
    <w:rsid w:val="00593AC1"/>
    <w:rsid w:val="00597B58"/>
    <w:rsid w:val="005A0347"/>
    <w:rsid w:val="005A18F1"/>
    <w:rsid w:val="005A1CDF"/>
    <w:rsid w:val="005A5CD1"/>
    <w:rsid w:val="005A718D"/>
    <w:rsid w:val="005B3EB7"/>
    <w:rsid w:val="005B4AF7"/>
    <w:rsid w:val="005B4E80"/>
    <w:rsid w:val="005B506B"/>
    <w:rsid w:val="005B783F"/>
    <w:rsid w:val="005C1329"/>
    <w:rsid w:val="005C1C6C"/>
    <w:rsid w:val="005C1DFF"/>
    <w:rsid w:val="005C2C7C"/>
    <w:rsid w:val="005C3CB3"/>
    <w:rsid w:val="005C4071"/>
    <w:rsid w:val="005C5DE8"/>
    <w:rsid w:val="005E36A7"/>
    <w:rsid w:val="005E5C4D"/>
    <w:rsid w:val="005F1372"/>
    <w:rsid w:val="005F425B"/>
    <w:rsid w:val="005F4DDC"/>
    <w:rsid w:val="00600BD2"/>
    <w:rsid w:val="00604ED0"/>
    <w:rsid w:val="0060778A"/>
    <w:rsid w:val="00612161"/>
    <w:rsid w:val="00613638"/>
    <w:rsid w:val="00615BC0"/>
    <w:rsid w:val="00615DF9"/>
    <w:rsid w:val="0061698C"/>
    <w:rsid w:val="00617FEF"/>
    <w:rsid w:val="00620005"/>
    <w:rsid w:val="00623C61"/>
    <w:rsid w:val="00635358"/>
    <w:rsid w:val="00642DA9"/>
    <w:rsid w:val="00645180"/>
    <w:rsid w:val="006505F3"/>
    <w:rsid w:val="0065098D"/>
    <w:rsid w:val="00653288"/>
    <w:rsid w:val="006542B2"/>
    <w:rsid w:val="0065436E"/>
    <w:rsid w:val="00660A41"/>
    <w:rsid w:val="00661528"/>
    <w:rsid w:val="00661D88"/>
    <w:rsid w:val="00662E1D"/>
    <w:rsid w:val="006636A5"/>
    <w:rsid w:val="00665733"/>
    <w:rsid w:val="00676DB1"/>
    <w:rsid w:val="006833A9"/>
    <w:rsid w:val="00684C4D"/>
    <w:rsid w:val="00686E1C"/>
    <w:rsid w:val="0069055B"/>
    <w:rsid w:val="0069354B"/>
    <w:rsid w:val="006A0734"/>
    <w:rsid w:val="006A1AEA"/>
    <w:rsid w:val="006A2740"/>
    <w:rsid w:val="006A2CAC"/>
    <w:rsid w:val="006A3871"/>
    <w:rsid w:val="006A499D"/>
    <w:rsid w:val="006A6772"/>
    <w:rsid w:val="006A6ADA"/>
    <w:rsid w:val="006A7F32"/>
    <w:rsid w:val="006B25C6"/>
    <w:rsid w:val="006B57CA"/>
    <w:rsid w:val="006B6AEB"/>
    <w:rsid w:val="006B7B80"/>
    <w:rsid w:val="006C31A2"/>
    <w:rsid w:val="006C4C54"/>
    <w:rsid w:val="006C5A26"/>
    <w:rsid w:val="006D14DC"/>
    <w:rsid w:val="006D4151"/>
    <w:rsid w:val="006D44C1"/>
    <w:rsid w:val="006D569C"/>
    <w:rsid w:val="006D650A"/>
    <w:rsid w:val="006D71AD"/>
    <w:rsid w:val="006E3CC3"/>
    <w:rsid w:val="006F088B"/>
    <w:rsid w:val="006F4F51"/>
    <w:rsid w:val="007051C3"/>
    <w:rsid w:val="007078F1"/>
    <w:rsid w:val="00710523"/>
    <w:rsid w:val="007212EA"/>
    <w:rsid w:val="007214D1"/>
    <w:rsid w:val="00724389"/>
    <w:rsid w:val="00725908"/>
    <w:rsid w:val="00726FE9"/>
    <w:rsid w:val="007315BE"/>
    <w:rsid w:val="00731CFC"/>
    <w:rsid w:val="007406EB"/>
    <w:rsid w:val="00741875"/>
    <w:rsid w:val="00741BA6"/>
    <w:rsid w:val="00742633"/>
    <w:rsid w:val="00744377"/>
    <w:rsid w:val="00744D1D"/>
    <w:rsid w:val="007454CB"/>
    <w:rsid w:val="007475B4"/>
    <w:rsid w:val="00753810"/>
    <w:rsid w:val="0075753C"/>
    <w:rsid w:val="00757DC4"/>
    <w:rsid w:val="007625D3"/>
    <w:rsid w:val="00765014"/>
    <w:rsid w:val="0076778F"/>
    <w:rsid w:val="00772ACC"/>
    <w:rsid w:val="007733D3"/>
    <w:rsid w:val="00781570"/>
    <w:rsid w:val="007850B6"/>
    <w:rsid w:val="00785F67"/>
    <w:rsid w:val="007917BD"/>
    <w:rsid w:val="007952AF"/>
    <w:rsid w:val="007970FC"/>
    <w:rsid w:val="007A0C8E"/>
    <w:rsid w:val="007A1D2A"/>
    <w:rsid w:val="007A1E38"/>
    <w:rsid w:val="007A363C"/>
    <w:rsid w:val="007A5099"/>
    <w:rsid w:val="007B436A"/>
    <w:rsid w:val="007B72B5"/>
    <w:rsid w:val="007C0F00"/>
    <w:rsid w:val="007C3825"/>
    <w:rsid w:val="007C38FF"/>
    <w:rsid w:val="007C754D"/>
    <w:rsid w:val="007D01F3"/>
    <w:rsid w:val="007D1E48"/>
    <w:rsid w:val="007D2D49"/>
    <w:rsid w:val="007D5F59"/>
    <w:rsid w:val="007D69EB"/>
    <w:rsid w:val="007E0879"/>
    <w:rsid w:val="007E37C1"/>
    <w:rsid w:val="007E3C93"/>
    <w:rsid w:val="007E5D0C"/>
    <w:rsid w:val="007E5DF6"/>
    <w:rsid w:val="007F2A92"/>
    <w:rsid w:val="007F2C5D"/>
    <w:rsid w:val="00803493"/>
    <w:rsid w:val="00815702"/>
    <w:rsid w:val="008177F3"/>
    <w:rsid w:val="00827861"/>
    <w:rsid w:val="00833C03"/>
    <w:rsid w:val="00842860"/>
    <w:rsid w:val="00842B9D"/>
    <w:rsid w:val="00842C04"/>
    <w:rsid w:val="0085033F"/>
    <w:rsid w:val="0085046C"/>
    <w:rsid w:val="00852FCC"/>
    <w:rsid w:val="008550F6"/>
    <w:rsid w:val="00860DF3"/>
    <w:rsid w:val="00871623"/>
    <w:rsid w:val="0087367B"/>
    <w:rsid w:val="0087579A"/>
    <w:rsid w:val="0088320B"/>
    <w:rsid w:val="008853FB"/>
    <w:rsid w:val="00890003"/>
    <w:rsid w:val="0089193A"/>
    <w:rsid w:val="00896E76"/>
    <w:rsid w:val="008A40C8"/>
    <w:rsid w:val="008A50B3"/>
    <w:rsid w:val="008A568C"/>
    <w:rsid w:val="008A7493"/>
    <w:rsid w:val="008C0059"/>
    <w:rsid w:val="008C1927"/>
    <w:rsid w:val="008C2BB8"/>
    <w:rsid w:val="008C3F71"/>
    <w:rsid w:val="008C6DB0"/>
    <w:rsid w:val="008D3B01"/>
    <w:rsid w:val="008D4038"/>
    <w:rsid w:val="008D6D00"/>
    <w:rsid w:val="008E2346"/>
    <w:rsid w:val="008E2BF8"/>
    <w:rsid w:val="008F12A4"/>
    <w:rsid w:val="008F2087"/>
    <w:rsid w:val="008F370A"/>
    <w:rsid w:val="008F5CD0"/>
    <w:rsid w:val="008F6566"/>
    <w:rsid w:val="009051A7"/>
    <w:rsid w:val="00905985"/>
    <w:rsid w:val="00906FC3"/>
    <w:rsid w:val="0090702F"/>
    <w:rsid w:val="00910C4E"/>
    <w:rsid w:val="00913986"/>
    <w:rsid w:val="00915E6A"/>
    <w:rsid w:val="00916592"/>
    <w:rsid w:val="00930889"/>
    <w:rsid w:val="00933253"/>
    <w:rsid w:val="0094421C"/>
    <w:rsid w:val="0094743C"/>
    <w:rsid w:val="00955AB2"/>
    <w:rsid w:val="00957529"/>
    <w:rsid w:val="0096051D"/>
    <w:rsid w:val="0096292A"/>
    <w:rsid w:val="00962E7E"/>
    <w:rsid w:val="00964E9D"/>
    <w:rsid w:val="00965666"/>
    <w:rsid w:val="009678A7"/>
    <w:rsid w:val="00970541"/>
    <w:rsid w:val="00970B9D"/>
    <w:rsid w:val="00970D6D"/>
    <w:rsid w:val="009730D0"/>
    <w:rsid w:val="00974CF9"/>
    <w:rsid w:val="009805F5"/>
    <w:rsid w:val="0098145B"/>
    <w:rsid w:val="00982C6C"/>
    <w:rsid w:val="009864FB"/>
    <w:rsid w:val="00991447"/>
    <w:rsid w:val="0099614D"/>
    <w:rsid w:val="009A403E"/>
    <w:rsid w:val="009A57A2"/>
    <w:rsid w:val="009A6A15"/>
    <w:rsid w:val="009A7AFA"/>
    <w:rsid w:val="009B751B"/>
    <w:rsid w:val="009C0691"/>
    <w:rsid w:val="009C2F26"/>
    <w:rsid w:val="009C3626"/>
    <w:rsid w:val="009C64F0"/>
    <w:rsid w:val="009D1D99"/>
    <w:rsid w:val="009D1EB9"/>
    <w:rsid w:val="009D799A"/>
    <w:rsid w:val="009E7CE9"/>
    <w:rsid w:val="009F1ED3"/>
    <w:rsid w:val="009F34DD"/>
    <w:rsid w:val="009F50C0"/>
    <w:rsid w:val="00A10703"/>
    <w:rsid w:val="00A10D6A"/>
    <w:rsid w:val="00A11584"/>
    <w:rsid w:val="00A1178E"/>
    <w:rsid w:val="00A13A93"/>
    <w:rsid w:val="00A20C2D"/>
    <w:rsid w:val="00A21ADE"/>
    <w:rsid w:val="00A225BF"/>
    <w:rsid w:val="00A25D84"/>
    <w:rsid w:val="00A303EF"/>
    <w:rsid w:val="00A30F83"/>
    <w:rsid w:val="00A341F4"/>
    <w:rsid w:val="00A345EC"/>
    <w:rsid w:val="00A34C36"/>
    <w:rsid w:val="00A401ED"/>
    <w:rsid w:val="00A4201F"/>
    <w:rsid w:val="00A42394"/>
    <w:rsid w:val="00A45C27"/>
    <w:rsid w:val="00A45E54"/>
    <w:rsid w:val="00A47844"/>
    <w:rsid w:val="00A50F5B"/>
    <w:rsid w:val="00A513FF"/>
    <w:rsid w:val="00A5579E"/>
    <w:rsid w:val="00A562F1"/>
    <w:rsid w:val="00A57719"/>
    <w:rsid w:val="00A60E02"/>
    <w:rsid w:val="00A61863"/>
    <w:rsid w:val="00A621B7"/>
    <w:rsid w:val="00A75F96"/>
    <w:rsid w:val="00A864DC"/>
    <w:rsid w:val="00A8658F"/>
    <w:rsid w:val="00A91D06"/>
    <w:rsid w:val="00A940CC"/>
    <w:rsid w:val="00AA0291"/>
    <w:rsid w:val="00AA28C4"/>
    <w:rsid w:val="00AA316A"/>
    <w:rsid w:val="00AA366B"/>
    <w:rsid w:val="00AA392C"/>
    <w:rsid w:val="00AA59A5"/>
    <w:rsid w:val="00AA60CD"/>
    <w:rsid w:val="00AB0995"/>
    <w:rsid w:val="00AB1040"/>
    <w:rsid w:val="00AB109C"/>
    <w:rsid w:val="00AB1158"/>
    <w:rsid w:val="00AB42DB"/>
    <w:rsid w:val="00AB554A"/>
    <w:rsid w:val="00AB794D"/>
    <w:rsid w:val="00AC2394"/>
    <w:rsid w:val="00AC2FA3"/>
    <w:rsid w:val="00AC3169"/>
    <w:rsid w:val="00AC5E9C"/>
    <w:rsid w:val="00AC6233"/>
    <w:rsid w:val="00AD269E"/>
    <w:rsid w:val="00AD3631"/>
    <w:rsid w:val="00AD656F"/>
    <w:rsid w:val="00AD6F5A"/>
    <w:rsid w:val="00AE1E4D"/>
    <w:rsid w:val="00AE2B95"/>
    <w:rsid w:val="00AE31CD"/>
    <w:rsid w:val="00AE53AC"/>
    <w:rsid w:val="00AF48F4"/>
    <w:rsid w:val="00AF5E60"/>
    <w:rsid w:val="00B11D5D"/>
    <w:rsid w:val="00B12065"/>
    <w:rsid w:val="00B1379B"/>
    <w:rsid w:val="00B21097"/>
    <w:rsid w:val="00B229D8"/>
    <w:rsid w:val="00B239D1"/>
    <w:rsid w:val="00B23E70"/>
    <w:rsid w:val="00B3059F"/>
    <w:rsid w:val="00B34D63"/>
    <w:rsid w:val="00B3533B"/>
    <w:rsid w:val="00B35A58"/>
    <w:rsid w:val="00B36DA6"/>
    <w:rsid w:val="00B43070"/>
    <w:rsid w:val="00B432BC"/>
    <w:rsid w:val="00B44DE9"/>
    <w:rsid w:val="00B476E3"/>
    <w:rsid w:val="00B47E0A"/>
    <w:rsid w:val="00B505A1"/>
    <w:rsid w:val="00B510FA"/>
    <w:rsid w:val="00B53ABD"/>
    <w:rsid w:val="00B573FF"/>
    <w:rsid w:val="00B575AB"/>
    <w:rsid w:val="00B61FE3"/>
    <w:rsid w:val="00B64557"/>
    <w:rsid w:val="00B6543A"/>
    <w:rsid w:val="00B705D4"/>
    <w:rsid w:val="00B75065"/>
    <w:rsid w:val="00B75571"/>
    <w:rsid w:val="00B80996"/>
    <w:rsid w:val="00B80BB3"/>
    <w:rsid w:val="00B8102A"/>
    <w:rsid w:val="00B8359F"/>
    <w:rsid w:val="00B8526A"/>
    <w:rsid w:val="00B868D5"/>
    <w:rsid w:val="00B87AB0"/>
    <w:rsid w:val="00B901B1"/>
    <w:rsid w:val="00B902CA"/>
    <w:rsid w:val="00B930F8"/>
    <w:rsid w:val="00B94710"/>
    <w:rsid w:val="00BA0FB7"/>
    <w:rsid w:val="00BA1D85"/>
    <w:rsid w:val="00BB6F2A"/>
    <w:rsid w:val="00BB781D"/>
    <w:rsid w:val="00BC24F7"/>
    <w:rsid w:val="00BC3EF6"/>
    <w:rsid w:val="00BC55B3"/>
    <w:rsid w:val="00BC5BA5"/>
    <w:rsid w:val="00BD0AFC"/>
    <w:rsid w:val="00BD2AF1"/>
    <w:rsid w:val="00BD3D52"/>
    <w:rsid w:val="00BD5AB4"/>
    <w:rsid w:val="00BE0670"/>
    <w:rsid w:val="00BE4A5B"/>
    <w:rsid w:val="00BE5455"/>
    <w:rsid w:val="00BE5A8D"/>
    <w:rsid w:val="00BE6425"/>
    <w:rsid w:val="00BF1F67"/>
    <w:rsid w:val="00BF3A3D"/>
    <w:rsid w:val="00BF425C"/>
    <w:rsid w:val="00BF65FF"/>
    <w:rsid w:val="00BF72A6"/>
    <w:rsid w:val="00C052FC"/>
    <w:rsid w:val="00C05552"/>
    <w:rsid w:val="00C065E4"/>
    <w:rsid w:val="00C14EC7"/>
    <w:rsid w:val="00C23D0D"/>
    <w:rsid w:val="00C305FE"/>
    <w:rsid w:val="00C306BA"/>
    <w:rsid w:val="00C30867"/>
    <w:rsid w:val="00C35296"/>
    <w:rsid w:val="00C478D0"/>
    <w:rsid w:val="00C51C13"/>
    <w:rsid w:val="00C5211B"/>
    <w:rsid w:val="00C55DE2"/>
    <w:rsid w:val="00C57CCE"/>
    <w:rsid w:val="00C57DD8"/>
    <w:rsid w:val="00C60E81"/>
    <w:rsid w:val="00C60F48"/>
    <w:rsid w:val="00C61EC1"/>
    <w:rsid w:val="00C62F18"/>
    <w:rsid w:val="00C67E12"/>
    <w:rsid w:val="00C7196C"/>
    <w:rsid w:val="00C7259F"/>
    <w:rsid w:val="00C72C3E"/>
    <w:rsid w:val="00C73642"/>
    <w:rsid w:val="00C73EF8"/>
    <w:rsid w:val="00C774E0"/>
    <w:rsid w:val="00C777C6"/>
    <w:rsid w:val="00C90623"/>
    <w:rsid w:val="00C90BD7"/>
    <w:rsid w:val="00C97767"/>
    <w:rsid w:val="00CA0D44"/>
    <w:rsid w:val="00CB58AC"/>
    <w:rsid w:val="00CB7044"/>
    <w:rsid w:val="00CC25E7"/>
    <w:rsid w:val="00CC7074"/>
    <w:rsid w:val="00CC7975"/>
    <w:rsid w:val="00CC7DAB"/>
    <w:rsid w:val="00CD2C3C"/>
    <w:rsid w:val="00CD369C"/>
    <w:rsid w:val="00CD39F3"/>
    <w:rsid w:val="00CD74AE"/>
    <w:rsid w:val="00CE28E5"/>
    <w:rsid w:val="00CE44F8"/>
    <w:rsid w:val="00CE7BDF"/>
    <w:rsid w:val="00CF412A"/>
    <w:rsid w:val="00D00C85"/>
    <w:rsid w:val="00D010D6"/>
    <w:rsid w:val="00D02BEC"/>
    <w:rsid w:val="00D10EC8"/>
    <w:rsid w:val="00D20E4B"/>
    <w:rsid w:val="00D21C2F"/>
    <w:rsid w:val="00D23F95"/>
    <w:rsid w:val="00D36A21"/>
    <w:rsid w:val="00D40798"/>
    <w:rsid w:val="00D42281"/>
    <w:rsid w:val="00D43A4A"/>
    <w:rsid w:val="00D52C07"/>
    <w:rsid w:val="00D54161"/>
    <w:rsid w:val="00D545CD"/>
    <w:rsid w:val="00D605BB"/>
    <w:rsid w:val="00D6324F"/>
    <w:rsid w:val="00D675E4"/>
    <w:rsid w:val="00D73AC8"/>
    <w:rsid w:val="00D73AFF"/>
    <w:rsid w:val="00D82001"/>
    <w:rsid w:val="00D8203C"/>
    <w:rsid w:val="00D82BFE"/>
    <w:rsid w:val="00D8342E"/>
    <w:rsid w:val="00D84A52"/>
    <w:rsid w:val="00D85756"/>
    <w:rsid w:val="00D91E1E"/>
    <w:rsid w:val="00D95699"/>
    <w:rsid w:val="00D96571"/>
    <w:rsid w:val="00D97AE9"/>
    <w:rsid w:val="00DB293C"/>
    <w:rsid w:val="00DB52BA"/>
    <w:rsid w:val="00DC0463"/>
    <w:rsid w:val="00DC71A4"/>
    <w:rsid w:val="00DE0764"/>
    <w:rsid w:val="00DE1987"/>
    <w:rsid w:val="00DE4316"/>
    <w:rsid w:val="00DE4371"/>
    <w:rsid w:val="00DE7299"/>
    <w:rsid w:val="00DF094E"/>
    <w:rsid w:val="00DF2E18"/>
    <w:rsid w:val="00E02BA5"/>
    <w:rsid w:val="00E071B1"/>
    <w:rsid w:val="00E15900"/>
    <w:rsid w:val="00E16030"/>
    <w:rsid w:val="00E174B5"/>
    <w:rsid w:val="00E277CF"/>
    <w:rsid w:val="00E303AF"/>
    <w:rsid w:val="00E30BDA"/>
    <w:rsid w:val="00E30D01"/>
    <w:rsid w:val="00E3256C"/>
    <w:rsid w:val="00E34AB7"/>
    <w:rsid w:val="00E35989"/>
    <w:rsid w:val="00E364A7"/>
    <w:rsid w:val="00E3735C"/>
    <w:rsid w:val="00E433CC"/>
    <w:rsid w:val="00E43E2D"/>
    <w:rsid w:val="00E44E58"/>
    <w:rsid w:val="00E452A9"/>
    <w:rsid w:val="00E52251"/>
    <w:rsid w:val="00E54776"/>
    <w:rsid w:val="00E551D3"/>
    <w:rsid w:val="00E5668A"/>
    <w:rsid w:val="00E579F8"/>
    <w:rsid w:val="00E6196C"/>
    <w:rsid w:val="00E62343"/>
    <w:rsid w:val="00E726F7"/>
    <w:rsid w:val="00E76B16"/>
    <w:rsid w:val="00E80E6F"/>
    <w:rsid w:val="00E826BA"/>
    <w:rsid w:val="00E856CA"/>
    <w:rsid w:val="00E937C7"/>
    <w:rsid w:val="00E93A49"/>
    <w:rsid w:val="00E958B2"/>
    <w:rsid w:val="00E95974"/>
    <w:rsid w:val="00E95C01"/>
    <w:rsid w:val="00E9604B"/>
    <w:rsid w:val="00E96F13"/>
    <w:rsid w:val="00EA004A"/>
    <w:rsid w:val="00EA08B9"/>
    <w:rsid w:val="00EA0CED"/>
    <w:rsid w:val="00EA2E73"/>
    <w:rsid w:val="00EA6548"/>
    <w:rsid w:val="00EB0917"/>
    <w:rsid w:val="00EB370E"/>
    <w:rsid w:val="00EC108E"/>
    <w:rsid w:val="00EC1D8C"/>
    <w:rsid w:val="00ED1886"/>
    <w:rsid w:val="00EE174E"/>
    <w:rsid w:val="00EE2263"/>
    <w:rsid w:val="00EE4137"/>
    <w:rsid w:val="00EF0920"/>
    <w:rsid w:val="00EF0D57"/>
    <w:rsid w:val="00EF0F8A"/>
    <w:rsid w:val="00EF17FB"/>
    <w:rsid w:val="00EF3716"/>
    <w:rsid w:val="00EF54ED"/>
    <w:rsid w:val="00F0631E"/>
    <w:rsid w:val="00F06423"/>
    <w:rsid w:val="00F07C08"/>
    <w:rsid w:val="00F1460F"/>
    <w:rsid w:val="00F153F6"/>
    <w:rsid w:val="00F209BF"/>
    <w:rsid w:val="00F21D11"/>
    <w:rsid w:val="00F23307"/>
    <w:rsid w:val="00F23D6A"/>
    <w:rsid w:val="00F27C7C"/>
    <w:rsid w:val="00F31A76"/>
    <w:rsid w:val="00F36F86"/>
    <w:rsid w:val="00F375E2"/>
    <w:rsid w:val="00F412B3"/>
    <w:rsid w:val="00F43AD4"/>
    <w:rsid w:val="00F47AFF"/>
    <w:rsid w:val="00F57AFE"/>
    <w:rsid w:val="00F62A25"/>
    <w:rsid w:val="00F70DA3"/>
    <w:rsid w:val="00F70E0E"/>
    <w:rsid w:val="00F72792"/>
    <w:rsid w:val="00F72FB8"/>
    <w:rsid w:val="00F76492"/>
    <w:rsid w:val="00F82C57"/>
    <w:rsid w:val="00F87BBB"/>
    <w:rsid w:val="00F9069F"/>
    <w:rsid w:val="00F9086C"/>
    <w:rsid w:val="00F928A9"/>
    <w:rsid w:val="00F9464A"/>
    <w:rsid w:val="00F96E5B"/>
    <w:rsid w:val="00FA097B"/>
    <w:rsid w:val="00FA2698"/>
    <w:rsid w:val="00FB0346"/>
    <w:rsid w:val="00FB0C16"/>
    <w:rsid w:val="00FB1A5D"/>
    <w:rsid w:val="00FB2C87"/>
    <w:rsid w:val="00FB5C25"/>
    <w:rsid w:val="00FC2A77"/>
    <w:rsid w:val="00FC4D9F"/>
    <w:rsid w:val="00FD1503"/>
    <w:rsid w:val="00FD2D62"/>
    <w:rsid w:val="00FF27CF"/>
    <w:rsid w:val="00FF2FB2"/>
    <w:rsid w:val="00FF7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3500A"/>
  <w15:docId w15:val="{11218B91-2C0D-48F1-BDBD-72269E7C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A58"/>
    <w:pPr>
      <w:spacing w:after="120" w:line="480" w:lineRule="auto"/>
    </w:pPr>
    <w:rPr>
      <w:rFonts w:ascii="Arial" w:hAnsi="Arial" w:cs="Arial"/>
      <w:sz w:val="24"/>
      <w:szCs w:val="24"/>
      <w:lang w:eastAsia="en-GB"/>
    </w:rPr>
  </w:style>
  <w:style w:type="paragraph" w:styleId="Heading1">
    <w:name w:val="heading 1"/>
    <w:basedOn w:val="Heading2"/>
    <w:next w:val="Normal"/>
    <w:link w:val="Heading1Char"/>
    <w:uiPriority w:val="9"/>
    <w:qFormat/>
    <w:rsid w:val="007850B6"/>
    <w:pPr>
      <w:outlineLvl w:val="0"/>
    </w:pPr>
    <w:rPr>
      <w:b/>
      <w:bCs w:val="0"/>
      <w:i w:val="0"/>
      <w:iCs w:val="0"/>
    </w:rPr>
  </w:style>
  <w:style w:type="paragraph" w:styleId="Heading2">
    <w:name w:val="heading 2"/>
    <w:basedOn w:val="Normal"/>
    <w:next w:val="Normal"/>
    <w:link w:val="Heading2Char"/>
    <w:uiPriority w:val="9"/>
    <w:qFormat/>
    <w:rsid w:val="007850B6"/>
    <w:pPr>
      <w:jc w:val="both"/>
      <w:outlineLvl w:val="1"/>
    </w:pPr>
    <w:rPr>
      <w:bCs/>
      <w:i/>
      <w:iCs/>
    </w:rPr>
  </w:style>
  <w:style w:type="paragraph" w:styleId="Heading3">
    <w:name w:val="heading 3"/>
    <w:basedOn w:val="Normal"/>
    <w:next w:val="Normal"/>
    <w:link w:val="Heading3Char"/>
    <w:uiPriority w:val="9"/>
    <w:qFormat/>
    <w:rsid w:val="00C14EC7"/>
    <w:pPr>
      <w:spacing w:after="0"/>
      <w:jc w:val="both"/>
      <w:outlineLvl w:val="2"/>
    </w:pPr>
    <w:rPr>
      <w:bCs/>
      <w:i/>
      <w:i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uiPriority w:val="9"/>
    <w:rsid w:val="007850B6"/>
    <w:rPr>
      <w:rFonts w:ascii="Arial" w:hAnsi="Arial" w:cs="Arial"/>
      <w:b/>
      <w:sz w:val="24"/>
      <w:szCs w:val="24"/>
      <w:lang w:eastAsia="en-GB"/>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7850B6"/>
    <w:rPr>
      <w:rFonts w:ascii="Arial" w:hAnsi="Arial" w:cs="Arial"/>
      <w:bCs/>
      <w:i/>
      <w:iCs/>
      <w:sz w:val="24"/>
      <w:szCs w:val="24"/>
      <w:lang w:eastAsia="en-GB"/>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cs="Arial"/>
      <w:sz w:val="24"/>
      <w:szCs w:val="24"/>
      <w:lang w:eastAsia="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cs="Arial"/>
      <w:sz w:val="24"/>
      <w:szCs w:val="24"/>
      <w:lang w:eastAsia="en-GB"/>
    </w:rPr>
  </w:style>
  <w:style w:type="character" w:customStyle="1" w:styleId="Heading3Char">
    <w:name w:val="Heading 3 Char"/>
    <w:basedOn w:val="DefaultParagraphFont"/>
    <w:link w:val="Heading3"/>
    <w:uiPriority w:val="9"/>
    <w:rsid w:val="00C14EC7"/>
    <w:rPr>
      <w:rFonts w:ascii="Arial" w:hAnsi="Arial" w:cs="Arial"/>
      <w:bCs/>
      <w:i/>
      <w:iCs/>
      <w:sz w:val="24"/>
      <w:szCs w:val="24"/>
      <w:lang w:eastAsia="zh-CN"/>
    </w:rPr>
  </w:style>
  <w:style w:type="character" w:customStyle="1" w:styleId="maintitle">
    <w:name w:val="maintitle"/>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lang w:val="en-GB"/>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Pr>
      <w:rFonts w:cs="Myriad Pro Cond"/>
      <w:b/>
      <w:bCs/>
      <w:color w:val="20358C"/>
      <w:sz w:val="40"/>
      <w:szCs w:val="40"/>
    </w:rPr>
  </w:style>
  <w:style w:type="character" w:styleId="IntenseEmphasis">
    <w:name w:val="Intense Emphasis"/>
    <w:uiPriority w:val="21"/>
    <w:qFormat/>
    <w:rPr>
      <w:rFonts w:ascii="Times New Roman" w:hAnsi="Times New Roman" w:cs="Times New Roman"/>
      <w:i/>
    </w:rPr>
  </w:style>
  <w:style w:type="paragraph" w:styleId="FootnoteText">
    <w:name w:val="footnote text"/>
    <w:basedOn w:val="Normal"/>
    <w:link w:val="FootnoteTextChar"/>
    <w:uiPriority w:val="99"/>
    <w:pPr>
      <w:spacing w:after="0" w:line="240" w:lineRule="auto"/>
    </w:pPr>
    <w:rPr>
      <w:rFonts w:ascii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rPr>
      <w:vertAlign w:val="superscript"/>
    </w:rPr>
  </w:style>
  <w:style w:type="table" w:customStyle="1" w:styleId="TableGridLight1">
    <w:name w:val="Table Grid Light1"/>
    <w:basedOn w:val="TableNormal"/>
    <w:uiPriority w:val="4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uiPriority w:val="39"/>
    <w:rsid w:val="002A00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C108E"/>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normaltextrun">
    <w:name w:val="normaltextrun"/>
    <w:basedOn w:val="DefaultParagraphFont"/>
    <w:rsid w:val="00EC108E"/>
  </w:style>
  <w:style w:type="character" w:customStyle="1" w:styleId="eop">
    <w:name w:val="eop"/>
    <w:basedOn w:val="DefaultParagraphFont"/>
    <w:rsid w:val="00EC108E"/>
  </w:style>
  <w:style w:type="character" w:styleId="FollowedHyperlink">
    <w:name w:val="FollowedHyperlink"/>
    <w:basedOn w:val="DefaultParagraphFont"/>
    <w:uiPriority w:val="99"/>
    <w:semiHidden/>
    <w:unhideWhenUsed/>
    <w:rsid w:val="007406EB"/>
    <w:rPr>
      <w:color w:val="800080" w:themeColor="followedHyperlink"/>
      <w:u w:val="single"/>
    </w:rPr>
  </w:style>
  <w:style w:type="character" w:customStyle="1" w:styleId="UnresolvedMention">
    <w:name w:val="Unresolved Mention"/>
    <w:basedOn w:val="DefaultParagraphFont"/>
    <w:uiPriority w:val="99"/>
    <w:semiHidden/>
    <w:unhideWhenUsed/>
    <w:rsid w:val="004E5528"/>
    <w:rPr>
      <w:color w:val="605E5C"/>
      <w:shd w:val="clear" w:color="auto" w:fill="E1DFDD"/>
    </w:rPr>
  </w:style>
  <w:style w:type="table" w:styleId="ListTable3">
    <w:name w:val="List Table 3"/>
    <w:basedOn w:val="TableNormal"/>
    <w:uiPriority w:val="48"/>
    <w:rsid w:val="00860DF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2">
    <w:name w:val="Plain Table 2"/>
    <w:basedOn w:val="TableNormal"/>
    <w:uiPriority w:val="42"/>
    <w:rsid w:val="006B7B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75239">
      <w:bodyDiv w:val="1"/>
      <w:marLeft w:val="0"/>
      <w:marRight w:val="0"/>
      <w:marTop w:val="0"/>
      <w:marBottom w:val="0"/>
      <w:divBdr>
        <w:top w:val="none" w:sz="0" w:space="0" w:color="auto"/>
        <w:left w:val="none" w:sz="0" w:space="0" w:color="auto"/>
        <w:bottom w:val="none" w:sz="0" w:space="0" w:color="auto"/>
        <w:right w:val="none" w:sz="0" w:space="0" w:color="auto"/>
      </w:divBdr>
    </w:div>
    <w:div w:id="448203073">
      <w:bodyDiv w:val="1"/>
      <w:marLeft w:val="0"/>
      <w:marRight w:val="0"/>
      <w:marTop w:val="0"/>
      <w:marBottom w:val="0"/>
      <w:divBdr>
        <w:top w:val="none" w:sz="0" w:space="0" w:color="auto"/>
        <w:left w:val="none" w:sz="0" w:space="0" w:color="auto"/>
        <w:bottom w:val="none" w:sz="0" w:space="0" w:color="auto"/>
        <w:right w:val="none" w:sz="0" w:space="0" w:color="auto"/>
      </w:divBdr>
    </w:div>
    <w:div w:id="583807387">
      <w:bodyDiv w:val="1"/>
      <w:marLeft w:val="0"/>
      <w:marRight w:val="0"/>
      <w:marTop w:val="0"/>
      <w:marBottom w:val="0"/>
      <w:divBdr>
        <w:top w:val="none" w:sz="0" w:space="0" w:color="auto"/>
        <w:left w:val="none" w:sz="0" w:space="0" w:color="auto"/>
        <w:bottom w:val="none" w:sz="0" w:space="0" w:color="auto"/>
        <w:right w:val="none" w:sz="0" w:space="0" w:color="auto"/>
      </w:divBdr>
    </w:div>
    <w:div w:id="634025101">
      <w:bodyDiv w:val="1"/>
      <w:marLeft w:val="0"/>
      <w:marRight w:val="0"/>
      <w:marTop w:val="0"/>
      <w:marBottom w:val="0"/>
      <w:divBdr>
        <w:top w:val="none" w:sz="0" w:space="0" w:color="auto"/>
        <w:left w:val="none" w:sz="0" w:space="0" w:color="auto"/>
        <w:bottom w:val="none" w:sz="0" w:space="0" w:color="auto"/>
        <w:right w:val="none" w:sz="0" w:space="0" w:color="auto"/>
      </w:divBdr>
    </w:div>
    <w:div w:id="740716474">
      <w:bodyDiv w:val="1"/>
      <w:marLeft w:val="0"/>
      <w:marRight w:val="0"/>
      <w:marTop w:val="0"/>
      <w:marBottom w:val="0"/>
      <w:divBdr>
        <w:top w:val="none" w:sz="0" w:space="0" w:color="auto"/>
        <w:left w:val="none" w:sz="0" w:space="0" w:color="auto"/>
        <w:bottom w:val="none" w:sz="0" w:space="0" w:color="auto"/>
        <w:right w:val="none" w:sz="0" w:space="0" w:color="auto"/>
      </w:divBdr>
    </w:div>
    <w:div w:id="1050956330">
      <w:bodyDiv w:val="1"/>
      <w:marLeft w:val="0"/>
      <w:marRight w:val="0"/>
      <w:marTop w:val="0"/>
      <w:marBottom w:val="0"/>
      <w:divBdr>
        <w:top w:val="none" w:sz="0" w:space="0" w:color="auto"/>
        <w:left w:val="none" w:sz="0" w:space="0" w:color="auto"/>
        <w:bottom w:val="none" w:sz="0" w:space="0" w:color="auto"/>
        <w:right w:val="none" w:sz="0" w:space="0" w:color="auto"/>
      </w:divBdr>
      <w:divsChild>
        <w:div w:id="626157697">
          <w:marLeft w:val="0"/>
          <w:marRight w:val="0"/>
          <w:marTop w:val="0"/>
          <w:marBottom w:val="0"/>
          <w:divBdr>
            <w:top w:val="none" w:sz="0" w:space="0" w:color="auto"/>
            <w:left w:val="none" w:sz="0" w:space="0" w:color="auto"/>
            <w:bottom w:val="none" w:sz="0" w:space="0" w:color="auto"/>
            <w:right w:val="none" w:sz="0" w:space="0" w:color="auto"/>
          </w:divBdr>
        </w:div>
        <w:div w:id="10507604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ridd.2011.07.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idd.org/intellectual-disability/defini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dr.undp.org/en/content/inequality-adjusted-human-development-index-ihd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n.org/disabilities/documents/convention/convoptprot-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specialolympics.org/resources/strategic-plan/Special-Olympics-Global-Strategic-Plan---2016-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00677DEF8A3948B010BC205537FE3A" ma:contentTypeVersion="11" ma:contentTypeDescription="Create a new document." ma:contentTypeScope="" ma:versionID="23cc7a7571ca6d0e92d50d3c9e5122d6">
  <xsd:schema xmlns:xsd="http://www.w3.org/2001/XMLSchema" xmlns:xs="http://www.w3.org/2001/XMLSchema" xmlns:p="http://schemas.microsoft.com/office/2006/metadata/properties" xmlns:ns3="840f887c-d90e-456e-89ba-77b57c6e028f" xmlns:ns4="5eb05ccb-2ba9-4c47-afac-00c3d9ba1c9d" targetNamespace="http://schemas.microsoft.com/office/2006/metadata/properties" ma:root="true" ma:fieldsID="43a591e23d94b8306f0348a0ae8574e1" ns3:_="" ns4:_="">
    <xsd:import namespace="840f887c-d90e-456e-89ba-77b57c6e028f"/>
    <xsd:import namespace="5eb05ccb-2ba9-4c47-afac-00c3d9ba1c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f887c-d90e-456e-89ba-77b57c6e02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05ccb-2ba9-4c47-afac-00c3d9ba1c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74788-07B2-4F52-9742-7A8D1E2277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073D8B-D126-4C74-87BB-B8398F07E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f887c-d90e-456e-89ba-77b57c6e028f"/>
    <ds:schemaRef ds:uri="5eb05ccb-2ba9-4c47-afac-00c3d9ba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9C4BB-6AF0-46C3-A082-4C5A9B4C68D6}">
  <ds:schemaRefs>
    <ds:schemaRef ds:uri="http://schemas.microsoft.com/sharepoint/v3/contenttype/forms"/>
  </ds:schemaRefs>
</ds:datastoreItem>
</file>

<file path=customXml/itemProps4.xml><?xml version="1.0" encoding="utf-8"?>
<ds:datastoreItem xmlns:ds="http://schemas.openxmlformats.org/officeDocument/2006/customXml" ds:itemID="{463C770D-0D68-406E-ADED-FD8E7E3E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7298</Words>
  <Characters>41602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48803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Slater, Paul</cp:lastModifiedBy>
  <cp:revision>2</cp:revision>
  <cp:lastPrinted>2020-03-07T17:10:00Z</cp:lastPrinted>
  <dcterms:created xsi:type="dcterms:W3CDTF">2020-07-28T10:48:00Z</dcterms:created>
  <dcterms:modified xsi:type="dcterms:W3CDTF">2020-07-28T10:48:00Z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0x010100B000677DEF8A3948B010BC205537FE3A</vt:lpwstr>
  </property>
</Properties>
</file>