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13" w:rsidRDefault="00140BC2">
      <w:pPr>
        <w:pStyle w:val="BodyA"/>
        <w:suppressAutoHyphens/>
        <w:spacing w:after="80" w:line="480" w:lineRule="auto"/>
        <w:jc w:val="both"/>
        <w:rPr>
          <w:b/>
          <w:bCs/>
          <w:i/>
          <w:iCs/>
        </w:rPr>
      </w:pPr>
      <w:bookmarkStart w:id="0" w:name="_GoBack"/>
      <w:r>
        <w:rPr>
          <w:b/>
          <w:bCs/>
          <w:i/>
          <w:iCs/>
        </w:rPr>
        <w:t xml:space="preserve">The Recast Reception Conditions Directive and the Rights of Asylum Seekers with Disabilities: Opportunities, Challenges and the Quest for Reform  </w:t>
      </w:r>
    </w:p>
    <w:bookmarkEnd w:id="0"/>
    <w:p w:rsidR="002B6D13" w:rsidRDefault="002B6D13">
      <w:pPr>
        <w:pStyle w:val="BodyA"/>
        <w:suppressAutoHyphens/>
        <w:spacing w:after="80" w:line="480" w:lineRule="auto"/>
        <w:jc w:val="both"/>
      </w:pPr>
    </w:p>
    <w:p w:rsidR="002B6D13" w:rsidRDefault="00140BC2">
      <w:pPr>
        <w:pStyle w:val="BodyA"/>
        <w:suppressAutoHyphens/>
        <w:spacing w:after="80" w:line="480" w:lineRule="auto"/>
        <w:jc w:val="both"/>
      </w:pPr>
      <w:r>
        <w:rPr>
          <w:rStyle w:val="NoneA"/>
        </w:rPr>
        <w:t xml:space="preserve">Dr. </w:t>
      </w:r>
      <w:r>
        <w:rPr>
          <w:lang w:val="fr-FR"/>
        </w:rPr>
        <w:t xml:space="preserve">Charles </w:t>
      </w:r>
      <w:r>
        <w:rPr>
          <w:rStyle w:val="NoneA"/>
        </w:rPr>
        <w:t>O’Sullivan</w:t>
      </w:r>
    </w:p>
    <w:p w:rsidR="002B6D13" w:rsidRDefault="00140BC2">
      <w:pPr>
        <w:pStyle w:val="BodyA"/>
        <w:suppressAutoHyphens/>
        <w:spacing w:after="80" w:line="480" w:lineRule="auto"/>
        <w:jc w:val="both"/>
      </w:pPr>
      <w:r>
        <w:rPr>
          <w:rStyle w:val="NoneB"/>
        </w:rPr>
        <w:t>Lecturer, School of Law, Ulster University</w:t>
      </w:r>
    </w:p>
    <w:p w:rsidR="002B6D13" w:rsidRDefault="00140BC2">
      <w:pPr>
        <w:pStyle w:val="BodyA"/>
        <w:suppressAutoHyphens/>
        <w:spacing w:after="80" w:line="480" w:lineRule="auto"/>
        <w:jc w:val="both"/>
      </w:pPr>
      <w:r>
        <w:rPr>
          <w:rStyle w:val="NoneB"/>
        </w:rPr>
        <w:t>Magee Campus, Derry</w:t>
      </w:r>
    </w:p>
    <w:p w:rsidR="002B6D13" w:rsidRDefault="00140BC2">
      <w:pPr>
        <w:pStyle w:val="BodyA"/>
        <w:suppressAutoHyphens/>
        <w:spacing w:after="80" w:line="480" w:lineRule="auto"/>
        <w:jc w:val="both"/>
      </w:pPr>
      <w:hyperlink r:id="rId6" w:history="1">
        <w:r>
          <w:rPr>
            <w:rStyle w:val="Hyperlink0"/>
          </w:rPr>
          <w:t>c.osullivan@ulster.ac.uk</w:t>
        </w:r>
      </w:hyperlink>
      <w:r>
        <w:rPr>
          <w:rStyle w:val="NoneB"/>
        </w:rPr>
        <w:t xml:space="preserve"> </w:t>
      </w:r>
    </w:p>
    <w:p w:rsidR="002B6D13" w:rsidRDefault="00140BC2">
      <w:pPr>
        <w:pStyle w:val="BodyA"/>
        <w:suppressAutoHyphens/>
        <w:spacing w:after="80" w:line="480" w:lineRule="auto"/>
        <w:jc w:val="both"/>
      </w:pPr>
      <w:r>
        <w:rPr>
          <w:rStyle w:val="NoneB"/>
        </w:rPr>
        <w:t>And</w:t>
      </w:r>
    </w:p>
    <w:p w:rsidR="002B6D13" w:rsidRDefault="00140BC2">
      <w:pPr>
        <w:pStyle w:val="BodyA"/>
        <w:suppressAutoHyphens/>
        <w:spacing w:after="80" w:line="480" w:lineRule="auto"/>
        <w:jc w:val="both"/>
      </w:pPr>
      <w:r>
        <w:rPr>
          <w:rStyle w:val="NoneB"/>
        </w:rPr>
        <w:t>Dr. Delia Ferri</w:t>
      </w:r>
    </w:p>
    <w:p w:rsidR="002B6D13" w:rsidRDefault="00140BC2">
      <w:pPr>
        <w:pStyle w:val="BodyA"/>
        <w:suppressAutoHyphens/>
        <w:spacing w:after="80" w:line="480" w:lineRule="auto"/>
        <w:jc w:val="both"/>
      </w:pPr>
      <w:r>
        <w:rPr>
          <w:rStyle w:val="NoneB"/>
        </w:rPr>
        <w:t>Professor, Department of Law, Maynooth University</w:t>
      </w:r>
    </w:p>
    <w:p w:rsidR="002B6D13" w:rsidRDefault="00140BC2">
      <w:pPr>
        <w:pStyle w:val="BodyA"/>
        <w:suppressAutoHyphens/>
        <w:spacing w:after="80" w:line="480" w:lineRule="auto"/>
        <w:jc w:val="both"/>
      </w:pPr>
      <w:r>
        <w:rPr>
          <w:rStyle w:val="NoneB"/>
        </w:rPr>
        <w:t>New House, Maynooth, Kildare</w:t>
      </w:r>
    </w:p>
    <w:p w:rsidR="002B6D13" w:rsidRDefault="00140BC2">
      <w:pPr>
        <w:pStyle w:val="BodyA"/>
        <w:suppressAutoHyphens/>
        <w:spacing w:after="80" w:line="480" w:lineRule="auto"/>
        <w:jc w:val="both"/>
        <w:rPr>
          <w:rStyle w:val="NoneB"/>
        </w:rPr>
      </w:pPr>
      <w:hyperlink r:id="rId7" w:history="1">
        <w:r>
          <w:rPr>
            <w:rStyle w:val="Hyperlink0"/>
          </w:rPr>
          <w:t>delia.ferri@mu.ie</w:t>
        </w:r>
      </w:hyperlink>
      <w:r>
        <w:rPr>
          <w:rStyle w:val="NoneB"/>
        </w:rPr>
        <w:t xml:space="preserve"> </w:t>
      </w:r>
    </w:p>
    <w:p w:rsidR="002B6D13" w:rsidRDefault="002B6D13">
      <w:pPr>
        <w:pStyle w:val="BodyA"/>
        <w:suppressAutoHyphens/>
        <w:spacing w:after="80" w:line="480" w:lineRule="auto"/>
        <w:ind w:firstLine="283"/>
        <w:jc w:val="both"/>
        <w:rPr>
          <w:rStyle w:val="NoneB"/>
        </w:rPr>
      </w:pPr>
    </w:p>
    <w:p w:rsidR="002B6D13" w:rsidRDefault="00140BC2">
      <w:pPr>
        <w:pStyle w:val="BodyA"/>
        <w:suppressAutoHyphens/>
        <w:spacing w:after="80" w:line="480" w:lineRule="auto"/>
        <w:jc w:val="both"/>
        <w:rPr>
          <w:rStyle w:val="NoneB"/>
        </w:rPr>
      </w:pPr>
      <w:r>
        <w:rPr>
          <w:rStyle w:val="None"/>
          <w:b/>
          <w:bCs/>
        </w:rPr>
        <w:t>Abstract</w:t>
      </w:r>
      <w:r>
        <w:rPr>
          <w:rStyle w:val="NoneB"/>
        </w:rPr>
        <w:br/>
      </w:r>
      <w:r>
        <w:rPr>
          <w:rStyle w:val="NoneB"/>
        </w:rPr>
        <w:t>In recent years, the European Union (</w:t>
      </w:r>
      <w:r>
        <w:rPr>
          <w:rStyle w:val="NoneB"/>
        </w:rPr>
        <w:t>EU) has, like much of the developed world, experienced a sustained period of inward migration from refugee-producing States in Africa and the Middle-East. This ‘refugee crisis’ has placed a strain not only on the political will of the EU institutions and M</w:t>
      </w:r>
      <w:r>
        <w:rPr>
          <w:rStyle w:val="NoneB"/>
        </w:rPr>
        <w:t>ember States to find a satisfactory resolution to deal with the flow of migrants, but also on their ability to put in place fair processes for any resulting claims for asylum and to adequately support the needs of asylum seekers while those claims are bein</w:t>
      </w:r>
      <w:r>
        <w:rPr>
          <w:rStyle w:val="NoneB"/>
        </w:rPr>
        <w:t>g processed. This article discusses the latter issue from a discreet angle, focusing on how the EU has addressed the needs of asylum seekers with disabilities. As a party to the United Nations Convention on the Rights of Persons with Disabilities (CRPD), w</w:t>
      </w:r>
      <w:r>
        <w:rPr>
          <w:rStyle w:val="NoneB"/>
        </w:rPr>
        <w:t>hich enjoys sub-constitutional status within the EU legal order, the EU is obligated to interpret all legislation in light of the Convention. Thus, this article seeks to assess the degree to which Directive 2013/33/EU on the material reception conditions f</w:t>
      </w:r>
      <w:r>
        <w:rPr>
          <w:rStyle w:val="NoneB"/>
        </w:rPr>
        <w:t xml:space="preserve">or asylum seekers can protect and </w:t>
      </w:r>
      <w:r>
        <w:rPr>
          <w:rStyle w:val="NoneB"/>
        </w:rPr>
        <w:lastRenderedPageBreak/>
        <w:t>promote the rights of asylum seekers with disabilities and fulfill the ‘human rights model of disability’ embedded within the CRPD. It also assesses the most recent proposal to replace the Directive, and examines whether t</w:t>
      </w:r>
      <w:r>
        <w:rPr>
          <w:rStyle w:val="NoneB"/>
        </w:rPr>
        <w:t>he potential shortcomings within it have been addressed thus far. Ultimately, it finds that the ambiguities and lack of procedural certainty within the current Directive provide too much room to derogate from the standards arguably mandated by the Conventi</w:t>
      </w:r>
      <w:r>
        <w:rPr>
          <w:rStyle w:val="NoneB"/>
        </w:rPr>
        <w:t>on, and these have yet to be addressed within the new Proposal.</w:t>
      </w:r>
    </w:p>
    <w:p w:rsidR="002B6D13" w:rsidRDefault="002B6D13">
      <w:pPr>
        <w:pStyle w:val="BodyA"/>
        <w:suppressAutoHyphens/>
        <w:spacing w:after="80" w:line="480" w:lineRule="auto"/>
        <w:jc w:val="both"/>
        <w:rPr>
          <w:rStyle w:val="NoneB"/>
        </w:rPr>
      </w:pPr>
    </w:p>
    <w:p w:rsidR="002B6D13" w:rsidRDefault="00140BC2">
      <w:pPr>
        <w:pStyle w:val="BodyA"/>
        <w:suppressAutoHyphens/>
        <w:spacing w:after="80" w:line="480" w:lineRule="auto"/>
        <w:jc w:val="both"/>
        <w:rPr>
          <w:rStyle w:val="None"/>
          <w:lang w:val="fr-FR"/>
        </w:rPr>
      </w:pPr>
      <w:r>
        <w:rPr>
          <w:rStyle w:val="None"/>
          <w:b/>
          <w:bCs/>
          <w:lang w:val="fr-FR"/>
        </w:rPr>
        <w:t>1. Introduction</w:t>
      </w:r>
    </w:p>
    <w:p w:rsidR="002B6D13" w:rsidRDefault="00140BC2">
      <w:pPr>
        <w:pStyle w:val="BodyA"/>
        <w:suppressAutoHyphens/>
        <w:spacing w:after="80" w:line="480" w:lineRule="auto"/>
        <w:ind w:firstLine="283"/>
        <w:jc w:val="both"/>
        <w:rPr>
          <w:rStyle w:val="NoneB"/>
        </w:rPr>
      </w:pPr>
      <w:r>
        <w:rPr>
          <w:rStyle w:val="NoneB"/>
        </w:rPr>
        <w:t>In recent years, the European Union (EU) has experienced a sustained period of inward migration from refugee-producing States in Africa and the Middle-East. This ‘refugee cris</w:t>
      </w:r>
      <w:r>
        <w:rPr>
          <w:rStyle w:val="NoneB"/>
        </w:rPr>
        <w:t>is’ has placed a strain on the political will of the EU and its Member States to find a satisfactory resolution to deal with the flow of migrants. Under the constant pressure of far-right anti-immigration parties, however, current EU migration policy seems</w:t>
      </w:r>
      <w:r>
        <w:rPr>
          <w:rStyle w:val="NoneB"/>
        </w:rPr>
        <w:t xml:space="preserve"> to have focused more towards a securitization of borders, rather than ensuring the human rights of migrants.</w:t>
      </w:r>
      <w:r>
        <w:rPr>
          <w:rStyle w:val="FootnoteReference"/>
        </w:rPr>
        <w:footnoteReference w:id="2"/>
      </w:r>
      <w:r>
        <w:rPr>
          <w:rStyle w:val="NoneB"/>
        </w:rPr>
        <w:t xml:space="preserve"> Even though the Commission has recently undertaken an infringement proceeding against Hungary</w:t>
      </w:r>
      <w:r>
        <w:rPr>
          <w:rStyle w:val="FootnoteReference"/>
        </w:rPr>
        <w:footnoteReference w:id="3"/>
      </w:r>
      <w:r>
        <w:rPr>
          <w:rStyle w:val="NoneB"/>
        </w:rPr>
        <w:t xml:space="preserve"> for violation, </w:t>
      </w:r>
      <w:r>
        <w:rPr>
          <w:rStyle w:val="None"/>
          <w:i/>
          <w:iCs/>
        </w:rPr>
        <w:t>inter alia</w:t>
      </w:r>
      <w:r>
        <w:rPr>
          <w:rStyle w:val="NoneB"/>
        </w:rPr>
        <w:t>, of Directive 2013/32/EU</w:t>
      </w:r>
      <w:r>
        <w:rPr>
          <w:rStyle w:val="NoneB"/>
        </w:rPr>
        <w:t xml:space="preserve"> of the European Parliament and of the Council of 26 June 2013 on common procedures for granting and withdrawing international protection (Asylum Procedures Directive) and Directive 2013/33/EU of the European Parliament and of the Council of 26 June 2013 l</w:t>
      </w:r>
      <w:r>
        <w:rPr>
          <w:rStyle w:val="NoneB"/>
        </w:rPr>
        <w:t xml:space="preserve">aying down standards for the reception of applicants for international protection otherwise known as the Recast Reception Conditions </w:t>
      </w:r>
      <w:r>
        <w:rPr>
          <w:rStyle w:val="NoneB"/>
        </w:rPr>
        <w:lastRenderedPageBreak/>
        <w:t>Directive (hereinafter the ‘RRCD’),</w:t>
      </w:r>
      <w:r>
        <w:rPr>
          <w:rStyle w:val="FootnoteReference"/>
        </w:rPr>
        <w:footnoteReference w:id="4"/>
      </w:r>
      <w:r>
        <w:rPr>
          <w:rStyle w:val="NoneB"/>
        </w:rPr>
        <w:t xml:space="preserve"> the most recent actions adopted by the Union’s institutions are undoubtedly aimed at e</w:t>
      </w:r>
      <w:r>
        <w:rPr>
          <w:rStyle w:val="NoneB"/>
        </w:rPr>
        <w:t>nsuring greater control of external borders and migration flows.</w:t>
      </w:r>
      <w:r>
        <w:rPr>
          <w:rStyle w:val="FootnoteReference"/>
        </w:rPr>
        <w:footnoteReference w:id="5"/>
      </w:r>
      <w:r>
        <w:rPr>
          <w:rStyle w:val="NoneB"/>
        </w:rPr>
        <w:t xml:space="preserve"> </w:t>
      </w:r>
    </w:p>
    <w:p w:rsidR="002B6D13" w:rsidRDefault="00140BC2">
      <w:pPr>
        <w:pStyle w:val="BodyA"/>
        <w:suppressAutoHyphens/>
        <w:spacing w:after="80" w:line="480" w:lineRule="auto"/>
        <w:ind w:firstLine="283"/>
        <w:jc w:val="both"/>
        <w:rPr>
          <w:rStyle w:val="NoneB"/>
        </w:rPr>
      </w:pPr>
      <w:r>
        <w:rPr>
          <w:rStyle w:val="NoneB"/>
        </w:rPr>
        <w:t>With 581,000 fresh applications for asylum in 2018,</w:t>
      </w:r>
      <w:r>
        <w:rPr>
          <w:rStyle w:val="FootnoteReference"/>
        </w:rPr>
        <w:footnoteReference w:id="6"/>
      </w:r>
      <w:r>
        <w:rPr>
          <w:rStyle w:val="NoneB"/>
        </w:rPr>
        <w:t xml:space="preserve"> the ability of the EU and its Member States to put in place fair processes for asylum claims, to adequately support the needs of asylum </w:t>
      </w:r>
      <w:r>
        <w:rPr>
          <w:rStyle w:val="NoneB"/>
        </w:rPr>
        <w:t>seekers while those claims are being processed, and, more generally, to protect and ensure the rights of asylum seekers when they are in Europe remains of paramount importance. In this context, it is also vital to focus on how the rights and the needs of t</w:t>
      </w:r>
      <w:r>
        <w:rPr>
          <w:rStyle w:val="NoneB"/>
        </w:rPr>
        <w:t>he most vulnerable groups of asylum seekers (as they face structural inequalities and greater risk of their rights being violated) can be protected. In that vein, an analysis of how the rights of asylum seekers with disabilities are best addressed in the E</w:t>
      </w:r>
      <w:r>
        <w:rPr>
          <w:rStyle w:val="NoneB"/>
        </w:rPr>
        <w:t>U is essential in order for the Union to comply with its obligations under the United Nations Convention on the Rights of Persons with Disabilities</w:t>
      </w:r>
      <w:r>
        <w:rPr>
          <w:rStyle w:val="FootnoteReference"/>
        </w:rPr>
        <w:footnoteReference w:id="7"/>
      </w:r>
      <w:r>
        <w:rPr>
          <w:rStyle w:val="NoneB"/>
        </w:rPr>
        <w:t xml:space="preserve"> (CRPD). The critically fêted CRPD, which embeds the official recognition of disability as a human rights is</w:t>
      </w:r>
      <w:r>
        <w:rPr>
          <w:rStyle w:val="NoneB"/>
        </w:rPr>
        <w:t>sue, was ratified by the EU approximately ten years ago.</w:t>
      </w:r>
      <w:r>
        <w:rPr>
          <w:rStyle w:val="FootnoteReference"/>
        </w:rPr>
        <w:footnoteReference w:id="8"/>
      </w:r>
      <w:r>
        <w:rPr>
          <w:rStyle w:val="NoneB"/>
        </w:rPr>
        <w:t xml:space="preserve"> By ratifying the CRPD, the EU has undertaken the international obligation to implement the Convention within the sphere of its own competences,</w:t>
      </w:r>
      <w:r>
        <w:rPr>
          <w:rStyle w:val="FootnoteReference"/>
        </w:rPr>
        <w:footnoteReference w:id="9"/>
      </w:r>
      <w:r>
        <w:rPr>
          <w:rStyle w:val="NoneB"/>
        </w:rPr>
        <w:t xml:space="preserve"> and to realize the ‘human rights model of disability’</w:t>
      </w:r>
      <w:r>
        <w:rPr>
          <w:rStyle w:val="NoneB"/>
        </w:rPr>
        <w:t xml:space="preserve"> envisaged within it.</w:t>
      </w:r>
      <w:r>
        <w:rPr>
          <w:rStyle w:val="FootnoteReference"/>
        </w:rPr>
        <w:footnoteReference w:id="10"/>
      </w:r>
      <w:r>
        <w:rPr>
          <w:rStyle w:val="NoneB"/>
        </w:rPr>
        <w:t xml:space="preserve"> Moreover, the CRPD has become an ‘integral part of EU law’ and enjoys a quasi-constitutional status, in that it operates above secondary law but below the Treaties,</w:t>
      </w:r>
      <w:r>
        <w:rPr>
          <w:rStyle w:val="FootnoteReference"/>
        </w:rPr>
        <w:footnoteReference w:id="11"/>
      </w:r>
      <w:r>
        <w:rPr>
          <w:rStyle w:val="NoneB"/>
        </w:rPr>
        <w:t xml:space="preserve"> </w:t>
      </w:r>
      <w:r>
        <w:rPr>
          <w:rStyle w:val="NoneB"/>
        </w:rPr>
        <w:lastRenderedPageBreak/>
        <w:t xml:space="preserve">meaning that all secondary law must be interpreted in light of the </w:t>
      </w:r>
      <w:r>
        <w:rPr>
          <w:rStyle w:val="NoneB"/>
        </w:rPr>
        <w:t>CRPD.</w:t>
      </w:r>
      <w:r>
        <w:rPr>
          <w:rStyle w:val="FootnoteReference"/>
        </w:rPr>
        <w:footnoteReference w:id="12"/>
      </w:r>
      <w:r>
        <w:rPr>
          <w:rStyle w:val="NoneB"/>
        </w:rPr>
        <w:t xml:space="preserve"> Any interpretation adopted by the Court of Justice of the European Union (CJEU)</w:t>
      </w:r>
      <w:r>
        <w:rPr>
          <w:rStyle w:val="NoneB"/>
        </w:rPr>
        <w:t xml:space="preserve"> in respect of EU law must subsequently comply with the CRPD, as far as practicable. This is particularly true where more than one interpretation is possible. Moreover, this sub-constitutional status mandates the EU institutions to refrain from any active </w:t>
      </w:r>
      <w:r>
        <w:rPr>
          <w:rStyle w:val="NoneB"/>
        </w:rPr>
        <w:t>infringement of the rights contained within the Convention, vertically extending down to the Member States when they transpose those EU law nationally. It also mandates the EU institutions to implement the CRPD by enacting legislation and policy that is in</w:t>
      </w:r>
      <w:r>
        <w:rPr>
          <w:rStyle w:val="NoneB"/>
        </w:rPr>
        <w:t>formed by the principles enshrined in the Convention. Consequently, the CRPD has come to represent a benchmark by which the EU must assess its own laws and policies where they relate to disability in some way.</w:t>
      </w:r>
    </w:p>
    <w:p w:rsidR="002B6D13" w:rsidRDefault="00140BC2">
      <w:pPr>
        <w:pStyle w:val="BodyA"/>
        <w:suppressAutoHyphens/>
        <w:spacing w:after="80" w:line="480" w:lineRule="auto"/>
        <w:ind w:firstLine="283"/>
        <w:jc w:val="both"/>
        <w:rPr>
          <w:rStyle w:val="NoneB"/>
        </w:rPr>
      </w:pPr>
      <w:r>
        <w:rPr>
          <w:rStyle w:val="NoneB"/>
        </w:rPr>
        <w:t>With its accession to the CRPD, the Union mark</w:t>
      </w:r>
      <w:r>
        <w:rPr>
          <w:rStyle w:val="NoneB"/>
        </w:rPr>
        <w:t>ed the first formal incorporation of an international human rights treaty into its legal order. In fact, while the EU’s accession to the European Convention on Human Rights (ECHR) has been the topic of political discussions since the 1970s, and is now prov</w:t>
      </w:r>
      <w:r>
        <w:rPr>
          <w:rStyle w:val="NoneB"/>
        </w:rPr>
        <w:t>ided for by the Treaty,</w:t>
      </w:r>
      <w:r>
        <w:rPr>
          <w:rStyle w:val="FootnoteReference"/>
        </w:rPr>
        <w:footnoteReference w:id="13"/>
      </w:r>
      <w:r>
        <w:rPr>
          <w:rStyle w:val="NoneB"/>
        </w:rPr>
        <w:t xml:space="preserve"> it has yet to occur.</w:t>
      </w:r>
      <w:r>
        <w:rPr>
          <w:rStyle w:val="FootnoteReference"/>
        </w:rPr>
        <w:footnoteReference w:id="14"/>
      </w:r>
      <w:r>
        <w:rPr>
          <w:rStyle w:val="NoneB"/>
        </w:rPr>
        <w:t xml:space="preserve"> Therefore, while the ECHR remains a source of special significance and is the most commonly cited by the CJEU,</w:t>
      </w:r>
      <w:r>
        <w:rPr>
          <w:rStyle w:val="FootnoteReference"/>
        </w:rPr>
        <w:footnoteReference w:id="15"/>
      </w:r>
      <w:r>
        <w:rPr>
          <w:rStyle w:val="NoneB"/>
        </w:rPr>
        <w:t xml:space="preserve"> the EU has not (yet) formally become a party to it. It remains the position of the Court, that th</w:t>
      </w:r>
      <w:r>
        <w:rPr>
          <w:rStyle w:val="NoneB"/>
        </w:rPr>
        <w:t>e final arbitrator of conflicts between European Union law and the Union's international obligations should be the CJEU itself, and this has created some difficulty in acceding to the ECHR in recent years despite its special significance within the EU lega</w:t>
      </w:r>
      <w:r>
        <w:rPr>
          <w:rStyle w:val="NoneB"/>
        </w:rPr>
        <w:t>l order.</w:t>
      </w:r>
      <w:r>
        <w:rPr>
          <w:rStyle w:val="FootnoteReference"/>
        </w:rPr>
        <w:footnoteReference w:id="16"/>
      </w:r>
      <w:r>
        <w:rPr>
          <w:rStyle w:val="NoneB"/>
        </w:rPr>
        <w:t xml:space="preserve"> It is also not uncommon for the Union's institutions to use other international human rights instruments as an interpretive tool in implementing its own policies.</w:t>
      </w:r>
      <w:r>
        <w:rPr>
          <w:rStyle w:val="FootnoteReference"/>
        </w:rPr>
        <w:footnoteReference w:id="17"/>
      </w:r>
      <w:r>
        <w:rPr>
          <w:rStyle w:val="NoneB"/>
        </w:rPr>
        <w:t xml:space="preserve"> Yet, those </w:t>
      </w:r>
      <w:r>
        <w:rPr>
          <w:rStyle w:val="NoneB"/>
        </w:rPr>
        <w:lastRenderedPageBreak/>
        <w:t>instruments do not form an integral part of EU law in the same manner a</w:t>
      </w:r>
      <w:r>
        <w:rPr>
          <w:rStyle w:val="NoneB"/>
        </w:rPr>
        <w:t xml:space="preserve">s the CRPD, and the EU is not internationally obliged to comply with them. </w:t>
      </w:r>
    </w:p>
    <w:p w:rsidR="002B6D13" w:rsidRDefault="00140BC2">
      <w:pPr>
        <w:pStyle w:val="BodyA"/>
        <w:suppressAutoHyphens/>
        <w:spacing w:after="80" w:line="480" w:lineRule="auto"/>
        <w:ind w:firstLine="283"/>
        <w:jc w:val="both"/>
        <w:rPr>
          <w:rStyle w:val="NoneB"/>
        </w:rPr>
      </w:pPr>
      <w:r>
        <w:rPr>
          <w:rStyle w:val="NoneB"/>
        </w:rPr>
        <w:t>Thus far, the CRPD has displayed a profound influence on EU non-discrimination legislation,</w:t>
      </w:r>
      <w:r>
        <w:rPr>
          <w:rStyle w:val="FootnoteReference"/>
        </w:rPr>
        <w:footnoteReference w:id="18"/>
      </w:r>
      <w:r>
        <w:rPr>
          <w:rStyle w:val="NoneB"/>
        </w:rPr>
        <w:t xml:space="preserve"> and beyond.</w:t>
      </w:r>
      <w:r>
        <w:rPr>
          <w:rStyle w:val="None"/>
          <w:shd w:val="clear" w:color="auto" w:fill="FFFFFF"/>
          <w:vertAlign w:val="superscript"/>
        </w:rPr>
        <w:footnoteReference w:id="19"/>
      </w:r>
      <w:r>
        <w:rPr>
          <w:rStyle w:val="NoneB"/>
        </w:rPr>
        <w:t xml:space="preserve"> However, a field in which the CRPD has not, as yet, displayed a significan</w:t>
      </w:r>
      <w:r>
        <w:rPr>
          <w:rStyle w:val="NoneB"/>
        </w:rPr>
        <w:t>t effect in either the policies or the actions of the EU is that of asylum. According to Conte,</w:t>
      </w:r>
      <w:r>
        <w:rPr>
          <w:rStyle w:val="FootnoteReference"/>
        </w:rPr>
        <w:footnoteReference w:id="20"/>
      </w:r>
      <w:r>
        <w:rPr>
          <w:rStyle w:val="NoneB"/>
        </w:rPr>
        <w:t xml:space="preserve"> the current Common European Asylum System (CEAS),</w:t>
      </w:r>
      <w:r>
        <w:rPr>
          <w:rStyle w:val="FootnoteReference"/>
        </w:rPr>
        <w:footnoteReference w:id="21"/>
      </w:r>
      <w:r>
        <w:rPr>
          <w:rStyle w:val="NoneB"/>
        </w:rPr>
        <w:t xml:space="preserve"> as it stands, fails to adequately take into account  ‘asylum seekers with disabilities especially with regar</w:t>
      </w:r>
      <w:r>
        <w:rPr>
          <w:rStyle w:val="NoneB"/>
        </w:rPr>
        <w:t>d to the minimum standards for their reception and the safeguards to access a fair and efficient asylum procedure’, and ‘the legal framework for qualifying as refugee presents a lot of obstacles for persons with disabilities’. There is no evidence, as yet,</w:t>
      </w:r>
      <w:r>
        <w:rPr>
          <w:rStyle w:val="NoneB"/>
        </w:rPr>
        <w:t xml:space="preserve"> of the current CEAS being interpreted by the CJEU (and other EU institutions)</w:t>
      </w:r>
      <w:r>
        <w:rPr>
          <w:rStyle w:val="FootnoteReference"/>
        </w:rPr>
        <w:footnoteReference w:id="22"/>
      </w:r>
      <w:r>
        <w:rPr>
          <w:rStyle w:val="NoneB"/>
        </w:rPr>
        <w:t xml:space="preserve"> </w:t>
      </w:r>
      <w:r>
        <w:rPr>
          <w:rStyle w:val="None"/>
          <w:i/>
          <w:iCs/>
        </w:rPr>
        <w:t>secundum Conventionem</w:t>
      </w:r>
      <w:r>
        <w:rPr>
          <w:rStyle w:val="NoneB"/>
        </w:rPr>
        <w:t>, although such an interpretation has been advanced by scholars.</w:t>
      </w:r>
      <w:r>
        <w:rPr>
          <w:rStyle w:val="FootnoteReference"/>
        </w:rPr>
        <w:footnoteReference w:id="23"/>
      </w:r>
      <w:r>
        <w:rPr>
          <w:rStyle w:val="NoneB"/>
        </w:rPr>
        <w:t xml:space="preserve"> Even if such an interpretation occurs, the CEAS presents gaps and inconsistencies when it</w:t>
      </w:r>
      <w:r>
        <w:rPr>
          <w:rStyle w:val="NoneB"/>
        </w:rPr>
        <w:t xml:space="preserve"> comes to the protection of the rights of asylum seekers and refugees with disabilities.</w:t>
      </w:r>
      <w:r>
        <w:rPr>
          <w:rStyle w:val="FootnoteReference"/>
        </w:rPr>
        <w:footnoteReference w:id="24"/>
      </w:r>
      <w:r>
        <w:rPr>
          <w:rStyle w:val="NoneB"/>
        </w:rPr>
        <w:t xml:space="preserve"> Thym has argued, based on an in-depth analysis of over one hundred CJEU judgments, that the Luxembourg Court has yet to adopt a consistent approach towards cases on i</w:t>
      </w:r>
      <w:r>
        <w:rPr>
          <w:rStyle w:val="NoneB"/>
        </w:rPr>
        <w:t xml:space="preserve">mmigration, asylum and border issues in an overarching </w:t>
      </w:r>
      <w:r>
        <w:rPr>
          <w:rStyle w:val="NoneB"/>
        </w:rPr>
        <w:lastRenderedPageBreak/>
        <w:t>sense,</w:t>
      </w:r>
      <w:r>
        <w:rPr>
          <w:rStyle w:val="FootnoteReference"/>
        </w:rPr>
        <w:footnoteReference w:id="25"/>
      </w:r>
      <w:r>
        <w:rPr>
          <w:rStyle w:val="NoneB"/>
        </w:rPr>
        <w:t xml:space="preserve"> and this will inevitably cause further issues when the CJEU attempts to implement international instruments such as the CRPD.</w:t>
      </w:r>
    </w:p>
    <w:p w:rsidR="002B6D13" w:rsidRDefault="00140BC2">
      <w:pPr>
        <w:pStyle w:val="BodyA"/>
        <w:suppressAutoHyphens/>
        <w:spacing w:after="80" w:line="480" w:lineRule="auto"/>
        <w:ind w:firstLine="283"/>
        <w:jc w:val="both"/>
        <w:rPr>
          <w:rStyle w:val="NoneB"/>
        </w:rPr>
      </w:pPr>
      <w:r>
        <w:rPr>
          <w:rStyle w:val="NoneB"/>
        </w:rPr>
        <w:t>Against this background, this article furthers scholarly and policy</w:t>
      </w:r>
      <w:r>
        <w:rPr>
          <w:rStyle w:val="NoneB"/>
        </w:rPr>
        <w:t>-orientated debates surrounding the CEAS by focusing on the reception conditions of asylum seekers within the EU.</w:t>
      </w:r>
      <w:r>
        <w:rPr>
          <w:rStyle w:val="FootnoteReference"/>
        </w:rPr>
        <w:footnoteReference w:id="26"/>
      </w:r>
      <w:r>
        <w:rPr>
          <w:rStyle w:val="NoneB"/>
        </w:rPr>
        <w:t xml:space="preserve"> It aims to re-read the RRCD through the lens of the ‘human rights model of disability’ purported by the CRPD. In doing so, this article endea</w:t>
      </w:r>
      <w:r>
        <w:rPr>
          <w:rStyle w:val="NoneB"/>
        </w:rPr>
        <w:t>vours to highlight how the Union and its Member States can be held to a higher standard of protection for persons with disabilities, and inform the political debate on the Commission's current proposal for reform in the area.</w:t>
      </w:r>
      <w:r>
        <w:rPr>
          <w:rStyle w:val="FootnoteReference"/>
        </w:rPr>
        <w:footnoteReference w:id="27"/>
      </w:r>
      <w:r>
        <w:rPr>
          <w:rStyle w:val="NoneB"/>
        </w:rPr>
        <w:t xml:space="preserve"> Whereas previous works have p</w:t>
      </w:r>
      <w:r>
        <w:rPr>
          <w:rStyle w:val="NoneB"/>
        </w:rPr>
        <w:t>redominantly taken a structural view of the CEAS and disability,</w:t>
      </w:r>
      <w:r>
        <w:rPr>
          <w:rStyle w:val="FootnoteReference"/>
        </w:rPr>
        <w:footnoteReference w:id="28"/>
      </w:r>
      <w:r>
        <w:rPr>
          <w:rStyle w:val="NoneB"/>
        </w:rPr>
        <w:t xml:space="preserve"> this contribution focuses exclusively on the RRCD. Furthermore, in differentiating itself from previous works, it does not provide an analysis of the compliance of the RRCD with the obligati</w:t>
      </w:r>
      <w:r>
        <w:rPr>
          <w:rStyle w:val="NoneB"/>
        </w:rPr>
        <w:t>ons contained within the CRPD as such. Instead, it utilizes the ‘human rights model of disability’ embraced by the Convention as both a theoretical benchmark and interpretive tool. This approach has already been used to test convergence and divergences bet</w:t>
      </w:r>
      <w:r>
        <w:rPr>
          <w:rStyle w:val="NoneB"/>
        </w:rPr>
        <w:t>ween the standard of protection for persons with disabilities afforded by the CRPD and the ECHR,</w:t>
      </w:r>
      <w:r>
        <w:rPr>
          <w:rStyle w:val="FootnoteReference"/>
        </w:rPr>
        <w:footnoteReference w:id="29"/>
      </w:r>
      <w:r>
        <w:rPr>
          <w:rStyle w:val="NoneB"/>
        </w:rPr>
        <w:t xml:space="preserve"> and proves useful in understanding the extent to which the RRCD can substantially provide a standard of protection which is compliant with the CRPD. This appr</w:t>
      </w:r>
      <w:r>
        <w:rPr>
          <w:rStyle w:val="NoneB"/>
        </w:rPr>
        <w:t>oach is also based on the understanding that, as the harsh criticism raised in relation to the CJEU’s case law demonstrates,</w:t>
      </w:r>
      <w:r>
        <w:rPr>
          <w:rStyle w:val="FootnoteReference"/>
        </w:rPr>
        <w:footnoteReference w:id="30"/>
      </w:r>
      <w:r>
        <w:rPr>
          <w:rStyle w:val="NoneB"/>
        </w:rPr>
        <w:t xml:space="preserve"> the attempt to interpret EU legislation consistently with the CRPD is necessary but not sufficient if </w:t>
      </w:r>
      <w:r>
        <w:rPr>
          <w:rStyle w:val="NoneB"/>
        </w:rPr>
        <w:lastRenderedPageBreak/>
        <w:t>not accompanied by a full em</w:t>
      </w:r>
      <w:r>
        <w:rPr>
          <w:rStyle w:val="NoneB"/>
        </w:rPr>
        <w:t>bracement of the rationale, values and model of protection embedded within the CRPD.</w:t>
      </w:r>
    </w:p>
    <w:p w:rsidR="002B6D13" w:rsidRDefault="00140BC2">
      <w:pPr>
        <w:pStyle w:val="BodyA"/>
        <w:suppressAutoHyphens/>
        <w:spacing w:after="80" w:line="480" w:lineRule="auto"/>
        <w:ind w:firstLine="283"/>
        <w:jc w:val="both"/>
        <w:rPr>
          <w:rStyle w:val="NoneB"/>
        </w:rPr>
      </w:pPr>
      <w:r>
        <w:rPr>
          <w:rStyle w:val="NoneB"/>
        </w:rPr>
        <w:t>In order to achieve these aims, the article will be structured as follows. Section Two will briefly outline the core tenets of the ‘human rights model of disability’ purpo</w:t>
      </w:r>
      <w:r>
        <w:rPr>
          <w:rStyle w:val="NoneB"/>
        </w:rPr>
        <w:t>rted by the CRPD and its relationship with the concept of inclusive equality. This section does not aim to discuss the complexities of the Convention or to examine its provisions in detail. Rather, it seeks to contextualize and critically assess the import</w:t>
      </w:r>
      <w:r>
        <w:rPr>
          <w:rStyle w:val="NoneB"/>
        </w:rPr>
        <w:t>ance of this model for the development of a system of disability law and policy which is compliant with the CRPD. The third and fourth sections address respectively the RRCD's content relating to disability generally and its compliance to the ‘human rights</w:t>
      </w:r>
      <w:r>
        <w:rPr>
          <w:rStyle w:val="NoneB"/>
        </w:rPr>
        <w:t xml:space="preserve"> model of disability’. In particular, Section Three focuses on the scope and most relevant provisions of the Directive, whilst Section Four attempts to reconcile the Directive with the ‘human rights model of disability’ and the concept of ‘inclusive equali</w:t>
      </w:r>
      <w:r>
        <w:rPr>
          <w:rStyle w:val="NoneB"/>
        </w:rPr>
        <w:t>ty’ embedded within the Convention, highlighting the shortcomings within the procedural guarantees afforded to asylum seekers with disabilities currently under the law. This, then, leads into Section Five, which provides a succinct evaluation of the curren</w:t>
      </w:r>
      <w:r>
        <w:rPr>
          <w:rStyle w:val="NoneB"/>
        </w:rPr>
        <w:t>t Proposal to recast the RRCD once more, and the extent to which it addresses the issues which exist at present. To conclude, the article offers some brief remarks, bringing each of these strands together. Ultimately, the article argues that the text of th</w:t>
      </w:r>
      <w:r>
        <w:rPr>
          <w:rStyle w:val="NoneB"/>
        </w:rPr>
        <w:t>e RRCD is often too vague or too ‘distant’ to allow for the CRPD to be read into it. Addressing these issues would require a recasting of the Directive, but the current proposal fails to address the issues highlighted herein.</w:t>
      </w:r>
    </w:p>
    <w:p w:rsidR="002B6D13" w:rsidRDefault="002B6D13">
      <w:pPr>
        <w:pStyle w:val="BodyA"/>
        <w:suppressAutoHyphens/>
        <w:spacing w:after="80" w:line="480" w:lineRule="auto"/>
        <w:ind w:firstLine="283"/>
        <w:jc w:val="both"/>
        <w:rPr>
          <w:rStyle w:val="NoneB"/>
        </w:rPr>
      </w:pPr>
    </w:p>
    <w:p w:rsidR="002B6D13" w:rsidRDefault="00140BC2">
      <w:pPr>
        <w:pStyle w:val="BodyA"/>
        <w:suppressAutoHyphens/>
        <w:spacing w:after="80" w:line="480" w:lineRule="auto"/>
        <w:jc w:val="both"/>
        <w:rPr>
          <w:rStyle w:val="None"/>
          <w:b/>
          <w:bCs/>
        </w:rPr>
      </w:pPr>
      <w:r>
        <w:rPr>
          <w:rStyle w:val="None"/>
          <w:b/>
          <w:bCs/>
        </w:rPr>
        <w:t>2. The ‘Human Rights Model of</w:t>
      </w:r>
      <w:r>
        <w:rPr>
          <w:rStyle w:val="None"/>
          <w:b/>
          <w:bCs/>
        </w:rPr>
        <w:t xml:space="preserve"> Disability’ </w:t>
      </w:r>
    </w:p>
    <w:p w:rsidR="002B6D13" w:rsidRDefault="00140BC2">
      <w:pPr>
        <w:pStyle w:val="BodyA"/>
        <w:suppressAutoHyphens/>
        <w:spacing w:after="80" w:line="480" w:lineRule="auto"/>
        <w:jc w:val="both"/>
        <w:rPr>
          <w:rStyle w:val="None"/>
          <w:b/>
          <w:bCs/>
          <w:i/>
          <w:iCs/>
        </w:rPr>
      </w:pPr>
      <w:r>
        <w:rPr>
          <w:rStyle w:val="None"/>
          <w:b/>
          <w:bCs/>
          <w:i/>
          <w:iCs/>
        </w:rPr>
        <w:t>2.1. The Core Tenets of the ‘Human Rights Model of Disability’</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CRPD aims to </w:t>
      </w:r>
      <w:r>
        <w:rPr>
          <w:rStyle w:val="None"/>
          <w:rFonts w:ascii="Times New Roman" w:hAnsi="Times New Roman"/>
          <w:sz w:val="24"/>
          <w:szCs w:val="24"/>
        </w:rPr>
        <w:t>‘</w:t>
      </w:r>
      <w:r>
        <w:rPr>
          <w:rStyle w:val="None"/>
          <w:rFonts w:ascii="Times New Roman" w:hAnsi="Times New Roman"/>
          <w:sz w:val="24"/>
          <w:szCs w:val="24"/>
        </w:rPr>
        <w:t xml:space="preserve">promote, protect and ensure the full and equal enjoyment of all human rights and fundamental freedoms by all persons with disability, and to promote </w:t>
      </w:r>
      <w:r>
        <w:rPr>
          <w:rStyle w:val="None"/>
          <w:rFonts w:ascii="Times New Roman" w:hAnsi="Times New Roman"/>
          <w:sz w:val="24"/>
          <w:szCs w:val="24"/>
        </w:rPr>
        <w:t>respect for their dignity</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hAnsi="Times New Roman"/>
          <w:sz w:val="24"/>
          <w:szCs w:val="24"/>
          <w:vertAlign w:val="superscript"/>
        </w:rPr>
        <w:t xml:space="preserve"> </w:t>
      </w:r>
      <w:r>
        <w:rPr>
          <w:rStyle w:val="None"/>
          <w:rFonts w:ascii="Times New Roman" w:eastAsia="Times New Roman" w:hAnsi="Times New Roman" w:cs="Times New Roman"/>
          <w:sz w:val="24"/>
          <w:szCs w:val="24"/>
          <w:vertAlign w:val="superscript"/>
        </w:rPr>
        <w:footnoteReference w:id="31"/>
      </w:r>
      <w:r>
        <w:rPr>
          <w:rStyle w:val="None"/>
          <w:rFonts w:ascii="Times New Roman" w:hAnsi="Times New Roman"/>
          <w:sz w:val="24"/>
          <w:szCs w:val="24"/>
        </w:rPr>
        <w:t xml:space="preserve">  </w:t>
      </w:r>
      <w:r>
        <w:rPr>
          <w:rStyle w:val="None"/>
          <w:rFonts w:ascii="Times New Roman" w:hAnsi="Times New Roman"/>
          <w:sz w:val="24"/>
          <w:szCs w:val="24"/>
        </w:rPr>
        <w:lastRenderedPageBreak/>
        <w:t>With this in mind, the Convention adopts a broad scope, and covers a wide spectrum of rights (both civil and political rights, as well as economic, social and cultural rights). Whilst this is not novel in and of itself, Kayes</w:t>
      </w:r>
      <w:r>
        <w:rPr>
          <w:rStyle w:val="None"/>
          <w:rFonts w:ascii="Times New Roman" w:hAnsi="Times New Roman"/>
          <w:sz w:val="24"/>
          <w:szCs w:val="24"/>
        </w:rPr>
        <w:t>s and French argue that the CRPD incorporates a disability-specific interpretation of existing human rights,</w:t>
      </w:r>
      <w:r>
        <w:rPr>
          <w:rStyle w:val="None"/>
          <w:rFonts w:ascii="Times New Roman" w:eastAsia="Times New Roman" w:hAnsi="Times New Roman" w:cs="Times New Roman"/>
          <w:sz w:val="24"/>
          <w:szCs w:val="24"/>
          <w:vertAlign w:val="superscript"/>
        </w:rPr>
        <w:footnoteReference w:id="32"/>
      </w:r>
      <w:r>
        <w:rPr>
          <w:rStyle w:val="None"/>
          <w:rFonts w:ascii="Times New Roman" w:hAnsi="Times New Roman"/>
          <w:sz w:val="24"/>
          <w:szCs w:val="24"/>
        </w:rPr>
        <w:t xml:space="preserve"> which is groundbreaking. </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CRPD signaled a shift away from what the </w:t>
      </w:r>
      <w:r>
        <w:rPr>
          <w:rStyle w:val="None"/>
          <w:rFonts w:ascii="Times New Roman" w:hAnsi="Times New Roman"/>
          <w:sz w:val="24"/>
          <w:szCs w:val="24"/>
        </w:rPr>
        <w:t>‘</w:t>
      </w:r>
      <w:r>
        <w:rPr>
          <w:rStyle w:val="None"/>
          <w:rFonts w:ascii="Times New Roman" w:hAnsi="Times New Roman"/>
          <w:sz w:val="24"/>
          <w:szCs w:val="24"/>
        </w:rPr>
        <w:t>medical</w:t>
      </w:r>
      <w:r>
        <w:rPr>
          <w:rStyle w:val="None"/>
          <w:rFonts w:ascii="Times New Roman" w:hAnsi="Times New Roman"/>
          <w:sz w:val="24"/>
          <w:szCs w:val="24"/>
        </w:rPr>
        <w:t xml:space="preserve">’ </w:t>
      </w:r>
      <w:r>
        <w:rPr>
          <w:rStyle w:val="None"/>
          <w:rFonts w:ascii="Times New Roman" w:hAnsi="Times New Roman"/>
          <w:sz w:val="24"/>
          <w:szCs w:val="24"/>
        </w:rPr>
        <w:t xml:space="preserve">model of disability, which viewed disabilities as arising from </w:t>
      </w:r>
      <w:r>
        <w:rPr>
          <w:rStyle w:val="None"/>
          <w:rFonts w:ascii="Times New Roman" w:hAnsi="Times New Roman"/>
          <w:sz w:val="24"/>
          <w:szCs w:val="24"/>
        </w:rPr>
        <w:t>‘</w:t>
      </w:r>
      <w:r>
        <w:rPr>
          <w:rStyle w:val="None"/>
          <w:rFonts w:ascii="Times New Roman" w:hAnsi="Times New Roman"/>
          <w:sz w:val="24"/>
          <w:szCs w:val="24"/>
        </w:rPr>
        <w:t>a</w:t>
      </w:r>
      <w:r>
        <w:rPr>
          <w:rStyle w:val="None"/>
          <w:rFonts w:ascii="Times New Roman" w:hAnsi="Times New Roman"/>
          <w:sz w:val="24"/>
          <w:szCs w:val="24"/>
        </w:rPr>
        <w:t xml:space="preserve"> disease, trauma or health condition that impairs or disrupts physiological or cognitive functioning</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33"/>
      </w:r>
      <w:r>
        <w:rPr>
          <w:rStyle w:val="None"/>
          <w:rFonts w:ascii="Times New Roman" w:hAnsi="Times New Roman"/>
          <w:sz w:val="24"/>
          <w:szCs w:val="24"/>
        </w:rPr>
        <w:t xml:space="preserve"> It instead places an emphasis on the capabilities and personhood of the individual in question, embracing the view that disability stems from the intera</w:t>
      </w:r>
      <w:r>
        <w:rPr>
          <w:rStyle w:val="None"/>
          <w:rFonts w:ascii="Times New Roman" w:hAnsi="Times New Roman"/>
          <w:sz w:val="24"/>
          <w:szCs w:val="24"/>
        </w:rPr>
        <w:t>ction between individual impairments and external barriers.</w:t>
      </w:r>
      <w:r>
        <w:rPr>
          <w:rStyle w:val="None"/>
          <w:rFonts w:ascii="Times New Roman" w:eastAsia="Times New Roman" w:hAnsi="Times New Roman" w:cs="Times New Roman"/>
          <w:sz w:val="24"/>
          <w:szCs w:val="24"/>
          <w:vertAlign w:val="superscript"/>
        </w:rPr>
        <w:footnoteReference w:id="34"/>
      </w:r>
      <w:r>
        <w:rPr>
          <w:rStyle w:val="None"/>
          <w:rFonts w:ascii="Times New Roman" w:hAnsi="Times New Roman"/>
          <w:sz w:val="24"/>
          <w:szCs w:val="24"/>
        </w:rPr>
        <w:t xml:space="preserve"> This has been referred to as the </w:t>
      </w:r>
      <w:r>
        <w:rPr>
          <w:rStyle w:val="None"/>
          <w:rFonts w:ascii="Times New Roman" w:hAnsi="Times New Roman"/>
          <w:sz w:val="24"/>
          <w:szCs w:val="24"/>
        </w:rPr>
        <w:t>‘</w:t>
      </w:r>
      <w:r>
        <w:rPr>
          <w:rStyle w:val="None"/>
          <w:rFonts w:ascii="Times New Roman" w:hAnsi="Times New Roman"/>
          <w:sz w:val="24"/>
          <w:szCs w:val="24"/>
        </w:rPr>
        <w:t>social-contextual model of disability</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35"/>
      </w:r>
      <w:r>
        <w:rPr>
          <w:rStyle w:val="None"/>
          <w:rFonts w:ascii="Times New Roman" w:hAnsi="Times New Roman"/>
          <w:sz w:val="24"/>
          <w:szCs w:val="24"/>
        </w:rPr>
        <w:t xml:space="preserve"> Degener has argued that the CRPD even exceeds the social-contextual model and embraces a </w:t>
      </w:r>
      <w:r>
        <w:rPr>
          <w:rStyle w:val="None"/>
          <w:rFonts w:ascii="Times New Roman" w:hAnsi="Times New Roman"/>
          <w:sz w:val="24"/>
          <w:szCs w:val="24"/>
        </w:rPr>
        <w:t>‘</w:t>
      </w:r>
      <w:r>
        <w:rPr>
          <w:rStyle w:val="None"/>
          <w:rFonts w:ascii="Times New Roman" w:hAnsi="Times New Roman"/>
          <w:sz w:val="24"/>
          <w:szCs w:val="24"/>
        </w:rPr>
        <w:t>human rights model of disabili</w:t>
      </w:r>
      <w:r>
        <w:rPr>
          <w:rStyle w:val="None"/>
          <w:rFonts w:ascii="Times New Roman" w:hAnsi="Times New Roman"/>
          <w:sz w:val="24"/>
          <w:szCs w:val="24"/>
        </w:rPr>
        <w:t>ty</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36"/>
      </w:r>
      <w:r>
        <w:rPr>
          <w:rStyle w:val="None"/>
          <w:rFonts w:ascii="Times New Roman" w:hAnsi="Times New Roman"/>
          <w:sz w:val="24"/>
          <w:szCs w:val="24"/>
        </w:rPr>
        <w:t xml:space="preserve"> In its General Comment No. 6,</w:t>
      </w:r>
      <w:r>
        <w:rPr>
          <w:rStyle w:val="None"/>
          <w:rFonts w:ascii="Times New Roman" w:eastAsia="Times New Roman" w:hAnsi="Times New Roman" w:cs="Times New Roman"/>
          <w:sz w:val="24"/>
          <w:szCs w:val="24"/>
          <w:vertAlign w:val="superscript"/>
        </w:rPr>
        <w:footnoteReference w:id="37"/>
      </w:r>
      <w:r>
        <w:rPr>
          <w:rStyle w:val="None"/>
          <w:rFonts w:ascii="Times New Roman" w:hAnsi="Times New Roman"/>
          <w:sz w:val="24"/>
          <w:szCs w:val="24"/>
        </w:rPr>
        <w:t xml:space="preserve"> the CRPD Committee itself refers to the </w:t>
      </w:r>
      <w:r>
        <w:rPr>
          <w:rStyle w:val="None"/>
          <w:rFonts w:ascii="Times New Roman" w:hAnsi="Times New Roman"/>
          <w:sz w:val="24"/>
          <w:szCs w:val="24"/>
        </w:rPr>
        <w:t>‘</w:t>
      </w:r>
      <w:r>
        <w:rPr>
          <w:rStyle w:val="None"/>
          <w:rFonts w:ascii="Times New Roman" w:hAnsi="Times New Roman"/>
          <w:sz w:val="24"/>
          <w:szCs w:val="24"/>
        </w:rPr>
        <w:t>human rights model of disability</w:t>
      </w:r>
      <w:r>
        <w:rPr>
          <w:rStyle w:val="None"/>
          <w:rFonts w:ascii="Times New Roman" w:hAnsi="Times New Roman"/>
          <w:sz w:val="24"/>
          <w:szCs w:val="24"/>
        </w:rPr>
        <w:t xml:space="preserve">’ </w:t>
      </w:r>
      <w:r>
        <w:rPr>
          <w:rStyle w:val="None"/>
          <w:rFonts w:ascii="Times New Roman" w:hAnsi="Times New Roman"/>
          <w:sz w:val="24"/>
          <w:szCs w:val="24"/>
        </w:rPr>
        <w:t>as informing the Convention,</w:t>
      </w:r>
      <w:r>
        <w:rPr>
          <w:rStyle w:val="None"/>
          <w:rFonts w:ascii="Times New Roman" w:eastAsia="Times New Roman" w:hAnsi="Times New Roman" w:cs="Times New Roman"/>
          <w:sz w:val="24"/>
          <w:szCs w:val="24"/>
          <w:vertAlign w:val="superscript"/>
        </w:rPr>
        <w:footnoteReference w:id="38"/>
      </w:r>
      <w:r>
        <w:rPr>
          <w:rStyle w:val="None"/>
          <w:rFonts w:ascii="Times New Roman" w:hAnsi="Times New Roman"/>
          <w:sz w:val="24"/>
          <w:szCs w:val="24"/>
        </w:rPr>
        <w:t xml:space="preserve"> somewhat settling the terminological debate. The CRPD Committee, albeit in a cursory manner, outlines that: </w:t>
      </w:r>
    </w:p>
    <w:p w:rsidR="002B6D13" w:rsidRDefault="002B6D13">
      <w:pPr>
        <w:pStyle w:val="Default"/>
        <w:suppressAutoHyphens/>
        <w:spacing w:after="80" w:line="480" w:lineRule="auto"/>
        <w:ind w:left="283" w:right="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ind w:left="283" w:right="283"/>
        <w:jc w:val="both"/>
        <w:rPr>
          <w:rStyle w:val="None"/>
          <w:rFonts w:ascii="Times New Roman" w:eastAsia="Times New Roman" w:hAnsi="Times New Roman" w:cs="Times New Roman"/>
          <w:sz w:val="24"/>
          <w:szCs w:val="24"/>
        </w:rPr>
      </w:pPr>
      <w:r>
        <w:rPr>
          <w:rStyle w:val="None"/>
          <w:rFonts w:ascii="Times New Roman" w:hAnsi="Times New Roman"/>
          <w:sz w:val="24"/>
          <w:szCs w:val="24"/>
        </w:rPr>
        <w:t>'the</w:t>
      </w:r>
      <w:r>
        <w:rPr>
          <w:rStyle w:val="None"/>
          <w:rFonts w:ascii="Times New Roman" w:hAnsi="Times New Roman"/>
          <w:sz w:val="24"/>
          <w:szCs w:val="24"/>
        </w:rPr>
        <w:t xml:space="preserve"> human rights model of disability recognizes that disability is a social construct and impairments must not be taken as a legitimate ground for the denial or restriction of human rights. It acknowledges that disability is one of several layers of identity.</w:t>
      </w:r>
      <w:r>
        <w:rPr>
          <w:rStyle w:val="None"/>
          <w:rFonts w:ascii="Times New Roman" w:hAnsi="Times New Roman"/>
          <w:sz w:val="24"/>
          <w:szCs w:val="24"/>
        </w:rPr>
        <w:t xml:space="preserve"> Hence, disability laws and policies must take the diversity of persons with disabilities into account. It also recognizes that human rights are interdependent, interrelated and indivisible</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39"/>
      </w:r>
    </w:p>
    <w:p w:rsidR="002B6D13" w:rsidRDefault="002B6D13">
      <w:pPr>
        <w:pStyle w:val="Default"/>
        <w:suppressAutoHyphens/>
        <w:spacing w:after="80" w:line="480" w:lineRule="auto"/>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What is evident in the CRPD Committee</w:t>
      </w:r>
      <w:r>
        <w:rPr>
          <w:rStyle w:val="None"/>
          <w:rFonts w:ascii="Times New Roman" w:hAnsi="Times New Roman"/>
          <w:sz w:val="24"/>
          <w:szCs w:val="24"/>
        </w:rPr>
        <w:t>’</w:t>
      </w:r>
      <w:r>
        <w:rPr>
          <w:rStyle w:val="None"/>
          <w:rFonts w:ascii="Times New Roman" w:hAnsi="Times New Roman"/>
          <w:sz w:val="24"/>
          <w:szCs w:val="24"/>
        </w:rPr>
        <w:t xml:space="preserve">s approach is that the </w:t>
      </w:r>
      <w:r>
        <w:rPr>
          <w:rStyle w:val="None"/>
          <w:rFonts w:ascii="Times New Roman" w:hAnsi="Times New Roman"/>
          <w:sz w:val="24"/>
          <w:szCs w:val="24"/>
        </w:rPr>
        <w:t>‘</w:t>
      </w:r>
      <w:r>
        <w:rPr>
          <w:rStyle w:val="None"/>
          <w:rFonts w:ascii="Times New Roman" w:hAnsi="Times New Roman"/>
          <w:sz w:val="24"/>
          <w:szCs w:val="24"/>
        </w:rPr>
        <w:t>human rights model</w:t>
      </w:r>
      <w:r>
        <w:rPr>
          <w:rStyle w:val="None"/>
          <w:rFonts w:ascii="Times New Roman" w:hAnsi="Times New Roman"/>
          <w:sz w:val="24"/>
          <w:szCs w:val="24"/>
        </w:rPr>
        <w:t xml:space="preserve">’ </w:t>
      </w:r>
      <w:r>
        <w:rPr>
          <w:rStyle w:val="None"/>
          <w:rFonts w:ascii="Times New Roman" w:hAnsi="Times New Roman"/>
          <w:sz w:val="24"/>
          <w:szCs w:val="24"/>
        </w:rPr>
        <w:t xml:space="preserve">does not focus solely on societal barriers. Instead, it places an emphasis on the human dignity of persons with disabilities and views impairments as a part of human diversity. In this vein, Degener suggests that the </w:t>
      </w:r>
      <w:r>
        <w:rPr>
          <w:rStyle w:val="None"/>
          <w:rFonts w:ascii="Times New Roman" w:hAnsi="Times New Roman"/>
          <w:sz w:val="24"/>
          <w:szCs w:val="24"/>
        </w:rPr>
        <w:t>‘</w:t>
      </w:r>
      <w:r>
        <w:rPr>
          <w:rStyle w:val="None"/>
          <w:rFonts w:ascii="Times New Roman" w:hAnsi="Times New Roman"/>
          <w:sz w:val="24"/>
          <w:szCs w:val="24"/>
        </w:rPr>
        <w:t>human rights model</w:t>
      </w:r>
      <w:r>
        <w:rPr>
          <w:rStyle w:val="None"/>
          <w:rFonts w:ascii="Times New Roman" w:hAnsi="Times New Roman"/>
          <w:sz w:val="24"/>
          <w:szCs w:val="24"/>
        </w:rPr>
        <w:t xml:space="preserve">’ </w:t>
      </w:r>
      <w:r>
        <w:rPr>
          <w:rStyle w:val="None"/>
          <w:rFonts w:ascii="Times New Roman" w:hAnsi="Times New Roman"/>
          <w:sz w:val="24"/>
          <w:szCs w:val="24"/>
        </w:rPr>
        <w:t>also acknowledges the importance of public health policies that focus on the prevention of impairments.</w:t>
      </w:r>
      <w:r>
        <w:rPr>
          <w:rStyle w:val="None"/>
          <w:rFonts w:ascii="Times New Roman" w:eastAsia="Times New Roman" w:hAnsi="Times New Roman" w:cs="Times New Roman"/>
          <w:sz w:val="24"/>
          <w:szCs w:val="24"/>
          <w:vertAlign w:val="superscript"/>
        </w:rPr>
        <w:footnoteReference w:id="40"/>
      </w:r>
      <w:r>
        <w:rPr>
          <w:rStyle w:val="None"/>
          <w:rFonts w:ascii="Times New Roman" w:hAnsi="Times New Roman"/>
          <w:sz w:val="24"/>
          <w:szCs w:val="24"/>
        </w:rPr>
        <w:t xml:space="preserve"> Moreover, the </w:t>
      </w:r>
      <w:r>
        <w:rPr>
          <w:rStyle w:val="None"/>
          <w:rFonts w:ascii="Times New Roman" w:hAnsi="Times New Roman"/>
          <w:sz w:val="24"/>
          <w:szCs w:val="24"/>
        </w:rPr>
        <w:t>‘</w:t>
      </w:r>
      <w:r>
        <w:rPr>
          <w:rStyle w:val="None"/>
          <w:rFonts w:ascii="Times New Roman" w:hAnsi="Times New Roman"/>
          <w:sz w:val="24"/>
          <w:szCs w:val="24"/>
        </w:rPr>
        <w:t>human rights model</w:t>
      </w:r>
      <w:r>
        <w:rPr>
          <w:rStyle w:val="None"/>
          <w:rFonts w:ascii="Times New Roman" w:hAnsi="Times New Roman"/>
          <w:sz w:val="24"/>
          <w:szCs w:val="24"/>
        </w:rPr>
        <w:t>’ ‘</w:t>
      </w:r>
      <w:r>
        <w:rPr>
          <w:rStyle w:val="None"/>
          <w:rFonts w:ascii="Times New Roman" w:hAnsi="Times New Roman"/>
          <w:sz w:val="24"/>
          <w:szCs w:val="24"/>
        </w:rPr>
        <w:t>encompasses both sets of human rights, civil and political as well as economic, social and cultural rights</w:t>
      </w:r>
      <w:r>
        <w:rPr>
          <w:rStyle w:val="None"/>
          <w:rFonts w:ascii="Times New Roman" w:hAnsi="Times New Roman"/>
          <w:sz w:val="24"/>
          <w:szCs w:val="24"/>
        </w:rPr>
        <w:t>’</w:t>
      </w:r>
      <w:r>
        <w:rPr>
          <w:rStyle w:val="None"/>
          <w:rFonts w:ascii="Times New Roman" w:hAnsi="Times New Roman"/>
          <w:sz w:val="24"/>
          <w:szCs w:val="24"/>
        </w:rPr>
        <w:t>, whic</w:t>
      </w:r>
      <w:r>
        <w:rPr>
          <w:rStyle w:val="None"/>
          <w:rFonts w:ascii="Times New Roman" w:hAnsi="Times New Roman"/>
          <w:sz w:val="24"/>
          <w:szCs w:val="24"/>
        </w:rPr>
        <w:t xml:space="preserve">h are considered deeply interconnected, and constitutes a </w:t>
      </w:r>
      <w:r>
        <w:rPr>
          <w:rStyle w:val="None"/>
          <w:rFonts w:ascii="Times New Roman" w:hAnsi="Times New Roman"/>
          <w:sz w:val="24"/>
          <w:szCs w:val="24"/>
        </w:rPr>
        <w:t>‘</w:t>
      </w:r>
      <w:r>
        <w:rPr>
          <w:rStyle w:val="None"/>
          <w:rFonts w:ascii="Times New Roman" w:hAnsi="Times New Roman"/>
          <w:sz w:val="24"/>
          <w:szCs w:val="24"/>
        </w:rPr>
        <w:t>tool to implement the CRPD</w:t>
      </w:r>
      <w:r>
        <w:rPr>
          <w:rStyle w:val="None"/>
          <w:rFonts w:ascii="Times New Roman" w:hAnsi="Times New Roman"/>
          <w:sz w:val="24"/>
          <w:szCs w:val="24"/>
        </w:rPr>
        <w:t xml:space="preserve">’ </w:t>
      </w:r>
      <w:r>
        <w:rPr>
          <w:rStyle w:val="None"/>
          <w:rFonts w:ascii="Times New Roman" w:hAnsi="Times New Roman"/>
          <w:sz w:val="24"/>
          <w:szCs w:val="24"/>
        </w:rPr>
        <w:t>and to achieve social justice.</w:t>
      </w:r>
      <w:r>
        <w:rPr>
          <w:rStyle w:val="None"/>
          <w:rFonts w:ascii="Times New Roman" w:eastAsia="Times New Roman" w:hAnsi="Times New Roman" w:cs="Times New Roman"/>
          <w:sz w:val="24"/>
          <w:szCs w:val="24"/>
          <w:vertAlign w:val="superscript"/>
        </w:rPr>
        <w:footnoteReference w:id="41"/>
      </w:r>
      <w:r>
        <w:rPr>
          <w:rStyle w:val="None"/>
          <w:rFonts w:ascii="Times New Roman" w:hAnsi="Times New Roman"/>
          <w:sz w:val="24"/>
          <w:szCs w:val="24"/>
        </w:rPr>
        <w:t xml:space="preserve"> This focus on ensuring that persons with disabilities are allowed to participate on a more equal basis within society is carried throughout the Convention. Article 3 of the CRPD reflects this, by highlighting that non-discrimination is an essential elemen</w:t>
      </w:r>
      <w:r>
        <w:rPr>
          <w:rStyle w:val="None"/>
          <w:rFonts w:ascii="Times New Roman" w:hAnsi="Times New Roman"/>
          <w:sz w:val="24"/>
          <w:szCs w:val="24"/>
        </w:rPr>
        <w:t>t of implementing the obligations contained within the Convention as a whole. Non-discrimination in this sense must be implemented in civil, political, social, economic and cultural contexts.</w:t>
      </w:r>
      <w:r>
        <w:rPr>
          <w:rStyle w:val="None"/>
          <w:rFonts w:ascii="Times New Roman" w:eastAsia="Times New Roman" w:hAnsi="Times New Roman" w:cs="Times New Roman"/>
          <w:sz w:val="24"/>
          <w:szCs w:val="24"/>
          <w:vertAlign w:val="superscript"/>
        </w:rPr>
        <w:footnoteReference w:id="42"/>
      </w:r>
      <w:r>
        <w:rPr>
          <w:rStyle w:val="None"/>
          <w:rFonts w:ascii="Times New Roman" w:hAnsi="Times New Roman"/>
          <w:sz w:val="24"/>
          <w:szCs w:val="24"/>
        </w:rPr>
        <w:t xml:space="preserve"> In that connection, De Beco underlines the degree to which thes</w:t>
      </w:r>
      <w:r>
        <w:rPr>
          <w:rStyle w:val="None"/>
          <w:rFonts w:ascii="Times New Roman" w:hAnsi="Times New Roman"/>
          <w:sz w:val="24"/>
          <w:szCs w:val="24"/>
        </w:rPr>
        <w:t>e rights are bound together and incapable of being separated from one another,</w:t>
      </w:r>
      <w:r>
        <w:rPr>
          <w:rStyle w:val="None"/>
          <w:rFonts w:ascii="Times New Roman" w:eastAsia="Times New Roman" w:hAnsi="Times New Roman" w:cs="Times New Roman"/>
          <w:sz w:val="24"/>
          <w:szCs w:val="24"/>
          <w:vertAlign w:val="superscript"/>
        </w:rPr>
        <w:footnoteReference w:id="43"/>
      </w:r>
      <w:r>
        <w:rPr>
          <w:rStyle w:val="None"/>
          <w:rFonts w:ascii="Times New Roman" w:hAnsi="Times New Roman"/>
          <w:sz w:val="24"/>
          <w:szCs w:val="24"/>
        </w:rPr>
        <w:t xml:space="preserve"> </w:t>
      </w:r>
      <w:r>
        <w:rPr>
          <w:rStyle w:val="None"/>
          <w:rFonts w:ascii="Times New Roman" w:hAnsi="Times New Roman"/>
          <w:sz w:val="24"/>
          <w:szCs w:val="24"/>
        </w:rPr>
        <w:lastRenderedPageBreak/>
        <w:t>as a combination of these rights will often be required in order to ensure that persons with disabilities can fully engage in public life. Whether positive intervention is spec</w:t>
      </w:r>
      <w:r>
        <w:rPr>
          <w:rStyle w:val="None"/>
          <w:rFonts w:ascii="Times New Roman" w:hAnsi="Times New Roman"/>
          <w:sz w:val="24"/>
          <w:szCs w:val="24"/>
        </w:rPr>
        <w:t>ifically mandated within the CRPD is often immaterial, as ensuring the integration of persons with disabilities within society will generally necessitate such actions and the spending of State monies.</w:t>
      </w:r>
      <w:r>
        <w:rPr>
          <w:rStyle w:val="None"/>
          <w:rFonts w:ascii="Times New Roman" w:eastAsia="Times New Roman" w:hAnsi="Times New Roman" w:cs="Times New Roman"/>
          <w:sz w:val="24"/>
          <w:szCs w:val="24"/>
          <w:vertAlign w:val="superscript"/>
        </w:rPr>
        <w:footnoteReference w:id="44"/>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Not only does the </w:t>
      </w:r>
      <w:r>
        <w:rPr>
          <w:rStyle w:val="None"/>
          <w:rFonts w:ascii="Times New Roman" w:hAnsi="Times New Roman"/>
          <w:sz w:val="24"/>
          <w:szCs w:val="24"/>
        </w:rPr>
        <w:t>‘</w:t>
      </w:r>
      <w:r>
        <w:rPr>
          <w:rStyle w:val="None"/>
          <w:rFonts w:ascii="Times New Roman" w:hAnsi="Times New Roman"/>
          <w:sz w:val="24"/>
          <w:szCs w:val="24"/>
        </w:rPr>
        <w:t>human rights model of disability</w:t>
      </w:r>
      <w:r>
        <w:rPr>
          <w:rStyle w:val="None"/>
          <w:rFonts w:ascii="Times New Roman" w:hAnsi="Times New Roman"/>
          <w:sz w:val="24"/>
          <w:szCs w:val="24"/>
        </w:rPr>
        <w:t xml:space="preserve">’ </w:t>
      </w:r>
      <w:r>
        <w:rPr>
          <w:rStyle w:val="None"/>
          <w:rFonts w:ascii="Times New Roman" w:hAnsi="Times New Roman"/>
          <w:sz w:val="24"/>
          <w:szCs w:val="24"/>
        </w:rPr>
        <w:t>p</w:t>
      </w:r>
      <w:r>
        <w:rPr>
          <w:rStyle w:val="None"/>
          <w:rFonts w:ascii="Times New Roman" w:hAnsi="Times New Roman"/>
          <w:sz w:val="24"/>
          <w:szCs w:val="24"/>
        </w:rPr>
        <w:t>osit the dignity of people with disabilities as a cornerstone of its intended outcomes, it also emphasizes that civil and political rights are fundamentally intertwined with social, economic and cultural rights and are of equal importance in the pursuit of</w:t>
      </w:r>
      <w:r>
        <w:rPr>
          <w:rStyle w:val="None"/>
          <w:rFonts w:ascii="Times New Roman" w:hAnsi="Times New Roman"/>
          <w:sz w:val="24"/>
          <w:szCs w:val="24"/>
        </w:rPr>
        <w:t xml:space="preserve"> a fairer society. In this respect, the </w:t>
      </w:r>
      <w:r>
        <w:rPr>
          <w:rStyle w:val="None"/>
          <w:rFonts w:ascii="Times New Roman" w:hAnsi="Times New Roman"/>
          <w:sz w:val="24"/>
          <w:szCs w:val="24"/>
        </w:rPr>
        <w:t>‘</w:t>
      </w:r>
      <w:r>
        <w:rPr>
          <w:rStyle w:val="None"/>
          <w:rFonts w:ascii="Times New Roman" w:hAnsi="Times New Roman"/>
          <w:sz w:val="24"/>
          <w:szCs w:val="24"/>
        </w:rPr>
        <w:t>human rights model</w:t>
      </w:r>
      <w:r>
        <w:rPr>
          <w:rStyle w:val="None"/>
          <w:rFonts w:ascii="Times New Roman" w:hAnsi="Times New Roman"/>
          <w:sz w:val="24"/>
          <w:szCs w:val="24"/>
        </w:rPr>
        <w:t xml:space="preserve">’ </w:t>
      </w:r>
      <w:r>
        <w:rPr>
          <w:rStyle w:val="None"/>
          <w:rFonts w:ascii="Times New Roman" w:hAnsi="Times New Roman"/>
          <w:sz w:val="24"/>
          <w:szCs w:val="24"/>
        </w:rPr>
        <w:t>is anchored in the concept of inclusive equality,</w:t>
      </w:r>
      <w:r>
        <w:rPr>
          <w:rStyle w:val="None"/>
          <w:rFonts w:ascii="Times New Roman" w:eastAsia="Times New Roman" w:hAnsi="Times New Roman" w:cs="Times New Roman"/>
          <w:sz w:val="24"/>
          <w:szCs w:val="24"/>
          <w:vertAlign w:val="superscript"/>
        </w:rPr>
        <w:footnoteReference w:id="45"/>
      </w:r>
      <w:r>
        <w:rPr>
          <w:rStyle w:val="None"/>
          <w:rFonts w:ascii="Times New Roman" w:hAnsi="Times New Roman"/>
          <w:sz w:val="24"/>
          <w:szCs w:val="24"/>
        </w:rPr>
        <w:t xml:space="preserve"> formulated by the CRPD Committee, which is broader than the traditional notion of substantive equality in that it encompasses: </w:t>
      </w:r>
    </w:p>
    <w:p w:rsidR="002B6D13" w:rsidRDefault="002B6D13">
      <w:pPr>
        <w:pStyle w:val="Default"/>
        <w:suppressAutoHyphens/>
        <w:spacing w:after="80" w:line="480" w:lineRule="auto"/>
        <w:ind w:firstLine="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ind w:left="283" w:right="283"/>
        <w:jc w:val="both"/>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Times New Roman" w:hAnsi="Times New Roman"/>
          <w:sz w:val="24"/>
          <w:szCs w:val="24"/>
        </w:rPr>
        <w:t>(a) a fair red</w:t>
      </w:r>
      <w:r>
        <w:rPr>
          <w:rStyle w:val="None"/>
          <w:rFonts w:ascii="Times New Roman" w:hAnsi="Times New Roman"/>
          <w:sz w:val="24"/>
          <w:szCs w:val="24"/>
        </w:rPr>
        <w:t>istributive dimension to address socioeconomic disadvantages; (b) a recognition dimension to combat stigma, stereotyping, prejudice and violence and to recognize the dignity of human beings and their intersectionality; (c) a participative dimension to reaf</w:t>
      </w:r>
      <w:r>
        <w:rPr>
          <w:rStyle w:val="None"/>
          <w:rFonts w:ascii="Times New Roman" w:hAnsi="Times New Roman"/>
          <w:sz w:val="24"/>
          <w:szCs w:val="24"/>
        </w:rPr>
        <w:t>firm the social nature of people as members of social groups and the full recognition of humanity through inclusion in society; and (d) an accommodating dimension to make space for difference as a matter of human dignity</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46"/>
      </w:r>
    </w:p>
    <w:p w:rsidR="002B6D13" w:rsidRDefault="002B6D13">
      <w:pPr>
        <w:pStyle w:val="Default"/>
        <w:suppressAutoHyphens/>
        <w:spacing w:after="80" w:line="480" w:lineRule="auto"/>
        <w:ind w:firstLine="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Consequently, inclusive equalit</w:t>
      </w:r>
      <w:r>
        <w:rPr>
          <w:rStyle w:val="None"/>
          <w:rFonts w:ascii="Times New Roman" w:hAnsi="Times New Roman"/>
          <w:sz w:val="24"/>
          <w:szCs w:val="24"/>
        </w:rPr>
        <w:t>y will require States Parties to engage in active policies which encompass positive actions, awareness-raising, and ensuring reasonable accommodation as a gateway to the enjoyment of all human rights. The latter is unequivocally incorporated within the non</w:t>
      </w:r>
      <w:r>
        <w:rPr>
          <w:rStyle w:val="None"/>
          <w:rFonts w:ascii="Times New Roman" w:hAnsi="Times New Roman"/>
          <w:sz w:val="24"/>
          <w:szCs w:val="24"/>
        </w:rPr>
        <w:t xml:space="preserve">-discrimination and equality principles enshrined in Article 5 CRPD and is defined in Article 2 as </w:t>
      </w:r>
    </w:p>
    <w:p w:rsidR="002B6D13" w:rsidRDefault="002B6D13">
      <w:pPr>
        <w:pStyle w:val="Default"/>
        <w:suppressAutoHyphens/>
        <w:spacing w:after="80" w:line="480" w:lineRule="auto"/>
        <w:ind w:left="283" w:right="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ind w:left="283" w:right="283"/>
        <w:jc w:val="both"/>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Times New Roman" w:hAnsi="Times New Roman"/>
          <w:sz w:val="24"/>
          <w:szCs w:val="24"/>
        </w:rPr>
        <w:t>necessary and appropriate modification and adjustments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sz w:val="24"/>
          <w:szCs w:val="24"/>
        </w:rPr>
        <w:t>‘</w:t>
      </w:r>
      <w:r>
        <w:rPr>
          <w:rStyle w:val="None"/>
          <w:rFonts w:ascii="Times New Roman" w:hAnsi="Times New Roman"/>
          <w:sz w:val="24"/>
          <w:szCs w:val="24"/>
        </w:rPr>
        <w:t>where needed in a particular case, to ensure to persons with disabilities the enjoyment or exerc</w:t>
      </w:r>
      <w:r>
        <w:rPr>
          <w:rStyle w:val="None"/>
          <w:rFonts w:ascii="Times New Roman" w:hAnsi="Times New Roman"/>
          <w:sz w:val="24"/>
          <w:szCs w:val="24"/>
        </w:rPr>
        <w:t>ise on an equal basis with others of all human rights and fundamental freedoms</w:t>
      </w:r>
      <w:r>
        <w:rPr>
          <w:rStyle w:val="None"/>
          <w:rFonts w:ascii="Times New Roman" w:hAnsi="Times New Roman"/>
          <w:sz w:val="24"/>
          <w:szCs w:val="24"/>
        </w:rPr>
        <w:t>’</w:t>
      </w:r>
      <w:r>
        <w:rPr>
          <w:rStyle w:val="None"/>
          <w:rFonts w:ascii="Times New Roman" w:hAnsi="Times New Roman"/>
          <w:sz w:val="24"/>
          <w:szCs w:val="24"/>
        </w:rPr>
        <w:t>.</w:t>
      </w:r>
    </w:p>
    <w:p w:rsidR="002B6D13" w:rsidRDefault="002B6D13">
      <w:pPr>
        <w:pStyle w:val="Default"/>
        <w:suppressAutoHyphens/>
        <w:spacing w:after="80" w:line="480" w:lineRule="auto"/>
        <w:ind w:left="283" w:right="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General Comment N. 6, the CRPD Committee clarified that the word 'reasonable' concerns the effectiveness of the accommodation in removing the individual disadvantage that </w:t>
      </w:r>
      <w:r>
        <w:rPr>
          <w:rStyle w:val="None"/>
          <w:rFonts w:ascii="Times New Roman" w:hAnsi="Times New Roman"/>
          <w:sz w:val="24"/>
          <w:szCs w:val="24"/>
        </w:rPr>
        <w:t xml:space="preserve">the person with disabilities is facing, and </w:t>
      </w:r>
      <w:r>
        <w:rPr>
          <w:rStyle w:val="None"/>
          <w:rFonts w:ascii="Times New Roman" w:hAnsi="Times New Roman"/>
          <w:sz w:val="24"/>
          <w:szCs w:val="24"/>
        </w:rPr>
        <w:t>‘</w:t>
      </w:r>
      <w:r>
        <w:rPr>
          <w:rStyle w:val="None"/>
          <w:rFonts w:ascii="Times New Roman" w:hAnsi="Times New Roman"/>
          <w:sz w:val="24"/>
          <w:szCs w:val="24"/>
        </w:rPr>
        <w:t>the role of the accommodation in countering discrimination'.</w:t>
      </w:r>
      <w:r>
        <w:rPr>
          <w:rStyle w:val="None"/>
          <w:rFonts w:ascii="Times New Roman" w:eastAsia="Times New Roman" w:hAnsi="Times New Roman" w:cs="Times New Roman"/>
          <w:sz w:val="24"/>
          <w:szCs w:val="24"/>
          <w:vertAlign w:val="superscript"/>
        </w:rPr>
        <w:footnoteReference w:id="47"/>
      </w:r>
      <w:r>
        <w:rPr>
          <w:rStyle w:val="None"/>
          <w:rFonts w:ascii="Times New Roman" w:hAnsi="Times New Roman"/>
          <w:sz w:val="24"/>
          <w:szCs w:val="24"/>
        </w:rPr>
        <w:t xml:space="preserve"> An important point to highlight in terms of what </w:t>
      </w:r>
      <w:r>
        <w:rPr>
          <w:rStyle w:val="None"/>
          <w:rFonts w:ascii="Times New Roman" w:hAnsi="Times New Roman"/>
          <w:sz w:val="24"/>
          <w:szCs w:val="24"/>
        </w:rPr>
        <w:t>‘</w:t>
      </w:r>
      <w:r>
        <w:rPr>
          <w:rStyle w:val="None"/>
          <w:rFonts w:ascii="Times New Roman" w:hAnsi="Times New Roman"/>
          <w:sz w:val="24"/>
          <w:szCs w:val="24"/>
        </w:rPr>
        <w:t>reasonable accommodation</w:t>
      </w:r>
      <w:r>
        <w:rPr>
          <w:rStyle w:val="None"/>
          <w:rFonts w:ascii="Times New Roman" w:hAnsi="Times New Roman"/>
          <w:sz w:val="24"/>
          <w:szCs w:val="24"/>
        </w:rPr>
        <w:t xml:space="preserve">’ </w:t>
      </w:r>
      <w:r>
        <w:rPr>
          <w:rStyle w:val="None"/>
          <w:rFonts w:ascii="Times New Roman" w:hAnsi="Times New Roman"/>
          <w:i/>
          <w:iCs/>
          <w:sz w:val="24"/>
          <w:szCs w:val="24"/>
        </w:rPr>
        <w:t>should</w:t>
      </w:r>
      <w:r>
        <w:rPr>
          <w:rStyle w:val="None"/>
          <w:rFonts w:ascii="Times New Roman" w:hAnsi="Times New Roman"/>
          <w:sz w:val="24"/>
          <w:szCs w:val="24"/>
        </w:rPr>
        <w:t xml:space="preserve"> mean in a practical sense, is that it will be relative to the expe</w:t>
      </w:r>
      <w:r>
        <w:rPr>
          <w:rStyle w:val="None"/>
          <w:rFonts w:ascii="Times New Roman" w:hAnsi="Times New Roman"/>
          <w:sz w:val="24"/>
          <w:szCs w:val="24"/>
        </w:rPr>
        <w:t>rience and needs of the individual in question.</w:t>
      </w:r>
      <w:r>
        <w:rPr>
          <w:rStyle w:val="None"/>
          <w:rFonts w:ascii="Times New Roman" w:eastAsia="Times New Roman" w:hAnsi="Times New Roman" w:cs="Times New Roman"/>
          <w:sz w:val="24"/>
          <w:szCs w:val="24"/>
          <w:vertAlign w:val="superscript"/>
        </w:rPr>
        <w:footnoteReference w:id="48"/>
      </w:r>
      <w:r>
        <w:rPr>
          <w:rStyle w:val="None"/>
          <w:rFonts w:ascii="Times New Roman" w:hAnsi="Times New Roman"/>
          <w:sz w:val="24"/>
          <w:szCs w:val="24"/>
        </w:rPr>
        <w:t xml:space="preserve">  Consequently, duty-bearers are arguably obligated to consult with the individual seeking the accommodation,</w:t>
      </w:r>
      <w:r>
        <w:rPr>
          <w:rStyle w:val="None"/>
          <w:rFonts w:ascii="Times New Roman" w:eastAsia="Times New Roman" w:hAnsi="Times New Roman" w:cs="Times New Roman"/>
          <w:sz w:val="24"/>
          <w:szCs w:val="24"/>
          <w:vertAlign w:val="superscript"/>
        </w:rPr>
        <w:footnoteReference w:id="49"/>
      </w:r>
      <w:r>
        <w:rPr>
          <w:rStyle w:val="None"/>
          <w:rFonts w:ascii="Times New Roman" w:hAnsi="Times New Roman"/>
          <w:sz w:val="24"/>
          <w:szCs w:val="24"/>
        </w:rPr>
        <w:t xml:space="preserve"> and it </w:t>
      </w:r>
      <w:r>
        <w:rPr>
          <w:rStyle w:val="None"/>
          <w:rFonts w:ascii="Times New Roman" w:hAnsi="Times New Roman"/>
          <w:sz w:val="24"/>
          <w:szCs w:val="24"/>
        </w:rPr>
        <w:t>‘</w:t>
      </w:r>
      <w:r>
        <w:rPr>
          <w:rStyle w:val="None"/>
          <w:rFonts w:ascii="Times New Roman" w:hAnsi="Times New Roman"/>
          <w:sz w:val="24"/>
          <w:szCs w:val="24"/>
        </w:rPr>
        <w:t>requires duty-bearers to resist making assumptions as to what might be most appropriate f</w:t>
      </w:r>
      <w:r>
        <w:rPr>
          <w:rStyle w:val="None"/>
          <w:rFonts w:ascii="Times New Roman" w:hAnsi="Times New Roman"/>
          <w:sz w:val="24"/>
          <w:szCs w:val="24"/>
        </w:rPr>
        <w:t>or a particular individual and demands that instead they engage in a dialogue with such a person about how the relevant disadvantages might most effectively be tackled'.</w:t>
      </w:r>
      <w:r>
        <w:rPr>
          <w:rStyle w:val="None"/>
          <w:rFonts w:ascii="Times New Roman" w:eastAsia="Times New Roman" w:hAnsi="Times New Roman" w:cs="Times New Roman"/>
          <w:sz w:val="24"/>
          <w:szCs w:val="24"/>
          <w:vertAlign w:val="superscript"/>
        </w:rPr>
        <w:footnoteReference w:id="50"/>
      </w:r>
      <w:r>
        <w:rPr>
          <w:rStyle w:val="None"/>
          <w:rFonts w:ascii="Times New Roman" w:hAnsi="Times New Roman"/>
          <w:sz w:val="24"/>
          <w:szCs w:val="24"/>
        </w:rPr>
        <w:t xml:space="preserve"> This ensures that the 'reasonableness' of the intervention is focused on ensuring tha</w:t>
      </w:r>
      <w:r>
        <w:rPr>
          <w:rStyle w:val="None"/>
          <w:rFonts w:ascii="Times New Roman" w:hAnsi="Times New Roman"/>
          <w:sz w:val="24"/>
          <w:szCs w:val="24"/>
        </w:rPr>
        <w:t>t the rights-holder is granted the most relevant and effective intervention possible to guarantee that the specific barrier that they are facing is removed. The duty to provide reasonable accommodation is qualified by the defense that a request may be disp</w:t>
      </w:r>
      <w:r>
        <w:rPr>
          <w:rStyle w:val="None"/>
          <w:rFonts w:ascii="Times New Roman" w:hAnsi="Times New Roman"/>
          <w:sz w:val="24"/>
          <w:szCs w:val="24"/>
        </w:rPr>
        <w:t>roportionate in nature, and cannot ultimately create an undue burden for the bearer of the request.</w:t>
      </w:r>
      <w:r>
        <w:rPr>
          <w:rStyle w:val="None"/>
          <w:rFonts w:ascii="Times New Roman" w:eastAsia="Times New Roman" w:hAnsi="Times New Roman" w:cs="Times New Roman"/>
          <w:sz w:val="24"/>
          <w:szCs w:val="24"/>
          <w:vertAlign w:val="superscript"/>
        </w:rPr>
        <w:footnoteReference w:id="51"/>
      </w:r>
      <w:r>
        <w:rPr>
          <w:rStyle w:val="None"/>
          <w:rFonts w:ascii="Times New Roman" w:hAnsi="Times New Roman"/>
          <w:sz w:val="24"/>
          <w:szCs w:val="24"/>
        </w:rPr>
        <w:t xml:space="preserve"> This potentially gives State Parties a degree of latitude in assessing the reasonableness of a claim for reasonable accommodation so long as the refusal ca</w:t>
      </w:r>
      <w:r>
        <w:rPr>
          <w:rStyle w:val="None"/>
          <w:rFonts w:ascii="Times New Roman" w:hAnsi="Times New Roman"/>
          <w:sz w:val="24"/>
          <w:szCs w:val="24"/>
        </w:rPr>
        <w:t>n be justified.</w:t>
      </w:r>
      <w:r>
        <w:rPr>
          <w:rStyle w:val="None"/>
          <w:rFonts w:ascii="Times New Roman" w:eastAsia="Times New Roman" w:hAnsi="Times New Roman" w:cs="Times New Roman"/>
          <w:sz w:val="24"/>
          <w:szCs w:val="24"/>
          <w:vertAlign w:val="superscript"/>
        </w:rPr>
        <w:footnoteReference w:id="52"/>
      </w:r>
      <w:r>
        <w:rPr>
          <w:rStyle w:val="None"/>
          <w:rFonts w:ascii="Times New Roman" w:hAnsi="Times New Roman"/>
          <w:sz w:val="24"/>
          <w:szCs w:val="24"/>
        </w:rPr>
        <w:t xml:space="preserve"> </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The participatory dimension of inclusive equality is also linked to accessibility, which is one of the general principles of the CRPD. Namely, the Convention requires States Parties to take appropriate measures to ensure that persons with</w:t>
      </w:r>
      <w:r>
        <w:rPr>
          <w:rStyle w:val="None"/>
          <w:rFonts w:ascii="Times New Roman" w:hAnsi="Times New Roman"/>
          <w:sz w:val="24"/>
          <w:szCs w:val="24"/>
        </w:rPr>
        <w:t xml:space="preserve"> disabilities have access to environments, facilities, information and services on an equal basis with others. Accessibility duties are </w:t>
      </w:r>
      <w:r>
        <w:rPr>
          <w:rStyle w:val="None"/>
          <w:rFonts w:ascii="Times New Roman" w:hAnsi="Times New Roman"/>
          <w:sz w:val="24"/>
          <w:szCs w:val="24"/>
        </w:rPr>
        <w:t>‘</w:t>
      </w:r>
      <w:r>
        <w:rPr>
          <w:rStyle w:val="None"/>
          <w:rFonts w:ascii="Times New Roman" w:hAnsi="Times New Roman"/>
          <w:sz w:val="24"/>
          <w:szCs w:val="24"/>
        </w:rPr>
        <w:t>generalized</w:t>
      </w:r>
      <w:r>
        <w:rPr>
          <w:rStyle w:val="None"/>
          <w:rFonts w:ascii="Times New Roman" w:hAnsi="Times New Roman"/>
          <w:sz w:val="24"/>
          <w:szCs w:val="24"/>
        </w:rPr>
        <w:t xml:space="preserve">’ </w:t>
      </w:r>
      <w:r>
        <w:rPr>
          <w:rStyle w:val="None"/>
          <w:rFonts w:ascii="Times New Roman" w:hAnsi="Times New Roman"/>
          <w:sz w:val="24"/>
          <w:szCs w:val="24"/>
        </w:rPr>
        <w:t xml:space="preserve">(group-based) and </w:t>
      </w:r>
      <w:r>
        <w:rPr>
          <w:rStyle w:val="None"/>
          <w:rFonts w:ascii="Times New Roman" w:hAnsi="Times New Roman"/>
          <w:sz w:val="24"/>
          <w:szCs w:val="24"/>
        </w:rPr>
        <w:t>‘</w:t>
      </w:r>
      <w:r>
        <w:rPr>
          <w:rStyle w:val="None"/>
          <w:rFonts w:ascii="Times New Roman" w:hAnsi="Times New Roman"/>
          <w:sz w:val="24"/>
          <w:szCs w:val="24"/>
        </w:rPr>
        <w:t>anticipatory</w:t>
      </w:r>
      <w:r>
        <w:rPr>
          <w:rStyle w:val="None"/>
          <w:rFonts w:ascii="Times New Roman" w:hAnsi="Times New Roman"/>
          <w:sz w:val="24"/>
          <w:szCs w:val="24"/>
        </w:rPr>
        <w:t xml:space="preserve">’ </w:t>
      </w:r>
      <w:r>
        <w:rPr>
          <w:rStyle w:val="None"/>
          <w:rFonts w:ascii="Times New Roman" w:hAnsi="Times New Roman"/>
          <w:sz w:val="24"/>
          <w:szCs w:val="24"/>
        </w:rPr>
        <w:t xml:space="preserve">(not triggered by an individual request). The CRPD Committee has also highlighted that </w:t>
      </w:r>
      <w:r>
        <w:rPr>
          <w:rStyle w:val="None"/>
          <w:rFonts w:ascii="Times New Roman" w:hAnsi="Times New Roman"/>
          <w:sz w:val="24"/>
          <w:szCs w:val="24"/>
        </w:rPr>
        <w:t>‘</w:t>
      </w:r>
      <w:r>
        <w:rPr>
          <w:rStyle w:val="None"/>
          <w:rFonts w:ascii="Times New Roman" w:hAnsi="Times New Roman"/>
          <w:sz w:val="24"/>
          <w:szCs w:val="24"/>
        </w:rPr>
        <w:t>the obligation to implement accessibility is unconditional, i.e. the entity obliged to provide accessibility may not excuse the omission to do so by referring to the bu</w:t>
      </w:r>
      <w:r>
        <w:rPr>
          <w:rStyle w:val="None"/>
          <w:rFonts w:ascii="Times New Roman" w:hAnsi="Times New Roman"/>
          <w:sz w:val="24"/>
          <w:szCs w:val="24"/>
        </w:rPr>
        <w:t>rden of providing access for persons with disabilities</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53"/>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 xml:space="preserve">On the whole, the full realization of the </w:t>
      </w:r>
      <w:r>
        <w:rPr>
          <w:rStyle w:val="None"/>
          <w:rFonts w:ascii="Times New Roman" w:hAnsi="Times New Roman"/>
          <w:sz w:val="24"/>
          <w:szCs w:val="24"/>
        </w:rPr>
        <w:t>‘</w:t>
      </w:r>
      <w:r>
        <w:rPr>
          <w:rStyle w:val="None"/>
          <w:rFonts w:ascii="Times New Roman" w:hAnsi="Times New Roman"/>
          <w:sz w:val="24"/>
          <w:szCs w:val="24"/>
        </w:rPr>
        <w:t>human rights model of disability</w:t>
      </w:r>
      <w:r>
        <w:rPr>
          <w:rStyle w:val="None"/>
          <w:rFonts w:ascii="Times New Roman" w:hAnsi="Times New Roman"/>
          <w:sz w:val="24"/>
          <w:szCs w:val="24"/>
        </w:rPr>
        <w:t>’</w:t>
      </w:r>
      <w:r>
        <w:rPr>
          <w:rStyle w:val="None"/>
          <w:rFonts w:ascii="Times New Roman" w:hAnsi="Times New Roman"/>
          <w:sz w:val="24"/>
          <w:szCs w:val="24"/>
        </w:rPr>
        <w:t xml:space="preserve">, which is intertwined with the concept of </w:t>
      </w:r>
      <w:r>
        <w:rPr>
          <w:rStyle w:val="None"/>
          <w:rFonts w:ascii="Times New Roman" w:hAnsi="Times New Roman"/>
          <w:sz w:val="24"/>
          <w:szCs w:val="24"/>
        </w:rPr>
        <w:t>‘</w:t>
      </w:r>
      <w:r>
        <w:rPr>
          <w:rStyle w:val="None"/>
          <w:rFonts w:ascii="Times New Roman" w:hAnsi="Times New Roman"/>
          <w:sz w:val="24"/>
          <w:szCs w:val="24"/>
        </w:rPr>
        <w:t>inclusive equality</w:t>
      </w:r>
      <w:r>
        <w:rPr>
          <w:rStyle w:val="None"/>
          <w:rFonts w:ascii="Times New Roman" w:hAnsi="Times New Roman"/>
          <w:sz w:val="24"/>
          <w:szCs w:val="24"/>
        </w:rPr>
        <w:t>’</w:t>
      </w:r>
      <w:r>
        <w:rPr>
          <w:rStyle w:val="None"/>
          <w:rFonts w:ascii="Times New Roman" w:hAnsi="Times New Roman"/>
          <w:sz w:val="24"/>
          <w:szCs w:val="24"/>
        </w:rPr>
        <w:t>, obliges Parties to the Convention - like the EU - to enac</w:t>
      </w:r>
      <w:r>
        <w:rPr>
          <w:rStyle w:val="None"/>
          <w:rFonts w:ascii="Times New Roman" w:hAnsi="Times New Roman"/>
          <w:sz w:val="24"/>
          <w:szCs w:val="24"/>
        </w:rPr>
        <w:t>t measures that protect and promote the dignity of persons with disabilities, valuing their diversity, and to pursue policies of redistribution, recognition, participation and accommodation across the whole spectrum of the rights protected by the CRPD.</w:t>
      </w:r>
      <w:r>
        <w:rPr>
          <w:rStyle w:val="None"/>
          <w:rFonts w:ascii="Times New Roman" w:eastAsia="Times New Roman" w:hAnsi="Times New Roman" w:cs="Times New Roman"/>
          <w:sz w:val="24"/>
          <w:szCs w:val="24"/>
          <w:vertAlign w:val="superscript"/>
        </w:rPr>
        <w:footnoteReference w:id="54"/>
      </w:r>
      <w:r>
        <w:rPr>
          <w:rStyle w:val="None"/>
          <w:rFonts w:ascii="Times New Roman" w:hAnsi="Times New Roman"/>
          <w:sz w:val="24"/>
          <w:szCs w:val="24"/>
        </w:rPr>
        <w:t xml:space="preserve"> </w:t>
      </w:r>
    </w:p>
    <w:p w:rsidR="002B6D13" w:rsidRDefault="002B6D13">
      <w:pPr>
        <w:pStyle w:val="Default"/>
        <w:suppressAutoHyphens/>
        <w:spacing w:after="80" w:line="480" w:lineRule="auto"/>
        <w:ind w:firstLine="283"/>
        <w:jc w:val="both"/>
        <w:rPr>
          <w:rStyle w:val="None"/>
          <w:rFonts w:ascii="Times New Roman" w:eastAsia="Times New Roman" w:hAnsi="Times New Roman" w:cs="Times New Roman"/>
          <w:sz w:val="24"/>
          <w:szCs w:val="24"/>
        </w:rPr>
      </w:pPr>
    </w:p>
    <w:p w:rsidR="002B6D13" w:rsidRDefault="002B6D13">
      <w:pPr>
        <w:pStyle w:val="Default"/>
        <w:suppressAutoHyphens/>
        <w:spacing w:after="80" w:line="480" w:lineRule="auto"/>
        <w:ind w:firstLine="283"/>
        <w:jc w:val="both"/>
        <w:rPr>
          <w:rStyle w:val="None"/>
          <w:rFonts w:ascii="Times New Roman" w:eastAsia="Times New Roman" w:hAnsi="Times New Roman" w:cs="Times New Roman"/>
          <w:sz w:val="24"/>
          <w:szCs w:val="24"/>
        </w:rPr>
      </w:pPr>
    </w:p>
    <w:p w:rsidR="002B6D13" w:rsidRDefault="00140BC2">
      <w:pPr>
        <w:pStyle w:val="Default"/>
        <w:suppressAutoHyphens/>
        <w:spacing w:after="80" w:line="480" w:lineRule="auto"/>
        <w:jc w:val="both"/>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 xml:space="preserve">2.2. The </w:t>
      </w:r>
      <w:r>
        <w:rPr>
          <w:rStyle w:val="None"/>
          <w:rFonts w:ascii="Times New Roman" w:hAnsi="Times New Roman"/>
          <w:b/>
          <w:bCs/>
          <w:i/>
          <w:iCs/>
          <w:sz w:val="24"/>
          <w:szCs w:val="24"/>
        </w:rPr>
        <w:t>‘</w:t>
      </w:r>
      <w:r>
        <w:rPr>
          <w:rStyle w:val="None"/>
          <w:rFonts w:ascii="Times New Roman" w:hAnsi="Times New Roman"/>
          <w:b/>
          <w:bCs/>
          <w:i/>
          <w:iCs/>
          <w:sz w:val="24"/>
          <w:szCs w:val="24"/>
        </w:rPr>
        <w:t>Human Rights Model of Disability</w:t>
      </w:r>
      <w:r>
        <w:rPr>
          <w:rStyle w:val="None"/>
          <w:rFonts w:ascii="Times New Roman" w:hAnsi="Times New Roman"/>
          <w:b/>
          <w:bCs/>
          <w:i/>
          <w:iCs/>
          <w:sz w:val="24"/>
          <w:szCs w:val="24"/>
        </w:rPr>
        <w:t xml:space="preserve">’ </w:t>
      </w:r>
      <w:r>
        <w:rPr>
          <w:rStyle w:val="None"/>
          <w:rFonts w:ascii="Times New Roman" w:hAnsi="Times New Roman"/>
          <w:b/>
          <w:bCs/>
          <w:i/>
          <w:iCs/>
          <w:sz w:val="24"/>
          <w:szCs w:val="24"/>
        </w:rPr>
        <w:t>and the Rights of Asylum Seekers in the CRPD</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The CRPD does not make any explicit references to asylum seekers or refugees within its text. Only women and children are identified as two groups who may, within thi</w:t>
      </w:r>
      <w:r>
        <w:rPr>
          <w:rStyle w:val="None"/>
          <w:rFonts w:ascii="Times New Roman" w:hAnsi="Times New Roman"/>
          <w:sz w:val="24"/>
          <w:szCs w:val="24"/>
        </w:rPr>
        <w:t>s overall group, require some degree of further consideration,</w:t>
      </w:r>
      <w:r>
        <w:rPr>
          <w:rStyle w:val="None"/>
          <w:rFonts w:ascii="Times New Roman" w:eastAsia="Times New Roman" w:hAnsi="Times New Roman" w:cs="Times New Roman"/>
          <w:sz w:val="24"/>
          <w:szCs w:val="24"/>
          <w:vertAlign w:val="superscript"/>
        </w:rPr>
        <w:footnoteReference w:id="55"/>
      </w:r>
      <w:r>
        <w:rPr>
          <w:rStyle w:val="None"/>
          <w:rFonts w:ascii="Times New Roman" w:hAnsi="Times New Roman"/>
          <w:sz w:val="24"/>
          <w:szCs w:val="24"/>
        </w:rPr>
        <w:t xml:space="preserve"> and the relevant Articles restate principles of other </w:t>
      </w:r>
      <w:r>
        <w:rPr>
          <w:rStyle w:val="None"/>
          <w:rFonts w:ascii="Times New Roman" w:hAnsi="Times New Roman"/>
          <w:sz w:val="24"/>
          <w:szCs w:val="24"/>
        </w:rPr>
        <w:lastRenderedPageBreak/>
        <w:t>conventions like the Convention on the Rights of the Child,</w:t>
      </w:r>
      <w:r>
        <w:rPr>
          <w:rStyle w:val="None"/>
          <w:rFonts w:ascii="Times New Roman" w:eastAsia="Times New Roman" w:hAnsi="Times New Roman" w:cs="Times New Roman"/>
          <w:sz w:val="24"/>
          <w:szCs w:val="24"/>
          <w:vertAlign w:val="superscript"/>
        </w:rPr>
        <w:footnoteReference w:id="56"/>
      </w:r>
      <w:r>
        <w:rPr>
          <w:rStyle w:val="None"/>
          <w:rFonts w:ascii="Times New Roman" w:hAnsi="Times New Roman"/>
          <w:sz w:val="24"/>
          <w:szCs w:val="24"/>
        </w:rPr>
        <w:t xml:space="preserve"> and recognised legal norms within the UN system of international law. </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An asy</w:t>
      </w:r>
      <w:r>
        <w:rPr>
          <w:rStyle w:val="None"/>
          <w:rFonts w:ascii="Times New Roman" w:hAnsi="Times New Roman"/>
          <w:sz w:val="24"/>
          <w:szCs w:val="24"/>
        </w:rPr>
        <w:t>lum seeker with a disability does not necessarily require their own article within the Convention. At its core, the CRPD is clear that every right set forth within it must be enjoyed by all persons with disabilities (including asylum seekers) on an equal b</w:t>
      </w:r>
      <w:r>
        <w:rPr>
          <w:rStyle w:val="None"/>
          <w:rFonts w:ascii="Times New Roman" w:hAnsi="Times New Roman"/>
          <w:sz w:val="24"/>
          <w:szCs w:val="24"/>
        </w:rPr>
        <w:t>asis with others. It is also evident that asylum seekers must be provided with reasonable accommodation in order to enjoy the rights enshrined in the Convention. Article 14 on the liberty and security of the person is particularly relevant in this respect.</w:t>
      </w:r>
      <w:r>
        <w:rPr>
          <w:rStyle w:val="None"/>
          <w:rFonts w:ascii="Times New Roman" w:hAnsi="Times New Roman"/>
          <w:sz w:val="24"/>
          <w:szCs w:val="24"/>
        </w:rPr>
        <w:t xml:space="preserve"> It requires that people who are (lawfully) deprived of their liberty are provided with reasonable accommodation. The latter provision would apply to asylum seekers with disabilities in reception centres. Other articles are also equally applicable in an as</w:t>
      </w:r>
      <w:r>
        <w:rPr>
          <w:rStyle w:val="None"/>
          <w:rFonts w:ascii="Times New Roman" w:hAnsi="Times New Roman"/>
          <w:sz w:val="24"/>
          <w:szCs w:val="24"/>
        </w:rPr>
        <w:t>ylum context. For example, as noted by Conte, Article 11 CRPD on situations of risk and humanitarian emergencies, which requires Parties to the Convention to ensure the protection and safety of persons with disabilities in situations of risk and humanitari</w:t>
      </w:r>
      <w:r>
        <w:rPr>
          <w:rStyle w:val="None"/>
          <w:rFonts w:ascii="Times New Roman" w:hAnsi="Times New Roman"/>
          <w:sz w:val="24"/>
          <w:szCs w:val="24"/>
        </w:rPr>
        <w:t xml:space="preserve">an emergencies, </w:t>
      </w:r>
      <w:r>
        <w:rPr>
          <w:rStyle w:val="None"/>
          <w:rFonts w:ascii="Times New Roman" w:hAnsi="Times New Roman"/>
          <w:sz w:val="24"/>
          <w:szCs w:val="24"/>
        </w:rPr>
        <w:t>‘</w:t>
      </w:r>
      <w:r>
        <w:rPr>
          <w:rStyle w:val="None"/>
          <w:rFonts w:ascii="Times New Roman" w:hAnsi="Times New Roman"/>
          <w:sz w:val="24"/>
          <w:szCs w:val="24"/>
        </w:rPr>
        <w:t>constitutes fertile grounds to include the protection of refugees with disabilities within the CRPD</w:t>
      </w:r>
      <w:r>
        <w:rPr>
          <w:rStyle w:val="None"/>
          <w:rFonts w:ascii="Times New Roman" w:hAnsi="Times New Roman"/>
          <w:sz w:val="24"/>
          <w:szCs w:val="24"/>
        </w:rPr>
        <w:t>’</w:t>
      </w:r>
      <w:r>
        <w:rPr>
          <w:rStyle w:val="None"/>
          <w:rFonts w:ascii="Times New Roman" w:hAnsi="Times New Roman"/>
          <w:sz w:val="24"/>
          <w:szCs w:val="24"/>
        </w:rPr>
        <w:t>s scope</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57"/>
      </w:r>
      <w:r>
        <w:rPr>
          <w:rStyle w:val="None"/>
          <w:rFonts w:ascii="Times New Roman" w:hAnsi="Times New Roman"/>
          <w:sz w:val="24"/>
          <w:szCs w:val="24"/>
        </w:rPr>
        <w:t xml:space="preserve">  The CRPD Committee</w:t>
      </w:r>
      <w:r>
        <w:rPr>
          <w:rStyle w:val="None"/>
          <w:rFonts w:ascii="Times New Roman" w:hAnsi="Times New Roman"/>
          <w:sz w:val="24"/>
          <w:szCs w:val="24"/>
        </w:rPr>
        <w:t>’</w:t>
      </w:r>
      <w:r>
        <w:rPr>
          <w:rStyle w:val="None"/>
          <w:rFonts w:ascii="Times New Roman" w:hAnsi="Times New Roman"/>
          <w:sz w:val="24"/>
          <w:szCs w:val="24"/>
        </w:rPr>
        <w:t xml:space="preserve">s willingness to draw attention to asylum-related matters at both an EU and Member State level </w:t>
      </w:r>
      <w:r>
        <w:rPr>
          <w:rStyle w:val="None"/>
          <w:rFonts w:ascii="Times New Roman" w:hAnsi="Times New Roman"/>
          <w:sz w:val="24"/>
          <w:szCs w:val="24"/>
        </w:rPr>
        <w:t>highlights how important this issue is and how it does feature in the CRPD, despite the lack of an explicit provision.</w:t>
      </w:r>
      <w:r>
        <w:rPr>
          <w:rStyle w:val="None"/>
          <w:rFonts w:ascii="Times New Roman" w:eastAsia="Times New Roman" w:hAnsi="Times New Roman" w:cs="Times New Roman"/>
          <w:sz w:val="24"/>
          <w:szCs w:val="24"/>
          <w:vertAlign w:val="superscript"/>
        </w:rPr>
        <w:footnoteReference w:id="58"/>
      </w:r>
      <w:r>
        <w:rPr>
          <w:rStyle w:val="None"/>
          <w:rFonts w:ascii="Times New Roman" w:hAnsi="Times New Roman"/>
          <w:sz w:val="24"/>
          <w:szCs w:val="24"/>
        </w:rPr>
        <w:t xml:space="preserve"> </w:t>
      </w:r>
    </w:p>
    <w:p w:rsidR="002B6D13" w:rsidRDefault="00140BC2">
      <w:pPr>
        <w:pStyle w:val="Default"/>
        <w:suppressAutoHyphens/>
        <w:spacing w:after="80" w:line="480" w:lineRule="auto"/>
        <w:ind w:firstLine="283"/>
        <w:jc w:val="both"/>
        <w:rPr>
          <w:rStyle w:val="None"/>
          <w:rFonts w:ascii="Times New Roman" w:eastAsia="Times New Roman" w:hAnsi="Times New Roman" w:cs="Times New Roman"/>
          <w:sz w:val="24"/>
          <w:szCs w:val="24"/>
        </w:rPr>
      </w:pPr>
      <w:r>
        <w:rPr>
          <w:rStyle w:val="None"/>
          <w:rFonts w:ascii="Times New Roman" w:hAnsi="Times New Roman"/>
          <w:sz w:val="24"/>
          <w:szCs w:val="24"/>
        </w:rPr>
        <w:t>Furthermore, the CRPD requires State Parties to mainstream the rights of persons with disabilities in all of their policies and program</w:t>
      </w:r>
      <w:r>
        <w:rPr>
          <w:rStyle w:val="None"/>
          <w:rFonts w:ascii="Times New Roman" w:hAnsi="Times New Roman"/>
          <w:sz w:val="24"/>
          <w:szCs w:val="24"/>
        </w:rPr>
        <w:t xml:space="preserve">mes, including asylum policies. This also means that asylum policies as all other policies must be informed by the human rights model of disability. Asylum policies must hence promote the dignity of persons with disabilities and pursue the accommodation </w:t>
      </w:r>
      <w:r>
        <w:rPr>
          <w:rStyle w:val="None"/>
          <w:rFonts w:ascii="Times New Roman" w:hAnsi="Times New Roman"/>
          <w:sz w:val="24"/>
          <w:szCs w:val="24"/>
        </w:rPr>
        <w:lastRenderedPageBreak/>
        <w:t>of</w:t>
      </w:r>
      <w:r>
        <w:rPr>
          <w:rStyle w:val="None"/>
          <w:rFonts w:ascii="Times New Roman" w:hAnsi="Times New Roman"/>
          <w:sz w:val="24"/>
          <w:szCs w:val="24"/>
        </w:rPr>
        <w:t xml:space="preserve"> diversity of asylum seekers with disabilities and ensure their participation in society. In its General Comment N. 7, the CRPD Committee also makes clear that States Parties to the Convention </w:t>
      </w:r>
      <w:r>
        <w:rPr>
          <w:rStyle w:val="None"/>
          <w:rFonts w:ascii="Times New Roman" w:hAnsi="Times New Roman"/>
          <w:sz w:val="24"/>
          <w:szCs w:val="24"/>
        </w:rPr>
        <w:t>‘</w:t>
      </w:r>
      <w:r>
        <w:rPr>
          <w:rStyle w:val="None"/>
          <w:rFonts w:ascii="Times New Roman" w:hAnsi="Times New Roman"/>
          <w:sz w:val="24"/>
          <w:szCs w:val="24"/>
        </w:rPr>
        <w:t>should promote the establishment of organizations of internall</w:t>
      </w:r>
      <w:r>
        <w:rPr>
          <w:rStyle w:val="None"/>
          <w:rFonts w:ascii="Times New Roman" w:hAnsi="Times New Roman"/>
          <w:sz w:val="24"/>
          <w:szCs w:val="24"/>
        </w:rPr>
        <w:t>y displaced persons or refugees with disabilities that are enabled to promote their rights in any situation of risk, including during armed conflicts</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59"/>
      </w:r>
      <w:r>
        <w:rPr>
          <w:rStyle w:val="None"/>
          <w:rFonts w:ascii="Times New Roman" w:hAnsi="Times New Roman"/>
          <w:sz w:val="24"/>
          <w:szCs w:val="24"/>
        </w:rPr>
        <w:t xml:space="preserve"> This support for the establishment of organizations representing asylum seekers and refugees with disab</w:t>
      </w:r>
      <w:r>
        <w:rPr>
          <w:rStyle w:val="None"/>
          <w:rFonts w:ascii="Times New Roman" w:hAnsi="Times New Roman"/>
          <w:sz w:val="24"/>
          <w:szCs w:val="24"/>
        </w:rPr>
        <w:t xml:space="preserve">ilities helps realize the participatory dimension of inclusive equality. In the same Comment, the Committee also stated that this participatory element of their policies (including asylum policies), </w:t>
      </w:r>
      <w:r>
        <w:rPr>
          <w:rStyle w:val="None"/>
          <w:rFonts w:ascii="Times New Roman" w:hAnsi="Times New Roman"/>
          <w:sz w:val="24"/>
          <w:szCs w:val="24"/>
        </w:rPr>
        <w:t>‘</w:t>
      </w:r>
      <w:r>
        <w:rPr>
          <w:rStyle w:val="None"/>
          <w:rFonts w:ascii="Times New Roman" w:hAnsi="Times New Roman"/>
          <w:sz w:val="24"/>
          <w:szCs w:val="24"/>
        </w:rPr>
        <w:t>should ensure the close consultation and active involvem</w:t>
      </w:r>
      <w:r>
        <w:rPr>
          <w:rStyle w:val="None"/>
          <w:rFonts w:ascii="Times New Roman" w:hAnsi="Times New Roman"/>
          <w:sz w:val="24"/>
          <w:szCs w:val="24"/>
        </w:rPr>
        <w:t xml:space="preserve">ent of organizations of persons with disabilities, which represent all persons with disabilities, including but not limited to women, older persons, children, those requiring high levels of support, </w:t>
      </w:r>
      <w:r>
        <w:rPr>
          <w:rStyle w:val="None"/>
          <w:rFonts w:ascii="Times New Roman" w:hAnsi="Times New Roman"/>
          <w:i/>
          <w:iCs/>
          <w:sz w:val="24"/>
          <w:szCs w:val="24"/>
        </w:rPr>
        <w:t>victims of landmines, migrants, refugees, asylum seekers,</w:t>
      </w:r>
      <w:r>
        <w:rPr>
          <w:rStyle w:val="None"/>
          <w:rFonts w:ascii="Times New Roman" w:hAnsi="Times New Roman"/>
          <w:i/>
          <w:iCs/>
          <w:sz w:val="24"/>
          <w:szCs w:val="24"/>
        </w:rPr>
        <w:t xml:space="preserve"> internally displaced persons</w:t>
      </w:r>
      <w:r>
        <w:rPr>
          <w:rStyle w:val="None"/>
          <w:rFonts w:ascii="Times New Roman" w:hAnsi="Times New Roman"/>
          <w:sz w:val="24"/>
          <w:szCs w:val="24"/>
        </w:rPr>
        <w:t>, undocumented and stateless persons [</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sz w:val="24"/>
          <w:szCs w:val="24"/>
        </w:rPr>
        <w:t>(emphasis added).</w:t>
      </w:r>
      <w:r>
        <w:rPr>
          <w:rStyle w:val="None"/>
          <w:rFonts w:ascii="Times New Roman" w:eastAsia="Times New Roman" w:hAnsi="Times New Roman" w:cs="Times New Roman"/>
          <w:sz w:val="24"/>
          <w:szCs w:val="24"/>
          <w:vertAlign w:val="superscript"/>
        </w:rPr>
        <w:footnoteReference w:id="60"/>
      </w:r>
      <w:r>
        <w:rPr>
          <w:rStyle w:val="None"/>
          <w:rFonts w:ascii="Times New Roman" w:hAnsi="Times New Roman"/>
          <w:sz w:val="24"/>
          <w:szCs w:val="24"/>
        </w:rPr>
        <w:t xml:space="preserve"> Thus, despite the lack of an explicit reference to asylum seekers within the text of the Convention, it is clear that its contents are applicable to asylum seekers wi</w:t>
      </w:r>
      <w:r>
        <w:rPr>
          <w:rStyle w:val="None"/>
          <w:rFonts w:ascii="Times New Roman" w:hAnsi="Times New Roman"/>
          <w:sz w:val="24"/>
          <w:szCs w:val="24"/>
        </w:rPr>
        <w:t>th disabilities wherever their personal circumstances engage one or more of the rights contained within it.</w:t>
      </w:r>
    </w:p>
    <w:p w:rsidR="002B6D13" w:rsidRDefault="002B6D13">
      <w:pPr>
        <w:pStyle w:val="BodyA"/>
        <w:suppressAutoHyphens/>
        <w:spacing w:after="80" w:line="480" w:lineRule="auto"/>
        <w:ind w:firstLine="283"/>
        <w:jc w:val="both"/>
        <w:rPr>
          <w:rStyle w:val="NoneB"/>
        </w:rPr>
      </w:pPr>
    </w:p>
    <w:p w:rsidR="002B6D13" w:rsidRDefault="00140BC2">
      <w:pPr>
        <w:pStyle w:val="Default"/>
        <w:suppressAutoHyphens/>
        <w:spacing w:after="80" w:line="48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3. The Recast Reception Condition Directive and Disability</w:t>
      </w:r>
    </w:p>
    <w:p w:rsidR="002B6D13" w:rsidRDefault="00140BC2">
      <w:pPr>
        <w:pStyle w:val="BodyA"/>
        <w:suppressAutoHyphens/>
        <w:spacing w:after="80" w:line="480" w:lineRule="auto"/>
        <w:ind w:firstLine="283"/>
        <w:jc w:val="both"/>
        <w:rPr>
          <w:rStyle w:val="NoneB"/>
        </w:rPr>
      </w:pPr>
      <w:r>
        <w:rPr>
          <w:rStyle w:val="NoneB"/>
        </w:rPr>
        <w:t xml:space="preserve">After having briefly outlined the human rights model of disability, this section </w:t>
      </w:r>
      <w:r>
        <w:rPr>
          <w:rStyle w:val="NoneB"/>
        </w:rPr>
        <w:t>will explore and critically discuss the content of the RRCD, to ground the analysis conducted in section four, which will evaluate how this legislation can best be reconciled with this model. In order to do so, section 3.1 will examine the material scope o</w:t>
      </w:r>
      <w:r>
        <w:rPr>
          <w:rStyle w:val="NoneB"/>
        </w:rPr>
        <w:t>f the Directive, its aims and objectives, with 3.2 highlighting its application within a disability context.</w:t>
      </w:r>
    </w:p>
    <w:p w:rsidR="002B6D13" w:rsidRDefault="002B6D13">
      <w:pPr>
        <w:pStyle w:val="BodyA"/>
        <w:suppressAutoHyphens/>
        <w:spacing w:after="80" w:line="480" w:lineRule="auto"/>
        <w:ind w:firstLine="283"/>
        <w:jc w:val="both"/>
        <w:rPr>
          <w:rStyle w:val="None"/>
          <w:b/>
          <w:bCs/>
        </w:rPr>
      </w:pPr>
    </w:p>
    <w:p w:rsidR="002B6D13" w:rsidRDefault="00140BC2">
      <w:pPr>
        <w:pStyle w:val="BodyA"/>
        <w:suppressAutoHyphens/>
        <w:spacing w:after="80" w:line="480" w:lineRule="auto"/>
        <w:jc w:val="both"/>
        <w:rPr>
          <w:rStyle w:val="None"/>
          <w:b/>
          <w:bCs/>
          <w:i/>
          <w:iCs/>
        </w:rPr>
      </w:pPr>
      <w:r>
        <w:rPr>
          <w:rStyle w:val="None"/>
          <w:b/>
          <w:bCs/>
          <w:i/>
          <w:iCs/>
        </w:rPr>
        <w:t>3.1. The Recast Reception Conditions Directive: Aims and Core Provisions</w:t>
      </w:r>
    </w:p>
    <w:p w:rsidR="002B6D13" w:rsidRDefault="00140BC2">
      <w:pPr>
        <w:pStyle w:val="BodyA"/>
        <w:suppressAutoHyphens/>
        <w:spacing w:after="80" w:line="480" w:lineRule="auto"/>
        <w:ind w:firstLine="283"/>
        <w:jc w:val="both"/>
        <w:rPr>
          <w:rStyle w:val="NoneB"/>
        </w:rPr>
      </w:pPr>
      <w:r>
        <w:rPr>
          <w:rStyle w:val="NoneB"/>
        </w:rPr>
        <w:t xml:space="preserve">The original Reception Conditions Directive (RCD), passed in 2003, </w:t>
      </w:r>
      <w:r>
        <w:rPr>
          <w:rStyle w:val="NoneB"/>
        </w:rPr>
        <w:t>sought to establish minimum standards for the reception of asylum seekers within each Member State to which it applied.</w:t>
      </w:r>
      <w:r>
        <w:rPr>
          <w:rStyle w:val="FootnoteReference"/>
        </w:rPr>
        <w:footnoteReference w:id="61"/>
      </w:r>
      <w:r>
        <w:rPr>
          <w:rStyle w:val="NoneB"/>
        </w:rPr>
        <w:t xml:space="preserve"> This was meant to ensure a dignified standard of living in each Member State for such persons,</w:t>
      </w:r>
      <w:r>
        <w:rPr>
          <w:rStyle w:val="FootnoteReference"/>
        </w:rPr>
        <w:footnoteReference w:id="62"/>
      </w:r>
      <w:r>
        <w:rPr>
          <w:rStyle w:val="NoneB"/>
        </w:rPr>
        <w:t xml:space="preserve"> and the material reception conditions i</w:t>
      </w:r>
      <w:r>
        <w:rPr>
          <w:rStyle w:val="NoneB"/>
        </w:rPr>
        <w:t>ncluded within the original Directive were to apply while an asylum seeker awaited the examination of their claim and ensures that applicants have access to housing, food, employment, as well as healthcare. Due to what were considered to be pre-existing fa</w:t>
      </w:r>
      <w:r>
        <w:rPr>
          <w:rStyle w:val="NoneB"/>
        </w:rPr>
        <w:t>ilures within the original laws and policies of the Union in this respect, including the RCD, harmonization through higher legislative standards was required.</w:t>
      </w:r>
      <w:r>
        <w:rPr>
          <w:rStyle w:val="FootnoteReference"/>
        </w:rPr>
        <w:footnoteReference w:id="63"/>
      </w:r>
      <w:r>
        <w:rPr>
          <w:rStyle w:val="NoneB"/>
        </w:rPr>
        <w:t xml:space="preserve"> This led to the adoption, after the entry into force of the Lisbon Treaty and its inclusion of A</w:t>
      </w:r>
      <w:r>
        <w:rPr>
          <w:rStyle w:val="NoneB"/>
        </w:rPr>
        <w:t xml:space="preserve">rticle 78 TFEU, of the RRCD. Consequently, this second generation Directive attempts to respond to the constitutional imperative purported in Article 78 TFEU, which not only requires that the Union ‘develop a common policy on asylum, subsidiary protection </w:t>
      </w:r>
      <w:r>
        <w:rPr>
          <w:rStyle w:val="NoneB"/>
        </w:rPr>
        <w:t xml:space="preserve">and temporary protection’, but also that any resulting policy and system must include ‘standards concerning the conditions for the reception of applicants for asylum or subsidiary protection’. </w:t>
      </w:r>
    </w:p>
    <w:p w:rsidR="002B6D13" w:rsidRDefault="00140BC2">
      <w:pPr>
        <w:pStyle w:val="BodyA"/>
        <w:suppressAutoHyphens/>
        <w:spacing w:after="80" w:line="480" w:lineRule="auto"/>
        <w:ind w:firstLine="283"/>
        <w:jc w:val="both"/>
        <w:rPr>
          <w:rStyle w:val="NoneB"/>
        </w:rPr>
      </w:pPr>
      <w:r>
        <w:rPr>
          <w:rStyle w:val="NoneB"/>
        </w:rPr>
        <w:t>The Commission, in underscoring the ‘wide margin of discretion</w:t>
      </w:r>
      <w:r>
        <w:rPr>
          <w:rStyle w:val="NoneB"/>
        </w:rPr>
        <w:t xml:space="preserve"> granted to Member States in implementing [the original RCD]’ which ‘could lead to policies that might be perceived as not being fully in line with fundamental rights established by the EU Charter of Fundamental Rights as well as the International Covenant</w:t>
      </w:r>
      <w:r>
        <w:rPr>
          <w:rStyle w:val="NoneB"/>
        </w:rPr>
        <w:t xml:space="preserve"> on Economic, Social and Cultural Rights, the UN Convention on the Rights of the Child, and the UN Convention Against Torture’,</w:t>
      </w:r>
      <w:r>
        <w:rPr>
          <w:rStyle w:val="FootnoteReference"/>
        </w:rPr>
        <w:footnoteReference w:id="64"/>
      </w:r>
      <w:r>
        <w:rPr>
          <w:rStyle w:val="NoneB"/>
        </w:rPr>
        <w:t xml:space="preserve"> not only embraced the idea of a better, but still relatively low, level of harmonization across the EU but also highlighted tha</w:t>
      </w:r>
      <w:r>
        <w:rPr>
          <w:rStyle w:val="NoneB"/>
        </w:rPr>
        <w:t xml:space="preserve">t such </w:t>
      </w:r>
      <w:r>
        <w:rPr>
          <w:rStyle w:val="NoneB"/>
        </w:rPr>
        <w:lastRenderedPageBreak/>
        <w:t xml:space="preserve">harmonization was </w:t>
      </w:r>
      <w:r>
        <w:rPr>
          <w:rStyle w:val="None"/>
          <w:i/>
          <w:iCs/>
        </w:rPr>
        <w:t>inter alia</w:t>
      </w:r>
      <w:r>
        <w:rPr>
          <w:rStyle w:val="NoneB"/>
        </w:rPr>
        <w:t xml:space="preserve"> necessary to ensure compliance with the Charter and international human rights standards. In that regard, the Commission highlighted the importance of international law foreshadowing the eventual accession of the Union t</w:t>
      </w:r>
      <w:r>
        <w:rPr>
          <w:rStyle w:val="NoneB"/>
        </w:rPr>
        <w:t>o the CRPD and its importance from an interpretive perspective. In the RRCD text, however, recital 9 of the Preamble does not mention the CRPD. Rather, it states that, in applying the Directive Member States should seek to ensure full compliance with the p</w:t>
      </w:r>
      <w:r>
        <w:rPr>
          <w:rStyle w:val="NoneB"/>
        </w:rPr>
        <w:t>rinciples of the best interests of the child and of family unity, in accordance with the Charter of Fundamental Rights of the European Union (EU CFR), the 1989 United Nations Convention on the Rights of the Child and the ECHR respectively. The reference to</w:t>
      </w:r>
      <w:r>
        <w:rPr>
          <w:rStyle w:val="NoneB"/>
        </w:rPr>
        <w:t xml:space="preserve"> the ECHR pays tribute to the special significance that this Convention displays in the EU legal order, as recalled in the introduction to this article. The explicit inclusion of the Convention on the Rights of the Child (CRC) may be explained as reinforci</w:t>
      </w:r>
      <w:r>
        <w:rPr>
          <w:rStyle w:val="NoneB"/>
        </w:rPr>
        <w:t>ng the principle of protection of the rights of the child, which is embedded in Article 3(3) TEU, listing the objectives of the EU, and in Article 24 EU CFR. Moreover, the arrival of several children, including unaccompanied children, has presented a signi</w:t>
      </w:r>
      <w:r>
        <w:rPr>
          <w:rStyle w:val="NoneB"/>
        </w:rPr>
        <w:t xml:space="preserve">ficant challenge for the EU, and the reference to the CRC, aims to stimulate national systems and administrations to align their child protection systems to international standards. In 2017, the Council of the European Union and the representatives of the </w:t>
      </w:r>
      <w:r>
        <w:rPr>
          <w:rStyle w:val="NoneB"/>
        </w:rPr>
        <w:t>Member States adopted the Conclusions on the protection of children in migration.</w:t>
      </w:r>
      <w:r>
        <w:rPr>
          <w:rStyle w:val="FootnoteReference"/>
        </w:rPr>
        <w:footnoteReference w:id="65"/>
      </w:r>
      <w:r>
        <w:rPr>
          <w:rStyle w:val="NoneB"/>
        </w:rPr>
        <w:t xml:space="preserve"> In that document they reaffirmed that children in a migration context have the right to be protected, in line with relevant provisions of EU law, including the EU Charter, a</w:t>
      </w:r>
      <w:r>
        <w:rPr>
          <w:rStyle w:val="NoneB"/>
        </w:rPr>
        <w:t>nd with international law on the rights of the child. However, it remains an interesting point of contention that a constitutional reference to a principle within a non-ratified international treaty would warrant a greater level of inclusion in ordinary le</w:t>
      </w:r>
      <w:r>
        <w:rPr>
          <w:rStyle w:val="NoneB"/>
        </w:rPr>
        <w:t>gislation and EU-level policy</w:t>
      </w:r>
      <w:r>
        <w:rPr>
          <w:rStyle w:val="FootnoteReference"/>
        </w:rPr>
        <w:footnoteReference w:id="66"/>
      </w:r>
      <w:r>
        <w:rPr>
          <w:rStyle w:val="NoneB"/>
        </w:rPr>
        <w:t xml:space="preserve"> than a convention to which the EU is party, like the CRPD.</w:t>
      </w:r>
    </w:p>
    <w:p w:rsidR="002B6D13" w:rsidRDefault="00140BC2">
      <w:pPr>
        <w:pStyle w:val="BodyA"/>
        <w:suppressAutoHyphens/>
        <w:spacing w:after="80" w:line="480" w:lineRule="auto"/>
        <w:ind w:firstLine="283"/>
        <w:jc w:val="both"/>
        <w:rPr>
          <w:rStyle w:val="NoneB"/>
        </w:rPr>
      </w:pPr>
      <w:r>
        <w:rPr>
          <w:rStyle w:val="NoneB"/>
        </w:rPr>
        <w:lastRenderedPageBreak/>
        <w:t xml:space="preserve">The failure to include an explicit mention of the CRPD at the very least may be considered a missed opportunity. The general allusion, in recital 10 of the Preamble, </w:t>
      </w:r>
      <w:r>
        <w:rPr>
          <w:rStyle w:val="NoneB"/>
        </w:rPr>
        <w:t>to the fact that ‘[w]ith respect to the treatment of persons falling within the scope of this Directive, Member States are bound by obligations under instruments of international law to which they are party’ might somewhat fill the gap and support the inte</w:t>
      </w:r>
      <w:r>
        <w:rPr>
          <w:rStyle w:val="NoneB"/>
        </w:rPr>
        <w:t>rpretation of the RRCD in light of the Convention. The RRCD, within its preamble, also establishes as its central aim that of mandating higher standards than its predecessor,</w:t>
      </w:r>
      <w:r>
        <w:rPr>
          <w:rStyle w:val="FootnoteReference"/>
        </w:rPr>
        <w:footnoteReference w:id="67"/>
      </w:r>
      <w:r>
        <w:rPr>
          <w:rStyle w:val="NoneB"/>
        </w:rPr>
        <w:t xml:space="preserve"> with the acknowledgment that Member States may still continue to adopt more favo</w:t>
      </w:r>
      <w:r>
        <w:rPr>
          <w:rStyle w:val="NoneB"/>
        </w:rPr>
        <w:t>rable standards for asylum seekers and persons seeking international protection than those included within it.</w:t>
      </w:r>
      <w:r>
        <w:rPr>
          <w:rStyle w:val="FootnoteReference"/>
        </w:rPr>
        <w:footnoteReference w:id="68"/>
      </w:r>
      <w:r>
        <w:rPr>
          <w:rStyle w:val="NoneB"/>
        </w:rPr>
        <w:t xml:space="preserve"> The rationale for the RRCD is that harmonization of conditions for the reception of asylum applicants ‘should help to limit the secondary moveme</w:t>
      </w:r>
      <w:r>
        <w:rPr>
          <w:rStyle w:val="NoneB"/>
        </w:rPr>
        <w:t>nts of applicants influenced by the variety of conditions for their reception’.</w:t>
      </w:r>
      <w:r>
        <w:rPr>
          <w:rStyle w:val="FootnoteReference"/>
        </w:rPr>
        <w:footnoteReference w:id="69"/>
      </w:r>
      <w:r>
        <w:rPr>
          <w:rStyle w:val="NoneB"/>
        </w:rPr>
        <w:t xml:space="preserve"> </w:t>
      </w:r>
    </w:p>
    <w:p w:rsidR="002B6D13" w:rsidRDefault="00140BC2">
      <w:pPr>
        <w:pStyle w:val="BodyA"/>
        <w:suppressAutoHyphens/>
        <w:spacing w:after="80" w:line="480" w:lineRule="auto"/>
        <w:ind w:firstLine="283"/>
        <w:jc w:val="both"/>
        <w:rPr>
          <w:rStyle w:val="NoneB"/>
        </w:rPr>
      </w:pPr>
      <w:r>
        <w:rPr>
          <w:rStyle w:val="NoneB"/>
        </w:rPr>
        <w:t xml:space="preserve">For an individual to fall within the material scope of the RRCD, they must have: made or lodged an application for international protection of one form or another; for which </w:t>
      </w:r>
      <w:r>
        <w:rPr>
          <w:rStyle w:val="NoneB"/>
        </w:rPr>
        <w:t>they have not yet received a final determination; and which allows them to stay within the territory of the state until such time as a determination has been made.</w:t>
      </w:r>
      <w:r>
        <w:rPr>
          <w:rStyle w:val="FootnoteReference"/>
        </w:rPr>
        <w:footnoteReference w:id="70"/>
      </w:r>
      <w:r>
        <w:rPr>
          <w:rStyle w:val="NoneB"/>
        </w:rPr>
        <w:t xml:space="preserve"> The RRCD provides for: the recognition of a dignified standard of living;</w:t>
      </w:r>
      <w:r>
        <w:rPr>
          <w:rStyle w:val="FootnoteReference"/>
        </w:rPr>
        <w:footnoteReference w:id="71"/>
      </w:r>
      <w:r>
        <w:rPr>
          <w:rStyle w:val="NoneB"/>
        </w:rPr>
        <w:t xml:space="preserve"> an extremely qua</w:t>
      </w:r>
      <w:r>
        <w:rPr>
          <w:rStyle w:val="NoneB"/>
        </w:rPr>
        <w:t>lified set of freedom of movement rights;</w:t>
      </w:r>
      <w:r>
        <w:rPr>
          <w:rStyle w:val="FootnoteReference"/>
        </w:rPr>
        <w:footnoteReference w:id="72"/>
      </w:r>
      <w:r>
        <w:rPr>
          <w:rStyle w:val="NoneB"/>
        </w:rPr>
        <w:t xml:space="preserve"> the right to be provided with some form of shelter;</w:t>
      </w:r>
      <w:r>
        <w:rPr>
          <w:rStyle w:val="FootnoteReference"/>
        </w:rPr>
        <w:footnoteReference w:id="73"/>
      </w:r>
      <w:r>
        <w:rPr>
          <w:rStyle w:val="NoneB"/>
        </w:rPr>
        <w:t xml:space="preserve"> material reception conditions (which include housing, food and clothing provided in kind, or as financial allowances or in vouchers, or a combination of the thr</w:t>
      </w:r>
      <w:r>
        <w:rPr>
          <w:rStyle w:val="NoneB"/>
        </w:rPr>
        <w:t xml:space="preserve">ee, and a daily </w:t>
      </w:r>
      <w:r>
        <w:rPr>
          <w:rStyle w:val="NoneB"/>
        </w:rPr>
        <w:lastRenderedPageBreak/>
        <w:t>expenses allowance);</w:t>
      </w:r>
      <w:r>
        <w:rPr>
          <w:rStyle w:val="FootnoteReference"/>
        </w:rPr>
        <w:footnoteReference w:id="74"/>
      </w:r>
      <w:r>
        <w:rPr>
          <w:rStyle w:val="NoneB"/>
        </w:rPr>
        <w:t xml:space="preserve"> a qualified right to education for children under 18 years of age;</w:t>
      </w:r>
      <w:r>
        <w:rPr>
          <w:rStyle w:val="FootnoteReference"/>
        </w:rPr>
        <w:footnoteReference w:id="75"/>
      </w:r>
      <w:r>
        <w:rPr>
          <w:rStyle w:val="NoneB"/>
        </w:rPr>
        <w:t xml:space="preserve"> provisions for the protection of particularly vulnerable asylum seekers;</w:t>
      </w:r>
      <w:r>
        <w:rPr>
          <w:rStyle w:val="FootnoteReference"/>
        </w:rPr>
        <w:footnoteReference w:id="76"/>
      </w:r>
      <w:r>
        <w:rPr>
          <w:rStyle w:val="NoneB"/>
        </w:rPr>
        <w:t xml:space="preserve"> and a limited right to work.</w:t>
      </w:r>
      <w:r>
        <w:rPr>
          <w:rStyle w:val="FootnoteReference"/>
        </w:rPr>
        <w:footnoteReference w:id="77"/>
      </w:r>
      <w:r>
        <w:rPr>
          <w:rStyle w:val="NoneB"/>
        </w:rPr>
        <w:t xml:space="preserve"> </w:t>
      </w:r>
    </w:p>
    <w:p w:rsidR="002B6D13" w:rsidRDefault="00140BC2">
      <w:pPr>
        <w:pStyle w:val="BodyA"/>
        <w:suppressAutoHyphens/>
        <w:spacing w:after="80" w:line="480" w:lineRule="auto"/>
        <w:ind w:firstLine="283"/>
        <w:jc w:val="both"/>
        <w:rPr>
          <w:rStyle w:val="NoneB"/>
        </w:rPr>
      </w:pPr>
      <w:r>
        <w:rPr>
          <w:rStyle w:val="NoneB"/>
        </w:rPr>
        <w:t xml:space="preserve">With regard to the scope </w:t>
      </w:r>
      <w:r>
        <w:rPr>
          <w:rStyle w:val="None"/>
          <w:i/>
          <w:iCs/>
        </w:rPr>
        <w:t>ratione temporis</w:t>
      </w:r>
      <w:r>
        <w:rPr>
          <w:rStyle w:val="NoneB"/>
        </w:rPr>
        <w:t xml:space="preserve"> of </w:t>
      </w:r>
      <w:r>
        <w:rPr>
          <w:rStyle w:val="NoneB"/>
        </w:rPr>
        <w:t>the RRCD, the CJEU has consistently held, since the entry into force of the RCD, that the period during which the material reception conditions must be granted by the Member State to the applicant commences when the asylum seeker applies for asylum.</w:t>
      </w:r>
      <w:r>
        <w:rPr>
          <w:rStyle w:val="FootnoteReference"/>
        </w:rPr>
        <w:footnoteReference w:id="78"/>
      </w:r>
      <w:r>
        <w:rPr>
          <w:rStyle w:val="NoneB"/>
        </w:rPr>
        <w:t xml:space="preserve"> In</w:t>
      </w:r>
      <w:r>
        <w:rPr>
          <w:rStyle w:val="None"/>
          <w:i/>
          <w:iCs/>
        </w:rPr>
        <w:t xml:space="preserve"> Sa</w:t>
      </w:r>
      <w:r>
        <w:rPr>
          <w:rStyle w:val="None"/>
          <w:i/>
          <w:iCs/>
        </w:rPr>
        <w:t>ciri</w:t>
      </w:r>
      <w:r>
        <w:rPr>
          <w:rStyle w:val="NoneB"/>
        </w:rPr>
        <w:t>, the CJEU made it clear that Article 1 EU CFR, which protects human dignity, preclude the asylum seeker from being deprived, even for a temporary period of time after the making of the application for asylum, of the protection of the minimum standards</w:t>
      </w:r>
      <w:r>
        <w:rPr>
          <w:rStyle w:val="NoneB"/>
        </w:rPr>
        <w:t xml:space="preserve"> laid down by the Directive.</w:t>
      </w:r>
      <w:r>
        <w:rPr>
          <w:rStyle w:val="FootnoteReference"/>
        </w:rPr>
        <w:footnoteReference w:id="79"/>
      </w:r>
      <w:r>
        <w:rPr>
          <w:rStyle w:val="NoneB"/>
        </w:rPr>
        <w:t xml:space="preserve"> </w:t>
      </w:r>
    </w:p>
    <w:p w:rsidR="002B6D13" w:rsidRDefault="00140BC2">
      <w:pPr>
        <w:pStyle w:val="BodyA"/>
        <w:suppressAutoHyphens/>
        <w:spacing w:after="80" w:line="480" w:lineRule="auto"/>
        <w:ind w:firstLine="283"/>
        <w:jc w:val="both"/>
        <w:rPr>
          <w:rStyle w:val="NoneB"/>
        </w:rPr>
      </w:pPr>
      <w:r>
        <w:rPr>
          <w:rStyle w:val="NoneB"/>
        </w:rPr>
        <w:t>Moreover, the RRCD includes provisions on the detention of asylum seekers,</w:t>
      </w:r>
      <w:r>
        <w:rPr>
          <w:rStyle w:val="FootnoteReference"/>
        </w:rPr>
        <w:footnoteReference w:id="80"/>
      </w:r>
      <w:r>
        <w:rPr>
          <w:rStyle w:val="NoneB"/>
        </w:rPr>
        <w:t xml:space="preserve"> as well as a number of norms on the reduction or withdrawal of material reception conditions in cases of ‘serious breaches of the rules of the accomm</w:t>
      </w:r>
      <w:r>
        <w:rPr>
          <w:rStyle w:val="NoneB"/>
        </w:rPr>
        <w:t>odation centres’ or ‘seriously violent behaviour’.</w:t>
      </w:r>
      <w:r>
        <w:rPr>
          <w:rStyle w:val="FootnoteReference"/>
        </w:rPr>
        <w:footnoteReference w:id="81"/>
      </w:r>
      <w:r>
        <w:rPr>
          <w:rStyle w:val="NoneB"/>
        </w:rPr>
        <w:t xml:space="preserve"> However, Article 20(5) of the RRCD states that such a decision for reduction or withdrawal of material reception conditions must ‘under all circumstances’ ensure a dignified standard of living for all app</w:t>
      </w:r>
      <w:r>
        <w:rPr>
          <w:rStyle w:val="NoneB"/>
        </w:rPr>
        <w:t>licants. Recently, Advocate General Campos Sánchez-Bordona made it clear that Member States have some room to maneuver when deciding over the withdrawal of material conditions considering the nature and the level of seriousness of the act.</w:t>
      </w:r>
      <w:r>
        <w:rPr>
          <w:rStyle w:val="FootnoteReference"/>
        </w:rPr>
        <w:footnoteReference w:id="82"/>
      </w:r>
      <w:r>
        <w:rPr>
          <w:rStyle w:val="NoneB"/>
        </w:rPr>
        <w:t xml:space="preserve"> Moreover, Membe</w:t>
      </w:r>
      <w:r>
        <w:rPr>
          <w:rStyle w:val="NoneB"/>
        </w:rPr>
        <w:t>r States can take account of the factual circumstances in which the act in question was committed. Nonetheless, the decision for reduction or withdrawal of material reception conditions must be objective, motivated and must be adopted impartially. Similarl</w:t>
      </w:r>
      <w:r>
        <w:rPr>
          <w:rStyle w:val="NoneB"/>
        </w:rPr>
        <w:t>y, ‘it must be proportionate and must be adopted following an individual examination, in which the particular situation and the specific needs of vulnerable persons are taken into account’.</w:t>
      </w:r>
      <w:r>
        <w:rPr>
          <w:rStyle w:val="FootnoteReference"/>
        </w:rPr>
        <w:footnoteReference w:id="83"/>
      </w:r>
      <w:r>
        <w:rPr>
          <w:rStyle w:val="NoneB"/>
        </w:rPr>
        <w:t xml:space="preserve"> </w:t>
      </w:r>
    </w:p>
    <w:p w:rsidR="002B6D13" w:rsidRDefault="00140BC2">
      <w:pPr>
        <w:pStyle w:val="BodyA"/>
        <w:suppressAutoHyphens/>
        <w:spacing w:after="80" w:line="480" w:lineRule="auto"/>
        <w:ind w:firstLine="283"/>
        <w:jc w:val="both"/>
        <w:rPr>
          <w:rStyle w:val="Hyperlink1"/>
        </w:rPr>
      </w:pPr>
      <w:r>
        <w:rPr>
          <w:rStyle w:val="NoneB"/>
        </w:rPr>
        <w:t>On the whole, despite the RRCD attempting to raise the obligatio</w:t>
      </w:r>
      <w:r>
        <w:rPr>
          <w:rStyle w:val="NoneB"/>
        </w:rPr>
        <w:t>ns placed upon Member States in respect of asylum seekers and persons seeking humanitarian protection, the leeway that Member States have is still considerable, leading to large discrepancies in the implementation of the Directive as showed by the European</w:t>
      </w:r>
      <w:r>
        <w:rPr>
          <w:rStyle w:val="NoneB"/>
        </w:rPr>
        <w:t xml:space="preserve"> Council on Refugees and Exiles (ECRE) in the Asylum Information Database.</w:t>
      </w:r>
      <w:r>
        <w:rPr>
          <w:rStyle w:val="FootnoteReference"/>
        </w:rPr>
        <w:footnoteReference w:id="84"/>
      </w:r>
      <w:r>
        <w:rPr>
          <w:rStyle w:val="NoneB"/>
        </w:rPr>
        <w:t xml:space="preserve"> In that vein, Sliga highlights that is the direct consequence of the RRCD being ‘based on two potentially conflicting policy objectives that lie at its basis, namely, the protectio</w:t>
      </w:r>
      <w:r>
        <w:rPr>
          <w:rStyle w:val="NoneB"/>
        </w:rPr>
        <w:t>n of fundamental rights and migration management objectives’.</w:t>
      </w:r>
      <w:r>
        <w:rPr>
          <w:rStyle w:val="FootnoteReference"/>
        </w:rPr>
        <w:footnoteReference w:id="85"/>
      </w:r>
      <w:r>
        <w:rPr>
          <w:rStyle w:val="NoneB"/>
        </w:rPr>
        <w:t xml:space="preserve"> The limited amount of case law directly related to the RRCD, most of those focusing on detention of applicants and procedural guarantees, also testifies the wide margin that Member States have </w:t>
      </w:r>
      <w:r>
        <w:rPr>
          <w:rStyle w:val="NoneB"/>
        </w:rPr>
        <w:t>in fulfilling the Directive’s aims.</w:t>
      </w:r>
      <w:r>
        <w:rPr>
          <w:rStyle w:val="FootnoteReference"/>
        </w:rPr>
        <w:footnoteReference w:id="86"/>
      </w:r>
      <w:r>
        <w:rPr>
          <w:rStyle w:val="NoneB"/>
        </w:rPr>
        <w:t xml:space="preserve"> This scant case law confirms that the RRCD is focused more on ensuring basic procedural rights and providing a minimum threshold,</w:t>
      </w:r>
      <w:r>
        <w:rPr>
          <w:rStyle w:val="FootnoteReference"/>
        </w:rPr>
        <w:footnoteReference w:id="87"/>
      </w:r>
      <w:r>
        <w:rPr>
          <w:rStyle w:val="Hyperlink1"/>
        </w:rPr>
        <w:t xml:space="preserve"> rather than creating an effective and substantive guarantee of asylum seekers’ rights.</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None"/>
          <w:b/>
          <w:bCs/>
          <w:i/>
          <w:iCs/>
        </w:rPr>
      </w:pPr>
      <w:r>
        <w:rPr>
          <w:rStyle w:val="None"/>
          <w:b/>
          <w:bCs/>
          <w:i/>
          <w:iCs/>
        </w:rPr>
        <w:t>3.2. Disability in the Recast Reception Conditions Directive</w:t>
      </w:r>
    </w:p>
    <w:p w:rsidR="002B6D13" w:rsidRDefault="00140BC2">
      <w:pPr>
        <w:pStyle w:val="BodyA"/>
        <w:suppressAutoHyphens/>
        <w:spacing w:after="80" w:line="480" w:lineRule="auto"/>
        <w:ind w:firstLine="283"/>
        <w:jc w:val="both"/>
        <w:rPr>
          <w:rStyle w:val="Hyperlink1"/>
        </w:rPr>
      </w:pPr>
      <w:r>
        <w:rPr>
          <w:rStyle w:val="Hyperlink1"/>
        </w:rPr>
        <w:t>The RRCD includes several, direct and indirect, references to disability. Notably, the RRCD recognizes that asylum seekers with disabilities experience a degree of inherent vulnerability.</w:t>
      </w:r>
      <w:r>
        <w:rPr>
          <w:rStyle w:val="FootnoteReference"/>
        </w:rPr>
        <w:footnoteReference w:id="88"/>
      </w:r>
      <w:r>
        <w:rPr>
          <w:rStyle w:val="Hyperlink1"/>
        </w:rPr>
        <w:t xml:space="preserve"> In tha</w:t>
      </w:r>
      <w:r>
        <w:rPr>
          <w:rStyle w:val="Hyperlink1"/>
        </w:rPr>
        <w:t>t respect, interestingly, the Directive refers to vulnerability as a condition that gives rise to special (individual) needs.</w:t>
      </w:r>
      <w:r>
        <w:rPr>
          <w:rStyle w:val="FootnoteReference"/>
        </w:rPr>
        <w:footnoteReference w:id="89"/>
      </w:r>
      <w:r>
        <w:rPr>
          <w:rStyle w:val="Hyperlink1"/>
        </w:rPr>
        <w:t xml:space="preserve"> On the one hand, recital 14 of the Preamble makes reference to ‘persons with special reception needs’, who ‘should be a primary c</w:t>
      </w:r>
      <w:r>
        <w:rPr>
          <w:rStyle w:val="Hyperlink1"/>
        </w:rPr>
        <w:t>oncern for national authorities in order to ensure that such reception is specifically designed to meet their special reception needs’. On the other, Article 2 defines ‘applicants with special reception needs’ as vulnerable persons who are in need ‘of spec</w:t>
      </w:r>
      <w:r>
        <w:rPr>
          <w:rStyle w:val="Hyperlink1"/>
        </w:rPr>
        <w:t xml:space="preserve">ial guarantees in order to benefit from the rights and comply with the obligations provided for in this Directive’. </w:t>
      </w:r>
    </w:p>
    <w:p w:rsidR="002B6D13" w:rsidRDefault="00140BC2">
      <w:pPr>
        <w:pStyle w:val="BodyA"/>
        <w:suppressAutoHyphens/>
        <w:spacing w:after="80" w:line="480" w:lineRule="auto"/>
        <w:ind w:firstLine="283"/>
        <w:jc w:val="both"/>
        <w:rPr>
          <w:rStyle w:val="Hyperlink1"/>
        </w:rPr>
      </w:pPr>
      <w:r>
        <w:rPr>
          <w:rStyle w:val="Hyperlink1"/>
        </w:rPr>
        <w:t>Chapter IV of the RRCD deals more extensively with ‘vulnerable persons’. It includes an open ended list of those who would fall within this</w:t>
      </w:r>
      <w:r>
        <w:rPr>
          <w:rStyle w:val="Hyperlink1"/>
        </w:rPr>
        <w:t xml:space="preserve"> category, such as ‘minors, unaccompanied minors, disabled people, elderly people, pregnant women, single parents with minor children, victims of human trafficking, persons with serious illnesses, persons with mental disorders and persons who have been sub</w:t>
      </w:r>
      <w:r>
        <w:rPr>
          <w:rStyle w:val="Hyperlink1"/>
        </w:rPr>
        <w:t>jected to torture, rape or other serious forms of psychological, physical or sexual violence, such as victims of female genital mutilation, in the national law implementing this Directive’. Member States are under an obligation to assess the needs of vulne</w:t>
      </w:r>
      <w:r>
        <w:rPr>
          <w:rStyle w:val="Hyperlink1"/>
        </w:rPr>
        <w:t>rable persons, including those of persons with a disability. By virtue of Article 22 RRCD,</w:t>
      </w:r>
      <w:r>
        <w:rPr>
          <w:rStyle w:val="None"/>
          <w:u w:color="444444"/>
          <w:shd w:val="clear" w:color="auto" w:fill="FFFFFF"/>
        </w:rPr>
        <w:t xml:space="preserve"> ‘</w:t>
      </w:r>
      <w:r>
        <w:rPr>
          <w:rStyle w:val="Hyperlink1"/>
        </w:rPr>
        <w:t xml:space="preserve">that assessment shall be initiated within a reasonable period of time after an application for international protection is made and may be integrated into existing </w:t>
      </w:r>
      <w:r>
        <w:rPr>
          <w:rStyle w:val="Hyperlink1"/>
        </w:rPr>
        <w:t xml:space="preserve">national procedures’. However, where the Member State in question becomes aware of a potential vulnerability at a later date in the application process, they are also under an obligation to conduct an assessment. Even though this is an innovation compared </w:t>
      </w:r>
      <w:r>
        <w:rPr>
          <w:rStyle w:val="Hyperlink1"/>
        </w:rPr>
        <w:t>to the original Directive, which imposed no such direct duty on Member States and consequently left it open for them to avoid this duty entirely, the lack of specificity within the RRCD, which will be discussed in Section 4, remains troubling. Moreover, Me</w:t>
      </w:r>
      <w:r>
        <w:rPr>
          <w:rStyle w:val="Hyperlink1"/>
        </w:rPr>
        <w:t>mber States shall ‘ensure that the support provided to applicants with special reception needs in accordance with this Directive takes into account their special reception needs throughout the duration of the asylum procedure’. With regard to material rece</w:t>
      </w:r>
      <w:r>
        <w:rPr>
          <w:rStyle w:val="Hyperlink1"/>
        </w:rPr>
        <w:t>ption conditions, Member States must consider ‘gender and age-specific concerns and the situation of vulnerable persons in relation to applicants within the premises and accommodation centres’. Member States should also ensure that ‘dependent adult applica</w:t>
      </w:r>
      <w:r>
        <w:rPr>
          <w:rStyle w:val="Hyperlink1"/>
        </w:rPr>
        <w:t xml:space="preserve">nts with special reception needs are accommodated together with close adult relatives’. The Directive engages with somewhat vague terminology, but it would seem to encompass persons with disabilities. Consequently, Conte's suggestion that the scope of the </w:t>
      </w:r>
      <w:r>
        <w:rPr>
          <w:rStyle w:val="Hyperlink1"/>
        </w:rPr>
        <w:t>RRCD places an obligation on Member States to ‘accommodate the... needs of applicants with disabilities’</w:t>
      </w:r>
      <w:r>
        <w:rPr>
          <w:rStyle w:val="FootnoteReference"/>
        </w:rPr>
        <w:footnoteReference w:id="90"/>
      </w:r>
      <w:r>
        <w:rPr>
          <w:rStyle w:val="Hyperlink1"/>
        </w:rPr>
        <w:t xml:space="preserve"> would appear to ring true from a surface level reading of the text, and could be substantially assimilated to a duty to provide reasonable accommodati</w:t>
      </w:r>
      <w:r>
        <w:rPr>
          <w:rStyle w:val="Hyperlink1"/>
        </w:rPr>
        <w:t xml:space="preserve">on within the meaning of Article 2 CRPD. </w:t>
      </w:r>
    </w:p>
    <w:p w:rsidR="002B6D13" w:rsidRDefault="00140BC2">
      <w:pPr>
        <w:pStyle w:val="BodyA"/>
        <w:suppressAutoHyphens/>
        <w:spacing w:after="80" w:line="480" w:lineRule="auto"/>
        <w:ind w:firstLine="283"/>
        <w:jc w:val="both"/>
        <w:rPr>
          <w:rStyle w:val="Hyperlink1"/>
        </w:rPr>
      </w:pPr>
      <w:r>
        <w:rPr>
          <w:rStyle w:val="Hyperlink1"/>
        </w:rPr>
        <w:t>The RRCD also includes several references to medical and psychological care which must be provided to victims of torture, rape or other serious acts of violence, as well as reference to the need of ensuring the phy</w:t>
      </w:r>
      <w:r>
        <w:rPr>
          <w:rStyle w:val="Hyperlink1"/>
        </w:rPr>
        <w:t>sical and psychological integrity of the applicants.</w:t>
      </w:r>
      <w:r>
        <w:rPr>
          <w:rStyle w:val="FootnoteReference"/>
        </w:rPr>
        <w:footnoteReference w:id="91"/>
      </w:r>
      <w:r>
        <w:rPr>
          <w:rStyle w:val="Hyperlink1"/>
        </w:rPr>
        <w:t xml:space="preserve"> Moreover, when vulnerable applicants are detained, their health, including mental health, ‘shall be of primary concern to national authorities’,</w:t>
      </w:r>
      <w:r>
        <w:rPr>
          <w:rStyle w:val="FootnoteReference"/>
        </w:rPr>
        <w:footnoteReference w:id="92"/>
      </w:r>
      <w:r>
        <w:rPr>
          <w:rStyle w:val="Hyperlink1"/>
        </w:rPr>
        <w:t xml:space="preserve"> and Member States shall ensure regular monitoring and ad</w:t>
      </w:r>
      <w:r>
        <w:rPr>
          <w:rStyle w:val="Hyperlink1"/>
        </w:rPr>
        <w:t xml:space="preserve">equate support taking into account their particular situation, including their health. Article 19 (on health) stipulates the duty for Member States to ‘provide necessary medical or other assistance to applicants who have special reception needs, including </w:t>
      </w:r>
      <w:r>
        <w:rPr>
          <w:rStyle w:val="Hyperlink1"/>
        </w:rPr>
        <w:t>appropriate mental health care where needed’.</w:t>
      </w:r>
    </w:p>
    <w:p w:rsidR="002B6D13" w:rsidRDefault="00140BC2">
      <w:pPr>
        <w:pStyle w:val="BodyA"/>
        <w:suppressAutoHyphens/>
        <w:spacing w:after="80" w:line="480" w:lineRule="auto"/>
        <w:ind w:firstLine="283"/>
        <w:jc w:val="both"/>
        <w:rPr>
          <w:rStyle w:val="Hyperlink1"/>
        </w:rPr>
      </w:pPr>
      <w:r>
        <w:rPr>
          <w:rStyle w:val="Hyperlink1"/>
        </w:rPr>
        <w:t>On the whole, the RRCD acknowledges that persons with disabilities must be accommodated in order for them to be able to enjoy their rights, and places distinct obligations on the Member States, but does not eng</w:t>
      </w:r>
      <w:r>
        <w:rPr>
          <w:rStyle w:val="Hyperlink1"/>
        </w:rPr>
        <w:t>age with the concept of reasonable accommodation, nor with accessibility or equality as such.</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None"/>
          <w:b/>
          <w:bCs/>
        </w:rPr>
      </w:pPr>
      <w:r>
        <w:rPr>
          <w:rStyle w:val="None"/>
          <w:b/>
          <w:bCs/>
        </w:rPr>
        <w:t>4. Embedding the Human Rights Model of Disability in the Recast Reception Condition Directives</w:t>
      </w:r>
    </w:p>
    <w:p w:rsidR="002B6D13" w:rsidRDefault="00140BC2">
      <w:pPr>
        <w:pStyle w:val="BodyA"/>
        <w:suppressAutoHyphens/>
        <w:spacing w:after="80" w:line="480" w:lineRule="auto"/>
        <w:ind w:firstLine="283"/>
        <w:jc w:val="both"/>
        <w:rPr>
          <w:rStyle w:val="Hyperlink1"/>
        </w:rPr>
      </w:pPr>
      <w:r>
        <w:rPr>
          <w:rStyle w:val="Hyperlink1"/>
        </w:rPr>
        <w:t>Whilst '[t]he Reception Directive… represents an important step fo</w:t>
      </w:r>
      <w:r>
        <w:rPr>
          <w:rStyle w:val="Hyperlink1"/>
        </w:rPr>
        <w:t>rward for the international protection of refugees with disabilities’,</w:t>
      </w:r>
      <w:r>
        <w:rPr>
          <w:rStyle w:val="FootnoteReference"/>
        </w:rPr>
        <w:footnoteReference w:id="93"/>
      </w:r>
      <w:r>
        <w:rPr>
          <w:rStyle w:val="Hyperlink1"/>
        </w:rPr>
        <w:t xml:space="preserve"> especially when compared with other legislation forming part of the CEAS, the RRCD is still quite limited in terms of ensuring the rights of persons with disabilities. This becomes mor</w:t>
      </w:r>
      <w:r>
        <w:rPr>
          <w:rStyle w:val="Hyperlink1"/>
        </w:rPr>
        <w:t xml:space="preserve">e pronounced when one assesses the RRCD </w:t>
      </w:r>
      <w:r>
        <w:rPr>
          <w:rStyle w:val="None"/>
          <w:i/>
          <w:iCs/>
        </w:rPr>
        <w:t>vis a vis</w:t>
      </w:r>
      <w:r>
        <w:rPr>
          <w:rStyle w:val="Hyperlink1"/>
        </w:rPr>
        <w:t xml:space="preserve"> the CRPD, as Conte highlighted.</w:t>
      </w:r>
      <w:r>
        <w:rPr>
          <w:rStyle w:val="FootnoteReference"/>
        </w:rPr>
        <w:footnoteReference w:id="94"/>
      </w:r>
      <w:r>
        <w:rPr>
          <w:rStyle w:val="Hyperlink1"/>
        </w:rPr>
        <w:t xml:space="preserve"> If one looks at the human rights model as a theoretical framework, the gaps within the RRCD are even more evident. This section discusses both those gaps and the extent to w</w:t>
      </w:r>
      <w:r>
        <w:rPr>
          <w:rStyle w:val="Hyperlink1"/>
        </w:rPr>
        <w:t>hich the human rights model of disability, if used as an interpretive lens, might support the tightening of some of the protections the RRCD offers to best accommodate the needs of persons with disabilities.</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None"/>
          <w:b/>
          <w:bCs/>
          <w:i/>
          <w:iCs/>
        </w:rPr>
      </w:pPr>
      <w:r>
        <w:rPr>
          <w:rStyle w:val="None"/>
          <w:b/>
          <w:bCs/>
          <w:i/>
          <w:iCs/>
        </w:rPr>
        <w:t>4.1. Conceptualizing Disability as a Social Con</w:t>
      </w:r>
      <w:r>
        <w:rPr>
          <w:rStyle w:val="None"/>
          <w:b/>
          <w:bCs/>
          <w:i/>
          <w:iCs/>
        </w:rPr>
        <w:t>struct and a ‘Layer of Identity’: Opportunities and Challenges</w:t>
      </w:r>
    </w:p>
    <w:p w:rsidR="002B6D13" w:rsidRDefault="00140BC2">
      <w:pPr>
        <w:pStyle w:val="BodyA"/>
        <w:suppressAutoHyphens/>
        <w:spacing w:after="80" w:line="480" w:lineRule="auto"/>
        <w:ind w:firstLine="283"/>
        <w:jc w:val="both"/>
        <w:rPr>
          <w:rStyle w:val="Hyperlink1"/>
        </w:rPr>
      </w:pPr>
      <w:r>
        <w:rPr>
          <w:rStyle w:val="Hyperlink1"/>
        </w:rPr>
        <w:t>One of the core tenet of the human rights model of disability is, as discussed above in Section Two, an understanding of disability as a socially-constructed identity which interacts and overla</w:t>
      </w:r>
      <w:r>
        <w:rPr>
          <w:rStyle w:val="Hyperlink1"/>
        </w:rPr>
        <w:t xml:space="preserve">ps with other aspects of personal identity. This understanding should inform the interpretation of the RRCD and, consequently, the way in which disability is identified and assessed. </w:t>
      </w:r>
    </w:p>
    <w:p w:rsidR="002B6D13" w:rsidRDefault="00140BC2">
      <w:pPr>
        <w:pStyle w:val="BodyA"/>
        <w:suppressAutoHyphens/>
        <w:spacing w:after="80" w:line="480" w:lineRule="auto"/>
        <w:ind w:firstLine="283"/>
        <w:jc w:val="both"/>
        <w:rPr>
          <w:rStyle w:val="Hyperlink1"/>
        </w:rPr>
      </w:pPr>
      <w:r>
        <w:rPr>
          <w:rStyle w:val="Hyperlink1"/>
        </w:rPr>
        <w:t>On the one hand, the RRCD does not contain a definition of disability or</w:t>
      </w:r>
      <w:r>
        <w:rPr>
          <w:rStyle w:val="Hyperlink1"/>
        </w:rPr>
        <w:t xml:space="preserve"> persons with disabilities. It is also arguable that some of the groups of people indicated, e.g. persons with serious illnesses, persons with mental disorders, could well be considered as persons with disabilities (in light of the open-ended conceptualiza</w:t>
      </w:r>
      <w:r>
        <w:rPr>
          <w:rStyle w:val="Hyperlink1"/>
        </w:rPr>
        <w:t xml:space="preserve">tion included in the CRPD). This textual ambiguity might be overcome by an interpretation that recognizes that disability is a social construct. Such an interpretation, yet to be adopted, is plausible and desirable. The case law of the CJEU as well as the </w:t>
      </w:r>
      <w:r>
        <w:rPr>
          <w:rStyle w:val="Hyperlink1"/>
        </w:rPr>
        <w:t>explicit reference to the wording of Article 1(2) CRPD in most recent legislation</w:t>
      </w:r>
      <w:r>
        <w:rPr>
          <w:rStyle w:val="FootnoteReference"/>
        </w:rPr>
        <w:footnoteReference w:id="95"/>
      </w:r>
      <w:r>
        <w:rPr>
          <w:rStyle w:val="Hyperlink1"/>
        </w:rPr>
        <w:t xml:space="preserve"> constitute a good indicator that the conceptualization of disability embedded in the Convention must be mainstreamed at the EU level. It is true that CJEU case law has, thus</w:t>
      </w:r>
      <w:r>
        <w:rPr>
          <w:rStyle w:val="Hyperlink1"/>
        </w:rPr>
        <w:t xml:space="preserve"> far, been quite limited and concentrated almost exclusively on issues pertaining to employment and equal treatment in the workplace. It is also true that the way in which the Court has addressed disability raised quite a few issues, and it has been claime</w:t>
      </w:r>
      <w:r>
        <w:rPr>
          <w:rStyle w:val="Hyperlink1"/>
        </w:rPr>
        <w:t>d that this pays mere lip service to the spirit and intentions of the CRPD.</w:t>
      </w:r>
      <w:r>
        <w:rPr>
          <w:rStyle w:val="FootnoteReference"/>
        </w:rPr>
        <w:footnoteReference w:id="96"/>
      </w:r>
      <w:r>
        <w:rPr>
          <w:rStyle w:val="Hyperlink1"/>
        </w:rPr>
        <w:t xml:space="preserve"> </w:t>
      </w:r>
    </w:p>
    <w:p w:rsidR="002B6D13" w:rsidRDefault="00140BC2">
      <w:pPr>
        <w:pStyle w:val="BodyA"/>
        <w:suppressAutoHyphens/>
        <w:spacing w:after="80" w:line="480" w:lineRule="auto"/>
        <w:ind w:firstLine="283"/>
        <w:jc w:val="both"/>
        <w:rPr>
          <w:rStyle w:val="Hyperlink1"/>
        </w:rPr>
      </w:pPr>
      <w:r>
        <w:rPr>
          <w:rStyle w:val="Hyperlink1"/>
        </w:rPr>
        <w:t>Due, however, to the general obligation to interpret all EU legislation in light of the CRPD, the human rights model envisaged in it should be of general application where disability issues arise. This means that anyone assessed under Articles 21 and 22 RR</w:t>
      </w:r>
      <w:r>
        <w:rPr>
          <w:rStyle w:val="Hyperlink1"/>
        </w:rPr>
        <w:t>CD must be considered a person with a disability if their impairment in interaction with external barriers hampers their equal participation in society. On the other hand, the Directive does, however, fail to address an important issue that the human right</w:t>
      </w:r>
      <w:r>
        <w:rPr>
          <w:rStyle w:val="Hyperlink1"/>
        </w:rPr>
        <w:t xml:space="preserve">s model embraces: that of intersectionality or the interconnectedness of socially-constructed identities, which is also inherent to the recognition dimension of the concept of inclusive equality. General Comment N. 6 has explicitly stated that ‘disability </w:t>
      </w:r>
      <w:r>
        <w:rPr>
          <w:rStyle w:val="Hyperlink1"/>
        </w:rPr>
        <w:t>is one of several layers of identity’.</w:t>
      </w:r>
      <w:r>
        <w:rPr>
          <w:rStyle w:val="FootnoteReference"/>
        </w:rPr>
        <w:footnoteReference w:id="97"/>
      </w:r>
      <w:r>
        <w:rPr>
          <w:rStyle w:val="Hyperlink1"/>
        </w:rPr>
        <w:t xml:space="preserve"> In that vein, Degener, the leading academic proponent of the human rights model, has affirmed that ‘the human rights model offers room for minority and cultural identification’, allowing for action to be taken agains</w:t>
      </w:r>
      <w:r>
        <w:rPr>
          <w:rStyle w:val="Hyperlink1"/>
        </w:rPr>
        <w:t>t intersectional discrimination.</w:t>
      </w:r>
      <w:r>
        <w:rPr>
          <w:rStyle w:val="FootnoteReference"/>
        </w:rPr>
        <w:footnoteReference w:id="98"/>
      </w:r>
      <w:r>
        <w:rPr>
          <w:rStyle w:val="Hyperlink1"/>
        </w:rPr>
        <w:t xml:space="preserve"> The text of the CRPD explicitly acknowledges that people with disabilities might belong to specific groups on the basis of their gender or age, and in this way, intersectionality is embedded within its text</w:t>
      </w:r>
      <w:r>
        <w:rPr>
          <w:rStyle w:val="FootnoteReference"/>
        </w:rPr>
        <w:footnoteReference w:id="99"/>
      </w:r>
      <w:r>
        <w:rPr>
          <w:rStyle w:val="Hyperlink1"/>
        </w:rPr>
        <w:t xml:space="preserve"> and should be </w:t>
      </w:r>
      <w:r>
        <w:rPr>
          <w:rStyle w:val="Hyperlink1"/>
        </w:rPr>
        <w:t>reflected in any subsequent implementation of it. By contrast, Article 21 RRCD (and more generally the Directive as a whole) ignores those intersections, those more complex forms of identity (e.g. pregnant persons with disabilities, minors with disabilitie</w:t>
      </w:r>
      <w:r>
        <w:rPr>
          <w:rStyle w:val="Hyperlink1"/>
        </w:rPr>
        <w:t>s…). This reflects the general lack of intersectional approach in EU anti-discrimination law, as Schiek has argued.</w:t>
      </w:r>
      <w:r>
        <w:rPr>
          <w:rStyle w:val="FootnoteReference"/>
        </w:rPr>
        <w:footnoteReference w:id="100"/>
      </w:r>
      <w:r>
        <w:rPr>
          <w:rStyle w:val="Hyperlink1"/>
        </w:rPr>
        <w:t xml:space="preserve"> While the concept of vulnerability embraced by the Directive might be interpreted broadly, it seems unlikely that the RRCD can be considere</w:t>
      </w:r>
      <w:r>
        <w:rPr>
          <w:rStyle w:val="Hyperlink1"/>
        </w:rPr>
        <w:t xml:space="preserve">d an instrument capable of intersectional analyses where such cases arise. </w:t>
      </w:r>
    </w:p>
    <w:p w:rsidR="002B6D13" w:rsidRDefault="00140BC2">
      <w:pPr>
        <w:pStyle w:val="BodyA"/>
        <w:suppressAutoHyphens/>
        <w:spacing w:after="80" w:line="480" w:lineRule="auto"/>
        <w:ind w:firstLine="283"/>
        <w:jc w:val="both"/>
        <w:rPr>
          <w:rStyle w:val="NoneB"/>
        </w:rPr>
      </w:pPr>
      <w:r>
        <w:rPr>
          <w:rStyle w:val="NoneA"/>
        </w:rPr>
        <w:t xml:space="preserve">From a practical standpoint, major issues arise in relation to the technical difficulties in firstly ensuring that a person with a disability is assessed, that this is done within </w:t>
      </w:r>
      <w:r>
        <w:rPr>
          <w:rStyle w:val="NoneA"/>
        </w:rPr>
        <w:t>a reasonable period of time, and that the assessment is conducted appropriately. A clear ambiguity exists within the drafting of both Articles 21 and 22 RRCD as to whether they establish the requirement to conduct such assessments as a generalized obligati</w:t>
      </w:r>
      <w:r>
        <w:rPr>
          <w:rStyle w:val="NoneA"/>
        </w:rPr>
        <w:t>on to be fulfilled for each applicant, or as an obligation that presents itself only where Member States authorities are put on notice of the potential for such a disability to exist. If the latter is correct, then, many invisible disabilities may go unnot</w:t>
      </w:r>
      <w:r>
        <w:rPr>
          <w:rStyle w:val="NoneA"/>
        </w:rPr>
        <w:t>iced. Moreover, a burden is placed on the applicants themselves in such instances, as they would need to inform the State that an assessment should be conducted. This, in turn, presupposes that an asylum seeker is in fact aware or is informed of their righ</w:t>
      </w:r>
      <w:r>
        <w:rPr>
          <w:rStyle w:val="NoneA"/>
        </w:rPr>
        <w:t>t for an assessment to take place, or that they view themselves as having a disability. In practice, as recently as 2016, the European Union Agency for Fundamental Rights highlighted that legally defined procedures to identify people with disabilities in r</w:t>
      </w:r>
      <w:r>
        <w:rPr>
          <w:rStyle w:val="NoneA"/>
        </w:rPr>
        <w:t xml:space="preserve">eception and detention centres are lacking, and that many 'people with disabilities are identified on an informal or </w:t>
      </w:r>
      <w:r>
        <w:rPr>
          <w:rStyle w:val="None"/>
          <w:i/>
          <w:iCs/>
        </w:rPr>
        <w:t>ad hoc</w:t>
      </w:r>
      <w:r>
        <w:rPr>
          <w:rStyle w:val="None"/>
          <w:lang w:val="nl-NL"/>
        </w:rPr>
        <w:t xml:space="preserve"> basis’</w:t>
      </w:r>
      <w:r>
        <w:rPr>
          <w:rStyle w:val="NoneA"/>
        </w:rPr>
        <w:t>.</w:t>
      </w:r>
      <w:r>
        <w:rPr>
          <w:rStyle w:val="None"/>
          <w:vertAlign w:val="superscript"/>
        </w:rPr>
        <w:footnoteReference w:id="101"/>
      </w:r>
      <w:r>
        <w:rPr>
          <w:rStyle w:val="NoneA"/>
        </w:rPr>
        <w:t xml:space="preserve"> The </w:t>
      </w:r>
      <w:r>
        <w:rPr>
          <w:rStyle w:val="None"/>
          <w:i/>
          <w:iCs/>
        </w:rPr>
        <w:t>ad hoc</w:t>
      </w:r>
      <w:r>
        <w:rPr>
          <w:rStyle w:val="NoneA"/>
        </w:rPr>
        <w:t xml:space="preserve"> nature of this identification suggests that many ‘people with disabilities remain unidentified in </w:t>
      </w:r>
      <w:r>
        <w:rPr>
          <w:rStyle w:val="NoneA"/>
        </w:rPr>
        <w:t>practice’.</w:t>
      </w:r>
      <w:r>
        <w:rPr>
          <w:rStyle w:val="None"/>
          <w:vertAlign w:val="superscript"/>
        </w:rPr>
        <w:footnoteReference w:id="102"/>
      </w:r>
      <w:r>
        <w:rPr>
          <w:rStyle w:val="NoneA"/>
        </w:rPr>
        <w:t xml:space="preserve"> This ultimately frustrates the need to consider the diversity of people with disability and to protect their dignity. Moreover, without a specific timeframe or definition for what constitutes ‘reasonableness’ in respect of first-instance assess</w:t>
      </w:r>
      <w:r>
        <w:rPr>
          <w:rStyle w:val="NoneA"/>
        </w:rPr>
        <w:t>ments, it is difficult to determine at what point a Member State has failed in its duty to do so. This may, however, be read in light of the duty to provide information of all their rights and obligations within 15 days of lodging their application, implyi</w:t>
      </w:r>
      <w:r>
        <w:rPr>
          <w:rStyle w:val="NoneA"/>
        </w:rPr>
        <w:t xml:space="preserve">ng that the assessment </w:t>
      </w:r>
      <w:r>
        <w:rPr>
          <w:rStyle w:val="None"/>
          <w:i/>
          <w:iCs/>
        </w:rPr>
        <w:t>should</w:t>
      </w:r>
      <w:r>
        <w:rPr>
          <w:rStyle w:val="NoneA"/>
        </w:rPr>
        <w:t xml:space="preserve"> be conducted in the same period. This is particularly true when one considers that Article 22 RRCD should solidify this obligation into something concrete for vulnerable persons, but if the Member State is not aware of the exi</w:t>
      </w:r>
      <w:r>
        <w:rPr>
          <w:rStyle w:val="NoneA"/>
        </w:rPr>
        <w:t>stence of a vulnerability, then it is possible that no obligation arise until such time as they are put on notice. The lack of a specific timeframe would also raise questions regarding whether a potential distinction between having made a claim versus havi</w:t>
      </w:r>
      <w:r>
        <w:rPr>
          <w:rStyle w:val="NoneA"/>
        </w:rPr>
        <w:t xml:space="preserve">ng lodged all documentation necessary for the claim to be assessed in full is the point at which the ‘clock starts’. These practical issues may eventually be assuaged by the CJEU ruling on a case involving the RRCD and CRPD. </w:t>
      </w:r>
    </w:p>
    <w:p w:rsidR="002B6D13" w:rsidRDefault="00140BC2">
      <w:pPr>
        <w:pStyle w:val="BodyA"/>
        <w:suppressAutoHyphens/>
        <w:spacing w:after="80" w:line="480" w:lineRule="auto"/>
        <w:ind w:firstLine="283"/>
        <w:jc w:val="both"/>
        <w:rPr>
          <w:rStyle w:val="NoneB"/>
        </w:rPr>
      </w:pPr>
      <w:r>
        <w:rPr>
          <w:rStyle w:val="NoneB"/>
        </w:rPr>
        <w:t>If the Court were to determine</w:t>
      </w:r>
      <w:r>
        <w:rPr>
          <w:rStyle w:val="NoneB"/>
        </w:rPr>
        <w:t xml:space="preserve"> that the Directive must be read in light of the CRPD, an outcome that would be supported by their post-accession case law on non-discrimination in the workplace, Member States would be placed on notice that assessments should be more certain in terms of b</w:t>
      </w:r>
      <w:r>
        <w:rPr>
          <w:rStyle w:val="NoneB"/>
        </w:rPr>
        <w:t>oth time frame and the specific requirements. Such a shift would not, however, be sufficient to ensure that Member States themselves carry out an assessment that is compliant with the human rights model of disability, and to incorporate it into administrat</w:t>
      </w:r>
      <w:r>
        <w:rPr>
          <w:rStyle w:val="NoneB"/>
        </w:rPr>
        <w:t>ive asylum procedures.</w:t>
      </w:r>
      <w:r>
        <w:rPr>
          <w:rStyle w:val="FootnoteReference"/>
        </w:rPr>
        <w:footnoteReference w:id="103"/>
      </w:r>
      <w:r>
        <w:rPr>
          <w:rStyle w:val="NoneB"/>
        </w:rPr>
        <w:t xml:space="preserve"> Consequently, whilst it would be possible to read the model put forward by the Convention into the RRCD, consistent interpretation would not solve the more substantive issue of Member States being able to escape their duty to carry </w:t>
      </w:r>
      <w:r>
        <w:rPr>
          <w:rStyle w:val="NoneB"/>
        </w:rPr>
        <w:t xml:space="preserve">out assessments in a timely manner, and any new Directive would need to make explicit those practical issues, placing specific procedural constraints upon the Member States to close this gap.  </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None"/>
          <w:b/>
          <w:bCs/>
          <w:i/>
          <w:iCs/>
        </w:rPr>
      </w:pPr>
      <w:r>
        <w:rPr>
          <w:rStyle w:val="None"/>
          <w:b/>
          <w:bCs/>
          <w:i/>
          <w:iCs/>
        </w:rPr>
        <w:t>4.2. Embedding Inclusive Equality: New Perspectives and Quest</w:t>
      </w:r>
      <w:r>
        <w:rPr>
          <w:rStyle w:val="None"/>
          <w:b/>
          <w:bCs/>
          <w:i/>
          <w:iCs/>
        </w:rPr>
        <w:t>s for Reforms</w:t>
      </w:r>
    </w:p>
    <w:p w:rsidR="002B6D13" w:rsidRDefault="00140BC2">
      <w:pPr>
        <w:pStyle w:val="BodyA"/>
        <w:suppressAutoHyphens/>
        <w:spacing w:after="80" w:line="480" w:lineRule="auto"/>
        <w:ind w:firstLine="283"/>
        <w:jc w:val="both"/>
        <w:rPr>
          <w:rStyle w:val="Hyperlink1"/>
        </w:rPr>
      </w:pPr>
      <w:r>
        <w:rPr>
          <w:rStyle w:val="Hyperlink1"/>
        </w:rPr>
        <w:t xml:space="preserve">While the clear identification of asylum seekers with disabilities will constitute the first step towards ensuring compliance with the human rights model, the greatest potential shift would occur through by embedding the concept of inclusive </w:t>
      </w:r>
      <w:r>
        <w:rPr>
          <w:rStyle w:val="Hyperlink1"/>
        </w:rPr>
        <w:t>equality in all its dimensions (a fair redistributive dimension, a recognition dimension, a participative dimension and an accommodating dimension) in the RRCD. The extent to which this is possible is discussed in the subsections below.</w:t>
      </w:r>
    </w:p>
    <w:p w:rsidR="002B6D13" w:rsidRDefault="002B6D13">
      <w:pPr>
        <w:pStyle w:val="BodyA"/>
        <w:suppressAutoHyphens/>
        <w:spacing w:after="80" w:line="480" w:lineRule="auto"/>
        <w:jc w:val="both"/>
        <w:rPr>
          <w:rStyle w:val="Hyperlink1"/>
        </w:rPr>
      </w:pPr>
    </w:p>
    <w:p w:rsidR="002B6D13" w:rsidRDefault="00140BC2">
      <w:pPr>
        <w:pStyle w:val="BodyA"/>
        <w:suppressAutoHyphens/>
        <w:spacing w:after="80" w:line="480" w:lineRule="auto"/>
        <w:jc w:val="both"/>
        <w:rPr>
          <w:rStyle w:val="None"/>
          <w:i/>
          <w:iCs/>
        </w:rPr>
      </w:pPr>
      <w:r>
        <w:rPr>
          <w:rStyle w:val="None"/>
          <w:i/>
          <w:iCs/>
        </w:rPr>
        <w:t>4.2.1. Combining a</w:t>
      </w:r>
      <w:r>
        <w:rPr>
          <w:rStyle w:val="None"/>
          <w:i/>
          <w:iCs/>
        </w:rPr>
        <w:t xml:space="preserve"> Fair Redistributive Dimension with an Accommodating Dimension</w:t>
      </w:r>
    </w:p>
    <w:p w:rsidR="002B6D13" w:rsidRDefault="00140BC2">
      <w:pPr>
        <w:pStyle w:val="BodyA"/>
        <w:spacing w:line="480" w:lineRule="auto"/>
        <w:jc w:val="both"/>
        <w:rPr>
          <w:rStyle w:val="Hyperlink1"/>
        </w:rPr>
      </w:pPr>
      <w:r>
        <w:rPr>
          <w:rStyle w:val="NoneA"/>
        </w:rPr>
        <w:t xml:space="preserve">If we look at the first dimension, the Directive has, in its own overall rationale, that of redistribution. The ideals which underpin the RRCD posit that all human beings are equal in terms of </w:t>
      </w:r>
      <w:r>
        <w:rPr>
          <w:rStyle w:val="NoneA"/>
        </w:rPr>
        <w:t>their dignity and worth, and that, by virtue of their humanity, they enjoy a range of rights. As outlined above, all applicants must be provided with some form of accommodation or shelter, which meet certain material standards, as well as limited social ri</w:t>
      </w:r>
      <w:r>
        <w:rPr>
          <w:rStyle w:val="NoneA"/>
        </w:rPr>
        <w:t>ghts.</w:t>
      </w:r>
      <w:r>
        <w:rPr>
          <w:rStyle w:val="None"/>
          <w:vertAlign w:val="superscript"/>
        </w:rPr>
        <w:footnoteReference w:id="104"/>
      </w:r>
      <w:r>
        <w:rPr>
          <w:rStyle w:val="NoneA"/>
        </w:rPr>
        <w:t xml:space="preserve"> </w:t>
      </w:r>
      <w:r>
        <w:rPr>
          <w:rStyle w:val="None"/>
          <w:lang w:val="de-DE"/>
        </w:rPr>
        <w:t>Art</w:t>
      </w:r>
      <w:r>
        <w:rPr>
          <w:rStyle w:val="NoneA"/>
        </w:rPr>
        <w:t>icle 17 of the RRCD requires that ‘material reception conditions provide an adequate standard of living for all applicants’, and which is capable of ‘protect[ing] their physical and mental health’. Although the situation is improving in some inst</w:t>
      </w:r>
      <w:r>
        <w:rPr>
          <w:rStyle w:val="NoneA"/>
        </w:rPr>
        <w:t>ances,</w:t>
      </w:r>
      <w:r>
        <w:rPr>
          <w:rStyle w:val="None"/>
          <w:vertAlign w:val="superscript"/>
        </w:rPr>
        <w:footnoteReference w:id="105"/>
      </w:r>
      <w:r>
        <w:rPr>
          <w:rStyle w:val="NoneA"/>
        </w:rPr>
        <w:t xml:space="preserve"> the implementation of Article 17 is lagging behind and the overall standard in many Member States remains wholly inadequate.</w:t>
      </w:r>
      <w:r>
        <w:rPr>
          <w:rStyle w:val="None"/>
          <w:vertAlign w:val="superscript"/>
        </w:rPr>
        <w:footnoteReference w:id="106"/>
      </w:r>
      <w:r>
        <w:rPr>
          <w:rStyle w:val="NoneA"/>
        </w:rPr>
        <w:t xml:space="preserve"> In some instances, vulnerable asylum seekers have been provided with as little as </w:t>
      </w:r>
      <w:r>
        <w:rPr>
          <w:rStyle w:val="None"/>
          <w:lang w:val="pt-PT"/>
        </w:rPr>
        <w:t>€</w:t>
      </w:r>
      <w:r>
        <w:rPr>
          <w:rStyle w:val="NoneA"/>
        </w:rPr>
        <w:t>1 a day to cover their material needs,</w:t>
      </w:r>
      <w:r>
        <w:rPr>
          <w:rStyle w:val="None"/>
          <w:vertAlign w:val="superscript"/>
        </w:rPr>
        <w:footnoteReference w:id="107"/>
      </w:r>
      <w:r>
        <w:rPr>
          <w:rStyle w:val="NoneA"/>
        </w:rPr>
        <w:t xml:space="preserve"> and this is patently insufficient to cover their basic necessities, let alone begin to redress more embedded structural inequalities. As Thornton has underlined, even where Member States are operating more generous conditions, the rights provided for with</w:t>
      </w:r>
      <w:r>
        <w:rPr>
          <w:rStyle w:val="NoneA"/>
        </w:rPr>
        <w:t>in the RRCD are not always as substantive as they might otherwise appear,</w:t>
      </w:r>
      <w:r>
        <w:rPr>
          <w:rStyle w:val="None"/>
          <w:vertAlign w:val="superscript"/>
        </w:rPr>
        <w:footnoteReference w:id="108"/>
      </w:r>
      <w:r>
        <w:rPr>
          <w:rStyle w:val="NoneA"/>
        </w:rPr>
        <w:t xml:space="preserve"> as it is possible for Member States to provide many of these via benefits in kind</w:t>
      </w:r>
      <w:r>
        <w:rPr>
          <w:rStyle w:val="None"/>
          <w:vertAlign w:val="superscript"/>
        </w:rPr>
        <w:footnoteReference w:id="109"/>
      </w:r>
      <w:r>
        <w:rPr>
          <w:rStyle w:val="NoneA"/>
        </w:rPr>
        <w:t xml:space="preserve"> (albeit within certain limits).</w:t>
      </w:r>
      <w:r>
        <w:rPr>
          <w:rStyle w:val="None"/>
          <w:vertAlign w:val="superscript"/>
        </w:rPr>
        <w:footnoteReference w:id="110"/>
      </w:r>
      <w:r>
        <w:rPr>
          <w:rStyle w:val="NoneA"/>
        </w:rPr>
        <w:t xml:space="preserve"> These may take the form of paid for accommodation, the provision </w:t>
      </w:r>
      <w:r>
        <w:rPr>
          <w:rStyle w:val="NoneA"/>
        </w:rPr>
        <w:t>of food and clothing, prepaid vouchers or public utility cards, or other benefits which either offset a financial cost that an asylum seeker would otherwise encounter, or act in much the same way as a direct financial benefit would e.g. a prepaid voucher t</w:t>
      </w:r>
      <w:r>
        <w:rPr>
          <w:rStyle w:val="NoneA"/>
        </w:rPr>
        <w:t>o be drawn down at venues which accept these as payment and replenished at regular intervals or when needed, but without directly endowing the individual in question. The Luxembourg Court has rarely entered into a substantive discussion of what constitutes</w:t>
      </w:r>
      <w:r>
        <w:rPr>
          <w:rStyle w:val="NoneA"/>
        </w:rPr>
        <w:t xml:space="preserve"> an adequate benefit in kind, payment or system of financial transfers, which would provide for an adequate standard of living - a right that is included in Article 28 of the CRPD. In </w:t>
      </w:r>
      <w:r>
        <w:rPr>
          <w:rStyle w:val="None"/>
          <w:i/>
          <w:iCs/>
        </w:rPr>
        <w:t>Saciri,</w:t>
      </w:r>
      <w:r>
        <w:rPr>
          <w:rStyle w:val="None"/>
          <w:vertAlign w:val="superscript"/>
        </w:rPr>
        <w:footnoteReference w:id="111"/>
      </w:r>
      <w:r>
        <w:rPr>
          <w:rStyle w:val="None"/>
          <w:i/>
          <w:iCs/>
        </w:rPr>
        <w:t xml:space="preserve"> </w:t>
      </w:r>
      <w:r>
        <w:rPr>
          <w:rStyle w:val="NoneA"/>
        </w:rPr>
        <w:t>the CJEU held that a family of asylum seekers, who could not ob</w:t>
      </w:r>
      <w:r>
        <w:rPr>
          <w:rStyle w:val="NoneA"/>
        </w:rPr>
        <w:t>tain adequate housing through the Belgian asylum reception agency, should not be refused an adequate allowance to obtain it through the private market. The Court nonetheless placed an emphasis on the factual circumstances of the case and on the non-provisi</w:t>
      </w:r>
      <w:r>
        <w:rPr>
          <w:rStyle w:val="NoneA"/>
        </w:rPr>
        <w:t>on of basic amenities,</w:t>
      </w:r>
      <w:r>
        <w:rPr>
          <w:rStyle w:val="None"/>
          <w:vertAlign w:val="superscript"/>
        </w:rPr>
        <w:footnoteReference w:id="112"/>
      </w:r>
      <w:r>
        <w:rPr>
          <w:rStyle w:val="NoneA"/>
        </w:rPr>
        <w:t xml:space="preserve"> rather than engaging with the meaning of ‘adequate standard’ or the effectiveness of rights protection in the context of the Directive more generally.</w:t>
      </w:r>
    </w:p>
    <w:p w:rsidR="002B6D13" w:rsidRDefault="00140BC2">
      <w:pPr>
        <w:pStyle w:val="BodyA"/>
        <w:suppressAutoHyphens/>
        <w:spacing w:after="80" w:line="480" w:lineRule="auto"/>
        <w:ind w:firstLine="283"/>
        <w:jc w:val="both"/>
        <w:rPr>
          <w:rStyle w:val="Hyperlink1"/>
        </w:rPr>
      </w:pPr>
      <w:r>
        <w:rPr>
          <w:rStyle w:val="Hyperlink1"/>
        </w:rPr>
        <w:t>This is not helped by the lack of clear entitlements for asylum seekers to social</w:t>
      </w:r>
      <w:r>
        <w:rPr>
          <w:rStyle w:val="Hyperlink1"/>
        </w:rPr>
        <w:t xml:space="preserve"> security/assistance programs: Article 17(5) of the RRCD specifically allows for Member States to treat applicants less favorably than nationals and makes no reference to social assistance or common categorizations. Material living conditions were linked w</w:t>
      </w:r>
      <w:r>
        <w:rPr>
          <w:rStyle w:val="Hyperlink1"/>
        </w:rPr>
        <w:t>ith social welfare entitlements for nationals of a given Member State in a draft of the RRCD</w:t>
      </w:r>
      <w:r>
        <w:rPr>
          <w:rStyle w:val="FootnoteReference"/>
        </w:rPr>
        <w:footnoteReference w:id="113"/>
      </w:r>
      <w:r>
        <w:rPr>
          <w:rStyle w:val="Hyperlink1"/>
        </w:rPr>
        <w:t xml:space="preserve"> - a move which was welcomed by the United Nations High Commissioner for Refugees and the European Council on Refugees and Exiles</w:t>
      </w:r>
      <w:r>
        <w:rPr>
          <w:rStyle w:val="FootnoteReference"/>
        </w:rPr>
        <w:footnoteReference w:id="114"/>
      </w:r>
      <w:r>
        <w:rPr>
          <w:rStyle w:val="Hyperlink1"/>
        </w:rPr>
        <w:t xml:space="preserve"> - before later being removed due</w:t>
      </w:r>
      <w:r>
        <w:rPr>
          <w:rStyle w:val="Hyperlink1"/>
        </w:rPr>
        <w:t xml:space="preserve"> to ongoing concerns from a number of prominent Member States. Slingenberg has highlighted that access to direct financial transfers and support services, even when possible, have become increasingly limited over time by European States</w:t>
      </w:r>
      <w:r>
        <w:rPr>
          <w:rStyle w:val="FootnoteReference"/>
        </w:rPr>
        <w:footnoteReference w:id="115"/>
      </w:r>
      <w:r>
        <w:rPr>
          <w:rStyle w:val="Hyperlink1"/>
        </w:rPr>
        <w:t xml:space="preserve"> as the number of a</w:t>
      </w:r>
      <w:r>
        <w:rPr>
          <w:rStyle w:val="Hyperlink1"/>
        </w:rPr>
        <w:t>sylum claims being lodged increased.</w:t>
      </w:r>
      <w:r>
        <w:rPr>
          <w:rStyle w:val="FootnoteReference"/>
        </w:rPr>
        <w:footnoteReference w:id="116"/>
      </w:r>
    </w:p>
    <w:p w:rsidR="002B6D13" w:rsidRDefault="00140BC2">
      <w:pPr>
        <w:pStyle w:val="BodyA"/>
        <w:suppressAutoHyphens/>
        <w:spacing w:after="80" w:line="480" w:lineRule="auto"/>
        <w:ind w:firstLine="283"/>
        <w:jc w:val="both"/>
        <w:rPr>
          <w:rStyle w:val="Hyperlink1"/>
        </w:rPr>
      </w:pPr>
      <w:r>
        <w:rPr>
          <w:rStyle w:val="Hyperlink1"/>
        </w:rPr>
        <w:t>The textual limits on the inherent redistributive dimension fulfilled by the Directive and the self-restraint of the CJEU are troubling in general. However, they seem particularly concerning for asylum seekers with dis</w:t>
      </w:r>
      <w:r>
        <w:rPr>
          <w:rStyle w:val="Hyperlink1"/>
        </w:rPr>
        <w:t>abilities, because they leave Member States with a large liminal space within which they may address the socio-economic disadvantages experienced by asylum seekers with disabilities in divergent ways and to differing degrees.. In other words, the possibili</w:t>
      </w:r>
      <w:r>
        <w:rPr>
          <w:rStyle w:val="Hyperlink1"/>
        </w:rPr>
        <w:t xml:space="preserve">ty for the Directive, as it stands, to ensure that adequate services are provided to people with disabilities, or that, if a monetary allowance is provided, this allowance is adequate to meet the specific costs sustained by individuals for having adequate </w:t>
      </w:r>
      <w:r>
        <w:rPr>
          <w:rStyle w:val="Hyperlink1"/>
        </w:rPr>
        <w:t xml:space="preserve">living conditions or accessing rehabilitation services is uncertain. </w:t>
      </w:r>
    </w:p>
    <w:p w:rsidR="002B6D13" w:rsidRDefault="00140BC2">
      <w:pPr>
        <w:pStyle w:val="BodyA"/>
        <w:suppressAutoHyphens/>
        <w:spacing w:after="80" w:line="480" w:lineRule="auto"/>
        <w:ind w:firstLine="283"/>
        <w:jc w:val="both"/>
      </w:pPr>
      <w:r>
        <w:rPr>
          <w:rStyle w:val="Hyperlink1"/>
        </w:rPr>
        <w:t>Moreover, the redistributive dimension is not explicitly linked to an accommodating dimension, essential in achieving inclusive equality. Recital 14 of the RRCD, which underlines that ‘[</w:t>
      </w:r>
      <w:r>
        <w:rPr>
          <w:rStyle w:val="Hyperlink1"/>
        </w:rPr>
        <w:t xml:space="preserve">t]he reception of persons with special reception needs should be a primary concern for national authorities in order to ensure that such reception is specifically designed to meet their special reception needs’, could support a reading of the Directive as </w:t>
      </w:r>
      <w:r>
        <w:rPr>
          <w:rStyle w:val="Hyperlink1"/>
        </w:rPr>
        <w:t>imposing an obligation on Member States to accommodate people with disabilities from the perspective of material reception conditions. Article 21 of the RRCD also alludes to an individualized support for vulnerable asylum seekers, which, in the case of peo</w:t>
      </w:r>
      <w:r>
        <w:rPr>
          <w:rStyle w:val="Hyperlink1"/>
        </w:rPr>
        <w:t>ple with disabilities, undoubtedly includes the provision of reasonable accommodation. The CRPD would certainly support a reading of the RRCD as imposing on the Member States a duty towards making reasonable accommodations for asylum seekers with disabilit</w:t>
      </w:r>
      <w:r>
        <w:rPr>
          <w:rStyle w:val="Hyperlink1"/>
        </w:rPr>
        <w:t>ies. Although these accommodations cannot constitute an undue burden, embedding the ‘human rights model of disability’ in the RRCD arguably necessitates that Member States implementing the RRCD ensure a level of provision capable of addressing individual n</w:t>
      </w:r>
      <w:r>
        <w:rPr>
          <w:rStyle w:val="Hyperlink1"/>
        </w:rPr>
        <w:t xml:space="preserve">eeds and eradicating the specific barriers that an asylum seeker will encounter. The CRPD Committee was unequivocal in General Comment No. 6 in saying that ‘an accommodation is reasonable […], if it achieves the purpose (or purposes) for which it is being </w:t>
      </w:r>
      <w:r>
        <w:rPr>
          <w:rStyle w:val="Hyperlink1"/>
        </w:rPr>
        <w:t>made and is tailored to meet the requirements of the person with a disability’.</w:t>
      </w:r>
      <w:r>
        <w:rPr>
          <w:rStyle w:val="FootnoteReference"/>
        </w:rPr>
        <w:footnoteReference w:id="117"/>
      </w:r>
      <w:r>
        <w:rPr>
          <w:rStyle w:val="Hyperlink1"/>
        </w:rPr>
        <w:t xml:space="preserve"> However, even recognizing that consistent interpretation would be a powerful tool to embed an accommodating dimension into the Directive, the extent to which the RRCD can be e</w:t>
      </w:r>
      <w:r>
        <w:rPr>
          <w:rStyle w:val="Hyperlink1"/>
        </w:rPr>
        <w:t xml:space="preserve">ffectively read as obliging the adoption of reasonable accommodation in order to ensure a minimum standard of living appropriate to asylum seekers with disabilities is doubtful. By virtue of the Directive facilitating an alternative system between benefit </w:t>
      </w:r>
      <w:r>
        <w:rPr>
          <w:rStyle w:val="Hyperlink1"/>
        </w:rPr>
        <w:t>in kinds and individual payment, it is unclear how those benefits may be tailored to such a degree to fully accommodate people with disabilities’ personalized needs. The ‘E</w:t>
      </w:r>
      <w:r>
        <w:rPr>
          <w:rStyle w:val="NoneB"/>
        </w:rPr>
        <w:t>ASO guidance on reception conditions: operational standards and indicators’,</w:t>
      </w:r>
      <w:r>
        <w:rPr>
          <w:rStyle w:val="FootnoteReference"/>
        </w:rPr>
        <w:footnoteReference w:id="118"/>
      </w:r>
      <w:r>
        <w:rPr>
          <w:rStyle w:val="NoneB"/>
        </w:rPr>
        <w:t xml:space="preserve"> whose purpose is to support Member States in the implementation of the RRCD ‘while ensuring an adequate standard of living for all applicants for international protection, including those with special reception needs’, does not provide any additional clar</w:t>
      </w:r>
      <w:r>
        <w:rPr>
          <w:rStyle w:val="NoneB"/>
        </w:rPr>
        <w:t>ity in that regard. This document includes scant and often vague references to accommodating the needs of persons with disabilities, and primarily with reference to medical assistive devices. For example, with regard to</w:t>
      </w:r>
      <w:r>
        <w:rPr>
          <w:rStyle w:val="Hyperlink1"/>
        </w:rPr>
        <w:t xml:space="preserve"> access to ‘</w:t>
      </w:r>
      <w:r>
        <w:rPr>
          <w:rStyle w:val="NoneB"/>
        </w:rPr>
        <w:t>essential non-food items’</w:t>
      </w:r>
      <w:r>
        <w:rPr>
          <w:rStyle w:val="NoneB"/>
        </w:rPr>
        <w:t xml:space="preserve">, the Guide states that ‘a person with physical disabilities or recovering from an injury or medical treatment </w:t>
      </w:r>
      <w:r>
        <w:rPr>
          <w:rStyle w:val="None"/>
          <w:i/>
          <w:iCs/>
        </w:rPr>
        <w:t>can be provided</w:t>
      </w:r>
      <w:r>
        <w:rPr>
          <w:rStyle w:val="NoneB"/>
        </w:rPr>
        <w:t xml:space="preserve"> with crutches, a wheelchair or other medical equipment whenever these cannot be obtained elsewhere (from other agents such as the</w:t>
      </w:r>
      <w:r>
        <w:rPr>
          <w:rStyle w:val="NoneB"/>
        </w:rPr>
        <w:t xml:space="preserve"> public health system)’ (emphasis added).</w:t>
      </w:r>
      <w:r>
        <w:rPr>
          <w:rStyle w:val="FootnoteReference"/>
        </w:rPr>
        <w:footnoteReference w:id="119"/>
      </w:r>
      <w:r>
        <w:rPr>
          <w:rStyle w:val="NoneB"/>
        </w:rPr>
        <w:t xml:space="preserve"> With regards to healthcare the guide simply states that persons with disabilities must be provided with necessary arrangements.</w:t>
      </w:r>
      <w:r>
        <w:rPr>
          <w:rStyle w:val="FootnoteReference"/>
        </w:rPr>
        <w:footnoteReference w:id="120"/>
      </w:r>
      <w:r>
        <w:rPr>
          <w:rStyle w:val="NoneB"/>
        </w:rPr>
        <w:t xml:space="preserve"> Perhaps the most relevant indication concerns the provision of information on benefi</w:t>
      </w:r>
      <w:r>
        <w:rPr>
          <w:rStyle w:val="NoneB"/>
        </w:rPr>
        <w:t>ts. In the guide, however, it is explicitly mentioned that it is only ‘for persons with visual impairments or intellectual disabilities, [that] information is provided in an adapted manner’.</w:t>
      </w:r>
      <w:r>
        <w:rPr>
          <w:rStyle w:val="FootnoteReference"/>
        </w:rPr>
        <w:footnoteReference w:id="121"/>
      </w:r>
    </w:p>
    <w:p w:rsidR="002B6D13" w:rsidRDefault="00140BC2">
      <w:pPr>
        <w:pStyle w:val="BodyA"/>
        <w:suppressAutoHyphens/>
        <w:spacing w:after="80" w:line="480" w:lineRule="auto"/>
        <w:ind w:firstLine="283"/>
        <w:jc w:val="both"/>
        <w:rPr>
          <w:rStyle w:val="Hyperlink1"/>
        </w:rPr>
      </w:pPr>
      <w:r>
        <w:rPr>
          <w:rStyle w:val="NoneB"/>
        </w:rPr>
        <w:t xml:space="preserve">On the whole, taking also into account the guidance provided to </w:t>
      </w:r>
      <w:r>
        <w:rPr>
          <w:rStyle w:val="NoneB"/>
        </w:rPr>
        <w:t>Member States by the EASO, it is difficult to see how a more purposive reading of the RRCD in light of the CRPD alone could fill many of the textual lacuna that exist within the Directive. For the RRCD to fully embrace the accommodating dimension of inclus</w:t>
      </w:r>
      <w:r>
        <w:rPr>
          <w:rStyle w:val="NoneB"/>
        </w:rPr>
        <w:t xml:space="preserve">ive equality, the text should be redrafted in a manner which explicitly incorporates or directly references the concept of reasonable accommodation. </w:t>
      </w:r>
    </w:p>
    <w:p w:rsidR="002B6D13" w:rsidRDefault="002B6D13">
      <w:pPr>
        <w:pStyle w:val="BodyA"/>
        <w:suppressAutoHyphens/>
        <w:spacing w:after="80" w:line="480" w:lineRule="auto"/>
        <w:jc w:val="both"/>
        <w:rPr>
          <w:rStyle w:val="Hyperlink1"/>
        </w:rPr>
      </w:pPr>
    </w:p>
    <w:p w:rsidR="002B6D13" w:rsidRDefault="00140BC2">
      <w:pPr>
        <w:pStyle w:val="BodyA"/>
        <w:suppressAutoHyphens/>
        <w:spacing w:after="80" w:line="480" w:lineRule="auto"/>
        <w:jc w:val="both"/>
        <w:rPr>
          <w:rStyle w:val="None"/>
          <w:i/>
          <w:iCs/>
        </w:rPr>
      </w:pPr>
      <w:r>
        <w:rPr>
          <w:rStyle w:val="None"/>
          <w:i/>
          <w:iCs/>
        </w:rPr>
        <w:t xml:space="preserve">4.2.2. In Search of a Recognition and Participative Dimension </w:t>
      </w:r>
    </w:p>
    <w:p w:rsidR="002B6D13" w:rsidRDefault="00140BC2">
      <w:pPr>
        <w:pStyle w:val="BodyA"/>
        <w:suppressAutoHyphens/>
        <w:spacing w:after="80" w:line="480" w:lineRule="auto"/>
        <w:ind w:firstLine="283"/>
        <w:jc w:val="both"/>
        <w:rPr>
          <w:rStyle w:val="Hyperlink1"/>
        </w:rPr>
      </w:pPr>
      <w:r>
        <w:rPr>
          <w:rStyle w:val="Hyperlink1"/>
        </w:rPr>
        <w:t>The recognition and participatory elements</w:t>
      </w:r>
      <w:r>
        <w:rPr>
          <w:rStyle w:val="Hyperlink1"/>
        </w:rPr>
        <w:t xml:space="preserve"> of inclusive equality appear to be largely (albeit not totally) absent from the text of the Directive. With regard to the former, the RRCD does not engage with the concepts of stigma, stereotyping, prejudice and violence and, as mentioned above, does not </w:t>
      </w:r>
      <w:r>
        <w:rPr>
          <w:rStyle w:val="Hyperlink1"/>
        </w:rPr>
        <w:t>purport any intersectional approach. The interpretive recitals do highlight that 'harmonious relationships between local communities and accommodation centres should … be promoted’,</w:t>
      </w:r>
      <w:r>
        <w:rPr>
          <w:rStyle w:val="FootnoteReference"/>
        </w:rPr>
        <w:footnoteReference w:id="122"/>
      </w:r>
      <w:r>
        <w:rPr>
          <w:rStyle w:val="Hyperlink1"/>
        </w:rPr>
        <w:t xml:space="preserve"> which would infer, when interpreted in light of the human rights model, t</w:t>
      </w:r>
      <w:r>
        <w:rPr>
          <w:rStyle w:val="Hyperlink1"/>
        </w:rPr>
        <w:t>hat Member States should combat stereotyping, stigma and other forms of social exclusion. Nonetheless, there are no specific articles in the remainder of the Directive which would appear to place this duty on a more well established footing. An indirect ‘r</w:t>
      </w:r>
      <w:r>
        <w:rPr>
          <w:rStyle w:val="Hyperlink1"/>
        </w:rPr>
        <w:t>ecognition dimension’ can be found in the fact that the RRCD underlines the need for 'recognising' the importance and status of the Charter of Fundamental Rights,</w:t>
      </w:r>
      <w:r>
        <w:rPr>
          <w:rStyle w:val="FootnoteReference"/>
        </w:rPr>
        <w:footnoteReference w:id="123"/>
      </w:r>
      <w:r>
        <w:rPr>
          <w:rStyle w:val="Hyperlink1"/>
        </w:rPr>
        <w:t xml:space="preserve"> which includes a provision of inclusion of people with disabilities in society (namely Artic</w:t>
      </w:r>
      <w:r>
        <w:rPr>
          <w:rStyle w:val="Hyperlink1"/>
        </w:rPr>
        <w:t>le 26 EU CFR). The RRCD also provides that applicants for international protection, whilst in detention, should have access to family and adequate legal representation.</w:t>
      </w:r>
      <w:r>
        <w:rPr>
          <w:rStyle w:val="FootnoteReference"/>
        </w:rPr>
        <w:footnoteReference w:id="124"/>
      </w:r>
      <w:r>
        <w:rPr>
          <w:rStyle w:val="Hyperlink1"/>
        </w:rPr>
        <w:t xml:space="preserve"> This might certainly be evocative of a recognition dimension in terms of recognizing d</w:t>
      </w:r>
      <w:r>
        <w:rPr>
          <w:rStyle w:val="Hyperlink1"/>
        </w:rPr>
        <w:t xml:space="preserve">ignity and ensuring the effective vindication of rights. </w:t>
      </w:r>
    </w:p>
    <w:p w:rsidR="002B6D13" w:rsidRDefault="00140BC2">
      <w:pPr>
        <w:pStyle w:val="BodyA"/>
        <w:suppressAutoHyphens/>
        <w:spacing w:after="80" w:line="480" w:lineRule="auto"/>
        <w:ind w:firstLine="283"/>
        <w:jc w:val="both"/>
        <w:rPr>
          <w:rStyle w:val="Hyperlink1"/>
        </w:rPr>
      </w:pPr>
      <w:r>
        <w:rPr>
          <w:rStyle w:val="Hyperlink1"/>
        </w:rPr>
        <w:t>The participatory element (i.e. the reaffirmation of the social nature of people with disabilities as members of social groups) is, by contrast, more evident within the text of the RRCD. The right t</w:t>
      </w:r>
      <w:r>
        <w:rPr>
          <w:rStyle w:val="Hyperlink1"/>
        </w:rPr>
        <w:t>o work,</w:t>
      </w:r>
      <w:r>
        <w:rPr>
          <w:rStyle w:val="FootnoteReference"/>
        </w:rPr>
        <w:footnoteReference w:id="125"/>
      </w:r>
      <w:r>
        <w:rPr>
          <w:rStyle w:val="Hyperlink1"/>
        </w:rPr>
        <w:t xml:space="preserve"> to engage in schooling</w:t>
      </w:r>
      <w:r>
        <w:rPr>
          <w:rStyle w:val="FootnoteReference"/>
        </w:rPr>
        <w:footnoteReference w:id="126"/>
      </w:r>
      <w:r>
        <w:rPr>
          <w:rStyle w:val="Hyperlink1"/>
        </w:rPr>
        <w:t xml:space="preserve"> and vocational training</w:t>
      </w:r>
      <w:r>
        <w:rPr>
          <w:rStyle w:val="FootnoteReference"/>
        </w:rPr>
        <w:footnoteReference w:id="127"/>
      </w:r>
      <w:r>
        <w:rPr>
          <w:rStyle w:val="Hyperlink1"/>
        </w:rPr>
        <w:t xml:space="preserve"> do allow for asylum seekers to integrate into the host society more fully. However, even where these are posited as clear rights, the content of them is heavily deferential to the Member State. Thes</w:t>
      </w:r>
      <w:r>
        <w:rPr>
          <w:rStyle w:val="Hyperlink1"/>
        </w:rPr>
        <w:t>e may be brought up based upon a reading of the Directive which is compliant with the Convention, but the lack of clearer processes for vindicating them is troubling, and, again, the lack of an explicit accommodating dimension might make those rights shall</w:t>
      </w:r>
      <w:r>
        <w:rPr>
          <w:rStyle w:val="Hyperlink1"/>
        </w:rPr>
        <w:t>ow. Reading the more comprehensive definition of disability envisaged within the Convention into the RRCD will provide little comfort for those who continue to have little to no access to work or vocational training in reality.</w:t>
      </w:r>
    </w:p>
    <w:p w:rsidR="002B6D13" w:rsidRDefault="00140BC2">
      <w:pPr>
        <w:pStyle w:val="BodyA"/>
        <w:suppressAutoHyphens/>
        <w:spacing w:after="80" w:line="480" w:lineRule="auto"/>
        <w:ind w:firstLine="283"/>
        <w:jc w:val="both"/>
        <w:rPr>
          <w:rStyle w:val="Hyperlink1"/>
        </w:rPr>
      </w:pPr>
      <w:r>
        <w:rPr>
          <w:rStyle w:val="Hyperlink1"/>
        </w:rPr>
        <w:t>Finally, from a practical st</w:t>
      </w:r>
      <w:r>
        <w:rPr>
          <w:rStyle w:val="Hyperlink1"/>
        </w:rPr>
        <w:t>andpoint, beyond the obligation to report on the implementation of the Directive,</w:t>
      </w:r>
      <w:r>
        <w:rPr>
          <w:rStyle w:val="FootnoteReference"/>
        </w:rPr>
        <w:footnoteReference w:id="128"/>
      </w:r>
      <w:r>
        <w:rPr>
          <w:rStyle w:val="Hyperlink1"/>
        </w:rPr>
        <w:t xml:space="preserve"> there is very little guidance on how persons with disabilities, asylum seekers and their representative organizations can engage with its effects nationally. It is possible,</w:t>
      </w:r>
      <w:r>
        <w:rPr>
          <w:rStyle w:val="Hyperlink1"/>
        </w:rPr>
        <w:t xml:space="preserve"> in light of the CRPD, that Member States would include these representative organizations at the reporting stage, as well as whilst they implement the measure in national law, but it is not mandated. Although it may be argued that the gaps in this regard </w:t>
      </w:r>
      <w:r>
        <w:rPr>
          <w:rStyle w:val="Hyperlink1"/>
        </w:rPr>
        <w:t>within the RRCD could be somewhat filled by the use of consistent interpretation to the same degree as those relating to the assessment of special needs, or the accommodating dimension, this seems unlikely to say the least. While, for instance, the concept</w:t>
      </w:r>
      <w:r>
        <w:rPr>
          <w:rStyle w:val="Hyperlink1"/>
        </w:rPr>
        <w:t xml:space="preserve"> of reasonable accommodation has been clearly defined by both the Committee as well as the CJEU, leaving less room for doubt, to infer from the CRPD and from the human rights model how specific participatory elements within an administrative process should</w:t>
      </w:r>
      <w:r>
        <w:rPr>
          <w:rStyle w:val="Hyperlink1"/>
        </w:rPr>
        <w:t xml:space="preserve"> unfold and be delivered in practice is not straightforward. Thus, much like the accommodation element of the CRPD, a redrafting of the RRCD with more robust recognition and participation requirements is needed in order to make a consistent interpretation </w:t>
      </w:r>
      <w:r>
        <w:rPr>
          <w:rStyle w:val="Hyperlink1"/>
        </w:rPr>
        <w:t>of the RRCD in light of the CRPD possible.</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None"/>
          <w:b/>
          <w:bCs/>
        </w:rPr>
      </w:pPr>
      <w:r>
        <w:rPr>
          <w:rStyle w:val="None"/>
          <w:b/>
          <w:bCs/>
        </w:rPr>
        <w:t>5. A Pressing Need for Reform</w:t>
      </w:r>
    </w:p>
    <w:p w:rsidR="002B6D13" w:rsidRDefault="00140BC2">
      <w:pPr>
        <w:pStyle w:val="BodyA"/>
        <w:suppressAutoHyphens/>
        <w:spacing w:after="80" w:line="480" w:lineRule="auto"/>
        <w:ind w:firstLine="283"/>
        <w:jc w:val="both"/>
        <w:rPr>
          <w:rStyle w:val="Hyperlink1"/>
        </w:rPr>
      </w:pPr>
      <w:r>
        <w:rPr>
          <w:rStyle w:val="Hyperlink1"/>
        </w:rPr>
        <w:t>In 2016, the Commission moved forward with a proposal to recast the RRCD as a third-generation Directive.</w:t>
      </w:r>
      <w:r>
        <w:rPr>
          <w:rStyle w:val="FootnoteReference"/>
        </w:rPr>
        <w:footnoteReference w:id="129"/>
      </w:r>
      <w:r>
        <w:rPr>
          <w:rStyle w:val="Hyperlink1"/>
        </w:rPr>
        <w:t xml:space="preserve"> Now that the new Commission guided by Ursula von der Leyen has taken office</w:t>
      </w:r>
      <w:r>
        <w:rPr>
          <w:rStyle w:val="Hyperlink1"/>
        </w:rPr>
        <w:t xml:space="preserve">, the fate of this proposal, and of the whole reform package envisaged for the CEAS, remains uncertain. Thus far, the focus seems more on </w:t>
      </w:r>
      <w:r>
        <w:rPr>
          <w:rStyle w:val="NoneB"/>
        </w:rPr>
        <w:t>migration management and border protection, rather than on ensuring the rights of asylum seekers.</w:t>
      </w:r>
      <w:r>
        <w:rPr>
          <w:rStyle w:val="FootnoteReference"/>
        </w:rPr>
        <w:footnoteReference w:id="130"/>
      </w:r>
      <w:r>
        <w:rPr>
          <w:rStyle w:val="NoneB"/>
        </w:rPr>
        <w:t xml:space="preserve"> However, at present</w:t>
      </w:r>
      <w:r>
        <w:rPr>
          <w:rStyle w:val="NoneB"/>
        </w:rPr>
        <w:t>, the proposal to recast the RRCD remains on the table. This proposal, i</w:t>
      </w:r>
      <w:r>
        <w:rPr>
          <w:rStyle w:val="Hyperlink1"/>
        </w:rPr>
        <w:t>n line with its predecessors, aims at ‘lay[ing] down standards for the reception of applicants for international protection’.</w:t>
      </w:r>
      <w:r>
        <w:rPr>
          <w:rStyle w:val="FootnoteReference"/>
        </w:rPr>
        <w:footnoteReference w:id="131"/>
      </w:r>
      <w:r>
        <w:rPr>
          <w:rStyle w:val="Hyperlink1"/>
        </w:rPr>
        <w:t xml:space="preserve"> It should however be noted that, not only does the propos</w:t>
      </w:r>
      <w:r>
        <w:rPr>
          <w:rStyle w:val="Hyperlink1"/>
        </w:rPr>
        <w:t>al seek to achieve a greater level of harmonization amongst the practices adopted by all Member States in this area, but also reduce the incentive for secondary movements.</w:t>
      </w:r>
      <w:r>
        <w:rPr>
          <w:rStyle w:val="FootnoteReference"/>
        </w:rPr>
        <w:footnoteReference w:id="132"/>
      </w:r>
      <w:r>
        <w:rPr>
          <w:rStyle w:val="Hyperlink1"/>
        </w:rPr>
        <w:t xml:space="preserve"> Rather than highlighting movement between Member States, as asylum seekers in a Sta</w:t>
      </w:r>
      <w:r>
        <w:rPr>
          <w:rStyle w:val="Hyperlink1"/>
        </w:rPr>
        <w:t>te other than the other who is considered competent to deal with their claim cannot request material reception conditions in that secondary state,</w:t>
      </w:r>
      <w:r>
        <w:rPr>
          <w:rStyle w:val="FootnoteReference"/>
        </w:rPr>
        <w:footnoteReference w:id="133"/>
      </w:r>
      <w:r>
        <w:rPr>
          <w:rStyle w:val="Hyperlink1"/>
        </w:rPr>
        <w:t xml:space="preserve"> this refers to internal movements, and the degree to which asylum seekers may leave a reception centre to wh</w:t>
      </w:r>
      <w:r>
        <w:rPr>
          <w:rStyle w:val="Hyperlink1"/>
        </w:rPr>
        <w:t>ich they are assigned.</w:t>
      </w:r>
    </w:p>
    <w:p w:rsidR="002B6D13" w:rsidRDefault="00140BC2">
      <w:pPr>
        <w:pStyle w:val="BodyA"/>
        <w:suppressAutoHyphens/>
        <w:spacing w:after="80" w:line="480" w:lineRule="auto"/>
        <w:ind w:firstLine="283"/>
        <w:jc w:val="both"/>
        <w:rPr>
          <w:rStyle w:val="Hyperlink1"/>
        </w:rPr>
      </w:pPr>
      <w:r>
        <w:rPr>
          <w:rStyle w:val="Hyperlink1"/>
        </w:rPr>
        <w:t>On the one hand, the proposal addresses some of the general drawbacks that emerged in the RCD and the subsequent RRCD, but in a potentially insufficient manner. For example, Article 5 of the proposed Directive makes clear that inform</w:t>
      </w:r>
      <w:r>
        <w:rPr>
          <w:rStyle w:val="Hyperlink1"/>
        </w:rPr>
        <w:t>ation shall be granted ‘as soon as possible and at the latest when they are lodging their application’,</w:t>
      </w:r>
      <w:r>
        <w:rPr>
          <w:rStyle w:val="FootnoteReference"/>
        </w:rPr>
        <w:footnoteReference w:id="134"/>
      </w:r>
      <w:r>
        <w:rPr>
          <w:rStyle w:val="Hyperlink1"/>
        </w:rPr>
        <w:t xml:space="preserve"> removing the 15 days term which is included in the RRCD. In doing so, the proposal tries to set a timeframe by which to measure if a Member State has f</w:t>
      </w:r>
      <w:r>
        <w:rPr>
          <w:rStyle w:val="Hyperlink1"/>
        </w:rPr>
        <w:t>ulfilled its duties, but without absolute conceptual clarity. On the other, the proposal pays tribute to securitization instances by introducing provisions on ‘absconding’ and the ‘risk of absconding' respectively, similar to the definitions provided in th</w:t>
      </w:r>
      <w:r>
        <w:rPr>
          <w:rStyle w:val="Hyperlink1"/>
        </w:rPr>
        <w:t>e Dublin III Regulation,</w:t>
      </w:r>
      <w:r>
        <w:rPr>
          <w:rStyle w:val="FootnoteReference"/>
        </w:rPr>
        <w:footnoteReference w:id="135"/>
      </w:r>
      <w:r>
        <w:rPr>
          <w:rStyle w:val="Hyperlink1"/>
        </w:rPr>
        <w:t xml:space="preserve"> which may constitute a cause for detention. Yet, the proposal seeks a balance between the protection of asylum seekers and the need to ensure a better control on migrants’ movements.</w:t>
      </w:r>
      <w:r>
        <w:rPr>
          <w:rStyle w:val="FootnoteReference"/>
        </w:rPr>
        <w:footnoteReference w:id="136"/>
      </w:r>
    </w:p>
    <w:p w:rsidR="002B6D13" w:rsidRDefault="00140BC2">
      <w:pPr>
        <w:pStyle w:val="BodyA"/>
        <w:suppressAutoHyphens/>
        <w:spacing w:after="80" w:line="480" w:lineRule="auto"/>
        <w:ind w:firstLine="283"/>
        <w:jc w:val="both"/>
        <w:rPr>
          <w:rStyle w:val="Hyperlink1"/>
        </w:rPr>
      </w:pPr>
      <w:r>
        <w:rPr>
          <w:rStyle w:val="Hyperlink1"/>
        </w:rPr>
        <w:t>With regards to asylum seekers with disabiliti</w:t>
      </w:r>
      <w:r>
        <w:rPr>
          <w:rStyle w:val="Hyperlink1"/>
        </w:rPr>
        <w:t>es, however, there is little innovation within the proposal and the CRPD is not mentioned nor cited. The proposal currently includes in its preamble that ‘with respect to the treatment of persons falling within the scope of this Directive, Member States ar</w:t>
      </w:r>
      <w:r>
        <w:rPr>
          <w:rStyle w:val="Hyperlink1"/>
        </w:rPr>
        <w:t>e bound by obligations under instruments of international law to which they are party’,</w:t>
      </w:r>
      <w:r>
        <w:rPr>
          <w:rStyle w:val="FootnoteReference"/>
        </w:rPr>
        <w:footnoteReference w:id="137"/>
      </w:r>
      <w:r>
        <w:rPr>
          <w:rStyle w:val="Hyperlink1"/>
        </w:rPr>
        <w:t xml:space="preserve"> however this seems to underscore the individual responsibility of the Member States, rather than that of the Union by virtue of its own accession to the CRPD. Referenc</w:t>
      </w:r>
      <w:r>
        <w:rPr>
          <w:rStyle w:val="Hyperlink1"/>
        </w:rPr>
        <w:t>es are made to the EU CFR as well as the Convention on the Rights of the Child, but again from the perspective that the individual Member States must ensure compliance with these instruments.</w:t>
      </w:r>
      <w:r>
        <w:rPr>
          <w:rStyle w:val="FootnoteReference"/>
        </w:rPr>
        <w:footnoteReference w:id="138"/>
      </w:r>
      <w:r>
        <w:rPr>
          <w:rStyle w:val="Hyperlink1"/>
        </w:rPr>
        <w:t xml:space="preserve"> The first notable issue is that the proposal gets a rid of the </w:t>
      </w:r>
      <w:r>
        <w:rPr>
          <w:rStyle w:val="Hyperlink1"/>
        </w:rPr>
        <w:t>concept of vulnerability,</w:t>
      </w:r>
      <w:r>
        <w:rPr>
          <w:rStyle w:val="FootnoteReference"/>
        </w:rPr>
        <w:footnoteReference w:id="139"/>
      </w:r>
      <w:r>
        <w:rPr>
          <w:rStyle w:val="Hyperlink1"/>
        </w:rPr>
        <w:t xml:space="preserve"> and substitutes this for the term ‘applicants with special reception needs’ (instead of vulnerable applicants), but without the definition of those being dramatically changed. Thus, the elimination of this reference to vulnerabil</w:t>
      </w:r>
      <w:r>
        <w:rPr>
          <w:rStyle w:val="Hyperlink1"/>
        </w:rPr>
        <w:t xml:space="preserve">ity appears more a cosmetic amendment rather than a substantial change. Regrettably, there is no engagement with intersectionality, nor is there an attempt to introduce a definition of disability. Article 2 para 13 of the proposal still mentions among the </w:t>
      </w:r>
      <w:r>
        <w:rPr>
          <w:rStyle w:val="Hyperlink1"/>
        </w:rPr>
        <w:t xml:space="preserve">applicant with special needs </w:t>
      </w:r>
      <w:r>
        <w:rPr>
          <w:rStyle w:val="None"/>
          <w:i/>
          <w:iCs/>
        </w:rPr>
        <w:t>inter alia</w:t>
      </w:r>
      <w:r>
        <w:rPr>
          <w:rStyle w:val="Hyperlink1"/>
        </w:rPr>
        <w:t xml:space="preserve"> disabled people, persons with serious illnesses, persons with mental disorders and persons who have been subjected to torture, rape or other serious forms of psychological, physical or sexual violence, such as victim</w:t>
      </w:r>
      <w:r>
        <w:rPr>
          <w:rStyle w:val="Hyperlink1"/>
        </w:rPr>
        <w:t xml:space="preserve">s of female genital mutilation, without considering that all those categories could potentially fall within the conceptualization of disability purported by the CRPD. This is, however, the only mention of disability in the proposal as it currently exists, </w:t>
      </w:r>
      <w:r>
        <w:rPr>
          <w:rStyle w:val="Hyperlink1"/>
        </w:rPr>
        <w:t xml:space="preserve">and points to a lack of consideration being given to this group, as well as the Union’s obligations under the Convention more generally within the drafting process. </w:t>
      </w:r>
    </w:p>
    <w:p w:rsidR="002B6D13" w:rsidRDefault="00140BC2">
      <w:pPr>
        <w:pStyle w:val="BodyA"/>
        <w:suppressAutoHyphens/>
        <w:spacing w:after="80" w:line="480" w:lineRule="auto"/>
        <w:ind w:firstLine="283"/>
        <w:jc w:val="both"/>
        <w:rPr>
          <w:rStyle w:val="Hyperlink1"/>
        </w:rPr>
      </w:pPr>
      <w:r>
        <w:rPr>
          <w:rStyle w:val="Hyperlink1"/>
        </w:rPr>
        <w:t>The second significant amendment concerns the new Article 21(1) of the proposal. This prov</w:t>
      </w:r>
      <w:r>
        <w:rPr>
          <w:rStyle w:val="Hyperlink1"/>
        </w:rPr>
        <w:t>ision would, if adopted in its current form, bind Member States to conduct systematic checks of all applicants to ensure that they do not have special needs - the new term for vulnerable persons - and this would include whether or not an individual has a d</w:t>
      </w:r>
      <w:r>
        <w:rPr>
          <w:rStyle w:val="Hyperlink1"/>
        </w:rPr>
        <w:t>isability, the extent of it and consequently the reasonable accommodations necessary. The same article also necessitates that this assessment take place ‘as early as possible’ after an application is made, which does not impose a specific timeframe, but do</w:t>
      </w:r>
      <w:r>
        <w:rPr>
          <w:rStyle w:val="Hyperlink1"/>
        </w:rPr>
        <w:t>es provide a greater degree of clarity and a reasonableness test may be applied to examine if a Member State has failed in their obligation to conduct it in a timely manner. However, whilst these changes likely represent an improvement, insofar as they hav</w:t>
      </w:r>
      <w:r>
        <w:rPr>
          <w:rStyle w:val="Hyperlink1"/>
        </w:rPr>
        <w:t>e tightened the procedural safeguards somewhat, the issue has always been these provisions do not possess sufficient clarity, and replacing one uncertain clause with another which is uncertain a different way does not remove the potential for discrepancies</w:t>
      </w:r>
      <w:r>
        <w:rPr>
          <w:rStyle w:val="Hyperlink1"/>
        </w:rPr>
        <w:t xml:space="preserve"> in implementation between Member States. </w:t>
      </w:r>
    </w:p>
    <w:p w:rsidR="002B6D13" w:rsidRDefault="00140BC2">
      <w:pPr>
        <w:pStyle w:val="BodyA"/>
        <w:suppressAutoHyphens/>
        <w:spacing w:after="80" w:line="480" w:lineRule="auto"/>
        <w:ind w:firstLine="283"/>
        <w:jc w:val="both"/>
        <w:rPr>
          <w:rStyle w:val="Hyperlink1"/>
        </w:rPr>
      </w:pPr>
      <w:r>
        <w:rPr>
          <w:rStyle w:val="Hyperlink1"/>
        </w:rPr>
        <w:t>Thirdly, and quite disappointingly, while the proposal attempts to tighten the guarantees in terms of rights enjoyed by asylum seekers (especially with regards to employment), it fails to engage in a substantial m</w:t>
      </w:r>
      <w:r>
        <w:rPr>
          <w:rStyle w:val="Hyperlink1"/>
        </w:rPr>
        <w:t>anner with the concept of reasonable accommodation. As this contribution highlighted throughout, the CJEU has consistently made clear that all secondary legislation should be read in light of the CRPD. This would strongly imply that any legislation on rece</w:t>
      </w:r>
      <w:r>
        <w:rPr>
          <w:rStyle w:val="Hyperlink1"/>
        </w:rPr>
        <w:t>ption conditions would require Member States to provide any necessary accommodations on an individualized basis. However, without a firm textual basis, the obligation of the Member States does not seem readily enforceable. There are a few references to the</w:t>
      </w:r>
      <w:r>
        <w:rPr>
          <w:rStyle w:val="Hyperlink1"/>
        </w:rPr>
        <w:t xml:space="preserve"> obligations to take into account individual special needs. For example, Article 16(5) of the proposal establishes that Member States, when assessing the resources of an applicant, must ‘take into account the individual circumstances of the applicant and t</w:t>
      </w:r>
      <w:r>
        <w:rPr>
          <w:rStyle w:val="Hyperlink1"/>
        </w:rPr>
        <w:t>he need to respect his or her dignity or personal integrity, including the applicant's special reception needs’. Moreover they must ‘in all circumstances ensure that the applicant is provided with a standard of living which guarantees his or her subsistenc</w:t>
      </w:r>
      <w:r>
        <w:rPr>
          <w:rStyle w:val="Hyperlink1"/>
        </w:rPr>
        <w:t>e and protects his or her physical and mental health’. These references however are unlikely to fulfil the ‘human rights model of disability’. This is made even more evident by the provision establishing that, ’in order to restrict the possibility of abuse</w:t>
      </w:r>
      <w:r>
        <w:rPr>
          <w:rStyle w:val="Hyperlink1"/>
        </w:rPr>
        <w:t xml:space="preserve"> of the reception system, Member States should be able to provide material reception conditions only to the extent applicants do not have sufficient means to provide for themselves’,</w:t>
      </w:r>
      <w:r>
        <w:rPr>
          <w:rStyle w:val="FootnoteReference"/>
        </w:rPr>
        <w:footnoteReference w:id="140"/>
      </w:r>
      <w:r>
        <w:rPr>
          <w:rStyle w:val="Hyperlink1"/>
        </w:rPr>
        <w:t xml:space="preserve"> and that work is seen as a way to reduce dependency on welfare payments </w:t>
      </w:r>
      <w:r>
        <w:rPr>
          <w:rStyle w:val="Hyperlink1"/>
        </w:rPr>
        <w:t>and improve their ‘self-reliance’.</w:t>
      </w:r>
      <w:r>
        <w:rPr>
          <w:rStyle w:val="FootnoteReference"/>
        </w:rPr>
        <w:footnoteReference w:id="141"/>
      </w:r>
      <w:r>
        <w:rPr>
          <w:rStyle w:val="Hyperlink1"/>
        </w:rPr>
        <w:t xml:space="preserve"> Interpretive flourishes such as these do not suggest a system which is complimentary to the redistribution element that characterizes the concept of inclusive equality, which is a core tenet of the ‘human rights model of</w:t>
      </w:r>
      <w:r>
        <w:rPr>
          <w:rStyle w:val="Hyperlink1"/>
        </w:rPr>
        <w:t xml:space="preserve"> disability’ purported by the CRPD. The proposal does however, include a new conceptualisation of what constitute material reception needs, which states that those needs now include </w:t>
      </w:r>
    </w:p>
    <w:p w:rsidR="002B6D13" w:rsidRDefault="002B6D13">
      <w:pPr>
        <w:pStyle w:val="BodyA"/>
        <w:suppressAutoHyphens/>
        <w:spacing w:after="80" w:line="480" w:lineRule="auto"/>
        <w:ind w:left="283" w:right="283"/>
        <w:jc w:val="both"/>
        <w:rPr>
          <w:rStyle w:val="Hyperlink1"/>
        </w:rPr>
      </w:pPr>
    </w:p>
    <w:p w:rsidR="002B6D13" w:rsidRDefault="00140BC2">
      <w:pPr>
        <w:pStyle w:val="BodyA"/>
        <w:suppressAutoHyphens/>
        <w:spacing w:after="80" w:line="480" w:lineRule="auto"/>
        <w:ind w:left="283" w:right="283"/>
        <w:jc w:val="both"/>
        <w:rPr>
          <w:rStyle w:val="Hyperlink1"/>
        </w:rPr>
      </w:pPr>
      <w:r>
        <w:rPr>
          <w:rStyle w:val="Hyperlink1"/>
        </w:rPr>
        <w:t>'</w:t>
      </w:r>
      <w:r>
        <w:rPr>
          <w:rStyle w:val="NoneB"/>
        </w:rPr>
        <w:t xml:space="preserve">not only housing, food and clothing but also essential non-food </w:t>
      </w:r>
      <w:r>
        <w:rPr>
          <w:rStyle w:val="NoneB"/>
        </w:rPr>
        <w:t>items such as sanitary items. It is also necessary that Member States determine the level of material reception conditions provided in the form of financial allowances or vouchers on the basis of relevant references to ensure adequate standards of living f</w:t>
      </w:r>
      <w:r>
        <w:rPr>
          <w:rStyle w:val="NoneB"/>
        </w:rPr>
        <w:t>or nationals, such as minimum income benefits, minimum wages, minimum pensions, unemployment benefits and social assistance benefits’.</w:t>
      </w:r>
      <w:r>
        <w:rPr>
          <w:rStyle w:val="FootnoteReference"/>
        </w:rPr>
        <w:footnoteReference w:id="142"/>
      </w:r>
      <w:r>
        <w:rPr>
          <w:rStyle w:val="NoneB"/>
        </w:rPr>
        <w:t> </w:t>
      </w:r>
    </w:p>
    <w:p w:rsidR="002B6D13" w:rsidRDefault="002B6D13">
      <w:pPr>
        <w:pStyle w:val="BodyA"/>
        <w:suppressAutoHyphens/>
        <w:spacing w:after="80" w:line="480" w:lineRule="auto"/>
        <w:ind w:firstLine="283"/>
        <w:jc w:val="both"/>
        <w:rPr>
          <w:rStyle w:val="Hyperlink1"/>
        </w:rPr>
      </w:pPr>
    </w:p>
    <w:p w:rsidR="002B6D13" w:rsidRDefault="00140BC2">
      <w:pPr>
        <w:pStyle w:val="BodyA"/>
        <w:suppressAutoHyphens/>
        <w:spacing w:after="80" w:line="480" w:lineRule="auto"/>
        <w:jc w:val="both"/>
        <w:rPr>
          <w:rStyle w:val="Hyperlink1"/>
        </w:rPr>
      </w:pPr>
      <w:r>
        <w:rPr>
          <w:rStyle w:val="Hyperlink1"/>
        </w:rPr>
        <w:t>In doing so, the proposal explicitly makes reference to sanitary items and other non-food necessities for the first ti</w:t>
      </w:r>
      <w:r>
        <w:rPr>
          <w:rStyle w:val="Hyperlink1"/>
        </w:rPr>
        <w:t>me, demonstrating a minor improvement. The failure, however, to alter the modality of providing for these needs remains problematic, particularly when the same recital underlines that the standard of living appropriate for citizens should only be used as a</w:t>
      </w:r>
      <w:r>
        <w:rPr>
          <w:rStyle w:val="Hyperlink1"/>
        </w:rPr>
        <w:t xml:space="preserve"> benchmark, and not the minimum standard to be applied for asylum seekers whilst awaiting a determination of their claim. In this way, they would arguably need to find an effective pathway to work to bring asylum seekers up to the standard of living for th</w:t>
      </w:r>
      <w:r>
        <w:rPr>
          <w:rStyle w:val="Hyperlink1"/>
        </w:rPr>
        <w:t>e ordinary citizen, which may be a difficult proposition for asylum seekers with disabilities, particularly where no reasonable adjustments have been made to facilitate this, or in recognition of their limited ability to engage with the labour market. On t</w:t>
      </w:r>
      <w:r>
        <w:rPr>
          <w:rStyle w:val="Hyperlink1"/>
        </w:rPr>
        <w:t>he whole, it seems that the new proposal fails to engage at a deep level with the accommodating dimension of inclusive equality.</w:t>
      </w:r>
    </w:p>
    <w:p w:rsidR="002B6D13" w:rsidRDefault="00140BC2">
      <w:pPr>
        <w:pStyle w:val="BodyA"/>
        <w:suppressAutoHyphens/>
        <w:spacing w:after="80" w:line="480" w:lineRule="auto"/>
        <w:ind w:firstLine="283"/>
        <w:jc w:val="both"/>
        <w:rPr>
          <w:rStyle w:val="Hyperlink1"/>
        </w:rPr>
      </w:pPr>
      <w:r>
        <w:rPr>
          <w:rStyle w:val="Hyperlink1"/>
        </w:rPr>
        <w:t>This proposal would, when (and if) approved, be the third Union-level intervention in this specific field and will arrive appro</w:t>
      </w:r>
      <w:r>
        <w:rPr>
          <w:rStyle w:val="Hyperlink1"/>
        </w:rPr>
        <w:t>ximately a decade after the ratification of the CRPD by the EU. Thus, it is difficult to imagine why almost no attempt has been made to align the text of the proposal with the human rights model. The ‘</w:t>
      </w:r>
      <w:r>
        <w:rPr>
          <w:rStyle w:val="None"/>
          <w:i/>
          <w:iCs/>
        </w:rPr>
        <w:t>new’</w:t>
      </w:r>
      <w:r>
        <w:rPr>
          <w:rStyle w:val="Hyperlink1"/>
        </w:rPr>
        <w:t xml:space="preserve"> language, i.e. the choice to reclassify persons wi</w:t>
      </w:r>
      <w:r>
        <w:rPr>
          <w:rStyle w:val="Hyperlink1"/>
        </w:rPr>
        <w:t>th disabilities as persons with ‘special needs’ rather than engaging with the language of vulnerability, might be perceived by some as an improvement and step forward towards combating stigma and stereotyping.</w:t>
      </w:r>
      <w:r>
        <w:rPr>
          <w:rStyle w:val="FootnoteReference"/>
        </w:rPr>
        <w:footnoteReference w:id="143"/>
      </w:r>
      <w:r>
        <w:rPr>
          <w:rStyle w:val="Hyperlink1"/>
        </w:rPr>
        <w:t xml:space="preserve"> However, the concept of vulnerability, especi</w:t>
      </w:r>
      <w:r>
        <w:rPr>
          <w:rStyle w:val="Hyperlink1"/>
        </w:rPr>
        <w:t>ally if understood contextually like, as noted by Ferri, the RRCD seems to do,</w:t>
      </w:r>
      <w:r>
        <w:rPr>
          <w:rStyle w:val="FootnoteReference"/>
        </w:rPr>
        <w:footnoteReference w:id="144"/>
      </w:r>
      <w:r>
        <w:rPr>
          <w:rStyle w:val="Hyperlink1"/>
        </w:rPr>
        <w:t xml:space="preserve"> arguably denotes a stronger obligation on the Member States through the implication that these persons are at risk because of societal barriers, and that there is an inherent n</w:t>
      </w:r>
      <w:r>
        <w:rPr>
          <w:rStyle w:val="Hyperlink1"/>
        </w:rPr>
        <w:t>eed to alleviate this in an individualized manner and with some degree of urgency. Further, the decision to recast this as another Directive, rather than as a Regulation - which would be directly applicable, and would hold Member States to a higher standar</w:t>
      </w:r>
      <w:r>
        <w:rPr>
          <w:rStyle w:val="Hyperlink1"/>
        </w:rPr>
        <w:t>d through the use of less equivocal language as well as removing the need for national implementation - would appear to be the attempt to avoid the opposition of certain Member States (especially those belonging to the so called Visegrad Group),</w:t>
      </w:r>
      <w:r>
        <w:rPr>
          <w:rStyle w:val="FootnoteReference"/>
        </w:rPr>
        <w:footnoteReference w:id="145"/>
      </w:r>
      <w:r>
        <w:rPr>
          <w:rStyle w:val="Hyperlink1"/>
        </w:rPr>
        <w:t xml:space="preserve"> rather th</w:t>
      </w:r>
      <w:r>
        <w:rPr>
          <w:rStyle w:val="Hyperlink1"/>
        </w:rPr>
        <w:t xml:space="preserve">an one which is focused on the needs of applicants. As the third attempt at adopting a best practice approach, and likely to be the last legislative intervention for some time </w:t>
      </w:r>
      <w:r>
        <w:rPr>
          <w:rStyle w:val="None"/>
          <w:i/>
          <w:iCs/>
        </w:rPr>
        <w:t>if</w:t>
      </w:r>
      <w:r>
        <w:rPr>
          <w:rStyle w:val="Hyperlink1"/>
        </w:rPr>
        <w:t xml:space="preserve"> it passes, the failure to address the issues highlighted above underlines a f</w:t>
      </w:r>
      <w:r>
        <w:rPr>
          <w:rStyle w:val="Hyperlink1"/>
        </w:rPr>
        <w:t>ailure within the Union’s commitment to mainstream the human rights model of disability.</w:t>
      </w:r>
    </w:p>
    <w:p w:rsidR="002B6D13" w:rsidRDefault="002B6D13">
      <w:pPr>
        <w:pStyle w:val="BodyA"/>
        <w:suppressAutoHyphens/>
        <w:spacing w:after="80" w:line="480" w:lineRule="auto"/>
        <w:jc w:val="both"/>
        <w:rPr>
          <w:rStyle w:val="Hyperlink1"/>
        </w:rPr>
      </w:pPr>
    </w:p>
    <w:p w:rsidR="002B6D13" w:rsidRDefault="00140BC2">
      <w:pPr>
        <w:pStyle w:val="BodyA"/>
        <w:suppressAutoHyphens/>
        <w:spacing w:after="80" w:line="480" w:lineRule="auto"/>
        <w:jc w:val="both"/>
        <w:rPr>
          <w:rStyle w:val="None"/>
          <w:b/>
          <w:bCs/>
        </w:rPr>
      </w:pPr>
      <w:r>
        <w:rPr>
          <w:rStyle w:val="None"/>
          <w:b/>
          <w:bCs/>
        </w:rPr>
        <w:t>6. Concluding remarks</w:t>
      </w:r>
    </w:p>
    <w:p w:rsidR="002B6D13" w:rsidRDefault="00140BC2">
      <w:pPr>
        <w:pStyle w:val="BodyA"/>
        <w:suppressAutoHyphens/>
        <w:spacing w:after="80" w:line="480" w:lineRule="auto"/>
        <w:ind w:firstLine="283"/>
        <w:jc w:val="both"/>
        <w:rPr>
          <w:rStyle w:val="Hyperlink1"/>
        </w:rPr>
      </w:pPr>
      <w:r>
        <w:rPr>
          <w:rStyle w:val="Hyperlink1"/>
        </w:rPr>
        <w:t>The need for urgent action and structural reform within the Common European Asylum System to better protect asylum seekers and those seeking hum</w:t>
      </w:r>
      <w:r>
        <w:rPr>
          <w:rStyle w:val="Hyperlink1"/>
        </w:rPr>
        <w:t>anitarian protection is commonly reflected within scholarly and civil discourse. However, the needs of asylum seekers with disabilities have been overshadowed by systemic failures that affect all applicants. In practice, the extent to which asylum applican</w:t>
      </w:r>
      <w:r>
        <w:rPr>
          <w:rStyle w:val="Hyperlink1"/>
        </w:rPr>
        <w:t>ts experience disability has been so far very difficult to assess. The Fundamental Rights Agency</w:t>
      </w:r>
      <w:r>
        <w:rPr>
          <w:rStyle w:val="FootnoteReference"/>
        </w:rPr>
        <w:footnoteReference w:id="146"/>
      </w:r>
      <w:r>
        <w:rPr>
          <w:rStyle w:val="Hyperlink1"/>
        </w:rPr>
        <w:t xml:space="preserve"> and scholars have consistently highlighted that disability is a condition that a large proportion of asylum seekers experience, either as a result of pre-exis</w:t>
      </w:r>
      <w:r>
        <w:rPr>
          <w:rStyle w:val="Hyperlink1"/>
        </w:rPr>
        <w:t>ting impairments or as a consequence of displacement.</w:t>
      </w:r>
      <w:r>
        <w:rPr>
          <w:rStyle w:val="FootnoteReference"/>
        </w:rPr>
        <w:footnoteReference w:id="147"/>
      </w:r>
      <w:r>
        <w:rPr>
          <w:rStyle w:val="Hyperlink1"/>
        </w:rPr>
        <w:t xml:space="preserve"> Thus far, the EU and Member States have been unprepared to accommodate their particular needs.</w:t>
      </w:r>
      <w:r>
        <w:rPr>
          <w:rStyle w:val="FootnoteReference"/>
        </w:rPr>
        <w:footnoteReference w:id="148"/>
      </w:r>
      <w:r>
        <w:rPr>
          <w:rStyle w:val="Hyperlink1"/>
        </w:rPr>
        <w:t xml:space="preserve"> In its ‘Concluding observations on the initial report of the European Union,’</w:t>
      </w:r>
      <w:r>
        <w:rPr>
          <w:rStyle w:val="FootnoteReference"/>
        </w:rPr>
        <w:footnoteReference w:id="149"/>
      </w:r>
      <w:r>
        <w:rPr>
          <w:rStyle w:val="Hyperlink1"/>
        </w:rPr>
        <w:t xml:space="preserve"> the United Nations Committ</w:t>
      </w:r>
      <w:r>
        <w:rPr>
          <w:rStyle w:val="Hyperlink1"/>
        </w:rPr>
        <w:t>ee on the Rights of Persons with Disabilities (CRPD Committee) underlined its ‘deep concern' regarding the reception conditions extended to asylum seekers within the EU, who are often ‘detained … in conditions which do not provide appropriate support and r</w:t>
      </w:r>
      <w:r>
        <w:rPr>
          <w:rStyle w:val="Hyperlink1"/>
        </w:rPr>
        <w:t>easonable accommodation’.</w:t>
      </w:r>
      <w:r>
        <w:rPr>
          <w:rStyle w:val="FootnoteReference"/>
        </w:rPr>
        <w:footnoteReference w:id="150"/>
      </w:r>
      <w:r>
        <w:rPr>
          <w:rStyle w:val="Hyperlink1"/>
        </w:rPr>
        <w:t xml:space="preserve"> In a similar vein, the European Social Network (ESN) in its report on ‘The impact of the refugee crisis on local public social services in Europe’ highlights that of seventeen countries surveyed, less than half provided access to</w:t>
      </w:r>
      <w:r>
        <w:rPr>
          <w:rStyle w:val="Hyperlink1"/>
        </w:rPr>
        <w:t xml:space="preserve"> care for migrants with disabilities.</w:t>
      </w:r>
      <w:r>
        <w:rPr>
          <w:rStyle w:val="FootnoteReference"/>
        </w:rPr>
        <w:footnoteReference w:id="151"/>
      </w:r>
      <w:r>
        <w:rPr>
          <w:rStyle w:val="Hyperlink1"/>
        </w:rPr>
        <w:t xml:space="preserve"> The CRPD Committee’s indictment has been underscored by the European Parliament. In its 2016 report on the implementation of the CRPD, the Parliament highlighted its own obligation, as well as that of the Commission a</w:t>
      </w:r>
      <w:r>
        <w:rPr>
          <w:rStyle w:val="Hyperlink1"/>
        </w:rPr>
        <w:t>nd Council, to ensure that all future legislation is fully compliant with the CRPD, and that this includes mainstreaming disability within the Union’s asylum and immigration policies.</w:t>
      </w:r>
      <w:r>
        <w:rPr>
          <w:rStyle w:val="FootnoteReference"/>
        </w:rPr>
        <w:footnoteReference w:id="152"/>
      </w:r>
      <w:r>
        <w:rPr>
          <w:rStyle w:val="Hyperlink1"/>
        </w:rPr>
        <w:t xml:space="preserve"> Something that is not reflected in the current proposal to replace the </w:t>
      </w:r>
      <w:r>
        <w:rPr>
          <w:rStyle w:val="Hyperlink1"/>
        </w:rPr>
        <w:t>RRCD. Concerns have also been expressed towards some Member States such as Italy,</w:t>
      </w:r>
      <w:r>
        <w:rPr>
          <w:rStyle w:val="FootnoteReference"/>
        </w:rPr>
        <w:footnoteReference w:id="153"/>
      </w:r>
      <w:r>
        <w:rPr>
          <w:rStyle w:val="Hyperlink1"/>
        </w:rPr>
        <w:t xml:space="preserve"> and most recently, Spain.</w:t>
      </w:r>
      <w:r>
        <w:rPr>
          <w:rStyle w:val="FootnoteReference"/>
        </w:rPr>
        <w:footnoteReference w:id="154"/>
      </w:r>
      <w:r>
        <w:rPr>
          <w:rStyle w:val="Hyperlink1"/>
        </w:rPr>
        <w:t xml:space="preserve"> With regard to the latter, the Committee  highlighted the need to address ‘the precarious situation of refugees and asylum-seeking persons with di</w:t>
      </w:r>
      <w:r>
        <w:rPr>
          <w:rStyle w:val="Hyperlink1"/>
        </w:rPr>
        <w:t>sabilities’ and to ‘provide training for professionals and civil servants working in reception centres on the rights of persons with disabilities’.</w:t>
      </w:r>
      <w:r>
        <w:rPr>
          <w:rStyle w:val="FootnoteReference"/>
        </w:rPr>
        <w:footnoteReference w:id="155"/>
      </w:r>
    </w:p>
    <w:p w:rsidR="002B6D13" w:rsidRDefault="00140BC2">
      <w:pPr>
        <w:pStyle w:val="BodyA"/>
        <w:suppressAutoHyphens/>
        <w:spacing w:after="80" w:line="480" w:lineRule="auto"/>
        <w:ind w:firstLine="283"/>
        <w:jc w:val="both"/>
        <w:rPr>
          <w:rStyle w:val="Hyperlink1"/>
        </w:rPr>
      </w:pPr>
      <w:r>
        <w:rPr>
          <w:rStyle w:val="Hyperlink1"/>
        </w:rPr>
        <w:t>The challenges experienced by asylum seekers with disabilities make the ability to reread specific EU legis</w:t>
      </w:r>
      <w:r>
        <w:rPr>
          <w:rStyle w:val="Hyperlink1"/>
        </w:rPr>
        <w:t>lation as being compliant with the CRPD and the Union's binding obligations under it, all the more important. However, in order for the EU to avoid paying mere lip service to the CRPD, it is essential that the ‘human rights model of disability’ is embedded</w:t>
      </w:r>
      <w:r>
        <w:rPr>
          <w:rStyle w:val="Hyperlink1"/>
        </w:rPr>
        <w:t xml:space="preserve"> within all EU legislation. Under the RRCD, asylum seekers with disabilities are offered little protection. Put more simply, the textual ambiguities and the lack of procedural certainty in it on when and how assessments of their needs must be conducted wil</w:t>
      </w:r>
      <w:r>
        <w:rPr>
          <w:rStyle w:val="Hyperlink1"/>
        </w:rPr>
        <w:t>l continue to limit the potential for the RRCD to fulfil the human rights model of disability. The clear obligation towards reasonable accommodation already affirmed in the case law of the CJEU in other fields of EU action is of little use, when the text o</w:t>
      </w:r>
      <w:r>
        <w:rPr>
          <w:rStyle w:val="Hyperlink1"/>
        </w:rPr>
        <w:t>f the RRCD fails to explicitly acknowledge an accommodating dimension.</w:t>
      </w:r>
    </w:p>
    <w:p w:rsidR="002B6D13" w:rsidRDefault="00140BC2">
      <w:pPr>
        <w:pStyle w:val="BodyA"/>
        <w:suppressAutoHyphens/>
        <w:spacing w:after="80" w:line="480" w:lineRule="auto"/>
        <w:ind w:firstLine="283"/>
        <w:jc w:val="both"/>
      </w:pPr>
      <w:r>
        <w:rPr>
          <w:rStyle w:val="Hyperlink1"/>
        </w:rPr>
        <w:t>The recent proposal to recast this Directive illustrates that the Union and its institutions are, in principle, committed to rectifying many of the long standing problems that have plag</w:t>
      </w:r>
      <w:r>
        <w:rPr>
          <w:rStyle w:val="Hyperlink1"/>
        </w:rPr>
        <w:t>ued this area of law and significantly impacted upon the ability of asylum seekers to have their rights fulfilled. As this article has also endeavored to make clear, however, the current proposal has thus far dramatically failed to embed the human rights m</w:t>
      </w:r>
      <w:r>
        <w:rPr>
          <w:rStyle w:val="Hyperlink1"/>
        </w:rPr>
        <w:t>odel of disability in any meaningful way, and to address the more specific needs of asylum seekers with disabilities as a unique subset of this overall group who bring with them their own considerations and specialised needs. Despite the potential to rerea</w:t>
      </w:r>
      <w:r>
        <w:rPr>
          <w:rStyle w:val="Hyperlink1"/>
        </w:rPr>
        <w:t>d some parts of the RRCD and current proposal as complaint with the Convention,  until such time as the EU institutions and Member States fully embrace the spirit of the CRPD, the rights of asylum seekers with disabilities will continue to remain part of a</w:t>
      </w:r>
      <w:r>
        <w:rPr>
          <w:rStyle w:val="Hyperlink1"/>
        </w:rPr>
        <w:t xml:space="preserve"> potential, untapped future.</w:t>
      </w:r>
    </w:p>
    <w:sectPr w:rsidR="002B6D1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C2" w:rsidRDefault="00140BC2">
      <w:r>
        <w:separator/>
      </w:r>
    </w:p>
  </w:endnote>
  <w:endnote w:type="continuationSeparator" w:id="0">
    <w:p w:rsidR="00140BC2" w:rsidRDefault="0014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13" w:rsidRDefault="00140BC2">
    <w:pPr>
      <w:pStyle w:val="HeaderFooterA"/>
      <w:tabs>
        <w:tab w:val="clear" w:pos="9020"/>
        <w:tab w:val="center" w:pos="4819"/>
        <w:tab w:val="right" w:pos="9612"/>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sidR="00ED6C7F">
      <w:rPr>
        <w:rFonts w:ascii="Times New Roman" w:hAnsi="Times New Roman"/>
        <w:sz w:val="20"/>
        <w:szCs w:val="20"/>
      </w:rPr>
      <w:fldChar w:fldCharType="separate"/>
    </w:r>
    <w:r w:rsidR="00ED6C7F">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C2" w:rsidRDefault="00140BC2">
      <w:r>
        <w:separator/>
      </w:r>
    </w:p>
  </w:footnote>
  <w:footnote w:type="continuationSeparator" w:id="0">
    <w:p w:rsidR="00140BC2" w:rsidRDefault="00140BC2">
      <w:r>
        <w:continuationSeparator/>
      </w:r>
    </w:p>
  </w:footnote>
  <w:footnote w:type="continuationNotice" w:id="1">
    <w:p w:rsidR="00140BC2" w:rsidRDefault="00140BC2"/>
  </w:footnote>
  <w:footnote w:id="2">
    <w:p w:rsidR="002B6D13" w:rsidRDefault="00140BC2">
      <w:pPr>
        <w:pStyle w:val="FootnoteText"/>
        <w:spacing w:line="240" w:lineRule="auto"/>
      </w:pPr>
      <w:r>
        <w:rPr>
          <w:rStyle w:val="FootnoteReference"/>
        </w:rPr>
        <w:footnoteRef/>
      </w:r>
      <w:r>
        <w:rPr>
          <w:rStyle w:val="NoneB"/>
        </w:rPr>
        <w:t xml:space="preserve"> Rizcallah, C. 2019. A Critical Appraisal of the Common European Asylum System through the Lens of Solidarity and Human Rights. </w:t>
      </w:r>
      <w:r>
        <w:rPr>
          <w:rStyle w:val="None"/>
          <w:i/>
          <w:iCs/>
        </w:rPr>
        <w:t>European Journal of Migration and Law</w:t>
      </w:r>
      <w:r>
        <w:rPr>
          <w:rStyle w:val="NoneB"/>
        </w:rPr>
        <w:t xml:space="preserve"> 21(2), pp. 238-260; Gammeltoft-Hansen, T. 2018. International Cooperation on Migration Control: Towards a Research Agenda for Refugee Law. </w:t>
      </w:r>
      <w:r>
        <w:rPr>
          <w:rStyle w:val="None"/>
          <w:i/>
          <w:iCs/>
        </w:rPr>
        <w:t>European Journal of Migration and Law</w:t>
      </w:r>
      <w:r>
        <w:rPr>
          <w:rStyle w:val="NoneB"/>
        </w:rPr>
        <w:t xml:space="preserve"> 20(4), pp. 373-395; Guild, E. Brouwer, E., Minderhoud, P., &amp; Van Owers, R.. Se</w:t>
      </w:r>
      <w:r>
        <w:rPr>
          <w:rStyle w:val="NoneB"/>
        </w:rPr>
        <w:t xml:space="preserve">curization, 2010. Liberty and Law: the EU’s 21st Century in Bigo, D., Carrera, S., Guild, E., &amp; Walker, R.B.J. (eds.), </w:t>
      </w:r>
      <w:r>
        <w:rPr>
          <w:rStyle w:val="None"/>
          <w:i/>
          <w:iCs/>
        </w:rPr>
        <w:t>Europe’s 21st Century Challenge</w:t>
      </w:r>
      <w:r>
        <w:rPr>
          <w:rStyle w:val="NoneB"/>
        </w:rPr>
        <w:t>. Ashgate, Farnham, United Kingdom, pp. 217 – 236. For a general discussion of this trend, see Baldacinni,</w:t>
      </w:r>
      <w:r>
        <w:rPr>
          <w:rStyle w:val="NoneB"/>
        </w:rPr>
        <w:t xml:space="preserve"> A., Guild, E. &amp; Toner, H. 2007. (eds.),</w:t>
      </w:r>
      <w:r>
        <w:rPr>
          <w:rStyle w:val="None"/>
          <w:i/>
          <w:iCs/>
        </w:rPr>
        <w:t>Whose Freedom, Security and Justice? EU Immigration and Asylum Law and Policy</w:t>
      </w:r>
      <w:r>
        <w:rPr>
          <w:rStyle w:val="NoneB"/>
        </w:rPr>
        <w:t>. Hart Publishing, Oxford, United Kingdom.</w:t>
      </w:r>
    </w:p>
  </w:footnote>
  <w:footnote w:id="3">
    <w:p w:rsidR="002B6D13" w:rsidRDefault="00140BC2">
      <w:pPr>
        <w:pStyle w:val="FootnoteText"/>
        <w:spacing w:line="240" w:lineRule="auto"/>
      </w:pPr>
      <w:r>
        <w:rPr>
          <w:rStyle w:val="FootnoteReference"/>
        </w:rPr>
        <w:footnoteRef/>
      </w:r>
      <w:r>
        <w:rPr>
          <w:rStyle w:val="NoneB"/>
        </w:rPr>
        <w:t xml:space="preserve"> European Commission. 24/01/2019. Asylum: Commission takes next step in infringement procedure </w:t>
      </w:r>
      <w:r>
        <w:rPr>
          <w:rStyle w:val="NoneB"/>
        </w:rPr>
        <w:t xml:space="preserve">against Hungary for criminalising activities in support of asylum applicants, available at </w:t>
      </w:r>
      <w:hyperlink r:id="rId1" w:history="1">
        <w:r>
          <w:rPr>
            <w:rStyle w:val="Hyperlink0"/>
          </w:rPr>
          <w:t>https://europa.eu/rapid/press-release_IP-19-469_EN.htm</w:t>
        </w:r>
      </w:hyperlink>
      <w:r>
        <w:rPr>
          <w:rStyle w:val="NoneB"/>
        </w:rPr>
        <w:t xml:space="preserve"> (last accessed 09/10/2019).</w:t>
      </w:r>
    </w:p>
  </w:footnote>
  <w:footnote w:id="4">
    <w:p w:rsidR="002B6D13" w:rsidRDefault="00140BC2">
      <w:pPr>
        <w:pStyle w:val="BodyA"/>
        <w:jc w:val="both"/>
      </w:pPr>
      <w:r>
        <w:rPr>
          <w:rStyle w:val="FootnoteReference"/>
        </w:rPr>
        <w:footnoteRef/>
      </w:r>
      <w:r>
        <w:rPr>
          <w:rStyle w:val="None"/>
          <w:sz w:val="20"/>
          <w:szCs w:val="20"/>
        </w:rPr>
        <w:t xml:space="preserve"> Directive </w:t>
      </w:r>
      <w:r>
        <w:rPr>
          <w:rStyle w:val="None"/>
          <w:sz w:val="20"/>
          <w:szCs w:val="20"/>
        </w:rPr>
        <w:t>2013/33/EU of the European Parliament and of the Council of 26 June 2013 laying down standards for the reception of applicants for international protection OJ L 180, 29.6.2013, pp. 96–116.</w:t>
      </w:r>
    </w:p>
  </w:footnote>
  <w:footnote w:id="5">
    <w:p w:rsidR="002B6D13" w:rsidRDefault="00140BC2">
      <w:pPr>
        <w:pStyle w:val="FootnoteText"/>
        <w:spacing w:line="240" w:lineRule="auto"/>
      </w:pPr>
      <w:r>
        <w:rPr>
          <w:rStyle w:val="FootnoteReference"/>
        </w:rPr>
        <w:footnoteRef/>
      </w:r>
      <w:r>
        <w:rPr>
          <w:rStyle w:val="NoneB"/>
        </w:rPr>
        <w:t xml:space="preserve"> On the externalization of EU migration policies, see Oliveira Mar</w:t>
      </w:r>
      <w:r>
        <w:rPr>
          <w:rStyle w:val="NoneB"/>
        </w:rPr>
        <w:t>tins B. &amp; Strange M. 2019 Rethinking EU external migration policy: contestation and critique. </w:t>
      </w:r>
      <w:r>
        <w:rPr>
          <w:rStyle w:val="None"/>
          <w:i/>
          <w:iCs/>
        </w:rPr>
        <w:t>Global Affairs</w:t>
      </w:r>
      <w:r>
        <w:rPr>
          <w:rStyle w:val="NoneB"/>
        </w:rPr>
        <w:t xml:space="preserve">, 5(3), pp. 195-202; Carrera S., Santos Vara J. and Strik T. 2019. </w:t>
      </w:r>
      <w:r>
        <w:rPr>
          <w:rStyle w:val="None"/>
          <w:i/>
          <w:iCs/>
        </w:rPr>
        <w:t xml:space="preserve">Constitutionalising the External Dimensions of EU Migration Policies in Times of </w:t>
      </w:r>
      <w:r>
        <w:rPr>
          <w:rStyle w:val="None"/>
          <w:i/>
          <w:iCs/>
        </w:rPr>
        <w:t>Crisis. Legality, Rule of Law and Fundamental Rights Reconsidered</w:t>
      </w:r>
      <w:r>
        <w:rPr>
          <w:rStyle w:val="NoneB"/>
        </w:rPr>
        <w:t>. Edward Elgar.</w:t>
      </w:r>
    </w:p>
  </w:footnote>
  <w:footnote w:id="6">
    <w:p w:rsidR="002B6D13" w:rsidRDefault="00140BC2">
      <w:pPr>
        <w:pStyle w:val="FootnoteText"/>
        <w:spacing w:line="240" w:lineRule="auto"/>
      </w:pPr>
      <w:r>
        <w:rPr>
          <w:rStyle w:val="FootnoteReference"/>
        </w:rPr>
        <w:footnoteRef/>
      </w:r>
      <w:r>
        <w:rPr>
          <w:rStyle w:val="NoneB"/>
        </w:rPr>
        <w:t xml:space="preserve"> Eurostat, Asylum Statistics, available at </w:t>
      </w:r>
      <w:hyperlink r:id="rId2" w:history="1">
        <w:r>
          <w:rPr>
            <w:rStyle w:val="Hyperlink0"/>
          </w:rPr>
          <w:t>https://ec.europa.eu/euros</w:t>
        </w:r>
        <w:r>
          <w:rPr>
            <w:rStyle w:val="Hyperlink0"/>
          </w:rPr>
          <w:t>tat/statistics-explained/index.php/Asylum_statistics#cite_note-1</w:t>
        </w:r>
      </w:hyperlink>
      <w:r>
        <w:rPr>
          <w:rStyle w:val="NoneB"/>
        </w:rPr>
        <w:t xml:space="preserve"> (last accessed 31/08/2019).</w:t>
      </w:r>
    </w:p>
  </w:footnote>
  <w:footnote w:id="7">
    <w:p w:rsidR="002B6D13" w:rsidRDefault="00140BC2">
      <w:pPr>
        <w:pStyle w:val="FootnoteText"/>
        <w:spacing w:line="240" w:lineRule="auto"/>
      </w:pPr>
      <w:r>
        <w:rPr>
          <w:rStyle w:val="FootnoteReference"/>
        </w:rPr>
        <w:footnoteRef/>
      </w:r>
      <w:r>
        <w:rPr>
          <w:rStyle w:val="NoneB"/>
        </w:rPr>
        <w:t xml:space="preserve"> UN Convention on the Rights of Persons with Disabilities, 13 December 2006, in force 03 May 2008, UN Doc. A/RES/61/106,</w:t>
      </w:r>
    </w:p>
  </w:footnote>
  <w:footnote w:id="8">
    <w:p w:rsidR="002B6D13" w:rsidRDefault="00140BC2">
      <w:pPr>
        <w:pStyle w:val="FootnoteText"/>
        <w:spacing w:line="240" w:lineRule="auto"/>
      </w:pPr>
      <w:r>
        <w:rPr>
          <w:rStyle w:val="FootnoteReference"/>
        </w:rPr>
        <w:footnoteRef/>
      </w:r>
      <w:r>
        <w:rPr>
          <w:rStyle w:val="NoneB"/>
        </w:rPr>
        <w:t xml:space="preserve"> Council Decision 2010/48/EC of 26 No</w:t>
      </w:r>
      <w:r>
        <w:rPr>
          <w:rStyle w:val="NoneB"/>
        </w:rPr>
        <w:t xml:space="preserve">vember 2009 concerning the conclusion, by the European Community, of the United Nations Convention on the Rights of Persons with Disabilities [2010] OJ L23/35. The ratification of the Convention was formally completed with the deposit of the instrument of </w:t>
      </w:r>
      <w:r>
        <w:rPr>
          <w:rStyle w:val="NoneB"/>
        </w:rPr>
        <w:t>ratification, which occurred in December 2010. Following the ratification of the CRPD by Ireland in March 2018, all of the EU Member States have ratified the CRPD.</w:t>
      </w:r>
    </w:p>
  </w:footnote>
  <w:footnote w:id="9">
    <w:p w:rsidR="002B6D13" w:rsidRDefault="00140BC2">
      <w:pPr>
        <w:pStyle w:val="FootnoteText"/>
        <w:spacing w:line="240" w:lineRule="auto"/>
      </w:pPr>
      <w:r>
        <w:rPr>
          <w:rStyle w:val="FootnoteReference"/>
        </w:rPr>
        <w:footnoteRef/>
      </w:r>
      <w:r>
        <w:rPr>
          <w:rStyle w:val="NoneB"/>
        </w:rPr>
        <w:t xml:space="preserve"> Waddington, L., 2011. The European Union and the United Nations Convention on the Rights o</w:t>
      </w:r>
      <w:r>
        <w:rPr>
          <w:rStyle w:val="NoneB"/>
        </w:rPr>
        <w:t xml:space="preserve">f Persons with Disabilities: A Story of Exclusive and Shared Competences. </w:t>
      </w:r>
      <w:r>
        <w:rPr>
          <w:rStyle w:val="None"/>
          <w:i/>
          <w:iCs/>
        </w:rPr>
        <w:t>Maastricht Journal of European and Comparative Law</w:t>
      </w:r>
      <w:r>
        <w:rPr>
          <w:rStyle w:val="NoneB"/>
        </w:rPr>
        <w:t xml:space="preserve"> 18(4), pp. 431-453; Ferri, D. 2010. The Conclusion of the UN Convention on the Rights of Persons with Disabilities by the EC/EU: A </w:t>
      </w:r>
      <w:r>
        <w:rPr>
          <w:rStyle w:val="NoneB"/>
        </w:rPr>
        <w:t xml:space="preserve">Constitutional Perspective. In Waddington L. &amp; Quinn G. (eds.), </w:t>
      </w:r>
      <w:r>
        <w:rPr>
          <w:rStyle w:val="None"/>
          <w:i/>
          <w:iCs/>
        </w:rPr>
        <w:t>European Yearbook of Disability Law</w:t>
      </w:r>
      <w:r>
        <w:rPr>
          <w:rStyle w:val="NoneB"/>
        </w:rPr>
        <w:t xml:space="preserve"> (2), pp. 47-71.</w:t>
      </w:r>
    </w:p>
  </w:footnote>
  <w:footnote w:id="10">
    <w:p w:rsidR="002B6D13" w:rsidRDefault="00140BC2">
      <w:pPr>
        <w:pStyle w:val="FootnoteText"/>
        <w:spacing w:line="240" w:lineRule="auto"/>
      </w:pPr>
      <w:r>
        <w:rPr>
          <w:rStyle w:val="FootnoteReference"/>
        </w:rPr>
        <w:footnoteRef/>
      </w:r>
      <w:r>
        <w:rPr>
          <w:rStyle w:val="NoneB"/>
        </w:rPr>
        <w:t xml:space="preserve"> CRPD Committee, General comment No. 6 (2018) on equality and nondiscrimination (CRPD/C/GC/6), See infra Section 2. </w:t>
      </w:r>
    </w:p>
  </w:footnote>
  <w:footnote w:id="11">
    <w:p w:rsidR="002B6D13" w:rsidRDefault="00140BC2">
      <w:pPr>
        <w:pStyle w:val="FootnoteText"/>
        <w:spacing w:line="240" w:lineRule="auto"/>
      </w:pPr>
      <w:r>
        <w:rPr>
          <w:rStyle w:val="FootnoteReference"/>
        </w:rPr>
        <w:footnoteRef/>
      </w:r>
      <w:r>
        <w:rPr>
          <w:rStyle w:val="NoneA"/>
        </w:rPr>
        <w:t xml:space="preserve"> Case C-239/03 </w:t>
      </w:r>
      <w:r>
        <w:rPr>
          <w:rStyle w:val="None"/>
          <w:i/>
          <w:iCs/>
        </w:rPr>
        <w:t>Ex mul</w:t>
      </w:r>
      <w:r>
        <w:rPr>
          <w:rStyle w:val="None"/>
          <w:i/>
          <w:iCs/>
        </w:rPr>
        <w:t>tis,</w:t>
      </w:r>
      <w:r>
        <w:rPr>
          <w:rStyle w:val="NoneA"/>
        </w:rPr>
        <w:t xml:space="preserve"> </w:t>
      </w:r>
      <w:r>
        <w:rPr>
          <w:rStyle w:val="None"/>
          <w:i/>
          <w:iCs/>
        </w:rPr>
        <w:t>Etang de Berre</w:t>
      </w:r>
      <w:r>
        <w:rPr>
          <w:rStyle w:val="NoneA"/>
        </w:rPr>
        <w:t xml:space="preserve"> E</w:t>
      </w:r>
      <w:r>
        <w:rPr>
          <w:rStyle w:val="None"/>
          <w:lang w:val="fr-FR"/>
        </w:rPr>
        <w:t>U:C:2004:46.</w:t>
      </w:r>
    </w:p>
  </w:footnote>
  <w:footnote w:id="12">
    <w:p w:rsidR="002B6D13" w:rsidRDefault="00140BC2">
      <w:pPr>
        <w:pStyle w:val="FootnoteText"/>
        <w:spacing w:line="240" w:lineRule="auto"/>
      </w:pPr>
      <w:r>
        <w:rPr>
          <w:rStyle w:val="FootnoteReference"/>
        </w:rPr>
        <w:footnoteRef/>
      </w:r>
      <w:r>
        <w:rPr>
          <w:rStyle w:val="NoneB"/>
        </w:rPr>
        <w:t xml:space="preserve"> Joined cases C- 335/11 and C- 337/11, </w:t>
      </w:r>
      <w:r>
        <w:rPr>
          <w:rStyle w:val="None"/>
          <w:i/>
          <w:iCs/>
        </w:rPr>
        <w:t>HK Danmark</w:t>
      </w:r>
      <w:r>
        <w:rPr>
          <w:rStyle w:val="NoneB"/>
        </w:rPr>
        <w:t>, ECLI:EU:C:2013:222.</w:t>
      </w:r>
    </w:p>
  </w:footnote>
  <w:footnote w:id="13">
    <w:p w:rsidR="002B6D13" w:rsidRDefault="00140BC2">
      <w:pPr>
        <w:pStyle w:val="FootnoteText"/>
        <w:spacing w:line="240" w:lineRule="auto"/>
      </w:pPr>
      <w:r>
        <w:rPr>
          <w:rStyle w:val="FootnoteReference"/>
        </w:rPr>
        <w:footnoteRef/>
      </w:r>
      <w:r>
        <w:rPr>
          <w:rStyle w:val="NoneB"/>
        </w:rPr>
        <w:t xml:space="preserve"> Article 6(2) TEU</w:t>
      </w:r>
    </w:p>
  </w:footnote>
  <w:footnote w:id="14">
    <w:p w:rsidR="002B6D13" w:rsidRDefault="00140BC2">
      <w:pPr>
        <w:pStyle w:val="FootnoteText"/>
        <w:spacing w:line="240" w:lineRule="auto"/>
      </w:pPr>
      <w:r>
        <w:rPr>
          <w:rStyle w:val="FootnoteReference"/>
        </w:rPr>
        <w:footnoteRef/>
      </w:r>
      <w:r>
        <w:rPr>
          <w:rStyle w:val="NoneB"/>
        </w:rPr>
        <w:t xml:space="preserve"> On the accession among may other see Jaqué J.P. 2011. The Accession of the European Union to the European Convention on Human Rig</w:t>
      </w:r>
      <w:r>
        <w:rPr>
          <w:rStyle w:val="NoneB"/>
        </w:rPr>
        <w:t xml:space="preserve">hts and Fundamental Freedoms. </w:t>
      </w:r>
      <w:r>
        <w:rPr>
          <w:rStyle w:val="None"/>
          <w:i/>
          <w:iCs/>
        </w:rPr>
        <w:t>Common Market Law Review</w:t>
      </w:r>
      <w:r>
        <w:rPr>
          <w:rStyle w:val="NoneB"/>
        </w:rPr>
        <w:t> 48(4) pp. 995-1023.</w:t>
      </w:r>
    </w:p>
  </w:footnote>
  <w:footnote w:id="15">
    <w:p w:rsidR="002B6D13" w:rsidRDefault="00140BC2">
      <w:pPr>
        <w:pStyle w:val="FootnoteText"/>
        <w:spacing w:line="240" w:lineRule="auto"/>
      </w:pPr>
      <w:r>
        <w:rPr>
          <w:rStyle w:val="FootnoteReference"/>
        </w:rPr>
        <w:footnoteRef/>
      </w:r>
      <w:r>
        <w:rPr>
          <w:rStyle w:val="NoneB"/>
        </w:rPr>
        <w:t xml:space="preserve"> , Case 29/69 </w:t>
      </w:r>
      <w:r>
        <w:rPr>
          <w:rStyle w:val="None"/>
          <w:i/>
          <w:iCs/>
        </w:rPr>
        <w:t>Stauder v Stadt Ulm</w:t>
      </w:r>
      <w:r>
        <w:rPr>
          <w:rStyle w:val="NoneB"/>
        </w:rPr>
        <w:t xml:space="preserve"> EU:C:1969:57; Case 4/73 </w:t>
      </w:r>
      <w:r>
        <w:rPr>
          <w:rStyle w:val="None"/>
          <w:i/>
          <w:iCs/>
        </w:rPr>
        <w:t>Nold KG v Commission</w:t>
      </w:r>
      <w:r>
        <w:rPr>
          <w:rStyle w:val="NoneB"/>
        </w:rPr>
        <w:t xml:space="preserve"> EU:C:1974:51; Case 44/79 </w:t>
      </w:r>
      <w:r>
        <w:rPr>
          <w:rStyle w:val="None"/>
          <w:i/>
          <w:iCs/>
        </w:rPr>
        <w:t>Hauer v Land Rheinland-Pfalz</w:t>
      </w:r>
      <w:r>
        <w:rPr>
          <w:rStyle w:val="NoneB"/>
        </w:rPr>
        <w:t xml:space="preserve"> EU:C:1979:290; Case 136/79 </w:t>
      </w:r>
      <w:r>
        <w:rPr>
          <w:rStyle w:val="None"/>
          <w:i/>
          <w:iCs/>
        </w:rPr>
        <w:t xml:space="preserve">National </w:t>
      </w:r>
      <w:r>
        <w:rPr>
          <w:rStyle w:val="None"/>
          <w:i/>
          <w:iCs/>
        </w:rPr>
        <w:t>Panasonic v Commission</w:t>
      </w:r>
      <w:r>
        <w:rPr>
          <w:rStyle w:val="NoneB"/>
        </w:rPr>
        <w:t xml:space="preserve"> EU:C:1980:169; Articles 2 and 6(2) of the Treaty on the European Union; and Schütze, R. 2016. European Constitutional Law. Cambridge University Press,  437.</w:t>
      </w:r>
    </w:p>
  </w:footnote>
  <w:footnote w:id="16">
    <w:p w:rsidR="002B6D13" w:rsidRDefault="00140BC2">
      <w:pPr>
        <w:pStyle w:val="FootnoteText"/>
        <w:spacing w:line="240" w:lineRule="auto"/>
      </w:pPr>
      <w:r>
        <w:rPr>
          <w:rStyle w:val="FootnoteReference"/>
        </w:rPr>
        <w:footnoteRef/>
      </w:r>
      <w:r>
        <w:rPr>
          <w:rStyle w:val="NoneB"/>
        </w:rPr>
        <w:t xml:space="preserve"> See, for example, </w:t>
      </w:r>
      <w:r>
        <w:rPr>
          <w:rStyle w:val="None"/>
          <w:i/>
          <w:iCs/>
        </w:rPr>
        <w:t>Opinion 2/13 of the Court</w:t>
      </w:r>
      <w:r>
        <w:rPr>
          <w:rStyle w:val="NoneB"/>
        </w:rPr>
        <w:t xml:space="preserve"> (Full Court) ECLI:EU:C:2014:24</w:t>
      </w:r>
      <w:r>
        <w:rPr>
          <w:rStyle w:val="NoneB"/>
        </w:rPr>
        <w:t>54.</w:t>
      </w:r>
    </w:p>
  </w:footnote>
  <w:footnote w:id="17">
    <w:p w:rsidR="002B6D13" w:rsidRDefault="00140BC2">
      <w:pPr>
        <w:pStyle w:val="FootnoteText"/>
        <w:spacing w:line="240" w:lineRule="auto"/>
      </w:pPr>
      <w:r>
        <w:rPr>
          <w:rStyle w:val="FootnoteReference"/>
        </w:rPr>
        <w:footnoteRef/>
      </w:r>
      <w:r>
        <w:rPr>
          <w:rStyle w:val="NoneB"/>
        </w:rPr>
        <w:t xml:space="preserve"> European Commission Towards an EU Strategy on the Rights of the Child COM(2006) 367, 4.7.2006; European Commission Implementation of the European Union’s Strategy on the Rights of the Child: State of Play – November 2009’; Council of the European Uni</w:t>
      </w:r>
      <w:r>
        <w:rPr>
          <w:rStyle w:val="NoneB"/>
        </w:rPr>
        <w:t>on, Note from the Praesidium, Explanations Relating to the Charter of Fundamental Rights of the European Union CHARTER 4473/00, 11 October 2008;European Commission, Report on the Practical Operation of the Methodology for a Systematic and Rigorous Monitori</w:t>
      </w:r>
      <w:r>
        <w:rPr>
          <w:rStyle w:val="NoneB"/>
        </w:rPr>
        <w:t xml:space="preserve">ng of Compliance with the Charter of Fundamental Rights COM(2009) 205, 29.4.2009; Commission Communication, Strategy for the effective implementation of the Charter of Fundamental Rights by the European Union COM(2010) 573 final, 19/10/2010. </w:t>
      </w:r>
    </w:p>
  </w:footnote>
  <w:footnote w:id="18">
    <w:p w:rsidR="002B6D13" w:rsidRDefault="00140BC2">
      <w:pPr>
        <w:pStyle w:val="FootnoteText"/>
        <w:spacing w:line="240" w:lineRule="auto"/>
      </w:pPr>
      <w:r>
        <w:rPr>
          <w:rStyle w:val="FootnoteReference"/>
        </w:rPr>
        <w:footnoteRef/>
      </w:r>
      <w:r>
        <w:rPr>
          <w:rStyle w:val="NoneB"/>
        </w:rPr>
        <w:t xml:space="preserve"> Waddington </w:t>
      </w:r>
      <w:r>
        <w:rPr>
          <w:rStyle w:val="NoneB"/>
        </w:rPr>
        <w:t xml:space="preserve">L. and Lawson A. 2016. The Unfinished Story of EU Disability Non-Discrimination Law. in Bogg A., Costello C. and Davies A.C.L. (eds.), </w:t>
      </w:r>
      <w:r>
        <w:rPr>
          <w:rStyle w:val="None"/>
          <w:i/>
          <w:iCs/>
        </w:rPr>
        <w:t>Research Handbook on EU Labour Law.</w:t>
      </w:r>
      <w:r>
        <w:rPr>
          <w:rStyle w:val="NoneB"/>
        </w:rPr>
        <w:t xml:space="preserve"> Edward Elgar, Cheltenham, United Kingdom, pp. 474-449; </w:t>
      </w:r>
      <w:r>
        <w:rPr>
          <w:rStyle w:val="None"/>
          <w:u w:color="1B9FDA"/>
        </w:rPr>
        <w:t>Waddington, L. 2018. The Influ</w:t>
      </w:r>
      <w:r>
        <w:rPr>
          <w:rStyle w:val="None"/>
          <w:u w:color="1B9FDA"/>
        </w:rPr>
        <w:t xml:space="preserve">ence of the UN Convention on the Rights of Persons with Disabilities on EU Anti-Discrimination Law. In Belavusau, U. &amp; Henrard, K. (eds.), </w:t>
      </w:r>
      <w:r>
        <w:rPr>
          <w:rStyle w:val="None"/>
          <w:i/>
          <w:iCs/>
          <w:u w:color="1B9FDA"/>
        </w:rPr>
        <w:t xml:space="preserve">EU Anti-Discrimination Law beyond Gender. </w:t>
      </w:r>
      <w:r>
        <w:rPr>
          <w:rStyle w:val="None"/>
          <w:u w:color="1B9FDA"/>
        </w:rPr>
        <w:t>Hart Publishing, Oxford, United Kingdom pp. 339-36.</w:t>
      </w:r>
      <w:r>
        <w:rPr>
          <w:rStyle w:val="None"/>
          <w:u w:color="17213A"/>
          <w14:textOutline w14:w="3175" w14:cap="flat" w14:cmpd="sng" w14:algn="ctr">
            <w14:solidFill>
              <w14:srgbClr w14:val="17213A"/>
            </w14:solidFill>
            <w14:prstDash w14:val="solid"/>
            <w14:miter w14:lim="400000"/>
          </w14:textOutline>
        </w:rPr>
        <w:t> </w:t>
      </w:r>
    </w:p>
  </w:footnote>
  <w:footnote w:id="19">
    <w:p w:rsidR="002B6D13" w:rsidRDefault="00140BC2">
      <w:pPr>
        <w:pStyle w:val="FootnoteText"/>
        <w:spacing w:line="240" w:lineRule="auto"/>
      </w:pPr>
      <w:r>
        <w:rPr>
          <w:rStyle w:val="None"/>
          <w:shd w:val="clear" w:color="auto" w:fill="FFFFFF"/>
          <w:vertAlign w:val="superscript"/>
        </w:rPr>
        <w:footnoteRef/>
      </w:r>
      <w:r>
        <w:rPr>
          <w:rStyle w:val="NoneB"/>
        </w:rPr>
        <w:t xml:space="preserve"> Broderick, A. and Ferri, D. 2020. (eds.), </w:t>
      </w:r>
      <w:r>
        <w:rPr>
          <w:rStyle w:val="None"/>
          <w:i/>
          <w:iCs/>
        </w:rPr>
        <w:t>Research Handbook on EU Disability Law.</w:t>
      </w:r>
      <w:r>
        <w:rPr>
          <w:rStyle w:val="NoneB"/>
        </w:rPr>
        <w:t xml:space="preserve"> Edward Elgar, Cheltenham, United Kingdom.</w:t>
      </w:r>
    </w:p>
  </w:footnote>
  <w:footnote w:id="20">
    <w:p w:rsidR="002B6D13" w:rsidRDefault="00140BC2">
      <w:pPr>
        <w:pStyle w:val="FootnoteText"/>
        <w:spacing w:line="240" w:lineRule="auto"/>
      </w:pPr>
      <w:r>
        <w:rPr>
          <w:rStyle w:val="FootnoteReference"/>
        </w:rPr>
        <w:footnoteRef/>
      </w:r>
      <w:r>
        <w:rPr>
          <w:rStyle w:val="NoneB"/>
        </w:rPr>
        <w:t xml:space="preserve"> Conte, C. 2016. What about Refugees with Disabilities? The Interplay between EU Asylum </w:t>
      </w:r>
      <w:r>
        <w:rPr>
          <w:rStyle w:val="NoneB"/>
        </w:rPr>
        <w:t>Law and the UN Convention on the Rights of Persons with Disabilities. E</w:t>
      </w:r>
      <w:r>
        <w:rPr>
          <w:rStyle w:val="None"/>
          <w:i/>
          <w:iCs/>
        </w:rPr>
        <w:t>uropean Journal of Migration and Law</w:t>
      </w:r>
      <w:r>
        <w:rPr>
          <w:rStyle w:val="NoneB"/>
        </w:rPr>
        <w:t xml:space="preserve"> (18)(3), pp. 327-349, pp. 349.</w:t>
      </w:r>
    </w:p>
  </w:footnote>
  <w:footnote w:id="21">
    <w:p w:rsidR="002B6D13" w:rsidRDefault="00140BC2">
      <w:pPr>
        <w:pStyle w:val="FootnoteText"/>
        <w:spacing w:line="240" w:lineRule="auto"/>
      </w:pPr>
      <w:r>
        <w:rPr>
          <w:rStyle w:val="FootnoteReference"/>
        </w:rPr>
        <w:footnoteRef/>
      </w:r>
      <w:r>
        <w:rPr>
          <w:rStyle w:val="NoneB"/>
        </w:rPr>
        <w:t xml:space="preserve"> The Common European Asylum System was initiated in 1999, in order to provide harmonised common minimum standards in</w:t>
      </w:r>
      <w:r>
        <w:rPr>
          <w:rStyle w:val="NoneB"/>
        </w:rPr>
        <w:t xml:space="preserve"> all aspects of the asylum process to ensure that asylum is granted in a fair and appropriate manner to all individuals who apply for it. See European Commission, Common European Asylum System, available at </w:t>
      </w:r>
      <w:hyperlink r:id="rId3" w:history="1">
        <w:r>
          <w:rPr>
            <w:rStyle w:val="Hyperlink0"/>
          </w:rPr>
          <w:t>https://ec.europa.eu/home-affairs/what-we-do/policies/asylum</w:t>
        </w:r>
      </w:hyperlink>
      <w:r>
        <w:rPr>
          <w:rStyle w:val="NoneB"/>
        </w:rPr>
        <w:t xml:space="preserve"> (last accessed 31/08/2019).</w:t>
      </w:r>
    </w:p>
  </w:footnote>
  <w:footnote w:id="22">
    <w:p w:rsidR="002B6D13" w:rsidRDefault="00140BC2">
      <w:pPr>
        <w:pStyle w:val="FootnoteText"/>
        <w:spacing w:line="240" w:lineRule="auto"/>
      </w:pPr>
      <w:r>
        <w:rPr>
          <w:rStyle w:val="FootnoteReference"/>
        </w:rPr>
        <w:footnoteRef/>
      </w:r>
      <w:r>
        <w:rPr>
          <w:rStyle w:val="NoneB"/>
        </w:rPr>
        <w:t xml:space="preserve"> The Commission in its Progress Report, which also includes answers to concerns raised by the CRPD Committee, affirms that asylum and migra</w:t>
      </w:r>
      <w:r>
        <w:rPr>
          <w:rStyle w:val="NoneB"/>
        </w:rPr>
        <w:t>tion was not included in the European Disability Strategy and that ‘[t]his issue was not picked up in 2010 given its limited relevance at the time but the change on priorities needs to be acknowledged’.  See Commission Staff Working Document Progress Repor</w:t>
      </w:r>
      <w:r>
        <w:rPr>
          <w:rStyle w:val="NoneB"/>
        </w:rPr>
        <w:t>t on the implementation of the European Disability Strategy (2010 - 2020) SWD(2017) 29 final.</w:t>
      </w:r>
    </w:p>
  </w:footnote>
  <w:footnote w:id="23">
    <w:p w:rsidR="002B6D13" w:rsidRDefault="00140BC2">
      <w:pPr>
        <w:pStyle w:val="FootnoteText"/>
        <w:spacing w:line="240" w:lineRule="auto"/>
      </w:pPr>
      <w:r>
        <w:rPr>
          <w:rStyle w:val="FootnoteReference"/>
        </w:rPr>
        <w:footnoteRef/>
      </w:r>
      <w:r>
        <w:rPr>
          <w:rStyle w:val="NoneB"/>
        </w:rPr>
        <w:t xml:space="preserve"> Conte, C. 2016. What about Refugees with Disabilities? The Interplay between EU Asylum Law and the UN Convention on the Rights of Persons with Disabilities. E</w:t>
      </w:r>
      <w:r>
        <w:rPr>
          <w:rStyle w:val="None"/>
          <w:i/>
          <w:iCs/>
        </w:rPr>
        <w:t>ur</w:t>
      </w:r>
      <w:r>
        <w:rPr>
          <w:rStyle w:val="None"/>
          <w:i/>
          <w:iCs/>
        </w:rPr>
        <w:t>opean Journal of Migration and Law</w:t>
      </w:r>
      <w:r>
        <w:rPr>
          <w:rStyle w:val="NoneB"/>
        </w:rPr>
        <w:t xml:space="preserve"> (18)(3), pp. 327-349.</w:t>
      </w:r>
    </w:p>
  </w:footnote>
  <w:footnote w:id="24">
    <w:p w:rsidR="002B6D13" w:rsidRDefault="00140BC2">
      <w:pPr>
        <w:pStyle w:val="FootnoteText"/>
        <w:spacing w:line="240" w:lineRule="auto"/>
      </w:pPr>
      <w:r>
        <w:rPr>
          <w:rStyle w:val="FootnoteReference"/>
        </w:rPr>
        <w:footnoteRef/>
      </w:r>
      <w:r>
        <w:rPr>
          <w:rStyle w:val="NoneB"/>
        </w:rPr>
        <w:t xml:space="preserve"> Ibid. See also, Ferri, D. 2017. The Role of the European Union in Protecting the Rights of Asylum Seekers with Disabilities, in Baldin, S. &amp; Zago, M. (eds.), </w:t>
      </w:r>
      <w:r>
        <w:rPr>
          <w:rStyle w:val="None"/>
          <w:i/>
          <w:iCs/>
        </w:rPr>
        <w:t>Europe of Migrations: Policies, Legal I</w:t>
      </w:r>
      <w:r>
        <w:rPr>
          <w:rStyle w:val="None"/>
          <w:i/>
          <w:iCs/>
        </w:rPr>
        <w:t>ssues and Experiences. U</w:t>
      </w:r>
      <w:r>
        <w:rPr>
          <w:rStyle w:val="NoneB"/>
        </w:rPr>
        <w:t>niversity of Trieste Press, Trieste, Italy.</w:t>
      </w:r>
    </w:p>
  </w:footnote>
  <w:footnote w:id="25">
    <w:p w:rsidR="002B6D13" w:rsidRDefault="00140BC2">
      <w:pPr>
        <w:pStyle w:val="FootnoteText"/>
        <w:spacing w:line="240" w:lineRule="auto"/>
      </w:pPr>
      <w:r>
        <w:rPr>
          <w:rStyle w:val="FootnoteReference"/>
        </w:rPr>
        <w:footnoteRef/>
      </w:r>
      <w:r>
        <w:rPr>
          <w:rStyle w:val="NoneB"/>
        </w:rPr>
        <w:t xml:space="preserve"> Thym, D. 2019. A Bird’s Eye View on ECJ Judgments on Immigration, Asylum and Border Control Cases. </w:t>
      </w:r>
      <w:r>
        <w:rPr>
          <w:rStyle w:val="None"/>
          <w:i/>
          <w:iCs/>
        </w:rPr>
        <w:t>European Journal of Migration and Law</w:t>
      </w:r>
      <w:r>
        <w:rPr>
          <w:rStyle w:val="NoneB"/>
        </w:rPr>
        <w:t xml:space="preserve"> 21(2), pp. 166-192.</w:t>
      </w:r>
    </w:p>
  </w:footnote>
  <w:footnote w:id="26">
    <w:p w:rsidR="002B6D13" w:rsidRDefault="00140BC2">
      <w:pPr>
        <w:pStyle w:val="FootnoteText"/>
        <w:spacing w:line="240" w:lineRule="auto"/>
      </w:pPr>
      <w:r>
        <w:rPr>
          <w:rStyle w:val="FootnoteReference"/>
        </w:rPr>
        <w:footnoteRef/>
      </w:r>
      <w:r>
        <w:rPr>
          <w:rStyle w:val="NoneB"/>
        </w:rPr>
        <w:t xml:space="preserve"> Conte, C. 2016. What about </w:t>
      </w:r>
      <w:r>
        <w:rPr>
          <w:rStyle w:val="NoneB"/>
        </w:rPr>
        <w:t>Refugees with Disabilities? The Interplay between EU Asylum Law and the UN Convention on the Rights of Persons with Disabilities. E</w:t>
      </w:r>
      <w:r>
        <w:rPr>
          <w:rStyle w:val="None"/>
          <w:i/>
          <w:iCs/>
        </w:rPr>
        <w:t>uropean Journal of Migration and Law</w:t>
      </w:r>
      <w:r>
        <w:rPr>
          <w:rStyle w:val="NoneB"/>
        </w:rPr>
        <w:t xml:space="preserve"> (18)(3), pp. 327-349.</w:t>
      </w:r>
    </w:p>
  </w:footnote>
  <w:footnote w:id="27">
    <w:p w:rsidR="002B6D13" w:rsidRDefault="00140BC2">
      <w:pPr>
        <w:pStyle w:val="FootnoteText"/>
        <w:spacing w:line="240" w:lineRule="auto"/>
      </w:pPr>
      <w:r>
        <w:rPr>
          <w:rStyle w:val="FootnoteReference"/>
        </w:rPr>
        <w:footnoteRef/>
      </w:r>
      <w:r>
        <w:rPr>
          <w:rStyle w:val="NoneB"/>
        </w:rPr>
        <w:t xml:space="preserve"> Proposal for a Directive of the European Parliament and of the C</w:t>
      </w:r>
      <w:r>
        <w:rPr>
          <w:rStyle w:val="NoneB"/>
        </w:rPr>
        <w:t>ouncil laying down standards for the reception of applicants for international protection (recast) Brussels, 13.7.2016 COM(2016) 465 final 2016/0222 (COD).</w:t>
      </w:r>
    </w:p>
  </w:footnote>
  <w:footnote w:id="28">
    <w:p w:rsidR="002B6D13" w:rsidRDefault="00140BC2">
      <w:pPr>
        <w:pStyle w:val="FootnoteText"/>
        <w:spacing w:line="240" w:lineRule="auto"/>
      </w:pPr>
      <w:r>
        <w:rPr>
          <w:rStyle w:val="FootnoteReference"/>
        </w:rPr>
        <w:footnoteRef/>
      </w:r>
      <w:r>
        <w:rPr>
          <w:rStyle w:val="NoneB"/>
        </w:rPr>
        <w:t xml:space="preserve"> Conte, C. 2016. What about Refugees with Disabilities? The Interplay between EU Asylum Law and the</w:t>
      </w:r>
      <w:r>
        <w:rPr>
          <w:rStyle w:val="NoneB"/>
        </w:rPr>
        <w:t xml:space="preserve"> UN Convention on the Rights of Persons with Disabilities. E</w:t>
      </w:r>
      <w:r>
        <w:rPr>
          <w:rStyle w:val="None"/>
          <w:i/>
          <w:iCs/>
        </w:rPr>
        <w:t>uropean Journal of Migration and Law</w:t>
      </w:r>
      <w:r>
        <w:rPr>
          <w:rStyle w:val="NoneB"/>
        </w:rPr>
        <w:t xml:space="preserve"> (18)(3), pp. 327-349; Ferri, D. 2017. The Role of the European Union in Protecting the Rights of Asylum Seekers with Disabilities, in Baldin, S. &amp; Zago, M. (ed</w:t>
      </w:r>
      <w:r>
        <w:rPr>
          <w:rStyle w:val="NoneB"/>
        </w:rPr>
        <w:t xml:space="preserve">s.), </w:t>
      </w:r>
      <w:r>
        <w:rPr>
          <w:rStyle w:val="None"/>
          <w:i/>
          <w:iCs/>
        </w:rPr>
        <w:t>Europe of Migrations: Policies, Legal Issues and Experiences.</w:t>
      </w:r>
      <w:r>
        <w:rPr>
          <w:rStyle w:val="NoneB"/>
        </w:rPr>
        <w:t xml:space="preserve"> Trieste: University of Trieste Press.</w:t>
      </w:r>
    </w:p>
  </w:footnote>
  <w:footnote w:id="29">
    <w:p w:rsidR="002B6D13" w:rsidRDefault="00140BC2">
      <w:pPr>
        <w:pStyle w:val="FootnoteText"/>
        <w:spacing w:line="240" w:lineRule="auto"/>
      </w:pPr>
      <w:r>
        <w:rPr>
          <w:rStyle w:val="FootnoteReference"/>
        </w:rPr>
        <w:footnoteRef/>
      </w:r>
      <w:r>
        <w:rPr>
          <w:rStyle w:val="NoneB"/>
        </w:rPr>
        <w:t xml:space="preserve"> Ferri, D. &amp; Broderick, A. 2019. The European Court Of Human Rights And The Human Rights Model Of Disability. Convergence, Fragmentation and Future Perspectives.</w:t>
      </w:r>
      <w:r>
        <w:rPr>
          <w:rStyle w:val="None"/>
          <w:i/>
          <w:iCs/>
        </w:rPr>
        <w:t xml:space="preserve"> European Yearbook of Human Rights</w:t>
      </w:r>
      <w:r>
        <w:rPr>
          <w:rStyle w:val="NoneB"/>
        </w:rPr>
        <w:t>, pp. 263-294.</w:t>
      </w:r>
    </w:p>
  </w:footnote>
  <w:footnote w:id="30">
    <w:p w:rsidR="002B6D13" w:rsidRDefault="00140BC2">
      <w:pPr>
        <w:pStyle w:val="FootnoteText"/>
        <w:spacing w:line="240" w:lineRule="auto"/>
      </w:pPr>
      <w:r>
        <w:rPr>
          <w:rStyle w:val="FootnoteReference"/>
        </w:rPr>
        <w:footnoteRef/>
      </w:r>
      <w:r>
        <w:rPr>
          <w:rStyle w:val="NoneB"/>
        </w:rPr>
        <w:t xml:space="preserve"> O’Brien, C. 2017. Union Citizenship and Disa</w:t>
      </w:r>
      <w:r>
        <w:rPr>
          <w:rStyle w:val="NoneB"/>
        </w:rPr>
        <w:t xml:space="preserve">bility: Restricted Access to Equality Rights and the Attitudinal Model of Disability. in Kochenov, D. </w:t>
      </w:r>
      <w:r>
        <w:rPr>
          <w:rStyle w:val="None"/>
          <w:i/>
          <w:iCs/>
        </w:rPr>
        <w:t>EU Citizenship and Federalism</w:t>
      </w:r>
      <w:r>
        <w:rPr>
          <w:rStyle w:val="NoneB"/>
        </w:rPr>
        <w:t>. Cambridge: Cambridge University Press, pp. 509-539.</w:t>
      </w:r>
    </w:p>
  </w:footnote>
  <w:footnote w:id="31">
    <w:p w:rsidR="002B6D13" w:rsidRDefault="00140BC2">
      <w:pPr>
        <w:pStyle w:val="FootnoteText"/>
        <w:spacing w:line="240" w:lineRule="auto"/>
      </w:pPr>
      <w:r>
        <w:rPr>
          <w:rStyle w:val="None"/>
          <w:sz w:val="24"/>
          <w:szCs w:val="24"/>
          <w:vertAlign w:val="superscript"/>
        </w:rPr>
        <w:footnoteRef/>
      </w:r>
      <w:r>
        <w:rPr>
          <w:rStyle w:val="NoneB"/>
        </w:rPr>
        <w:t xml:space="preserve"> Inter alia Ferri, D. &amp; Broderick, A. 2019. The European Court Of Huma</w:t>
      </w:r>
      <w:r>
        <w:rPr>
          <w:rStyle w:val="NoneB"/>
        </w:rPr>
        <w:t>n Rights And The Human Rights Model Of Disability. Convergence, Fragmentation and Future Perspectives.</w:t>
      </w:r>
      <w:r>
        <w:rPr>
          <w:rStyle w:val="None"/>
          <w:i/>
          <w:iCs/>
        </w:rPr>
        <w:t xml:space="preserve"> European Yearbook of Human Rights</w:t>
      </w:r>
      <w:r>
        <w:rPr>
          <w:rStyle w:val="NoneB"/>
        </w:rPr>
        <w:t>, pp. 263-294.</w:t>
      </w:r>
    </w:p>
  </w:footnote>
  <w:footnote w:id="32">
    <w:p w:rsidR="002B6D13" w:rsidRDefault="00140BC2">
      <w:pPr>
        <w:pStyle w:val="FootnoteText"/>
        <w:spacing w:line="240" w:lineRule="auto"/>
      </w:pPr>
      <w:r>
        <w:rPr>
          <w:rStyle w:val="None"/>
          <w:sz w:val="24"/>
          <w:szCs w:val="24"/>
          <w:vertAlign w:val="superscript"/>
        </w:rPr>
        <w:footnoteRef/>
      </w:r>
      <w:r>
        <w:rPr>
          <w:rStyle w:val="NoneB"/>
        </w:rPr>
        <w:t xml:space="preserve"> Kayess, R. and French, P. 2008. Out of Darkness into Light? Introducing the Convention on the Rights of</w:t>
      </w:r>
      <w:r>
        <w:rPr>
          <w:rStyle w:val="NoneB"/>
        </w:rPr>
        <w:t xml:space="preserve"> Persons with Disabilities. </w:t>
      </w:r>
      <w:r>
        <w:rPr>
          <w:rStyle w:val="None"/>
          <w:i/>
          <w:iCs/>
        </w:rPr>
        <w:t>Human Rights Law Review</w:t>
      </w:r>
      <w:r>
        <w:rPr>
          <w:rStyle w:val="NoneB"/>
        </w:rPr>
        <w:t xml:space="preserve"> (8), pp. 1-34</w:t>
      </w:r>
    </w:p>
  </w:footnote>
  <w:footnote w:id="33">
    <w:p w:rsidR="002B6D13" w:rsidRDefault="00140BC2">
      <w:pPr>
        <w:pStyle w:val="Default"/>
        <w:widowControl w:val="0"/>
        <w:jc w:val="both"/>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0"/>
          <w:szCs w:val="20"/>
        </w:rPr>
        <w:t xml:space="preserve"> Drum, C.E., 2009. Models and Approaches to Disability. In Drum., C.E., Krahn, G., and Bersani, H., Disability and Public Health. American Public Health Association/American Association on </w:t>
      </w:r>
      <w:r>
        <w:rPr>
          <w:rStyle w:val="None"/>
          <w:rFonts w:ascii="Times New Roman" w:hAnsi="Times New Roman"/>
          <w:sz w:val="20"/>
          <w:szCs w:val="20"/>
        </w:rPr>
        <w:t>Intellectual and Developmental Disabilities.</w:t>
      </w:r>
    </w:p>
  </w:footnote>
  <w:footnote w:id="34">
    <w:p w:rsidR="002B6D13" w:rsidRDefault="00140BC2">
      <w:pPr>
        <w:pStyle w:val="FootnoteText"/>
        <w:spacing w:line="240" w:lineRule="auto"/>
      </w:pPr>
      <w:r>
        <w:rPr>
          <w:rStyle w:val="None"/>
          <w:sz w:val="24"/>
          <w:szCs w:val="24"/>
          <w:vertAlign w:val="superscript"/>
        </w:rPr>
        <w:footnoteRef/>
      </w:r>
      <w:r>
        <w:rPr>
          <w:rStyle w:val="NoneB"/>
        </w:rPr>
        <w:t xml:space="preserve"> Article 1 of the CRPD reads as follows: ‘Persons with disabilities include those who have long-term physical, mental, intellectual or sensory impairments which in interaction with various barriers may hinder t</w:t>
      </w:r>
      <w:r>
        <w:rPr>
          <w:rStyle w:val="NoneB"/>
        </w:rPr>
        <w:t>heir full and effective participation in society on an equal basis with others’. Moreover, Para e) of the preamble states that ‘disability is an evolving concept and that disability results from the interaction between persons with impairments and attitudi</w:t>
      </w:r>
      <w:r>
        <w:rPr>
          <w:rStyle w:val="NoneB"/>
        </w:rPr>
        <w:t xml:space="preserve">nal and environmental barriers that hinders their full and effective participation in society on an equal basis with others’. </w:t>
      </w:r>
    </w:p>
  </w:footnote>
  <w:footnote w:id="35">
    <w:p w:rsidR="002B6D13" w:rsidRDefault="00140BC2">
      <w:pPr>
        <w:pStyle w:val="Default"/>
        <w:jc w:val="both"/>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0"/>
          <w:szCs w:val="20"/>
        </w:rPr>
        <w:t xml:space="preserve"> The social-contextual model represents a refined elaboration of the </w:t>
      </w:r>
      <w:r>
        <w:rPr>
          <w:rStyle w:val="None"/>
          <w:rFonts w:ascii="Times New Roman" w:hAnsi="Times New Roman"/>
          <w:sz w:val="20"/>
          <w:szCs w:val="20"/>
        </w:rPr>
        <w:t>‘</w:t>
      </w:r>
      <w:r>
        <w:rPr>
          <w:rStyle w:val="None"/>
          <w:rFonts w:ascii="Times New Roman" w:hAnsi="Times New Roman"/>
          <w:sz w:val="20"/>
          <w:szCs w:val="20"/>
        </w:rPr>
        <w:t>pure</w:t>
      </w:r>
      <w:r>
        <w:rPr>
          <w:rStyle w:val="None"/>
          <w:rFonts w:ascii="Times New Roman" w:hAnsi="Times New Roman"/>
          <w:sz w:val="20"/>
          <w:szCs w:val="20"/>
        </w:rPr>
        <w:t xml:space="preserve">’ </w:t>
      </w:r>
      <w:r>
        <w:rPr>
          <w:rStyle w:val="None"/>
          <w:rFonts w:ascii="Times New Roman" w:hAnsi="Times New Roman"/>
          <w:sz w:val="20"/>
          <w:szCs w:val="20"/>
        </w:rPr>
        <w:t xml:space="preserve">social model. The term </w:t>
      </w:r>
      <w:r>
        <w:rPr>
          <w:rStyle w:val="None"/>
          <w:rFonts w:ascii="Times New Roman" w:hAnsi="Times New Roman"/>
          <w:sz w:val="20"/>
          <w:szCs w:val="20"/>
        </w:rPr>
        <w:t>‘</w:t>
      </w:r>
      <w:r>
        <w:rPr>
          <w:rStyle w:val="None"/>
          <w:rFonts w:ascii="Times New Roman" w:hAnsi="Times New Roman"/>
          <w:sz w:val="20"/>
          <w:szCs w:val="20"/>
        </w:rPr>
        <w:t>social-contextual model</w:t>
      </w:r>
      <w:r>
        <w:rPr>
          <w:rStyle w:val="None"/>
          <w:rFonts w:ascii="Times New Roman" w:hAnsi="Times New Roman"/>
          <w:sz w:val="20"/>
          <w:szCs w:val="20"/>
        </w:rPr>
        <w:t xml:space="preserve">’ </w:t>
      </w:r>
      <w:r>
        <w:rPr>
          <w:rStyle w:val="None"/>
          <w:rFonts w:ascii="Times New Roman" w:hAnsi="Times New Roman"/>
          <w:sz w:val="20"/>
          <w:szCs w:val="20"/>
        </w:rPr>
        <w:t>has</w:t>
      </w:r>
      <w:r>
        <w:rPr>
          <w:rStyle w:val="None"/>
          <w:rFonts w:ascii="Times New Roman" w:hAnsi="Times New Roman"/>
          <w:sz w:val="20"/>
          <w:szCs w:val="20"/>
        </w:rPr>
        <w:t xml:space="preserve"> been used first by Broderick, A. 2015. </w:t>
      </w:r>
      <w:r>
        <w:rPr>
          <w:rStyle w:val="None"/>
          <w:rFonts w:ascii="Times New Roman" w:hAnsi="Times New Roman"/>
          <w:i/>
          <w:iCs/>
          <w:sz w:val="20"/>
          <w:szCs w:val="20"/>
        </w:rPr>
        <w:t>The Long and Winding Road to Equality and Inclusion for Persons with Disabilities: The United Nations Convention on the Rights of Persons with Disabilities</w:t>
      </w:r>
      <w:r>
        <w:rPr>
          <w:rStyle w:val="None"/>
          <w:rFonts w:ascii="Times New Roman" w:hAnsi="Times New Roman"/>
          <w:sz w:val="20"/>
          <w:szCs w:val="20"/>
        </w:rPr>
        <w:t>. Intersentia, Antwerp, Belgium,</w:t>
      </w:r>
      <w:r>
        <w:rPr>
          <w:rStyle w:val="None"/>
          <w:rFonts w:ascii="Times New Roman" w:hAnsi="Times New Roman"/>
          <w:i/>
          <w:iCs/>
          <w:sz w:val="20"/>
          <w:szCs w:val="20"/>
        </w:rPr>
        <w:t xml:space="preserve"> </w:t>
      </w:r>
      <w:r>
        <w:rPr>
          <w:rStyle w:val="None"/>
          <w:rFonts w:ascii="Times New Roman" w:hAnsi="Times New Roman"/>
          <w:sz w:val="20"/>
          <w:szCs w:val="20"/>
        </w:rPr>
        <w:t xml:space="preserve">pp. 77. For further details </w:t>
      </w:r>
      <w:r>
        <w:rPr>
          <w:rStyle w:val="None"/>
          <w:rFonts w:ascii="Times New Roman" w:hAnsi="Times New Roman"/>
          <w:sz w:val="20"/>
          <w:szCs w:val="20"/>
        </w:rPr>
        <w:t xml:space="preserve">see Broderick, A. &amp; Ferri, D. 2019. </w:t>
      </w:r>
      <w:r>
        <w:rPr>
          <w:rStyle w:val="None"/>
          <w:rFonts w:ascii="Times New Roman" w:hAnsi="Times New Roman"/>
          <w:i/>
          <w:iCs/>
          <w:sz w:val="20"/>
          <w:szCs w:val="20"/>
        </w:rPr>
        <w:t>International and European Disability Law: Texts Cases and Materials</w:t>
      </w:r>
      <w:r>
        <w:rPr>
          <w:rStyle w:val="None"/>
          <w:rFonts w:ascii="Times New Roman" w:hAnsi="Times New Roman"/>
          <w:sz w:val="20"/>
          <w:szCs w:val="20"/>
        </w:rPr>
        <w:t xml:space="preserve">. Cambridge University Press, Cambridge, United Kingdom. </w:t>
      </w:r>
    </w:p>
  </w:footnote>
  <w:footnote w:id="36">
    <w:p w:rsidR="002B6D13" w:rsidRDefault="00140BC2">
      <w:pPr>
        <w:pStyle w:val="FootnoteText"/>
        <w:spacing w:line="240" w:lineRule="auto"/>
      </w:pPr>
      <w:r>
        <w:rPr>
          <w:rStyle w:val="None"/>
          <w:sz w:val="24"/>
          <w:szCs w:val="24"/>
          <w:vertAlign w:val="superscript"/>
        </w:rPr>
        <w:footnoteRef/>
      </w:r>
      <w:r>
        <w:rPr>
          <w:rStyle w:val="NoneB"/>
        </w:rPr>
        <w:t xml:space="preserve"> Degener, T., 2017. A New Human Rights Model of Disability. in Della Fina, V., Cera, R., and </w:t>
      </w:r>
      <w:r>
        <w:rPr>
          <w:rStyle w:val="NoneB"/>
        </w:rPr>
        <w:t>Palmisano, G., (eds.). The United Nations Convention on the Rights of Persons with Disabilities: A Commentary. Springer, New York, United States, pp. 41-60.</w:t>
      </w:r>
    </w:p>
  </w:footnote>
  <w:footnote w:id="37">
    <w:p w:rsidR="002B6D13" w:rsidRDefault="00140BC2">
      <w:pPr>
        <w:pStyle w:val="FootnoteText"/>
        <w:spacing w:line="240" w:lineRule="auto"/>
      </w:pPr>
      <w:r>
        <w:rPr>
          <w:rStyle w:val="None"/>
          <w:sz w:val="24"/>
          <w:szCs w:val="24"/>
          <w:vertAlign w:val="superscript"/>
        </w:rPr>
        <w:footnoteRef/>
      </w:r>
      <w:r>
        <w:rPr>
          <w:rStyle w:val="NoneB"/>
        </w:rPr>
        <w:t xml:space="preserve"> The Committee had however mentioned the human rights model of disability in a few concluding obse</w:t>
      </w:r>
      <w:r>
        <w:rPr>
          <w:rStyle w:val="NoneB"/>
        </w:rPr>
        <w:t>rvations. For instance in its Concluding observations on the initial report of China and those of Brazil (CRPD/C/BRA/CO/1). In the later document the Committee ‘recommends that the State party develop a disability strategy to implement the human rights mod</w:t>
      </w:r>
      <w:r>
        <w:rPr>
          <w:rStyle w:val="NoneB"/>
        </w:rPr>
        <w:t>el of disability’ (para. 7). References to the human rights model appear several times in the Concluding Observation on the initial report of Poland (29 October 2018, CRPD/C/POL/CO/1, at paras. 6, 14, 55).</w:t>
      </w:r>
    </w:p>
  </w:footnote>
  <w:footnote w:id="38">
    <w:p w:rsidR="002B6D13" w:rsidRDefault="00140BC2">
      <w:pPr>
        <w:pStyle w:val="FootnoteText"/>
        <w:spacing w:line="240" w:lineRule="auto"/>
      </w:pPr>
      <w:r>
        <w:rPr>
          <w:rStyle w:val="None"/>
          <w:sz w:val="24"/>
          <w:szCs w:val="24"/>
          <w:vertAlign w:val="superscript"/>
        </w:rPr>
        <w:footnoteRef/>
      </w:r>
      <w:r>
        <w:rPr>
          <w:rStyle w:val="NoneB"/>
        </w:rPr>
        <w:t xml:space="preserve"> CRPD Committee, General Comment No. 6 on Equalit</w:t>
      </w:r>
      <w:r>
        <w:rPr>
          <w:rStyle w:val="NoneB"/>
        </w:rPr>
        <w:t>y and Non-Discrimination, UN Doc. CRPD/C/GC/6, 26.04.2018, para. 9.</w:t>
      </w:r>
    </w:p>
  </w:footnote>
  <w:footnote w:id="39">
    <w:p w:rsidR="002B6D13" w:rsidRDefault="00140BC2">
      <w:pPr>
        <w:pStyle w:val="FootnoteText"/>
        <w:spacing w:line="240" w:lineRule="auto"/>
      </w:pPr>
      <w:r>
        <w:rPr>
          <w:rStyle w:val="None"/>
          <w:sz w:val="24"/>
          <w:szCs w:val="24"/>
          <w:vertAlign w:val="superscript"/>
        </w:rPr>
        <w:footnoteRef/>
      </w:r>
      <w:r>
        <w:rPr>
          <w:rStyle w:val="NoneB"/>
        </w:rPr>
        <w:t xml:space="preserve"> Degener, T., 2017. A New Human Rights Model of Disability. in Della Fina, V., Cera, R., and Palmisano, G., (eds.). </w:t>
      </w:r>
      <w:r>
        <w:rPr>
          <w:rStyle w:val="None"/>
          <w:i/>
          <w:iCs/>
        </w:rPr>
        <w:t>The United Nations Convention on the Rights of Persons With Disabilitie</w:t>
      </w:r>
      <w:r>
        <w:rPr>
          <w:rStyle w:val="None"/>
          <w:i/>
          <w:iCs/>
        </w:rPr>
        <w:t>s: A Commentary</w:t>
      </w:r>
      <w:r>
        <w:rPr>
          <w:rStyle w:val="NoneB"/>
        </w:rPr>
        <w:t xml:space="preserve">. Springer, New York, United States, pp. 41-60. </w:t>
      </w:r>
    </w:p>
  </w:footnote>
  <w:footnote w:id="40">
    <w:p w:rsidR="002B6D13" w:rsidRDefault="00140BC2">
      <w:pPr>
        <w:pStyle w:val="FootnoteText"/>
        <w:spacing w:line="240" w:lineRule="auto"/>
      </w:pPr>
      <w:r>
        <w:rPr>
          <w:rStyle w:val="None"/>
          <w:sz w:val="24"/>
          <w:szCs w:val="24"/>
          <w:vertAlign w:val="superscript"/>
        </w:rPr>
        <w:footnoteRef/>
      </w:r>
      <w:r>
        <w:rPr>
          <w:rStyle w:val="NoneB"/>
        </w:rPr>
        <w:t xml:space="preserve"> Ibid. p. 52.</w:t>
      </w:r>
    </w:p>
  </w:footnote>
  <w:footnote w:id="41">
    <w:p w:rsidR="002B6D13" w:rsidRDefault="00140BC2">
      <w:pPr>
        <w:pStyle w:val="FootnoteText"/>
        <w:spacing w:line="240" w:lineRule="auto"/>
      </w:pPr>
      <w:r>
        <w:rPr>
          <w:rStyle w:val="None"/>
          <w:sz w:val="24"/>
          <w:szCs w:val="24"/>
          <w:vertAlign w:val="superscript"/>
        </w:rPr>
        <w:footnoteRef/>
      </w:r>
      <w:r>
        <w:rPr>
          <w:rStyle w:val="NoneB"/>
        </w:rPr>
        <w:t xml:space="preserve"> Quinn, G., and Degener, T., 2002. Human Rights and Disability. United Nations, New York, United States.</w:t>
      </w:r>
    </w:p>
  </w:footnote>
  <w:footnote w:id="42">
    <w:p w:rsidR="002B6D13" w:rsidRDefault="00140BC2">
      <w:pPr>
        <w:pStyle w:val="BodyA"/>
        <w:jc w:val="both"/>
      </w:pPr>
      <w:r>
        <w:rPr>
          <w:rStyle w:val="None"/>
          <w:vertAlign w:val="superscript"/>
        </w:rPr>
        <w:footnoteRef/>
      </w:r>
      <w:r>
        <w:rPr>
          <w:rStyle w:val="None"/>
          <w:sz w:val="20"/>
          <w:szCs w:val="20"/>
          <w14:textOutline w14:w="12700" w14:cap="flat" w14:cmpd="sng" w14:algn="ctr">
            <w14:noFill/>
            <w14:prstDash w14:val="solid"/>
            <w14:miter w14:lim="400000"/>
          </w14:textOutline>
        </w:rPr>
        <w:t xml:space="preserve"> Arrnadottir, O.M., 2009. A Future of Multidimensional Disadvantage Equality’ in Arrnadottir, O.M., and Quinn, G., The UN Convention on the Rights of Persons with Disabilities: European and Scandinavian Perspectives. Martinus Nijhoff, Leiden, The Netherlan</w:t>
      </w:r>
      <w:r>
        <w:rPr>
          <w:rStyle w:val="None"/>
          <w:sz w:val="20"/>
          <w:szCs w:val="20"/>
          <w14:textOutline w14:w="12700" w14:cap="flat" w14:cmpd="sng" w14:algn="ctr">
            <w14:noFill/>
            <w14:prstDash w14:val="solid"/>
            <w14:miter w14:lim="400000"/>
          </w14:textOutline>
        </w:rPr>
        <w:t>ds, 41.</w:t>
      </w:r>
    </w:p>
  </w:footnote>
  <w:footnote w:id="43">
    <w:p w:rsidR="002B6D13" w:rsidRDefault="00140BC2">
      <w:pPr>
        <w:pStyle w:val="BodyB"/>
        <w:shd w:val="clear" w:color="auto" w:fill="FEFEFE"/>
        <w:jc w:val="both"/>
      </w:pPr>
      <w:r>
        <w:rPr>
          <w:rStyle w:val="None"/>
          <w:vertAlign w:val="superscript"/>
        </w:rPr>
        <w:footnoteRef/>
      </w:r>
      <w:r>
        <w:rPr>
          <w:rStyle w:val="None"/>
          <w:sz w:val="20"/>
          <w:szCs w:val="20"/>
          <w:lang w:val="nl-NL"/>
        </w:rPr>
        <w:t xml:space="preserve"> De Beco,</w:t>
      </w:r>
      <w:r>
        <w:rPr>
          <w:rStyle w:val="None"/>
          <w:sz w:val="20"/>
          <w:szCs w:val="20"/>
        </w:rPr>
        <w:t xml:space="preserve"> G., 2009.</w:t>
      </w:r>
      <w:r>
        <w:rPr>
          <w:rStyle w:val="None"/>
          <w:sz w:val="20"/>
          <w:szCs w:val="20"/>
          <w:lang w:val="nl-NL"/>
        </w:rPr>
        <w:t xml:space="preserve"> </w:t>
      </w:r>
      <w:r>
        <w:rPr>
          <w:rStyle w:val="None"/>
          <w:sz w:val="20"/>
          <w:szCs w:val="20"/>
        </w:rPr>
        <w:t xml:space="preserve">The Indivisibility of Human Rights in Light of the Convention on the Rights of Persons with Disabilities. </w:t>
      </w:r>
      <w:r>
        <w:rPr>
          <w:rStyle w:val="None"/>
          <w:i/>
          <w:iCs/>
          <w:sz w:val="20"/>
          <w:szCs w:val="20"/>
        </w:rPr>
        <w:t>International and Comparative Law Quarterly</w:t>
      </w:r>
      <w:r>
        <w:rPr>
          <w:rStyle w:val="None"/>
          <w:sz w:val="20"/>
          <w:szCs w:val="20"/>
        </w:rPr>
        <w:t xml:space="preserve"> 68(1) 141-160</w:t>
      </w:r>
      <w:r>
        <w:rPr>
          <w:rStyle w:val="None"/>
          <w:sz w:val="20"/>
          <w:szCs w:val="20"/>
        </w:rPr>
        <w:t>.</w:t>
      </w:r>
    </w:p>
  </w:footnote>
  <w:footnote w:id="44">
    <w:p w:rsidR="002B6D13" w:rsidRDefault="00140BC2">
      <w:pPr>
        <w:pStyle w:val="Footnote"/>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0"/>
          <w:szCs w:val="20"/>
        </w:rPr>
        <w:t xml:space="preserve"> It should be noted that rights like that of education (Article 24) which is more easily classified as a socio-economic right will require the same kind of positive measures as the right to liberty (Article 14) which would be considered a civil or polit</w:t>
      </w:r>
      <w:r>
        <w:rPr>
          <w:rStyle w:val="None"/>
          <w:rFonts w:ascii="Times New Roman" w:hAnsi="Times New Roman"/>
          <w:sz w:val="20"/>
          <w:szCs w:val="20"/>
        </w:rPr>
        <w:t>ical right - both are cast as requiring a degree of reasonable accommodation.</w:t>
      </w:r>
    </w:p>
  </w:footnote>
  <w:footnote w:id="45">
    <w:p w:rsidR="002B6D13" w:rsidRDefault="00140BC2">
      <w:pPr>
        <w:pStyle w:val="FootnoteText"/>
        <w:spacing w:line="240" w:lineRule="auto"/>
      </w:pPr>
      <w:r>
        <w:rPr>
          <w:rStyle w:val="None"/>
          <w:sz w:val="24"/>
          <w:szCs w:val="24"/>
          <w:vertAlign w:val="superscript"/>
        </w:rPr>
        <w:footnoteRef/>
      </w:r>
      <w:r>
        <w:rPr>
          <w:rStyle w:val="NoneB"/>
        </w:rPr>
        <w:t xml:space="preserve"> CRPD Committee, General Comment No. 6 on Equality and Non-Discrimination, UN Doc. CRPD/C/GC/6, 26.04.2018, para. 11</w:t>
      </w:r>
    </w:p>
  </w:footnote>
  <w:footnote w:id="46">
    <w:p w:rsidR="002B6D13" w:rsidRDefault="00140BC2">
      <w:pPr>
        <w:pStyle w:val="FootnoteText"/>
        <w:spacing w:line="240" w:lineRule="auto"/>
      </w:pPr>
      <w:r>
        <w:rPr>
          <w:rStyle w:val="None"/>
          <w:sz w:val="24"/>
          <w:szCs w:val="24"/>
          <w:vertAlign w:val="superscript"/>
        </w:rPr>
        <w:footnoteRef/>
      </w:r>
      <w:r>
        <w:rPr>
          <w:rStyle w:val="NoneB"/>
        </w:rPr>
        <w:t xml:space="preserve"> Ibid.</w:t>
      </w:r>
    </w:p>
  </w:footnote>
  <w:footnote w:id="47">
    <w:p w:rsidR="002B6D13" w:rsidRDefault="00140BC2">
      <w:pPr>
        <w:pStyle w:val="FootnoteText"/>
        <w:spacing w:line="240" w:lineRule="auto"/>
      </w:pPr>
      <w:r>
        <w:rPr>
          <w:rStyle w:val="None"/>
          <w:sz w:val="24"/>
          <w:szCs w:val="24"/>
          <w:vertAlign w:val="superscript"/>
        </w:rPr>
        <w:footnoteRef/>
      </w:r>
      <w:r>
        <w:rPr>
          <w:rStyle w:val="NoneB"/>
        </w:rPr>
        <w:t xml:space="preserve"> Ferri, D. 2018. Reasonable Accommodation as a Gate</w:t>
      </w:r>
      <w:r>
        <w:rPr>
          <w:rStyle w:val="NoneB"/>
        </w:rPr>
        <w:t xml:space="preserve">way to the Equal Enjoyment of Human Rights: From New York to Strasbourg. </w:t>
      </w:r>
      <w:r>
        <w:rPr>
          <w:rStyle w:val="None"/>
          <w:i/>
          <w:iCs/>
          <w:shd w:val="clear" w:color="auto" w:fill="FFFFFF"/>
        </w:rPr>
        <w:t>Social Inclusion</w:t>
      </w:r>
      <w:r>
        <w:rPr>
          <w:rStyle w:val="NoneB"/>
        </w:rPr>
        <w:t xml:space="preserve"> 6 (1) 40.</w:t>
      </w:r>
    </w:p>
  </w:footnote>
  <w:footnote w:id="48">
    <w:p w:rsidR="002B6D13" w:rsidRDefault="00140BC2">
      <w:pPr>
        <w:pStyle w:val="FootnoteText"/>
        <w:spacing w:line="240" w:lineRule="auto"/>
      </w:pPr>
      <w:r>
        <w:rPr>
          <w:rStyle w:val="None"/>
          <w:sz w:val="24"/>
          <w:szCs w:val="24"/>
          <w:vertAlign w:val="superscript"/>
        </w:rPr>
        <w:footnoteRef/>
      </w:r>
      <w:r>
        <w:rPr>
          <w:rStyle w:val="NoneB"/>
        </w:rPr>
        <w:t xml:space="preserve"> CRPD Committee, General Comment No. 2 on Accessibility (UN Doc. CRPD/C/GC/2).</w:t>
      </w:r>
    </w:p>
  </w:footnote>
  <w:footnote w:id="49">
    <w:p w:rsidR="002B6D13" w:rsidRDefault="00140BC2">
      <w:pPr>
        <w:pStyle w:val="FootnoteText"/>
        <w:spacing w:line="240" w:lineRule="auto"/>
      </w:pPr>
      <w:r>
        <w:rPr>
          <w:rStyle w:val="None"/>
          <w:sz w:val="24"/>
          <w:szCs w:val="24"/>
          <w:vertAlign w:val="superscript"/>
        </w:rPr>
        <w:footnoteRef/>
      </w:r>
      <w:r>
        <w:rPr>
          <w:rStyle w:val="NoneB"/>
        </w:rPr>
        <w:t xml:space="preserve"> Ferri, D. and Lawson, A. 2016. </w:t>
      </w:r>
      <w:r>
        <w:rPr>
          <w:rStyle w:val="None"/>
          <w:i/>
          <w:iCs/>
        </w:rPr>
        <w:t>Reasonable accommodation for disabled peopl</w:t>
      </w:r>
      <w:r>
        <w:rPr>
          <w:rStyle w:val="None"/>
          <w:i/>
          <w:iCs/>
        </w:rPr>
        <w:t>e in employment contexts</w:t>
      </w:r>
      <w:r>
        <w:rPr>
          <w:rStyle w:val="NoneB"/>
        </w:rPr>
        <w:t>. Publications Office of the European Union, Luxembourg.</w:t>
      </w:r>
    </w:p>
  </w:footnote>
  <w:footnote w:id="50">
    <w:p w:rsidR="002B6D13" w:rsidRDefault="00140BC2">
      <w:pPr>
        <w:pStyle w:val="FootnoteText"/>
        <w:spacing w:line="240" w:lineRule="auto"/>
      </w:pPr>
      <w:r>
        <w:rPr>
          <w:rStyle w:val="None"/>
          <w:sz w:val="24"/>
          <w:szCs w:val="24"/>
          <w:vertAlign w:val="superscript"/>
        </w:rPr>
        <w:footnoteRef/>
      </w:r>
      <w:r>
        <w:rPr>
          <w:rStyle w:val="NoneB"/>
        </w:rPr>
        <w:t xml:space="preserve"> Lawson, A. 2012. Disability equality, reasonable accommodation and the avoidance of ill-treatment in places of detention: the role of supranational monitoring and inspection</w:t>
      </w:r>
      <w:r>
        <w:rPr>
          <w:rStyle w:val="NoneB"/>
        </w:rPr>
        <w:t xml:space="preserve"> bodies. </w:t>
      </w:r>
      <w:r>
        <w:rPr>
          <w:rStyle w:val="None"/>
          <w:i/>
          <w:iCs/>
        </w:rPr>
        <w:t>The International Journal of Human Rights</w:t>
      </w:r>
      <w:r>
        <w:rPr>
          <w:rStyle w:val="NoneB"/>
        </w:rPr>
        <w:t>, 16(6) pp. 845-864.</w:t>
      </w:r>
    </w:p>
  </w:footnote>
  <w:footnote w:id="51">
    <w:p w:rsidR="002B6D13" w:rsidRDefault="00140BC2">
      <w:pPr>
        <w:pStyle w:val="Footnote"/>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0"/>
          <w:szCs w:val="20"/>
        </w:rPr>
        <w:t xml:space="preserve"> CRPD, Article 5(3).</w:t>
      </w:r>
    </w:p>
  </w:footnote>
  <w:footnote w:id="52">
    <w:p w:rsidR="002B6D13" w:rsidRDefault="00140BC2">
      <w:pPr>
        <w:pStyle w:val="FootnoteText"/>
        <w:spacing w:line="240" w:lineRule="auto"/>
      </w:pPr>
      <w:r>
        <w:rPr>
          <w:rStyle w:val="None"/>
          <w:sz w:val="24"/>
          <w:szCs w:val="24"/>
          <w:vertAlign w:val="superscript"/>
        </w:rPr>
        <w:footnoteRef/>
      </w:r>
      <w:r>
        <w:rPr>
          <w:rStyle w:val="NoneB"/>
        </w:rPr>
        <w:t xml:space="preserve"> CRPD Committee, </w:t>
      </w:r>
      <w:r>
        <w:rPr>
          <w:rStyle w:val="None"/>
          <w:i/>
          <w:iCs/>
        </w:rPr>
        <w:t>Jungelin v Sweden</w:t>
      </w:r>
      <w:r>
        <w:rPr>
          <w:rStyle w:val="NoneB"/>
        </w:rPr>
        <w:t xml:space="preserve"> CRPD/C/12/D/5/2011.</w:t>
      </w:r>
    </w:p>
  </w:footnote>
  <w:footnote w:id="53">
    <w:p w:rsidR="002B6D13" w:rsidRDefault="00140BC2">
      <w:pPr>
        <w:pStyle w:val="FootnoteText"/>
        <w:spacing w:line="240" w:lineRule="auto"/>
      </w:pPr>
      <w:r>
        <w:rPr>
          <w:rStyle w:val="None"/>
          <w:sz w:val="24"/>
          <w:szCs w:val="24"/>
          <w:vertAlign w:val="superscript"/>
        </w:rPr>
        <w:footnoteRef/>
      </w:r>
      <w:r>
        <w:rPr>
          <w:rStyle w:val="NoneB"/>
        </w:rPr>
        <w:t xml:space="preserve"> CRPD Committee. (2014). General Comment No. 2 on Accessibility (UN Doc. CRPD/C/GC/2), para 25.</w:t>
      </w:r>
    </w:p>
  </w:footnote>
  <w:footnote w:id="54">
    <w:p w:rsidR="002B6D13" w:rsidRDefault="00140BC2">
      <w:pPr>
        <w:pStyle w:val="FootnoteText"/>
        <w:spacing w:line="240" w:lineRule="auto"/>
      </w:pPr>
      <w:r>
        <w:rPr>
          <w:rStyle w:val="None"/>
          <w:sz w:val="24"/>
          <w:szCs w:val="24"/>
          <w:vertAlign w:val="superscript"/>
        </w:rPr>
        <w:footnoteRef/>
      </w:r>
      <w:r>
        <w:rPr>
          <w:rStyle w:val="NoneB"/>
        </w:rPr>
        <w:t xml:space="preserve"> When reviewing various initial reports, the CRPD Committee made reference to the Initial Report of China, in 2012, the CRPD Committee expressed concern in relation to the ‘prevalence of the medical model of disability in both the definition of disability </w:t>
      </w:r>
      <w:r>
        <w:rPr>
          <w:rStyle w:val="NoneB"/>
        </w:rPr>
        <w:t>and the enduring terminology and language of the discourse on the status of persons with disabilities’. The Committee expressed then various concerns and the overall preoccupation about ‘the lack of a coherent and comprehensive disability strategy to imple</w:t>
      </w:r>
      <w:r>
        <w:rPr>
          <w:rStyle w:val="NoneB"/>
        </w:rPr>
        <w:t>ment the human rights model of disability that the Convention establishes to achieve the de facto equality of persons with disabilities and implement the rights enshrined in the Convention at all levels’ – CRPD Committee. 2012. Concluding observations on t</w:t>
      </w:r>
      <w:r>
        <w:rPr>
          <w:rStyle w:val="NoneB"/>
        </w:rPr>
        <w:t>he initial report of China, adopted by the Committee at its eighth session (17–28 September 2012) (UN Doc. CRPD/C/CHN/CO/1), para 9.</w:t>
      </w:r>
    </w:p>
  </w:footnote>
  <w:footnote w:id="55">
    <w:p w:rsidR="002B6D13" w:rsidRDefault="00140BC2">
      <w:pPr>
        <w:pStyle w:val="FootnoteText"/>
        <w:spacing w:line="240" w:lineRule="auto"/>
      </w:pPr>
      <w:r>
        <w:rPr>
          <w:rStyle w:val="None"/>
          <w:sz w:val="24"/>
          <w:szCs w:val="24"/>
          <w:vertAlign w:val="superscript"/>
        </w:rPr>
        <w:footnoteRef/>
      </w:r>
      <w:r>
        <w:rPr>
          <w:rStyle w:val="NoneB"/>
        </w:rPr>
        <w:t xml:space="preserve"> CRPD, Articles 6 and 7.</w:t>
      </w:r>
    </w:p>
  </w:footnote>
  <w:footnote w:id="56">
    <w:p w:rsidR="002B6D13" w:rsidRDefault="00140BC2">
      <w:pPr>
        <w:pStyle w:val="FootnoteText"/>
        <w:spacing w:line="240" w:lineRule="auto"/>
      </w:pPr>
      <w:r>
        <w:rPr>
          <w:rStyle w:val="None"/>
          <w:sz w:val="24"/>
          <w:szCs w:val="24"/>
          <w:vertAlign w:val="superscript"/>
        </w:rPr>
        <w:footnoteRef/>
      </w:r>
      <w:r>
        <w:rPr>
          <w:rStyle w:val="NoneB"/>
        </w:rPr>
        <w:t xml:space="preserve"> </w:t>
      </w:r>
      <w:r>
        <w:rPr>
          <w:rStyle w:val="None"/>
          <w:color w:val="3C4043"/>
          <w:u w:color="3C4043"/>
        </w:rPr>
        <w:t>UN Commission on Human Rights, </w:t>
      </w:r>
      <w:r>
        <w:rPr>
          <w:rStyle w:val="NoneB"/>
        </w:rPr>
        <w:t>Convention on the Rights of the Child</w:t>
      </w:r>
      <w:r>
        <w:rPr>
          <w:rStyle w:val="None"/>
          <w:color w:val="3C4043"/>
          <w:u w:color="3C4043"/>
        </w:rPr>
        <w:t>., 7 March 1990, E/CN.4/RES/1990/74. For example, Article 7(2) of the CRPD refers to the ‘best interests of the child’ which is contained in Articles 3, 9, 18, 20 and 21 of the Convention on the Rights of the Child.</w:t>
      </w:r>
    </w:p>
  </w:footnote>
  <w:footnote w:id="57">
    <w:p w:rsidR="002B6D13" w:rsidRDefault="00140BC2">
      <w:pPr>
        <w:pStyle w:val="FootnoteText"/>
      </w:pPr>
      <w:r>
        <w:rPr>
          <w:rStyle w:val="None"/>
          <w:sz w:val="24"/>
          <w:szCs w:val="24"/>
          <w:vertAlign w:val="superscript"/>
        </w:rPr>
        <w:footnoteRef/>
      </w:r>
      <w:r>
        <w:rPr>
          <w:rStyle w:val="NoneB"/>
          <w:rFonts w:eastAsia="Arial Unicode MS" w:cs="Arial Unicode MS"/>
        </w:rPr>
        <w:t xml:space="preserve"> Conte, C. 2016. What about Refugees wi</w:t>
      </w:r>
      <w:r>
        <w:rPr>
          <w:rStyle w:val="NoneB"/>
          <w:rFonts w:eastAsia="Arial Unicode MS" w:cs="Arial Unicode MS"/>
        </w:rPr>
        <w:t>th Disabilities? The Interplay between EU Asylum Law and the UN Convention on the Rights of Persons with Disabilities. E</w:t>
      </w:r>
      <w:r>
        <w:rPr>
          <w:rStyle w:val="None"/>
          <w:rFonts w:eastAsia="Arial Unicode MS" w:cs="Arial Unicode MS"/>
          <w:i/>
          <w:iCs/>
        </w:rPr>
        <w:t>uropean Journal of Migration and Law</w:t>
      </w:r>
      <w:r>
        <w:rPr>
          <w:rStyle w:val="NoneB"/>
          <w:rFonts w:eastAsia="Arial Unicode MS" w:cs="Arial Unicode MS"/>
        </w:rPr>
        <w:t xml:space="preserve"> (18)(3), pp. 327-349, p. 332,</w:t>
      </w:r>
    </w:p>
  </w:footnote>
  <w:footnote w:id="58">
    <w:p w:rsidR="002B6D13" w:rsidRDefault="00140BC2">
      <w:pPr>
        <w:pStyle w:val="FootnoteText"/>
        <w:spacing w:line="240" w:lineRule="auto"/>
      </w:pPr>
      <w:r>
        <w:rPr>
          <w:rStyle w:val="None"/>
          <w:sz w:val="24"/>
          <w:szCs w:val="24"/>
          <w:vertAlign w:val="superscript"/>
        </w:rPr>
        <w:footnoteRef/>
      </w:r>
      <w:r>
        <w:rPr>
          <w:rStyle w:val="NoneB"/>
        </w:rPr>
        <w:t xml:space="preserve"> See CRPD Committee. (2015). </w:t>
      </w:r>
      <w:r>
        <w:rPr>
          <w:rStyle w:val="None"/>
          <w:i/>
          <w:iCs/>
        </w:rPr>
        <w:t xml:space="preserve">Concluding observations on the initial </w:t>
      </w:r>
      <w:r>
        <w:rPr>
          <w:rStyle w:val="None"/>
          <w:i/>
          <w:iCs/>
        </w:rPr>
        <w:t xml:space="preserve">report of the European Union, </w:t>
      </w:r>
      <w:r>
        <w:rPr>
          <w:rStyle w:val="NoneB"/>
        </w:rPr>
        <w:t>paras/ 34 and 35 for general criticisms of the EU’s policies on asylum and its compliance with the CRPD. For comments on individual Member States in implementing EU law, see CRPD Committee, Consideration of reports submitted b</w:t>
      </w:r>
      <w:r>
        <w:rPr>
          <w:rStyle w:val="NoneB"/>
        </w:rPr>
        <w:t>y States parties under article 35 of the Convention Initial reports of States parties due in 2015 Greece (UN Doc. CRPD/C/GRC/1).</w:t>
      </w:r>
    </w:p>
  </w:footnote>
  <w:footnote w:id="59">
    <w:p w:rsidR="002B6D13" w:rsidRDefault="00140BC2">
      <w:pPr>
        <w:pStyle w:val="FootnoteText"/>
      </w:pPr>
      <w:r>
        <w:rPr>
          <w:rStyle w:val="None"/>
          <w:sz w:val="24"/>
          <w:szCs w:val="24"/>
          <w:vertAlign w:val="superscript"/>
        </w:rPr>
        <w:footnoteRef/>
      </w:r>
      <w:r>
        <w:rPr>
          <w:rStyle w:val="NoneB"/>
          <w:rFonts w:eastAsia="Arial Unicode MS" w:cs="Arial Unicode MS"/>
        </w:rPr>
        <w:t xml:space="preserve"> CRPD Committee. (2018) </w:t>
      </w:r>
      <w:r>
        <w:rPr>
          <w:rStyle w:val="None"/>
          <w:rFonts w:eastAsia="Arial Unicode MS" w:cs="Arial Unicode MS"/>
          <w:i/>
          <w:iCs/>
        </w:rPr>
        <w:t>General comment No. 7 (2018) on the participation of persons with disabilities, including children wit</w:t>
      </w:r>
      <w:r>
        <w:rPr>
          <w:rStyle w:val="None"/>
          <w:rFonts w:eastAsia="Arial Unicode MS" w:cs="Arial Unicode MS"/>
          <w:i/>
          <w:iCs/>
        </w:rPr>
        <w:t>h disabilities, through their representative organizations, in the implementation and monitoring of the Convention</w:t>
      </w:r>
      <w:r>
        <w:rPr>
          <w:rStyle w:val="NoneB"/>
          <w:rFonts w:eastAsia="Arial Unicode MS" w:cs="Arial Unicode MS"/>
        </w:rPr>
        <w:t>. CRPD/C/GC/7, para 78.</w:t>
      </w:r>
    </w:p>
  </w:footnote>
  <w:footnote w:id="60">
    <w:p w:rsidR="002B6D13" w:rsidRDefault="00140BC2">
      <w:pPr>
        <w:pStyle w:val="FootnoteText"/>
      </w:pPr>
      <w:r>
        <w:rPr>
          <w:rStyle w:val="None"/>
          <w:sz w:val="24"/>
          <w:szCs w:val="24"/>
          <w:vertAlign w:val="superscript"/>
        </w:rPr>
        <w:footnoteRef/>
      </w:r>
      <w:r>
        <w:rPr>
          <w:rStyle w:val="NoneB"/>
          <w:rFonts w:eastAsia="Arial Unicode MS" w:cs="Arial Unicode MS"/>
        </w:rPr>
        <w:t xml:space="preserve"> Ibid. para. 50</w:t>
      </w:r>
    </w:p>
  </w:footnote>
  <w:footnote w:id="61">
    <w:p w:rsidR="002B6D13" w:rsidRDefault="00140BC2">
      <w:pPr>
        <w:pStyle w:val="BodyA"/>
        <w:jc w:val="both"/>
      </w:pPr>
      <w:r>
        <w:rPr>
          <w:rStyle w:val="FootnoteReference"/>
        </w:rPr>
        <w:footnoteRef/>
      </w:r>
      <w:r>
        <w:rPr>
          <w:rStyle w:val="None"/>
          <w:sz w:val="20"/>
          <w:szCs w:val="20"/>
        </w:rPr>
        <w:t xml:space="preserve"> Council Directive 2003/9/EC laying down minimum standards for the reception of asylum seekers OJ L </w:t>
      </w:r>
      <w:r>
        <w:rPr>
          <w:rStyle w:val="None"/>
          <w:sz w:val="20"/>
          <w:szCs w:val="20"/>
        </w:rPr>
        <w:t>31, 6.2.2003, 18–25, Article 1.</w:t>
      </w:r>
    </w:p>
  </w:footnote>
  <w:footnote w:id="62">
    <w:p w:rsidR="002B6D13" w:rsidRDefault="00140BC2">
      <w:pPr>
        <w:pStyle w:val="BodyA"/>
        <w:jc w:val="both"/>
      </w:pPr>
      <w:r>
        <w:rPr>
          <w:rStyle w:val="FootnoteReference"/>
        </w:rPr>
        <w:footnoteRef/>
      </w:r>
      <w:r>
        <w:rPr>
          <w:rStyle w:val="None"/>
          <w:sz w:val="20"/>
          <w:szCs w:val="20"/>
        </w:rPr>
        <w:t xml:space="preserve"> Ibid, Recital 7.</w:t>
      </w:r>
    </w:p>
  </w:footnote>
  <w:footnote w:id="63">
    <w:p w:rsidR="002B6D13" w:rsidRDefault="00140BC2">
      <w:pPr>
        <w:pStyle w:val="BodyA"/>
        <w:jc w:val="both"/>
      </w:pPr>
      <w:r>
        <w:rPr>
          <w:rStyle w:val="FootnoteReference"/>
        </w:rPr>
        <w:footnoteRef/>
      </w:r>
      <w:r>
        <w:rPr>
          <w:rStyle w:val="None"/>
          <w:sz w:val="20"/>
          <w:szCs w:val="20"/>
        </w:rPr>
        <w:t xml:space="preserve"> Green Paper on the future Common European Asylum System COM(2007) 0301 final, 2-3.</w:t>
      </w:r>
    </w:p>
  </w:footnote>
  <w:footnote w:id="64">
    <w:p w:rsidR="002B6D13" w:rsidRDefault="00140BC2">
      <w:pPr>
        <w:pStyle w:val="BodyA"/>
        <w:jc w:val="both"/>
      </w:pPr>
      <w:r>
        <w:rPr>
          <w:rStyle w:val="FootnoteReference"/>
        </w:rPr>
        <w:footnoteRef/>
      </w:r>
      <w:r>
        <w:rPr>
          <w:rStyle w:val="None"/>
          <w:sz w:val="20"/>
          <w:szCs w:val="20"/>
        </w:rPr>
        <w:t xml:space="preserve"> Commission Staff Working Document accompanying the Proposal for a Directive of the European Parliament and of the Coun</w:t>
      </w:r>
      <w:r>
        <w:rPr>
          <w:rStyle w:val="None"/>
          <w:sz w:val="20"/>
          <w:szCs w:val="20"/>
        </w:rPr>
        <w:t>cil laying down minimum standards for the reception of asylum seekers, Impact Assessment SEC(2008) 2944, 7.</w:t>
      </w:r>
    </w:p>
  </w:footnote>
  <w:footnote w:id="65">
    <w:p w:rsidR="002B6D13" w:rsidRDefault="00140BC2">
      <w:pPr>
        <w:pStyle w:val="FootnoteText"/>
        <w:spacing w:line="240" w:lineRule="auto"/>
      </w:pPr>
      <w:r>
        <w:rPr>
          <w:rStyle w:val="FootnoteReference"/>
        </w:rPr>
        <w:footnoteRef/>
      </w:r>
      <w:r>
        <w:rPr>
          <w:rStyle w:val="NoneB"/>
        </w:rPr>
        <w:t xml:space="preserve"> Council of the European Union, Council Conclusions on the Promotion and Protection of the Rights of the Child, 3 April 2017, Doc. 7775/17; Council</w:t>
      </w:r>
      <w:r>
        <w:rPr>
          <w:rStyle w:val="NoneB"/>
        </w:rPr>
        <w:t xml:space="preserve"> of the European Union, Council Conclusions of the European Union and the representatives of the governments of the Member States on the protection of children in migration, 8 June 2017, Doc. 10085/17. </w:t>
      </w:r>
    </w:p>
  </w:footnote>
  <w:footnote w:id="66">
    <w:p w:rsidR="002B6D13" w:rsidRDefault="00140BC2">
      <w:pPr>
        <w:pStyle w:val="FootnoteText"/>
        <w:spacing w:line="240" w:lineRule="auto"/>
      </w:pPr>
      <w:r>
        <w:rPr>
          <w:rStyle w:val="FootnoteReference"/>
        </w:rPr>
        <w:footnoteRef/>
      </w:r>
      <w:r>
        <w:rPr>
          <w:rStyle w:val="NoneB"/>
        </w:rPr>
        <w:t xml:space="preserve"> European Commission Towards an EU Strategy on the R</w:t>
      </w:r>
      <w:r>
        <w:rPr>
          <w:rStyle w:val="NoneB"/>
        </w:rPr>
        <w:t>ights of the Child COM(2006) 367, 4.7.2006; European Commission Implementation of the European Union’s Strategy on the Rights of the Child: State of Play – November 2009’; Council of the European Union, Note from the Praesidium, Explanations Relating to th</w:t>
      </w:r>
      <w:r>
        <w:rPr>
          <w:rStyle w:val="NoneB"/>
        </w:rPr>
        <w:t>e Charter of Fundamental Rights of the European Union CHARTER 4473/00, 11 October 2008;European Commission, Report on the Practical Operation of the Methodology for a Systematic and Rigorous Monitoring of Compliance with the Charter of Fundamental Rights C</w:t>
      </w:r>
      <w:r>
        <w:rPr>
          <w:rStyle w:val="NoneB"/>
        </w:rPr>
        <w:t>OM(2009) 205, 29.4.2009; Commission Communication, Strategy for the effective implementation of the Charter of Fundamental Rights by the European Union COM(2010) 573 final, 19/10/2010.</w:t>
      </w:r>
    </w:p>
  </w:footnote>
  <w:footnote w:id="67">
    <w:p w:rsidR="002B6D13" w:rsidRDefault="00140BC2">
      <w:pPr>
        <w:pStyle w:val="BodyA"/>
        <w:jc w:val="both"/>
      </w:pPr>
      <w:r>
        <w:rPr>
          <w:rStyle w:val="FootnoteReference"/>
        </w:rPr>
        <w:footnoteRef/>
      </w:r>
      <w:r>
        <w:rPr>
          <w:rStyle w:val="None"/>
          <w:sz w:val="20"/>
          <w:szCs w:val="20"/>
        </w:rPr>
        <w:t xml:space="preserve"> RRCD, Recital 7.</w:t>
      </w:r>
    </w:p>
  </w:footnote>
  <w:footnote w:id="68">
    <w:p w:rsidR="002B6D13" w:rsidRDefault="00140BC2">
      <w:pPr>
        <w:pStyle w:val="BodyA"/>
        <w:jc w:val="both"/>
      </w:pPr>
      <w:r>
        <w:rPr>
          <w:rStyle w:val="FootnoteReference"/>
        </w:rPr>
        <w:footnoteRef/>
      </w:r>
      <w:r>
        <w:rPr>
          <w:rStyle w:val="None"/>
          <w:sz w:val="20"/>
          <w:szCs w:val="20"/>
        </w:rPr>
        <w:t xml:space="preserve"> Ibid, Article 4.</w:t>
      </w:r>
    </w:p>
  </w:footnote>
  <w:footnote w:id="69">
    <w:p w:rsidR="002B6D13" w:rsidRDefault="00140BC2">
      <w:pPr>
        <w:pStyle w:val="FootnoteText"/>
        <w:spacing w:line="240" w:lineRule="auto"/>
      </w:pPr>
      <w:r>
        <w:rPr>
          <w:rStyle w:val="FootnoteReference"/>
        </w:rPr>
        <w:footnoteRef/>
      </w:r>
      <w:r>
        <w:rPr>
          <w:rStyle w:val="NoneB"/>
        </w:rPr>
        <w:t xml:space="preserve"> RRCD Recital 12.</w:t>
      </w:r>
    </w:p>
  </w:footnote>
  <w:footnote w:id="70">
    <w:p w:rsidR="002B6D13" w:rsidRDefault="00140BC2">
      <w:pPr>
        <w:pStyle w:val="BodyA"/>
        <w:jc w:val="both"/>
      </w:pPr>
      <w:r>
        <w:rPr>
          <w:rStyle w:val="FootnoteReference"/>
        </w:rPr>
        <w:footnoteRef/>
      </w:r>
      <w:r>
        <w:rPr>
          <w:rStyle w:val="None"/>
          <w:sz w:val="20"/>
          <w:szCs w:val="20"/>
        </w:rPr>
        <w:t xml:space="preserve"> Ibid, Articl</w:t>
      </w:r>
      <w:r>
        <w:rPr>
          <w:rStyle w:val="None"/>
          <w:sz w:val="20"/>
          <w:szCs w:val="20"/>
        </w:rPr>
        <w:t>e 3.</w:t>
      </w:r>
    </w:p>
  </w:footnote>
  <w:footnote w:id="71">
    <w:p w:rsidR="002B6D13" w:rsidRDefault="00140BC2">
      <w:pPr>
        <w:pStyle w:val="Footnote"/>
        <w:jc w:val="both"/>
      </w:pPr>
      <w:r>
        <w:rPr>
          <w:rStyle w:val="FootnoteReference"/>
        </w:rPr>
        <w:footnoteRef/>
      </w:r>
      <w:r>
        <w:rPr>
          <w:rStyle w:val="None"/>
          <w:rFonts w:ascii="Times New Roman" w:hAnsi="Times New Roman"/>
          <w:sz w:val="20"/>
          <w:szCs w:val="20"/>
        </w:rPr>
        <w:t xml:space="preserve"> RRCD, Recitals 9 and 10.</w:t>
      </w:r>
    </w:p>
  </w:footnote>
  <w:footnote w:id="72">
    <w:p w:rsidR="002B6D13" w:rsidRDefault="00140BC2">
      <w:pPr>
        <w:pStyle w:val="Footnote"/>
        <w:jc w:val="both"/>
      </w:pPr>
      <w:r>
        <w:rPr>
          <w:rStyle w:val="FootnoteReference"/>
        </w:rPr>
        <w:footnoteRef/>
      </w:r>
      <w:r>
        <w:rPr>
          <w:rStyle w:val="None"/>
          <w:rFonts w:ascii="Times New Roman" w:hAnsi="Times New Roman"/>
          <w:sz w:val="20"/>
          <w:szCs w:val="20"/>
        </w:rPr>
        <w:t xml:space="preserve"> RRCD, Article 7.</w:t>
      </w:r>
    </w:p>
  </w:footnote>
  <w:footnote w:id="73">
    <w:p w:rsidR="002B6D13" w:rsidRDefault="00140BC2">
      <w:pPr>
        <w:pStyle w:val="Footnote"/>
        <w:jc w:val="both"/>
      </w:pPr>
      <w:r>
        <w:rPr>
          <w:rStyle w:val="FootnoteReference"/>
        </w:rPr>
        <w:footnoteRef/>
      </w:r>
      <w:r>
        <w:rPr>
          <w:rStyle w:val="None"/>
          <w:rFonts w:ascii="Times New Roman" w:hAnsi="Times New Roman"/>
          <w:sz w:val="20"/>
          <w:szCs w:val="20"/>
        </w:rPr>
        <w:t xml:space="preserve"> RRCD, Article 18.</w:t>
      </w:r>
    </w:p>
  </w:footnote>
  <w:footnote w:id="74">
    <w:p w:rsidR="002B6D13" w:rsidRDefault="00140BC2">
      <w:pPr>
        <w:pStyle w:val="Footnote"/>
        <w:jc w:val="both"/>
      </w:pPr>
      <w:r>
        <w:rPr>
          <w:rStyle w:val="FootnoteReference"/>
        </w:rPr>
        <w:footnoteRef/>
      </w:r>
      <w:r>
        <w:rPr>
          <w:rStyle w:val="None"/>
          <w:rFonts w:ascii="Times New Roman" w:hAnsi="Times New Roman"/>
          <w:sz w:val="20"/>
          <w:szCs w:val="20"/>
        </w:rPr>
        <w:t xml:space="preserve"> RRCD, Article 17 and 18. </w:t>
      </w:r>
    </w:p>
  </w:footnote>
  <w:footnote w:id="75">
    <w:p w:rsidR="002B6D13" w:rsidRDefault="00140BC2">
      <w:pPr>
        <w:pStyle w:val="Footnote"/>
        <w:jc w:val="both"/>
      </w:pPr>
      <w:r>
        <w:rPr>
          <w:rStyle w:val="FootnoteReference"/>
        </w:rPr>
        <w:footnoteRef/>
      </w:r>
      <w:r>
        <w:rPr>
          <w:rStyle w:val="None"/>
          <w:rFonts w:ascii="Times New Roman" w:hAnsi="Times New Roman"/>
          <w:sz w:val="20"/>
          <w:szCs w:val="20"/>
        </w:rPr>
        <w:t xml:space="preserve"> RRCD, Article 14.</w:t>
      </w:r>
    </w:p>
  </w:footnote>
  <w:footnote w:id="76">
    <w:p w:rsidR="002B6D13" w:rsidRDefault="00140BC2">
      <w:pPr>
        <w:pStyle w:val="Footnote"/>
        <w:jc w:val="both"/>
      </w:pPr>
      <w:r>
        <w:rPr>
          <w:rStyle w:val="FootnoteReference"/>
        </w:rPr>
        <w:footnoteRef/>
      </w:r>
      <w:r>
        <w:rPr>
          <w:rStyle w:val="None"/>
          <w:rFonts w:ascii="Times New Roman" w:hAnsi="Times New Roman"/>
          <w:sz w:val="20"/>
          <w:szCs w:val="20"/>
        </w:rPr>
        <w:t xml:space="preserve"> RRCD, Article 21-25.</w:t>
      </w:r>
    </w:p>
  </w:footnote>
  <w:footnote w:id="77">
    <w:p w:rsidR="002B6D13" w:rsidRDefault="00140BC2">
      <w:pPr>
        <w:pStyle w:val="Footnote"/>
        <w:jc w:val="both"/>
      </w:pPr>
      <w:r>
        <w:rPr>
          <w:rStyle w:val="FootnoteReference"/>
        </w:rPr>
        <w:footnoteRef/>
      </w:r>
      <w:r>
        <w:rPr>
          <w:rStyle w:val="None"/>
          <w:rFonts w:ascii="Times New Roman" w:hAnsi="Times New Roman"/>
          <w:sz w:val="20"/>
          <w:szCs w:val="20"/>
        </w:rPr>
        <w:t xml:space="preserve"> Article 11(2) of the RCD provided for a right to work within 1 year of application being made if a determination has not been reached, with the RRCD reducing this to 9 months in its Article 15.</w:t>
      </w:r>
    </w:p>
  </w:footnote>
  <w:footnote w:id="78">
    <w:p w:rsidR="002B6D13" w:rsidRDefault="00140BC2">
      <w:pPr>
        <w:pStyle w:val="FootnoteText"/>
        <w:spacing w:line="240" w:lineRule="auto"/>
      </w:pPr>
      <w:r>
        <w:rPr>
          <w:rStyle w:val="FootnoteReference"/>
        </w:rPr>
        <w:footnoteRef/>
      </w:r>
      <w:r>
        <w:rPr>
          <w:rStyle w:val="NoneB"/>
        </w:rPr>
        <w:t xml:space="preserve"> Case C</w:t>
      </w:r>
      <w:r>
        <w:rPr>
          <w:rStyle w:val="None"/>
          <w:rFonts w:ascii="Arial Unicode MS" w:hAnsi="Arial Unicode MS"/>
        </w:rPr>
        <w:t>‑</w:t>
      </w:r>
      <w:r>
        <w:rPr>
          <w:rStyle w:val="NoneB"/>
        </w:rPr>
        <w:t>179/11</w:t>
      </w:r>
      <w:r>
        <w:rPr>
          <w:rStyle w:val="None"/>
          <w:i/>
          <w:iCs/>
        </w:rPr>
        <w:t xml:space="preserve"> Cimade and Groupe d’information et de soutien</w:t>
      </w:r>
      <w:r>
        <w:rPr>
          <w:rStyle w:val="None"/>
          <w:i/>
          <w:iCs/>
        </w:rPr>
        <w:t xml:space="preserve"> des immigrés (GISTI) v Ministre de l’Intérieur, de l’Outre-mer, des Collectivités territoriales et de l’Immigration</w:t>
      </w:r>
      <w:r>
        <w:rPr>
          <w:rStyle w:val="NoneB"/>
        </w:rPr>
        <w:t xml:space="preserve"> ECLI:EU:C:2012:594, paragraph 39</w:t>
      </w:r>
    </w:p>
  </w:footnote>
  <w:footnote w:id="79">
    <w:p w:rsidR="002B6D13" w:rsidRDefault="00140BC2">
      <w:pPr>
        <w:pStyle w:val="FootnoteText"/>
        <w:spacing w:line="240" w:lineRule="auto"/>
      </w:pPr>
      <w:r>
        <w:rPr>
          <w:rStyle w:val="FootnoteReference"/>
        </w:rPr>
        <w:footnoteRef/>
      </w:r>
      <w:r>
        <w:rPr>
          <w:rStyle w:val="NoneB"/>
        </w:rPr>
        <w:t xml:space="preserve"> Case C-79/13 </w:t>
      </w:r>
      <w:r>
        <w:rPr>
          <w:rStyle w:val="None"/>
          <w:i/>
          <w:iCs/>
        </w:rPr>
        <w:t>Federaal agentschap voor de opvang van asielzoekers v Selver Saciri and Others</w:t>
      </w:r>
      <w:r>
        <w:rPr>
          <w:rStyle w:val="NoneB"/>
        </w:rPr>
        <w:t xml:space="preserve"> ECLI:EU:C:20</w:t>
      </w:r>
      <w:r>
        <w:rPr>
          <w:rStyle w:val="NoneB"/>
        </w:rPr>
        <w:t>14:103. The interpretation of the CJEU tallies well with the interpretation of the reference of the Reception Directive to Article 1 EU CFR advanced by certain scholars, who argued that the reference the full respect for human dignity requires Member State</w:t>
      </w:r>
      <w:r>
        <w:rPr>
          <w:rStyle w:val="NoneB"/>
        </w:rPr>
        <w:t>s to fulfil broader obligations than the prohibition of torture, inhuman and degrading treatment (Tsourdi, L. 2016. EU Reception Conditions: A Dignified Standard of Living for Asylum Seekers?. in Chetail, V. De Bruycker, P. Maiani, F. (eds</w:t>
      </w:r>
      <w:r>
        <w:rPr>
          <w:rStyle w:val="None"/>
          <w:i/>
          <w:iCs/>
        </w:rPr>
        <w:t>.), Reforming the</w:t>
      </w:r>
      <w:r>
        <w:rPr>
          <w:rStyle w:val="None"/>
          <w:i/>
          <w:iCs/>
        </w:rPr>
        <w:t xml:space="preserve"> Common European Asylum System – The New European Refugee Law</w:t>
      </w:r>
      <w:r>
        <w:rPr>
          <w:rStyle w:val="NoneB"/>
        </w:rPr>
        <w:t xml:space="preserve">. Brill-Martinus Nijoff, pp. 271-316. </w:t>
      </w:r>
    </w:p>
  </w:footnote>
  <w:footnote w:id="80">
    <w:p w:rsidR="002B6D13" w:rsidRDefault="00140BC2">
      <w:pPr>
        <w:pStyle w:val="FootnoteText"/>
        <w:spacing w:line="240" w:lineRule="auto"/>
      </w:pPr>
      <w:r>
        <w:rPr>
          <w:rStyle w:val="FootnoteReference"/>
        </w:rPr>
        <w:footnoteRef/>
      </w:r>
      <w:r>
        <w:rPr>
          <w:rStyle w:val="NoneB"/>
        </w:rPr>
        <w:t xml:space="preserve"> RRCD, Articles 8-11. An applicant may be placed in detention in order to verify their identity, nationality or to decide on their right to enter the terri</w:t>
      </w:r>
      <w:r>
        <w:rPr>
          <w:rStyle w:val="NoneB"/>
        </w:rPr>
        <w:t>tory. Detention is justified also where there is a risk of absconding. Bartolini, S. and Bombois, T. 2016. ‘Immigration Detention before the CJEU: The Interrelationship between the Return Directive and the Recast Reception Conditions Directive and their Im</w:t>
      </w:r>
      <w:r>
        <w:rPr>
          <w:rStyle w:val="NoneB"/>
        </w:rPr>
        <w:t xml:space="preserve">pact on the Rights of Third Country Nationals’. </w:t>
      </w:r>
      <w:r>
        <w:rPr>
          <w:rStyle w:val="None"/>
          <w:i/>
          <w:iCs/>
        </w:rPr>
        <w:t>European Human Rights Law Review</w:t>
      </w:r>
      <w:r>
        <w:rPr>
          <w:rStyle w:val="NoneB"/>
        </w:rPr>
        <w:t xml:space="preserve"> 5: 518-52.</w:t>
      </w:r>
    </w:p>
  </w:footnote>
  <w:footnote w:id="81">
    <w:p w:rsidR="002B6D13" w:rsidRDefault="00140BC2">
      <w:pPr>
        <w:pStyle w:val="FootnoteText"/>
        <w:spacing w:line="240" w:lineRule="auto"/>
      </w:pPr>
      <w:r>
        <w:rPr>
          <w:rStyle w:val="FootnoteReference"/>
        </w:rPr>
        <w:footnoteRef/>
      </w:r>
      <w:r>
        <w:rPr>
          <w:rStyle w:val="NoneB"/>
        </w:rPr>
        <w:t xml:space="preserve"> RRCD, Article 20.4.</w:t>
      </w:r>
    </w:p>
  </w:footnote>
  <w:footnote w:id="82">
    <w:p w:rsidR="002B6D13" w:rsidRDefault="00140BC2">
      <w:pPr>
        <w:pStyle w:val="FootnoteText"/>
        <w:spacing w:line="240" w:lineRule="auto"/>
      </w:pPr>
      <w:r>
        <w:rPr>
          <w:rStyle w:val="FootnoteReference"/>
        </w:rPr>
        <w:footnoteRef/>
      </w:r>
      <w:r>
        <w:rPr>
          <w:rStyle w:val="NoneB"/>
        </w:rPr>
        <w:t xml:space="preserve"> Case C</w:t>
      </w:r>
      <w:r>
        <w:rPr>
          <w:rStyle w:val="None"/>
          <w:rFonts w:ascii="Arial Unicode MS" w:hAnsi="Arial Unicode MS"/>
        </w:rPr>
        <w:t>‑</w:t>
      </w:r>
      <w:r>
        <w:rPr>
          <w:rStyle w:val="NoneB"/>
        </w:rPr>
        <w:t xml:space="preserve">233/18 </w:t>
      </w:r>
      <w:r>
        <w:rPr>
          <w:rStyle w:val="None"/>
          <w:i/>
          <w:iCs/>
        </w:rPr>
        <w:t>Zubair Haqbin v Federaal agentschap voor de opvang van asielzoekers</w:t>
      </w:r>
      <w:r>
        <w:rPr>
          <w:rStyle w:val="NoneB"/>
        </w:rPr>
        <w:t xml:space="preserve"> ECLI:EU:C:2019:468, para 43.</w:t>
      </w:r>
    </w:p>
  </w:footnote>
  <w:footnote w:id="83">
    <w:p w:rsidR="002B6D13" w:rsidRDefault="00140BC2">
      <w:pPr>
        <w:pStyle w:val="FootnoteText"/>
        <w:spacing w:line="240" w:lineRule="auto"/>
      </w:pPr>
      <w:r>
        <w:rPr>
          <w:rStyle w:val="FootnoteReference"/>
        </w:rPr>
        <w:footnoteRef/>
      </w:r>
      <w:r>
        <w:rPr>
          <w:rStyle w:val="NoneB"/>
        </w:rPr>
        <w:t xml:space="preserve"> Ibid. para 49.</w:t>
      </w:r>
    </w:p>
  </w:footnote>
  <w:footnote w:id="84">
    <w:p w:rsidR="002B6D13" w:rsidRDefault="00140BC2">
      <w:pPr>
        <w:pStyle w:val="FootnoteText"/>
        <w:spacing w:line="240" w:lineRule="auto"/>
      </w:pPr>
      <w:r>
        <w:rPr>
          <w:rStyle w:val="FootnoteReference"/>
        </w:rPr>
        <w:footnoteRef/>
      </w:r>
      <w:r>
        <w:rPr>
          <w:rStyle w:val="NoneB"/>
        </w:rPr>
        <w:t xml:space="preserve"> The report is available at </w:t>
      </w:r>
      <w:hyperlink r:id="rId4" w:history="1">
        <w:r>
          <w:rPr>
            <w:rStyle w:val="Hyperlink0"/>
          </w:rPr>
          <w:t>http://www.asylumineurope.org/sites/default/files/shadow-reports/aida_wrong_counts_and_closing</w:t>
        </w:r>
        <w:r>
          <w:rPr>
            <w:rStyle w:val="Hyperlink0"/>
          </w:rPr>
          <w:t>_doors.pdf</w:t>
        </w:r>
      </w:hyperlink>
      <w:r>
        <w:rPr>
          <w:rStyle w:val="Hyperlink0"/>
        </w:rPr>
        <w:t xml:space="preserve"> </w:t>
      </w:r>
      <w:r>
        <w:rPr>
          <w:rStyle w:val="None"/>
        </w:rPr>
        <w:t>(last accessed 09/10/2019).</w:t>
      </w:r>
    </w:p>
  </w:footnote>
  <w:footnote w:id="85">
    <w:p w:rsidR="002B6D13" w:rsidRDefault="00140BC2">
      <w:pPr>
        <w:pStyle w:val="FootnoteText"/>
        <w:spacing w:line="240" w:lineRule="auto"/>
      </w:pPr>
      <w:r>
        <w:rPr>
          <w:rStyle w:val="FootnoteReference"/>
        </w:rPr>
        <w:footnoteRef/>
      </w:r>
      <w:r>
        <w:rPr>
          <w:rStyle w:val="NoneB"/>
        </w:rPr>
        <w:t xml:space="preserve"> Sliga, J. 2018. The fragmentation of reception conditions for asylum seekers in the European Union: Protecting fundamental rights or preventing long-term integration?. </w:t>
      </w:r>
      <w:r>
        <w:rPr>
          <w:rStyle w:val="None"/>
          <w:i/>
          <w:iCs/>
        </w:rPr>
        <w:t xml:space="preserve">Freedom, Security &amp; Justice: European Legal Studies </w:t>
      </w:r>
      <w:r>
        <w:rPr>
          <w:rStyle w:val="NoneB"/>
        </w:rPr>
        <w:t>3, pp. 87-115.</w:t>
      </w:r>
    </w:p>
  </w:footnote>
  <w:footnote w:id="86">
    <w:p w:rsidR="002B6D13" w:rsidRDefault="00140BC2">
      <w:pPr>
        <w:pStyle w:val="FootnoteText"/>
        <w:spacing w:line="240" w:lineRule="auto"/>
      </w:pPr>
      <w:r>
        <w:rPr>
          <w:rStyle w:val="FootnoteReference"/>
        </w:rPr>
        <w:footnoteRef/>
      </w:r>
      <w:r>
        <w:rPr>
          <w:rStyle w:val="NoneB"/>
        </w:rPr>
        <w:t xml:space="preserve"> See to that end, C</w:t>
      </w:r>
      <w:r>
        <w:rPr>
          <w:rStyle w:val="NoneB"/>
        </w:rPr>
        <w:t xml:space="preserve">ase C18/16, </w:t>
      </w:r>
      <w:r>
        <w:rPr>
          <w:rStyle w:val="None"/>
          <w:i/>
          <w:iCs/>
        </w:rPr>
        <w:t>K. v Staatssecretaris van Veiligheid en Justitie</w:t>
      </w:r>
      <w:r>
        <w:rPr>
          <w:rStyle w:val="NoneB"/>
        </w:rPr>
        <w:t xml:space="preserve"> </w:t>
      </w:r>
      <w:r>
        <w:rPr>
          <w:rStyle w:val="None"/>
          <w:u w:color="666666"/>
        </w:rPr>
        <w:t>ECLI:EU:C:2017:680</w:t>
      </w:r>
    </w:p>
  </w:footnote>
  <w:footnote w:id="87">
    <w:p w:rsidR="002B6D13" w:rsidRDefault="00140BC2">
      <w:pPr>
        <w:pStyle w:val="FootnoteText"/>
        <w:spacing w:line="240" w:lineRule="auto"/>
      </w:pPr>
      <w:r>
        <w:rPr>
          <w:rStyle w:val="FootnoteReference"/>
        </w:rPr>
        <w:footnoteRef/>
      </w:r>
      <w:r>
        <w:rPr>
          <w:rStyle w:val="NoneB"/>
        </w:rPr>
        <w:t xml:space="preserve">  Case C</w:t>
      </w:r>
      <w:r>
        <w:rPr>
          <w:rStyle w:val="None"/>
          <w:rFonts w:ascii="Arial Unicode MS" w:hAnsi="Arial Unicode MS"/>
        </w:rPr>
        <w:t>‑</w:t>
      </w:r>
      <w:r>
        <w:rPr>
          <w:rStyle w:val="NoneB"/>
        </w:rPr>
        <w:t xml:space="preserve">704/17 </w:t>
      </w:r>
      <w:r>
        <w:rPr>
          <w:rStyle w:val="None"/>
          <w:i/>
          <w:iCs/>
        </w:rPr>
        <w:t>D. H. v Ministerstvo vnitra</w:t>
      </w:r>
      <w:r>
        <w:rPr>
          <w:rStyle w:val="NoneB"/>
        </w:rPr>
        <w:t xml:space="preserve"> ECLI:EU:C:2019:85, para 62: ‘as Directive 2013/33 provides for a minimum harmonisation of reception conditions for applicants, (</w:t>
      </w:r>
      <w:hyperlink r:id="rId5" w:history="1">
        <w:r>
          <w:rPr>
            <w:rStyle w:val="Hyperlink1"/>
          </w:rPr>
          <w:t>43</w:t>
        </w:r>
      </w:hyperlink>
      <w:r>
        <w:rPr>
          <w:rStyle w:val="Hyperlink1"/>
        </w:rPr>
        <w:t>) it establishes a basic level below which no Member S</w:t>
      </w:r>
      <w:r>
        <w:rPr>
          <w:rStyle w:val="Hyperlink1"/>
        </w:rPr>
        <w:t>tate may go’.</w:t>
      </w:r>
    </w:p>
  </w:footnote>
  <w:footnote w:id="88">
    <w:p w:rsidR="002B6D13" w:rsidRDefault="00140BC2">
      <w:pPr>
        <w:pStyle w:val="FootnoteText"/>
        <w:spacing w:line="240" w:lineRule="auto"/>
      </w:pPr>
      <w:r>
        <w:rPr>
          <w:rStyle w:val="FootnoteReference"/>
        </w:rPr>
        <w:footnoteRef/>
      </w:r>
      <w:r>
        <w:rPr>
          <w:rStyle w:val="Hyperlink1"/>
        </w:rPr>
        <w:t xml:space="preserve"> While acknowledging the stigmatizing and stereotyping risks associated to the concept of ‘vulnerability’ (on this aspect see most recently Yeo, R. (2019) The regressive power of labels of vulnerability affecting disabled asylum seekers in t</w:t>
      </w:r>
      <w:r>
        <w:rPr>
          <w:rStyle w:val="Hyperlink1"/>
        </w:rPr>
        <w:t>he UK, </w:t>
      </w:r>
      <w:r>
        <w:rPr>
          <w:rStyle w:val="None"/>
          <w:i/>
          <w:iCs/>
        </w:rPr>
        <w:t>Disability &amp; Society</w:t>
      </w:r>
      <w:r>
        <w:rPr>
          <w:rStyle w:val="Hyperlink1"/>
        </w:rPr>
        <w:t>,), this article refers to vulnerability in line with the language used in the current CEAS legislation, and recognizes the usefulness of this concept to address redress system disadvantage and structural inequalities.  On the co</w:t>
      </w:r>
      <w:r>
        <w:rPr>
          <w:rStyle w:val="Hyperlink1"/>
        </w:rPr>
        <w:t>ncept of vulnerability see Mustaniemi-Laakso, M., Heikkilä, M., Del Gaudio, E., Konstantis, S., Nagore Casas, M., Morondo, D., G. Hegde, V., &amp; Finlay, G. Work Package No. 11, Deliverable No. 3 - The protection of vulnerable individuals in the context of EU</w:t>
      </w:r>
      <w:r>
        <w:rPr>
          <w:rStyle w:val="Hyperlink1"/>
        </w:rPr>
        <w:t xml:space="preserve"> policies on border checks, asylum and immigration, available at </w:t>
      </w:r>
      <w:hyperlink r:id="rId6" w:history="1">
        <w:r>
          <w:rPr>
            <w:rStyle w:val="Hyperlink0"/>
          </w:rPr>
          <w:t>http://www.fp7-frame.eu/wp-content/uploads/2016/08/Deliverable-11.3.pdf</w:t>
        </w:r>
      </w:hyperlink>
      <w:r>
        <w:rPr>
          <w:rStyle w:val="Hyperlink1"/>
        </w:rPr>
        <w:t xml:space="preserve"> (last accessed 09/10/2019).</w:t>
      </w:r>
    </w:p>
  </w:footnote>
  <w:footnote w:id="89">
    <w:p w:rsidR="002B6D13" w:rsidRDefault="00140BC2">
      <w:pPr>
        <w:pStyle w:val="FootnoteText"/>
        <w:spacing w:line="240" w:lineRule="auto"/>
      </w:pPr>
      <w:r>
        <w:rPr>
          <w:rStyle w:val="FootnoteReference"/>
        </w:rPr>
        <w:footnoteRef/>
      </w:r>
      <w:r>
        <w:rPr>
          <w:rStyle w:val="None"/>
          <w:lang w:val="it-IT"/>
        </w:rPr>
        <w:t xml:space="preserve"> Fe</w:t>
      </w:r>
      <w:r>
        <w:rPr>
          <w:rStyle w:val="None"/>
          <w:lang w:val="it-IT"/>
        </w:rPr>
        <w:t xml:space="preserve">rri, D. 2019 (forthcoming). La ‘vulnerabilita’ come condizione giuridica dei migranti con disabilità nell’Unione Europea. Bernardini MG (ed.) </w:t>
      </w:r>
      <w:r>
        <w:rPr>
          <w:rStyle w:val="None"/>
          <w:i/>
          <w:iCs/>
          <w:lang w:val="it-IT"/>
        </w:rPr>
        <w:t>Migranti con disabilità e vulnerabilità. Rappresentazioni, politiche, diritti</w:t>
      </w:r>
      <w:r>
        <w:rPr>
          <w:rStyle w:val="None"/>
          <w:lang w:val="it-IT"/>
        </w:rPr>
        <w:t>.</w:t>
      </w:r>
      <w:r>
        <w:rPr>
          <w:rStyle w:val="None"/>
          <w:i/>
          <w:iCs/>
          <w:lang w:val="it-IT"/>
        </w:rPr>
        <w:t xml:space="preserve"> </w:t>
      </w:r>
      <w:r>
        <w:rPr>
          <w:rStyle w:val="NoneA"/>
        </w:rPr>
        <w:t>Jovene: Napoli.</w:t>
      </w:r>
    </w:p>
  </w:footnote>
  <w:footnote w:id="90">
    <w:p w:rsidR="002B6D13" w:rsidRDefault="00140BC2">
      <w:pPr>
        <w:pStyle w:val="FootnoteText"/>
        <w:spacing w:line="240" w:lineRule="auto"/>
      </w:pPr>
      <w:r>
        <w:rPr>
          <w:rStyle w:val="FootnoteReference"/>
        </w:rPr>
        <w:footnoteRef/>
      </w:r>
      <w:r>
        <w:rPr>
          <w:rStyle w:val="NoneB"/>
        </w:rPr>
        <w:t xml:space="preserve"> Conte, C. 2016. W</w:t>
      </w:r>
      <w:r>
        <w:rPr>
          <w:rStyle w:val="NoneB"/>
        </w:rPr>
        <w:t>hat about Refugees with Disabilities? The Interplay between EU Asylum Law and the UN Convention on the Rights of Persons with Disabilities. E</w:t>
      </w:r>
      <w:r>
        <w:rPr>
          <w:rStyle w:val="None"/>
          <w:i/>
          <w:iCs/>
        </w:rPr>
        <w:t>uropean Journal of Migration and Law</w:t>
      </w:r>
      <w:r>
        <w:rPr>
          <w:rStyle w:val="NoneB"/>
        </w:rPr>
        <w:t xml:space="preserve"> (18)(3), pp. 327-349, 347.</w:t>
      </w:r>
    </w:p>
  </w:footnote>
  <w:footnote w:id="91">
    <w:p w:rsidR="002B6D13" w:rsidRDefault="00140BC2">
      <w:pPr>
        <w:pStyle w:val="FootnoteText"/>
        <w:spacing w:line="240" w:lineRule="auto"/>
      </w:pPr>
      <w:r>
        <w:rPr>
          <w:rStyle w:val="FootnoteReference"/>
        </w:rPr>
        <w:footnoteRef/>
      </w:r>
      <w:r>
        <w:rPr>
          <w:rStyle w:val="Hyperlink1"/>
        </w:rPr>
        <w:t xml:space="preserve"> See Article 19 RRCD generally, and Article 25 RRC</w:t>
      </w:r>
      <w:r>
        <w:rPr>
          <w:rStyle w:val="Hyperlink1"/>
        </w:rPr>
        <w:t xml:space="preserve">D in particular. </w:t>
      </w:r>
    </w:p>
  </w:footnote>
  <w:footnote w:id="92">
    <w:p w:rsidR="002B6D13" w:rsidRDefault="00140BC2">
      <w:pPr>
        <w:pStyle w:val="FootnoteText"/>
        <w:spacing w:line="240" w:lineRule="auto"/>
      </w:pPr>
      <w:r>
        <w:rPr>
          <w:rStyle w:val="FootnoteReference"/>
        </w:rPr>
        <w:footnoteRef/>
      </w:r>
      <w:r>
        <w:rPr>
          <w:rStyle w:val="Hyperlink1"/>
        </w:rPr>
        <w:t xml:space="preserve"> Article 11 RRCD.</w:t>
      </w:r>
    </w:p>
  </w:footnote>
  <w:footnote w:id="93">
    <w:p w:rsidR="002B6D13" w:rsidRDefault="00140BC2">
      <w:pPr>
        <w:pStyle w:val="FootnoteText"/>
        <w:widowControl/>
        <w:spacing w:line="240" w:lineRule="auto"/>
      </w:pPr>
      <w:r>
        <w:rPr>
          <w:rStyle w:val="FootnoteReference"/>
        </w:rPr>
        <w:footnoteRef/>
      </w:r>
      <w:r>
        <w:rPr>
          <w:rStyle w:val="Hyperlink1"/>
        </w:rPr>
        <w:t xml:space="preserve"> Conte, C., 2016. What about Refugees with Disabilities? The Interplay between EU Asylum Law and the UN Convention on the Rights of Persons with Disabilities. </w:t>
      </w:r>
      <w:r>
        <w:rPr>
          <w:rStyle w:val="None"/>
          <w:i/>
          <w:iCs/>
        </w:rPr>
        <w:t>European Journal of Migration and Law</w:t>
      </w:r>
      <w:r>
        <w:rPr>
          <w:rStyle w:val="Hyperlink1"/>
        </w:rPr>
        <w:t xml:space="preserve"> 18(3) 327-349, 347.</w:t>
      </w:r>
    </w:p>
  </w:footnote>
  <w:footnote w:id="94">
    <w:p w:rsidR="002B6D13" w:rsidRDefault="00140BC2">
      <w:pPr>
        <w:pStyle w:val="FootnoteText"/>
        <w:spacing w:line="240" w:lineRule="auto"/>
      </w:pPr>
      <w:r>
        <w:rPr>
          <w:rStyle w:val="FootnoteReference"/>
        </w:rPr>
        <w:footnoteRef/>
      </w:r>
      <w:r>
        <w:rPr>
          <w:rStyle w:val="Hyperlink1"/>
        </w:rPr>
        <w:t xml:space="preserve"> Ibid.</w:t>
      </w:r>
    </w:p>
  </w:footnote>
  <w:footnote w:id="95">
    <w:p w:rsidR="002B6D13" w:rsidRDefault="00140BC2">
      <w:pPr>
        <w:pStyle w:val="FootnoteText"/>
        <w:spacing w:line="240" w:lineRule="auto"/>
      </w:pPr>
      <w:r>
        <w:rPr>
          <w:rStyle w:val="FootnoteReference"/>
        </w:rPr>
        <w:footnoteRef/>
      </w:r>
      <w:r>
        <w:rPr>
          <w:rStyle w:val="Hyperlink1"/>
        </w:rPr>
        <w:t xml:space="preserve"> See e.g. the European accessibility Act - Directive (EU) 2019/882 of the European Parliament and of the Council of 17 April 2019 on the accessibility requirements for products and services OJ L 151, 7.6.2019, p. 70–115 </w:t>
      </w:r>
    </w:p>
  </w:footnote>
  <w:footnote w:id="96">
    <w:p w:rsidR="002B6D13" w:rsidRDefault="00140BC2">
      <w:pPr>
        <w:pStyle w:val="FootnoteText"/>
        <w:spacing w:line="240" w:lineRule="auto"/>
      </w:pPr>
      <w:r>
        <w:rPr>
          <w:rStyle w:val="FootnoteReference"/>
        </w:rPr>
        <w:footnoteRef/>
      </w:r>
      <w:r>
        <w:rPr>
          <w:rStyle w:val="Hyperlink1"/>
        </w:rPr>
        <w:t xml:space="preserve"> O’B</w:t>
      </w:r>
      <w:r>
        <w:rPr>
          <w:rStyle w:val="Hyperlink1"/>
        </w:rPr>
        <w:t xml:space="preserve">rien, C. 2017. Union Citizenship and Disability: Restricted Access to Equality Rights and the Attitudinal Model of Disability. in Kochenov, D. (ed.) </w:t>
      </w:r>
      <w:r>
        <w:rPr>
          <w:rStyle w:val="None"/>
          <w:i/>
          <w:iCs/>
        </w:rPr>
        <w:t>EU Citizenship and Federalism</w:t>
      </w:r>
      <w:r>
        <w:rPr>
          <w:rStyle w:val="Hyperlink1"/>
        </w:rPr>
        <w:t>. Cambridge University Press, Cambridge, United Kingdom, pp. 509-539; Ferri, D</w:t>
      </w:r>
      <w:r>
        <w:rPr>
          <w:rStyle w:val="Hyperlink1"/>
        </w:rPr>
        <w:t xml:space="preserve">. 2019. Daouidi v Bootes Plus SL and the Concept of ‘Disability’ in EU Anti-Discrimination Law. </w:t>
      </w:r>
      <w:r>
        <w:rPr>
          <w:rStyle w:val="None"/>
          <w:i/>
          <w:iCs/>
        </w:rPr>
        <w:t xml:space="preserve">European Labour Law Journal </w:t>
      </w:r>
      <w:r>
        <w:rPr>
          <w:rStyle w:val="Hyperlink1"/>
        </w:rPr>
        <w:t xml:space="preserve">10(1), pp. 69-84; Waddington, L. 2015. Saying all the right things and still getting it wrong: the Court of Justice’s definition of </w:t>
      </w:r>
      <w:r>
        <w:rPr>
          <w:rStyle w:val="Hyperlink1"/>
        </w:rPr>
        <w:t xml:space="preserve">disability and non-discrimination law. </w:t>
      </w:r>
      <w:r>
        <w:rPr>
          <w:rStyle w:val="None"/>
          <w:i/>
          <w:iCs/>
        </w:rPr>
        <w:t>Maastricht Journal of European and Comparative Law</w:t>
      </w:r>
      <w:r>
        <w:rPr>
          <w:rStyle w:val="Hyperlink1"/>
        </w:rPr>
        <w:t xml:space="preserve"> 4, pp. 576-591.</w:t>
      </w:r>
    </w:p>
  </w:footnote>
  <w:footnote w:id="97">
    <w:p w:rsidR="002B6D13" w:rsidRDefault="00140BC2">
      <w:pPr>
        <w:pStyle w:val="FootnoteText"/>
        <w:spacing w:line="240" w:lineRule="auto"/>
      </w:pPr>
      <w:r>
        <w:rPr>
          <w:rStyle w:val="FootnoteReference"/>
        </w:rPr>
        <w:footnoteRef/>
      </w:r>
      <w:r>
        <w:rPr>
          <w:rStyle w:val="Hyperlink1"/>
        </w:rPr>
        <w:t xml:space="preserve"> General Comment N. 6, para 9.</w:t>
      </w:r>
    </w:p>
  </w:footnote>
  <w:footnote w:id="98">
    <w:p w:rsidR="002B6D13" w:rsidRDefault="00140BC2">
      <w:pPr>
        <w:pStyle w:val="FootnoteText"/>
        <w:spacing w:line="240" w:lineRule="auto"/>
      </w:pPr>
      <w:r>
        <w:rPr>
          <w:rStyle w:val="FootnoteReference"/>
        </w:rPr>
        <w:footnoteRef/>
      </w:r>
      <w:r>
        <w:rPr>
          <w:rStyle w:val="Hyperlink1"/>
        </w:rPr>
        <w:t xml:space="preserve"> Ibid. p. 49.</w:t>
      </w:r>
    </w:p>
  </w:footnote>
  <w:footnote w:id="99">
    <w:p w:rsidR="002B6D13" w:rsidRDefault="00140BC2">
      <w:pPr>
        <w:pStyle w:val="FootnoteText"/>
        <w:spacing w:line="240" w:lineRule="auto"/>
      </w:pPr>
      <w:r>
        <w:rPr>
          <w:rStyle w:val="FootnoteReference"/>
        </w:rPr>
        <w:footnoteRef/>
      </w:r>
      <w:r>
        <w:rPr>
          <w:rStyle w:val="Hyperlink1"/>
        </w:rPr>
        <w:t xml:space="preserve"> For example, Articles 6 and 8 CRPD on the rights of women, and Articles 7 and 19 CRPD on children. </w:t>
      </w:r>
    </w:p>
  </w:footnote>
  <w:footnote w:id="100">
    <w:p w:rsidR="002B6D13" w:rsidRDefault="00140BC2">
      <w:pPr>
        <w:pStyle w:val="FootnoteText"/>
        <w:spacing w:line="240" w:lineRule="auto"/>
      </w:pPr>
      <w:r>
        <w:rPr>
          <w:rStyle w:val="FootnoteReference"/>
        </w:rPr>
        <w:footnoteRef/>
      </w:r>
      <w:r>
        <w:rPr>
          <w:rStyle w:val="Hyperlink1"/>
        </w:rPr>
        <w:t xml:space="preserve"> Schiek, D, 2015. Intersectionality and the Notion of Disability in EU Discrimination Law. </w:t>
      </w:r>
      <w:r>
        <w:rPr>
          <w:rStyle w:val="None"/>
          <w:i/>
          <w:iCs/>
        </w:rPr>
        <w:t>Common Market Law Review.</w:t>
      </w:r>
      <w:r>
        <w:rPr>
          <w:rStyle w:val="Hyperlink1"/>
        </w:rPr>
        <w:t xml:space="preserve"> 53 (1), pp.35-63.</w:t>
      </w:r>
    </w:p>
  </w:footnote>
  <w:footnote w:id="101">
    <w:p w:rsidR="002B6D13" w:rsidRDefault="00140BC2">
      <w:pPr>
        <w:pStyle w:val="FootnoteText"/>
        <w:widowControl/>
        <w:spacing w:line="240" w:lineRule="auto"/>
      </w:pPr>
      <w:r>
        <w:rPr>
          <w:rStyle w:val="None"/>
          <w:vertAlign w:val="superscript"/>
        </w:rPr>
        <w:footnoteRef/>
      </w:r>
      <w:r>
        <w:rPr>
          <w:rStyle w:val="Hyperlink1"/>
        </w:rPr>
        <w:t xml:space="preserve"> European Union Agency for Fundamental Rights, ‘Monthly data collection on the current migration situation in the EU The</w:t>
      </w:r>
      <w:r>
        <w:rPr>
          <w:rStyle w:val="Hyperlink1"/>
        </w:rPr>
        <w:t>matic focus: Disability’ August 2016 monthly report 1–31 July 2016, 9.</w:t>
      </w:r>
    </w:p>
  </w:footnote>
  <w:footnote w:id="102">
    <w:p w:rsidR="002B6D13" w:rsidRDefault="00140BC2">
      <w:pPr>
        <w:pStyle w:val="FootnoteText"/>
        <w:widowControl/>
        <w:spacing w:line="240" w:lineRule="auto"/>
      </w:pPr>
      <w:r>
        <w:rPr>
          <w:rStyle w:val="None"/>
          <w:vertAlign w:val="superscript"/>
        </w:rPr>
        <w:footnoteRef/>
      </w:r>
      <w:r>
        <w:rPr>
          <w:rStyle w:val="Hyperlink1"/>
        </w:rPr>
        <w:t xml:space="preserve"> Ibid.</w:t>
      </w:r>
    </w:p>
  </w:footnote>
  <w:footnote w:id="103">
    <w:p w:rsidR="002B6D13" w:rsidRDefault="00140BC2">
      <w:pPr>
        <w:pStyle w:val="BodyA"/>
        <w:jc w:val="both"/>
      </w:pPr>
      <w:r>
        <w:rPr>
          <w:rStyle w:val="FootnoteReference"/>
        </w:rPr>
        <w:footnoteRef/>
      </w:r>
      <w:r>
        <w:rPr>
          <w:rStyle w:val="None"/>
          <w:sz w:val="20"/>
          <w:szCs w:val="20"/>
        </w:rPr>
        <w:t xml:space="preserve"> RRCD, Articles 22.1 and 22.3.</w:t>
      </w:r>
    </w:p>
  </w:footnote>
  <w:footnote w:id="104">
    <w:p w:rsidR="002B6D13" w:rsidRDefault="00140BC2">
      <w:pPr>
        <w:pStyle w:val="FootnoteText"/>
        <w:widowControl/>
        <w:spacing w:line="240" w:lineRule="auto"/>
      </w:pPr>
      <w:r>
        <w:rPr>
          <w:rStyle w:val="None"/>
          <w:vertAlign w:val="superscript"/>
        </w:rPr>
        <w:footnoteRef/>
      </w:r>
      <w:r>
        <w:rPr>
          <w:rStyle w:val="Hyperlink1"/>
        </w:rPr>
        <w:t xml:space="preserve"> On minimum condition for reception see Case C-179/11 </w:t>
      </w:r>
      <w:r>
        <w:rPr>
          <w:rStyle w:val="None"/>
          <w:i/>
          <w:iCs/>
        </w:rPr>
        <w:t xml:space="preserve">Cimade, Groupe d’information et de soutien des immigrés (GISTI) v Ministre de ’Intérieur, </w:t>
      </w:r>
      <w:r>
        <w:rPr>
          <w:rStyle w:val="None"/>
          <w:i/>
          <w:iCs/>
        </w:rPr>
        <w:t xml:space="preserve">de l’Outre-mer, des Collectivités territoriales et de l’Immigration </w:t>
      </w:r>
      <w:r>
        <w:rPr>
          <w:rStyle w:val="Hyperlink1"/>
        </w:rPr>
        <w:t>ECLI:EU:C:2012:594</w:t>
      </w:r>
    </w:p>
  </w:footnote>
  <w:footnote w:id="105">
    <w:p w:rsidR="002B6D13" w:rsidRDefault="00140BC2">
      <w:pPr>
        <w:pStyle w:val="Footnote"/>
        <w:jc w:val="both"/>
      </w:pPr>
      <w:r>
        <w:rPr>
          <w:rStyle w:val="None"/>
          <w:vertAlign w:val="superscript"/>
        </w:rPr>
        <w:footnoteRef/>
      </w:r>
      <w:r>
        <w:rPr>
          <w:rStyle w:val="None"/>
          <w:rFonts w:ascii="Times New Roman" w:hAnsi="Times New Roman"/>
          <w:sz w:val="20"/>
          <w:szCs w:val="20"/>
        </w:rPr>
        <w:t xml:space="preserve"> UN Human Rights Council, Report of the Working Group on the Periodic Review. 4 December 2013 A/HRC/25/17.</w:t>
      </w:r>
    </w:p>
  </w:footnote>
  <w:footnote w:id="106">
    <w:p w:rsidR="002B6D13" w:rsidRDefault="00140BC2">
      <w:pPr>
        <w:pStyle w:val="Footnote"/>
        <w:jc w:val="both"/>
      </w:pPr>
      <w:r>
        <w:rPr>
          <w:rStyle w:val="None"/>
          <w:vertAlign w:val="superscript"/>
        </w:rPr>
        <w:footnoteRef/>
      </w:r>
      <w:r>
        <w:rPr>
          <w:rStyle w:val="None"/>
          <w:rFonts w:ascii="Times New Roman" w:hAnsi="Times New Roman"/>
          <w:sz w:val="20"/>
          <w:szCs w:val="20"/>
        </w:rPr>
        <w:t xml:space="preserve"> Human Rights Watch, World Report 2014 - European Union. 21 </w:t>
      </w:r>
      <w:r>
        <w:rPr>
          <w:rStyle w:val="None"/>
          <w:rFonts w:ascii="Times New Roman" w:hAnsi="Times New Roman"/>
          <w:sz w:val="20"/>
          <w:szCs w:val="20"/>
        </w:rPr>
        <w:t>January 2014; UNHCR, Refugee Situation Bulgaria - External Update. 20 January 2014; UNHCR, Current Issues of Refugee Protection in Greece July 2013, Hungarian Helsinki Committee, Access to Territory and Asylum Procedure in Hungary. 7 June 2013.</w:t>
      </w:r>
    </w:p>
  </w:footnote>
  <w:footnote w:id="107">
    <w:p w:rsidR="002B6D13" w:rsidRDefault="00140BC2">
      <w:pPr>
        <w:pStyle w:val="Footnote"/>
        <w:jc w:val="both"/>
      </w:pPr>
      <w:r>
        <w:rPr>
          <w:rStyle w:val="None"/>
          <w:vertAlign w:val="superscript"/>
        </w:rPr>
        <w:footnoteRef/>
      </w:r>
      <w:r>
        <w:rPr>
          <w:rStyle w:val="None"/>
          <w:rFonts w:ascii="Times New Roman" w:hAnsi="Times New Roman"/>
          <w:sz w:val="20"/>
          <w:szCs w:val="20"/>
        </w:rPr>
        <w:t xml:space="preserve"> European </w:t>
      </w:r>
      <w:r>
        <w:rPr>
          <w:rStyle w:val="None"/>
          <w:rFonts w:ascii="Times New Roman" w:hAnsi="Times New Roman"/>
          <w:sz w:val="20"/>
          <w:szCs w:val="20"/>
        </w:rPr>
        <w:t>Council on Refugees and Exiles, Information Note on Syrian Asylum Seekers and Refugees in Europe, November 2013.</w:t>
      </w:r>
    </w:p>
  </w:footnote>
  <w:footnote w:id="108">
    <w:p w:rsidR="002B6D13" w:rsidRDefault="00140BC2">
      <w:pPr>
        <w:pStyle w:val="BodyA"/>
        <w:jc w:val="both"/>
        <w:rPr>
          <w:rStyle w:val="None"/>
          <w:sz w:val="20"/>
          <w:szCs w:val="20"/>
        </w:rPr>
      </w:pPr>
      <w:r>
        <w:rPr>
          <w:rStyle w:val="None"/>
          <w:vertAlign w:val="superscript"/>
        </w:rPr>
        <w:footnoteRef/>
      </w:r>
      <w:r>
        <w:rPr>
          <w:rStyle w:val="None"/>
          <w:sz w:val="20"/>
          <w:szCs w:val="20"/>
        </w:rPr>
        <w:t xml:space="preserve"> Thornton, L., 2016. A View from Outside the EU Reception Acquis: Reception Rights for Asylum Seekers in Ireland in Minderhoud, P., and Zwaan, K., (eds.). </w:t>
      </w:r>
      <w:r>
        <w:rPr>
          <w:rStyle w:val="None"/>
          <w:i/>
          <w:iCs/>
          <w:sz w:val="20"/>
          <w:szCs w:val="20"/>
        </w:rPr>
        <w:t>The Recast Reception Conditions Directive: Central Themes, Problem Issues, and Implementation in Sele</w:t>
      </w:r>
      <w:r>
        <w:rPr>
          <w:rStyle w:val="None"/>
          <w:i/>
          <w:iCs/>
          <w:sz w:val="20"/>
          <w:szCs w:val="20"/>
        </w:rPr>
        <w:t>cted Member States</w:t>
      </w:r>
      <w:r>
        <w:rPr>
          <w:rStyle w:val="None"/>
          <w:sz w:val="20"/>
          <w:szCs w:val="20"/>
        </w:rPr>
        <w:t>.</w:t>
      </w:r>
      <w:r>
        <w:rPr>
          <w:rStyle w:val="None"/>
          <w:i/>
          <w:iCs/>
          <w:sz w:val="20"/>
          <w:szCs w:val="20"/>
        </w:rPr>
        <w:t xml:space="preserve"> </w:t>
      </w:r>
      <w:r>
        <w:rPr>
          <w:rStyle w:val="None"/>
          <w:sz w:val="20"/>
          <w:szCs w:val="20"/>
        </w:rPr>
        <w:t xml:space="preserve">Wolf Legal Publishers, Tilburg, The Netherlands. </w:t>
      </w:r>
    </w:p>
    <w:p w:rsidR="002B6D13" w:rsidRDefault="00140BC2">
      <w:pPr>
        <w:pStyle w:val="BodyA"/>
        <w:jc w:val="both"/>
      </w:pPr>
      <w:r>
        <w:rPr>
          <w:rStyle w:val="None"/>
          <w:sz w:val="20"/>
          <w:szCs w:val="20"/>
        </w:rPr>
        <w:t xml:space="preserve">See also, Peek, M., 2010. Council Directive 2003/9/EC of 27 January 2003 laying down minimum standards for the reception of asylum seekers. in Hailbronner, K., (eds). </w:t>
      </w:r>
      <w:r>
        <w:rPr>
          <w:rStyle w:val="None"/>
          <w:i/>
          <w:iCs/>
          <w:sz w:val="20"/>
          <w:szCs w:val="20"/>
        </w:rPr>
        <w:t xml:space="preserve">EU Immigration and </w:t>
      </w:r>
      <w:r>
        <w:rPr>
          <w:rStyle w:val="None"/>
          <w:i/>
          <w:iCs/>
          <w:sz w:val="20"/>
          <w:szCs w:val="20"/>
        </w:rPr>
        <w:t xml:space="preserve">Asylum Law: Commentary on EU Regulations and Directives. </w:t>
      </w:r>
      <w:r>
        <w:rPr>
          <w:rStyle w:val="None"/>
          <w:sz w:val="20"/>
          <w:szCs w:val="20"/>
        </w:rPr>
        <w:t>Hart Publishing, Oxford, United Kingdom, pp. 871 and 934.</w:t>
      </w:r>
    </w:p>
  </w:footnote>
  <w:footnote w:id="109">
    <w:p w:rsidR="002B6D13" w:rsidRDefault="00140BC2">
      <w:pPr>
        <w:pStyle w:val="BodyA"/>
        <w:jc w:val="both"/>
      </w:pPr>
      <w:r>
        <w:rPr>
          <w:rStyle w:val="None"/>
          <w:vertAlign w:val="superscript"/>
        </w:rPr>
        <w:footnoteRef/>
      </w:r>
      <w:r>
        <w:rPr>
          <w:rStyle w:val="None"/>
          <w:sz w:val="20"/>
          <w:szCs w:val="20"/>
        </w:rPr>
        <w:t xml:space="preserve"> RRCD, Articles 2(g) and 17(1).</w:t>
      </w:r>
    </w:p>
  </w:footnote>
  <w:footnote w:id="110">
    <w:p w:rsidR="002B6D13" w:rsidRDefault="00140BC2">
      <w:pPr>
        <w:pStyle w:val="BodyA"/>
        <w:jc w:val="both"/>
      </w:pPr>
      <w:r>
        <w:rPr>
          <w:rStyle w:val="None"/>
          <w:vertAlign w:val="superscript"/>
        </w:rPr>
        <w:footnoteRef/>
      </w:r>
      <w:r>
        <w:rPr>
          <w:rStyle w:val="None"/>
          <w:sz w:val="20"/>
          <w:szCs w:val="20"/>
        </w:rPr>
        <w:t xml:space="preserve"> Ibid, Article 18(1).</w:t>
      </w:r>
    </w:p>
  </w:footnote>
  <w:footnote w:id="111">
    <w:p w:rsidR="002B6D13" w:rsidRDefault="00140BC2">
      <w:pPr>
        <w:pStyle w:val="BodyC"/>
        <w:jc w:val="both"/>
      </w:pPr>
      <w:r>
        <w:rPr>
          <w:rStyle w:val="None"/>
          <w:vertAlign w:val="superscript"/>
          <w:lang w:val="en-US"/>
        </w:rPr>
        <w:footnoteRef/>
      </w:r>
      <w:r>
        <w:rPr>
          <w:rStyle w:val="None"/>
          <w:sz w:val="20"/>
          <w:szCs w:val="20"/>
          <w:lang w:val="en-US"/>
        </w:rPr>
        <w:t xml:space="preserve"> Case C-79/13, </w:t>
      </w:r>
      <w:r>
        <w:rPr>
          <w:rStyle w:val="None"/>
          <w:i/>
          <w:iCs/>
          <w:sz w:val="20"/>
          <w:szCs w:val="20"/>
          <w:lang w:val="nl-NL"/>
        </w:rPr>
        <w:t xml:space="preserve">Federaal agentschap voor de opvang van asielzoekers v Selver </w:t>
      </w:r>
      <w:r>
        <w:rPr>
          <w:rStyle w:val="None"/>
          <w:i/>
          <w:iCs/>
          <w:sz w:val="20"/>
          <w:szCs w:val="20"/>
          <w:lang w:val="nl-NL"/>
        </w:rPr>
        <w:t>Saciri and others</w:t>
      </w:r>
      <w:r>
        <w:rPr>
          <w:rStyle w:val="None"/>
          <w:sz w:val="20"/>
          <w:szCs w:val="20"/>
          <w:lang w:val="en-US"/>
        </w:rPr>
        <w:t>, decision of the CJEU, 27 February 2014.</w:t>
      </w:r>
    </w:p>
  </w:footnote>
  <w:footnote w:id="112">
    <w:p w:rsidR="002B6D13" w:rsidRDefault="00140BC2">
      <w:pPr>
        <w:pStyle w:val="BodyC"/>
        <w:jc w:val="both"/>
      </w:pPr>
      <w:r>
        <w:rPr>
          <w:rStyle w:val="None"/>
          <w:vertAlign w:val="superscript"/>
          <w:lang w:val="en-US"/>
        </w:rPr>
        <w:footnoteRef/>
      </w:r>
      <w:r>
        <w:rPr>
          <w:rStyle w:val="None"/>
          <w:sz w:val="20"/>
          <w:szCs w:val="20"/>
          <w:lang w:val="pt-PT"/>
        </w:rPr>
        <w:t xml:space="preserve"> Ibid, Para 43.</w:t>
      </w:r>
    </w:p>
  </w:footnote>
  <w:footnote w:id="113">
    <w:p w:rsidR="002B6D13" w:rsidRDefault="00140BC2">
      <w:pPr>
        <w:pStyle w:val="FootnoteText"/>
        <w:spacing w:line="240" w:lineRule="auto"/>
      </w:pPr>
      <w:r>
        <w:rPr>
          <w:rStyle w:val="FootnoteReference"/>
        </w:rPr>
        <w:footnoteRef/>
      </w:r>
      <w:r>
        <w:rPr>
          <w:rStyle w:val="Hyperlink1"/>
        </w:rPr>
        <w:t xml:space="preserve"> Article 17(5) of the original proposal included a clause stating that ‘points of reference established by Member States either by law or practice to ensure adequate standards of </w:t>
      </w:r>
      <w:r>
        <w:rPr>
          <w:rStyle w:val="Hyperlink1"/>
        </w:rPr>
        <w:t>living for nationals, such as the minimum level of social welfare assistance’ - Amended proposal for a Directive of the European Parliament and of the Council laying down standards for the reception of asylum seekers (Recast) 2008/0244 (COD), pp. 46.</w:t>
      </w:r>
    </w:p>
  </w:footnote>
  <w:footnote w:id="114">
    <w:p w:rsidR="002B6D13" w:rsidRDefault="00140BC2">
      <w:pPr>
        <w:pStyle w:val="Footnote"/>
        <w:jc w:val="both"/>
      </w:pPr>
      <w:r>
        <w:rPr>
          <w:rStyle w:val="FootnoteReference"/>
        </w:rPr>
        <w:footnoteRef/>
      </w:r>
      <w:r>
        <w:rPr>
          <w:rStyle w:val="None"/>
          <w:rFonts w:ascii="Times New Roman" w:hAnsi="Times New Roman"/>
          <w:sz w:val="20"/>
          <w:szCs w:val="20"/>
        </w:rPr>
        <w:t xml:space="preserve"> UNH</w:t>
      </w:r>
      <w:r>
        <w:rPr>
          <w:rStyle w:val="None"/>
          <w:rFonts w:ascii="Times New Roman" w:hAnsi="Times New Roman"/>
          <w:sz w:val="20"/>
          <w:szCs w:val="20"/>
        </w:rPr>
        <w:t>CR, Comments on the European Commission's Proposal for a recast of the Directive laying down minimum standards for the reception of asylum-seekers (Geneva: UNHCR: March 2009), 10, and European Council on Refugees and Exiles, Comments on the Re-cast Recepti</w:t>
      </w:r>
      <w:r>
        <w:rPr>
          <w:rStyle w:val="None"/>
          <w:rFonts w:ascii="Times New Roman" w:hAnsi="Times New Roman"/>
          <w:sz w:val="20"/>
          <w:szCs w:val="20"/>
        </w:rPr>
        <w:t>on Conditions Directive, (Brussels: ECRE: March 2009), 10-12.</w:t>
      </w:r>
    </w:p>
  </w:footnote>
  <w:footnote w:id="115">
    <w:p w:rsidR="002B6D13" w:rsidRDefault="00140BC2">
      <w:pPr>
        <w:pStyle w:val="BodyC"/>
        <w:jc w:val="both"/>
      </w:pPr>
      <w:r>
        <w:rPr>
          <w:rStyle w:val="FootnoteReference"/>
        </w:rPr>
        <w:footnoteRef/>
      </w:r>
      <w:r>
        <w:rPr>
          <w:rStyle w:val="None"/>
          <w:sz w:val="20"/>
          <w:szCs w:val="20"/>
          <w:lang w:val="en-US"/>
        </w:rPr>
        <w:t xml:space="preserve"> Bank, R. 2000. Reception Conditions for Asylum Seekers in Europe: An Analysis of Provisions in Austria, Belgium, France, Germany, and the United Kingdom. </w:t>
      </w:r>
      <w:r>
        <w:rPr>
          <w:rStyle w:val="None"/>
          <w:i/>
          <w:iCs/>
          <w:sz w:val="20"/>
          <w:szCs w:val="20"/>
          <w:lang w:val="en-US"/>
        </w:rPr>
        <w:t>Nordic Journal of International Law</w:t>
      </w:r>
      <w:r>
        <w:rPr>
          <w:rStyle w:val="None"/>
          <w:sz w:val="20"/>
          <w:szCs w:val="20"/>
          <w:lang w:val="en-US"/>
        </w:rPr>
        <w:t xml:space="preserve"> 69</w:t>
      </w:r>
      <w:r>
        <w:rPr>
          <w:rStyle w:val="None"/>
          <w:sz w:val="20"/>
          <w:szCs w:val="20"/>
          <w:lang w:val="en-US"/>
        </w:rPr>
        <w:t xml:space="preserve">, pp. 257-88; </w:t>
      </w:r>
      <w:r>
        <w:rPr>
          <w:rStyle w:val="None"/>
          <w:sz w:val="20"/>
          <w:szCs w:val="20"/>
          <w:lang w:val="nl-NL"/>
        </w:rPr>
        <w:t>Minderhoud,</w:t>
      </w:r>
      <w:r>
        <w:rPr>
          <w:rStyle w:val="None"/>
          <w:sz w:val="20"/>
          <w:szCs w:val="20"/>
          <w:lang w:val="en-US"/>
        </w:rPr>
        <w:t xml:space="preserve"> P. 1999. Asylum Seekers and Access to Social Security: Recent Developments in The Netherlands, United Kingdom, Germany and Belgium. In Bloch, A. &amp; Levy, C. (eds.), </w:t>
      </w:r>
      <w:r>
        <w:rPr>
          <w:rStyle w:val="None"/>
          <w:i/>
          <w:iCs/>
          <w:sz w:val="20"/>
          <w:szCs w:val="20"/>
          <w:lang w:val="en-US"/>
        </w:rPr>
        <w:t>Refugees, Citizenship and Social Policy in Europe</w:t>
      </w:r>
      <w:r>
        <w:rPr>
          <w:rStyle w:val="None"/>
          <w:sz w:val="20"/>
          <w:szCs w:val="20"/>
          <w:lang w:val="en-US"/>
        </w:rPr>
        <w:t>. MacMillan Press</w:t>
      </w:r>
      <w:r>
        <w:rPr>
          <w:rStyle w:val="None"/>
          <w:sz w:val="20"/>
          <w:szCs w:val="20"/>
          <w:lang w:val="en-US"/>
        </w:rPr>
        <w:t xml:space="preserve">, London, United Kingdom, pp. 132-48; </w:t>
      </w:r>
      <w:r>
        <w:rPr>
          <w:rStyle w:val="None"/>
          <w:sz w:val="20"/>
          <w:szCs w:val="20"/>
          <w:lang w:val="de-DE"/>
        </w:rPr>
        <w:t>Schuster,</w:t>
      </w:r>
      <w:r>
        <w:rPr>
          <w:rStyle w:val="None"/>
          <w:sz w:val="20"/>
          <w:szCs w:val="20"/>
          <w:lang w:val="en-US"/>
        </w:rPr>
        <w:t xml:space="preserve"> L. 2000. A Comparative Analysis of the Asylum Policy of Seven European Governments. </w:t>
      </w:r>
      <w:r>
        <w:rPr>
          <w:rStyle w:val="None"/>
          <w:i/>
          <w:iCs/>
          <w:sz w:val="20"/>
          <w:szCs w:val="20"/>
          <w:lang w:val="en-US"/>
        </w:rPr>
        <w:t>Journal of Refugee Studies</w:t>
      </w:r>
      <w:r>
        <w:rPr>
          <w:rStyle w:val="None"/>
          <w:sz w:val="20"/>
          <w:szCs w:val="20"/>
          <w:lang w:val="en-US"/>
        </w:rPr>
        <w:t xml:space="preserve"> 13, pp. 118-31.</w:t>
      </w:r>
    </w:p>
  </w:footnote>
  <w:footnote w:id="116">
    <w:p w:rsidR="002B6D13" w:rsidRDefault="00140BC2">
      <w:pPr>
        <w:pStyle w:val="BodyC"/>
        <w:jc w:val="both"/>
      </w:pPr>
      <w:r>
        <w:rPr>
          <w:rStyle w:val="FootnoteReference"/>
        </w:rPr>
        <w:footnoteRef/>
      </w:r>
      <w:r>
        <w:rPr>
          <w:rStyle w:val="None"/>
          <w:sz w:val="20"/>
          <w:szCs w:val="20"/>
          <w:lang w:val="da-DK"/>
        </w:rPr>
        <w:t xml:space="preserve"> Slingenberg</w:t>
      </w:r>
      <w:r>
        <w:rPr>
          <w:rStyle w:val="None"/>
          <w:sz w:val="20"/>
          <w:szCs w:val="20"/>
          <w:lang w:val="en-US"/>
        </w:rPr>
        <w:t xml:space="preserve">, L. 2016. </w:t>
      </w:r>
      <w:r>
        <w:rPr>
          <w:rStyle w:val="None"/>
          <w:i/>
          <w:iCs/>
          <w:sz w:val="20"/>
          <w:szCs w:val="20"/>
          <w:lang w:val="en-US"/>
        </w:rPr>
        <w:t>The Reception of Asylum Seekers in International Law: Bet</w:t>
      </w:r>
      <w:r>
        <w:rPr>
          <w:rStyle w:val="None"/>
          <w:i/>
          <w:iCs/>
          <w:sz w:val="20"/>
          <w:szCs w:val="20"/>
          <w:lang w:val="en-US"/>
        </w:rPr>
        <w:t>ween Sovereignty and Equality</w:t>
      </w:r>
      <w:r>
        <w:rPr>
          <w:rStyle w:val="None"/>
          <w:sz w:val="20"/>
          <w:szCs w:val="20"/>
          <w:lang w:val="en-US"/>
        </w:rPr>
        <w:t>. Hart Publishing, Oxford, United Kingdom, 1-2.</w:t>
      </w:r>
    </w:p>
  </w:footnote>
  <w:footnote w:id="117">
    <w:p w:rsidR="002B6D13" w:rsidRDefault="00140BC2">
      <w:pPr>
        <w:pStyle w:val="FootnoteText"/>
        <w:spacing w:line="240" w:lineRule="auto"/>
      </w:pPr>
      <w:r>
        <w:rPr>
          <w:rStyle w:val="FootnoteReference"/>
        </w:rPr>
        <w:footnoteRef/>
      </w:r>
      <w:r>
        <w:rPr>
          <w:rStyle w:val="Hyperlink1"/>
        </w:rPr>
        <w:t xml:space="preserve"> General Comment N. 6, para 25(a).</w:t>
      </w:r>
    </w:p>
  </w:footnote>
  <w:footnote w:id="118">
    <w:p w:rsidR="002B6D13" w:rsidRDefault="00140BC2">
      <w:pPr>
        <w:pStyle w:val="FootnoteText"/>
      </w:pPr>
      <w:r>
        <w:rPr>
          <w:rStyle w:val="FootnoteReference"/>
        </w:rPr>
        <w:footnoteRef/>
      </w:r>
      <w:r>
        <w:rPr>
          <w:rStyle w:val="NoneB"/>
          <w:rFonts w:eastAsia="Arial Unicode MS" w:cs="Arial Unicode MS"/>
        </w:rPr>
        <w:t xml:space="preserve"> The guide is available at </w:t>
      </w:r>
      <w:hyperlink r:id="rId7" w:history="1">
        <w:r>
          <w:rPr>
            <w:rStyle w:val="Hyperlink2"/>
            <w:rFonts w:eastAsia="Arial Unicode MS" w:cs="Arial Unicode MS"/>
          </w:rPr>
          <w:t>https://www.easo.europa.eu/sites/default/files/EASO%20Guidance%20on%20reception%20conditions%20-%20operational%20standards%20and%20indicators%5B3%5D.pdf</w:t>
        </w:r>
      </w:hyperlink>
    </w:p>
  </w:footnote>
  <w:footnote w:id="119">
    <w:p w:rsidR="002B6D13" w:rsidRDefault="00140BC2">
      <w:pPr>
        <w:pStyle w:val="FootnoteText"/>
      </w:pPr>
      <w:r>
        <w:rPr>
          <w:rStyle w:val="FootnoteReference"/>
        </w:rPr>
        <w:footnoteRef/>
      </w:r>
      <w:r>
        <w:rPr>
          <w:rStyle w:val="NoneB"/>
          <w:rFonts w:eastAsia="Arial Unicode MS" w:cs="Arial Unicode MS"/>
        </w:rPr>
        <w:t xml:space="preserve"> Ibid standard 26.3.</w:t>
      </w:r>
    </w:p>
  </w:footnote>
  <w:footnote w:id="120">
    <w:p w:rsidR="002B6D13" w:rsidRDefault="00140BC2">
      <w:pPr>
        <w:pStyle w:val="FootnoteText"/>
      </w:pPr>
      <w:r>
        <w:rPr>
          <w:rStyle w:val="FootnoteReference"/>
        </w:rPr>
        <w:footnoteRef/>
      </w:r>
      <w:r>
        <w:rPr>
          <w:rStyle w:val="NoneB"/>
          <w:rFonts w:eastAsia="Arial Unicode MS" w:cs="Arial Unicode MS"/>
        </w:rPr>
        <w:t xml:space="preserve"> Ibid. standard 29.8.</w:t>
      </w:r>
    </w:p>
  </w:footnote>
  <w:footnote w:id="121">
    <w:p w:rsidR="002B6D13" w:rsidRDefault="00140BC2">
      <w:pPr>
        <w:pStyle w:val="FootnoteText"/>
      </w:pPr>
      <w:r>
        <w:rPr>
          <w:rStyle w:val="FootnoteReference"/>
        </w:rPr>
        <w:footnoteRef/>
      </w:r>
      <w:r>
        <w:rPr>
          <w:rStyle w:val="NoneB"/>
          <w:rFonts w:eastAsia="Arial Unicode MS" w:cs="Arial Unicode MS"/>
        </w:rPr>
        <w:t xml:space="preserve"> Ibid. standard 30.5</w:t>
      </w:r>
    </w:p>
  </w:footnote>
  <w:footnote w:id="122">
    <w:p w:rsidR="002B6D13" w:rsidRDefault="00140BC2">
      <w:pPr>
        <w:pStyle w:val="FootnoteText"/>
        <w:spacing w:line="240" w:lineRule="auto"/>
      </w:pPr>
      <w:r>
        <w:rPr>
          <w:rStyle w:val="FootnoteReference"/>
        </w:rPr>
        <w:footnoteRef/>
      </w:r>
      <w:r>
        <w:rPr>
          <w:rStyle w:val="Hyperlink1"/>
        </w:rPr>
        <w:t xml:space="preserve"> RRCD, Recital 27.</w:t>
      </w:r>
    </w:p>
  </w:footnote>
  <w:footnote w:id="123">
    <w:p w:rsidR="002B6D13" w:rsidRDefault="00140BC2">
      <w:pPr>
        <w:pStyle w:val="FootnoteText"/>
        <w:spacing w:line="240" w:lineRule="auto"/>
      </w:pPr>
      <w:r>
        <w:rPr>
          <w:rStyle w:val="FootnoteReference"/>
        </w:rPr>
        <w:footnoteRef/>
      </w:r>
      <w:r>
        <w:rPr>
          <w:rStyle w:val="Hyperlink1"/>
        </w:rPr>
        <w:t xml:space="preserve"> RRCD, Recital 35.</w:t>
      </w:r>
    </w:p>
  </w:footnote>
  <w:footnote w:id="124">
    <w:p w:rsidR="002B6D13" w:rsidRDefault="00140BC2">
      <w:pPr>
        <w:pStyle w:val="FootnoteText"/>
        <w:spacing w:line="240" w:lineRule="auto"/>
      </w:pPr>
      <w:r>
        <w:rPr>
          <w:rStyle w:val="FootnoteReference"/>
        </w:rPr>
        <w:footnoteRef/>
      </w:r>
      <w:r>
        <w:rPr>
          <w:rStyle w:val="Hyperlink1"/>
        </w:rPr>
        <w:t xml:space="preserve"> RRCD, Article 10.4.</w:t>
      </w:r>
    </w:p>
  </w:footnote>
  <w:footnote w:id="125">
    <w:p w:rsidR="002B6D13" w:rsidRDefault="00140BC2">
      <w:pPr>
        <w:pStyle w:val="FootnoteText"/>
        <w:spacing w:line="240" w:lineRule="auto"/>
      </w:pPr>
      <w:r>
        <w:rPr>
          <w:rStyle w:val="FootnoteReference"/>
        </w:rPr>
        <w:footnoteRef/>
      </w:r>
      <w:r>
        <w:rPr>
          <w:rStyle w:val="Hyperlink1"/>
        </w:rPr>
        <w:t xml:space="preserve"> RRCD, Article 15.</w:t>
      </w:r>
    </w:p>
  </w:footnote>
  <w:footnote w:id="126">
    <w:p w:rsidR="002B6D13" w:rsidRDefault="00140BC2">
      <w:pPr>
        <w:pStyle w:val="FootnoteText"/>
        <w:spacing w:line="240" w:lineRule="auto"/>
      </w:pPr>
      <w:r>
        <w:rPr>
          <w:rStyle w:val="FootnoteReference"/>
        </w:rPr>
        <w:footnoteRef/>
      </w:r>
      <w:r>
        <w:rPr>
          <w:rStyle w:val="Hyperlink1"/>
        </w:rPr>
        <w:t xml:space="preserve"> RRCD, Article 14.</w:t>
      </w:r>
    </w:p>
  </w:footnote>
  <w:footnote w:id="127">
    <w:p w:rsidR="002B6D13" w:rsidRDefault="00140BC2">
      <w:pPr>
        <w:pStyle w:val="FootnoteText"/>
        <w:spacing w:line="240" w:lineRule="auto"/>
      </w:pPr>
      <w:r>
        <w:rPr>
          <w:rStyle w:val="FootnoteReference"/>
        </w:rPr>
        <w:footnoteRef/>
      </w:r>
      <w:r>
        <w:rPr>
          <w:rStyle w:val="Hyperlink1"/>
        </w:rPr>
        <w:t xml:space="preserve"> RRCD, Article 16.</w:t>
      </w:r>
    </w:p>
  </w:footnote>
  <w:footnote w:id="128">
    <w:p w:rsidR="002B6D13" w:rsidRDefault="00140BC2">
      <w:pPr>
        <w:pStyle w:val="FootnoteText"/>
        <w:spacing w:line="240" w:lineRule="auto"/>
      </w:pPr>
      <w:r>
        <w:rPr>
          <w:rStyle w:val="FootnoteReference"/>
        </w:rPr>
        <w:footnoteRef/>
      </w:r>
      <w:r>
        <w:rPr>
          <w:rStyle w:val="Hyperlink1"/>
        </w:rPr>
        <w:t xml:space="preserve"> RRCD, Articles 30 and 31.</w:t>
      </w:r>
    </w:p>
  </w:footnote>
  <w:footnote w:id="129">
    <w:p w:rsidR="002B6D13" w:rsidRDefault="00140BC2">
      <w:pPr>
        <w:pStyle w:val="BodyA"/>
        <w:jc w:val="both"/>
      </w:pPr>
      <w:r>
        <w:rPr>
          <w:rStyle w:val="FootnoteReference"/>
        </w:rPr>
        <w:footnoteRef/>
      </w:r>
      <w:r>
        <w:rPr>
          <w:rStyle w:val="None"/>
          <w:sz w:val="20"/>
          <w:szCs w:val="20"/>
        </w:rPr>
        <w:t xml:space="preserve"> Proposal for a DIRECTIVE OF THE EUROPE</w:t>
      </w:r>
      <w:r>
        <w:rPr>
          <w:rStyle w:val="None"/>
          <w:sz w:val="20"/>
          <w:szCs w:val="20"/>
        </w:rPr>
        <w:t>AN PARLIAMENT AND OF THE COUNCIL laying down standards for the reception of applicants for international protection (recast) Brussels, 13.7.2016 COM(2016) 465 final 2016/0222 (COD).</w:t>
      </w:r>
    </w:p>
  </w:footnote>
  <w:footnote w:id="130">
    <w:p w:rsidR="002B6D13" w:rsidRDefault="00140BC2">
      <w:pPr>
        <w:pStyle w:val="FootnoteText"/>
      </w:pPr>
      <w:r>
        <w:rPr>
          <w:rStyle w:val="FootnoteReference"/>
        </w:rPr>
        <w:footnoteRef/>
      </w:r>
      <w:r>
        <w:rPr>
          <w:rStyle w:val="NoneB"/>
          <w:rFonts w:eastAsia="Arial Unicode MS" w:cs="Arial Unicode MS"/>
        </w:rPr>
        <w:t xml:space="preserve"> </w:t>
      </w:r>
      <w:hyperlink r:id="rId8" w:history="1">
        <w:r>
          <w:rPr>
            <w:rStyle w:val="Hyperlink2"/>
            <w:rFonts w:eastAsia="Arial Unicode MS" w:cs="Arial Unicode MS"/>
          </w:rPr>
          <w:t>https://ec.europa.eu/info/priorities/promoting-european-way-life/migration_en</w:t>
        </w:r>
      </w:hyperlink>
      <w:r>
        <w:rPr>
          <w:rStyle w:val="NoneB"/>
          <w:rFonts w:eastAsia="Arial Unicode MS" w:cs="Arial Unicode MS"/>
        </w:rPr>
        <w:t>.</w:t>
      </w:r>
    </w:p>
  </w:footnote>
  <w:footnote w:id="131">
    <w:p w:rsidR="002B6D13" w:rsidRDefault="00140BC2">
      <w:pPr>
        <w:pStyle w:val="FootnoteText"/>
        <w:spacing w:line="240" w:lineRule="auto"/>
      </w:pPr>
      <w:r>
        <w:rPr>
          <w:rStyle w:val="FootnoteReference"/>
        </w:rPr>
        <w:footnoteRef/>
      </w:r>
      <w:r>
        <w:rPr>
          <w:rStyle w:val="NoneB"/>
        </w:rPr>
        <w:t xml:space="preserve"> Ibid, Article 1.</w:t>
      </w:r>
    </w:p>
  </w:footnote>
  <w:footnote w:id="132">
    <w:p w:rsidR="002B6D13" w:rsidRDefault="00140BC2">
      <w:pPr>
        <w:pStyle w:val="FootnoteText"/>
        <w:spacing w:line="240" w:lineRule="auto"/>
      </w:pPr>
      <w:r>
        <w:rPr>
          <w:rStyle w:val="FootnoteReference"/>
        </w:rPr>
        <w:footnoteRef/>
      </w:r>
      <w:r>
        <w:rPr>
          <w:rStyle w:val="NoneB"/>
        </w:rPr>
        <w:t xml:space="preserve"> Ibid, ‘Collection and Use of Expertise’.</w:t>
      </w:r>
    </w:p>
  </w:footnote>
  <w:footnote w:id="133">
    <w:p w:rsidR="002B6D13" w:rsidRDefault="00140BC2">
      <w:pPr>
        <w:pStyle w:val="FootnoteText"/>
        <w:spacing w:line="240" w:lineRule="auto"/>
      </w:pPr>
      <w:r>
        <w:rPr>
          <w:rStyle w:val="FootnoteReference"/>
        </w:rPr>
        <w:footnoteRef/>
      </w:r>
      <w:r>
        <w:rPr>
          <w:rStyle w:val="NoneB"/>
        </w:rPr>
        <w:t xml:space="preserve"> Ibid, Recital 8.</w:t>
      </w:r>
    </w:p>
  </w:footnote>
  <w:footnote w:id="134">
    <w:p w:rsidR="002B6D13" w:rsidRDefault="00140BC2">
      <w:pPr>
        <w:pStyle w:val="BodyA"/>
        <w:jc w:val="both"/>
      </w:pPr>
      <w:r>
        <w:rPr>
          <w:rStyle w:val="FootnoteReference"/>
        </w:rPr>
        <w:footnoteRef/>
      </w:r>
      <w:r>
        <w:rPr>
          <w:rStyle w:val="None"/>
          <w:sz w:val="20"/>
          <w:szCs w:val="20"/>
        </w:rPr>
        <w:t xml:space="preserve"> Ibid, Article 5.1.</w:t>
      </w:r>
    </w:p>
  </w:footnote>
  <w:footnote w:id="135">
    <w:p w:rsidR="002B6D13" w:rsidRDefault="00140BC2">
      <w:pPr>
        <w:pStyle w:val="FootnoteText"/>
        <w:spacing w:line="240" w:lineRule="auto"/>
      </w:pPr>
      <w:r>
        <w:rPr>
          <w:rStyle w:val="FootnoteReference"/>
        </w:rPr>
        <w:footnoteRef/>
      </w:r>
      <w:r>
        <w:rPr>
          <w:rStyle w:val="Hyperlink1"/>
        </w:rPr>
        <w:t xml:space="preserve"> Ibid, Article 2(10) of the proposed text states that ‘absconding’ means the action by which an applicant, in order to avoid asylum procedures, either leaves the territory where he or she is obliged to be present in accordance with the Dublin Regulation, o</w:t>
      </w:r>
      <w:r>
        <w:rPr>
          <w:rStyle w:val="Hyperlink1"/>
        </w:rPr>
        <w:t>r does not remain available to the competent authorities or to the court or tribunal.</w:t>
      </w:r>
    </w:p>
  </w:footnote>
  <w:footnote w:id="136">
    <w:p w:rsidR="002B6D13" w:rsidRDefault="00140BC2">
      <w:pPr>
        <w:pStyle w:val="FootnoteText"/>
        <w:spacing w:line="240" w:lineRule="auto"/>
      </w:pPr>
      <w:r>
        <w:rPr>
          <w:rStyle w:val="FootnoteReference"/>
        </w:rPr>
        <w:footnoteRef/>
      </w:r>
      <w:r>
        <w:rPr>
          <w:rStyle w:val="Hyperlink1"/>
        </w:rPr>
        <w:t xml:space="preserve"> For example, Article 5 of the proposal would introduce an obligation on the Member States to inform applicants of the consequences of irregular onward movement.</w:t>
      </w:r>
    </w:p>
  </w:footnote>
  <w:footnote w:id="137">
    <w:p w:rsidR="002B6D13" w:rsidRDefault="00140BC2">
      <w:pPr>
        <w:pStyle w:val="FootnoteText"/>
        <w:spacing w:line="240" w:lineRule="auto"/>
      </w:pPr>
      <w:r>
        <w:rPr>
          <w:rStyle w:val="FootnoteReference"/>
        </w:rPr>
        <w:footnoteRef/>
      </w:r>
      <w:r>
        <w:rPr>
          <w:rStyle w:val="NoneB"/>
        </w:rPr>
        <w:t xml:space="preserve"> Ibid,</w:t>
      </w:r>
      <w:r>
        <w:rPr>
          <w:rStyle w:val="NoneB"/>
        </w:rPr>
        <w:t xml:space="preserve"> Recital 10.</w:t>
      </w:r>
    </w:p>
  </w:footnote>
  <w:footnote w:id="138">
    <w:p w:rsidR="002B6D13" w:rsidRDefault="00140BC2">
      <w:pPr>
        <w:pStyle w:val="FootnoteText"/>
        <w:spacing w:line="240" w:lineRule="auto"/>
      </w:pPr>
      <w:r>
        <w:rPr>
          <w:rStyle w:val="FootnoteReference"/>
        </w:rPr>
        <w:footnoteRef/>
      </w:r>
      <w:r>
        <w:rPr>
          <w:rStyle w:val="NoneB"/>
        </w:rPr>
        <w:t xml:space="preserve"> Ibid, Recital 32.</w:t>
      </w:r>
    </w:p>
  </w:footnote>
  <w:footnote w:id="139">
    <w:p w:rsidR="002B6D13" w:rsidRDefault="00140BC2">
      <w:pPr>
        <w:pStyle w:val="FootnoteText"/>
        <w:spacing w:line="240" w:lineRule="auto"/>
      </w:pPr>
      <w:r>
        <w:rPr>
          <w:rStyle w:val="FootnoteReference"/>
        </w:rPr>
        <w:footnoteRef/>
      </w:r>
      <w:r>
        <w:rPr>
          <w:rStyle w:val="NoneB"/>
        </w:rPr>
        <w:t xml:space="preserve"> Only in Recital 32 does the proposal state</w:t>
      </w:r>
      <w:r>
        <w:rPr>
          <w:rStyle w:val="None"/>
          <w:sz w:val="24"/>
          <w:szCs w:val="24"/>
        </w:rPr>
        <w:t xml:space="preserve"> that ‘</w:t>
      </w:r>
      <w:r>
        <w:rPr>
          <w:rStyle w:val="NoneB"/>
        </w:rPr>
        <w:t xml:space="preserve">Member States should in all circumstances ensure access to health care and a dignified standard of living for applicants […] with due regard to the inherent </w:t>
      </w:r>
      <w:r>
        <w:rPr>
          <w:rStyle w:val="NoneB"/>
        </w:rPr>
        <w:t>vulnerabilities of the person as applicant for international protection and that of his or her family or caretaker’.</w:t>
      </w:r>
    </w:p>
  </w:footnote>
  <w:footnote w:id="140">
    <w:p w:rsidR="002B6D13" w:rsidRDefault="00140BC2">
      <w:pPr>
        <w:pStyle w:val="FootnoteText"/>
        <w:spacing w:line="240" w:lineRule="auto"/>
      </w:pPr>
      <w:r>
        <w:rPr>
          <w:rStyle w:val="FootnoteReference"/>
        </w:rPr>
        <w:footnoteRef/>
      </w:r>
      <w:r>
        <w:rPr>
          <w:rStyle w:val="NoneB"/>
        </w:rPr>
        <w:t xml:space="preserve"> Ibid, Recital 25.</w:t>
      </w:r>
    </w:p>
  </w:footnote>
  <w:footnote w:id="141">
    <w:p w:rsidR="002B6D13" w:rsidRDefault="00140BC2">
      <w:pPr>
        <w:pStyle w:val="FootnoteText"/>
        <w:spacing w:line="240" w:lineRule="auto"/>
      </w:pPr>
      <w:r>
        <w:rPr>
          <w:rStyle w:val="FootnoteReference"/>
        </w:rPr>
        <w:footnoteRef/>
      </w:r>
      <w:r>
        <w:rPr>
          <w:rStyle w:val="NoneB"/>
        </w:rPr>
        <w:t xml:space="preserve"> Ibid, ‘Objectives of the Present Proposal’ (3).</w:t>
      </w:r>
    </w:p>
  </w:footnote>
  <w:footnote w:id="142">
    <w:p w:rsidR="002B6D13" w:rsidRDefault="00140BC2">
      <w:pPr>
        <w:pStyle w:val="FootnoteText"/>
        <w:spacing w:line="240" w:lineRule="auto"/>
      </w:pPr>
      <w:r>
        <w:rPr>
          <w:rStyle w:val="FootnoteReference"/>
        </w:rPr>
        <w:footnoteRef/>
      </w:r>
      <w:r>
        <w:rPr>
          <w:rStyle w:val="NoneB"/>
        </w:rPr>
        <w:t xml:space="preserve"> Ibid, Recital 24.</w:t>
      </w:r>
    </w:p>
  </w:footnote>
  <w:footnote w:id="143">
    <w:p w:rsidR="002B6D13" w:rsidRDefault="00140BC2">
      <w:pPr>
        <w:pStyle w:val="FootnoteText"/>
        <w:spacing w:line="240" w:lineRule="auto"/>
        <w:rPr>
          <w:rStyle w:val="Hyperlink1"/>
        </w:rPr>
      </w:pPr>
      <w:r>
        <w:rPr>
          <w:rStyle w:val="FootnoteReference"/>
        </w:rPr>
        <w:footnoteRef/>
      </w:r>
      <w:r>
        <w:rPr>
          <w:rStyle w:val="Hyperlink1"/>
        </w:rPr>
        <w:t xml:space="preserve"> According to some scholars the concept of vulne</w:t>
      </w:r>
      <w:r>
        <w:rPr>
          <w:rStyle w:val="Hyperlink1"/>
        </w:rPr>
        <w:t>rability is at odds with the human rights model. For example Mannan et al. state that: ‘From a rights-based perspective, disability does not intrinsically render a person vulnerable, but rather it is the lack of access, information and support, which inten</w:t>
      </w:r>
      <w:r>
        <w:rPr>
          <w:rStyle w:val="Hyperlink1"/>
        </w:rPr>
        <w:t xml:space="preserve">sifies vulnerability.’ </w:t>
      </w:r>
    </w:p>
    <w:p w:rsidR="002B6D13" w:rsidRDefault="00140BC2">
      <w:pPr>
        <w:pStyle w:val="FootnoteText"/>
        <w:spacing w:line="240" w:lineRule="auto"/>
      </w:pPr>
      <w:r>
        <w:rPr>
          <w:rStyle w:val="None"/>
        </w:rPr>
        <w:t xml:space="preserve">Mannan, H.,  Maclachlan, M., &amp; Mcveigh, J. 2012. Core concepts of human rights and inclusion of vulnerable groups in the United Nations Convention on the rights of persons with disabilities. </w:t>
      </w:r>
      <w:r>
        <w:rPr>
          <w:rStyle w:val="None"/>
          <w:i/>
          <w:iCs/>
          <w:lang w:val="it-IT"/>
        </w:rPr>
        <w:t>European Journal of Disability Research</w:t>
      </w:r>
      <w:r>
        <w:rPr>
          <w:rStyle w:val="None"/>
          <w:lang w:val="it-IT"/>
        </w:rPr>
        <w:t xml:space="preserve"> 6</w:t>
      </w:r>
      <w:r>
        <w:rPr>
          <w:rStyle w:val="None"/>
          <w:lang w:val="it-IT"/>
        </w:rPr>
        <w:t>, pp. 159-177, p. 161.</w:t>
      </w:r>
    </w:p>
  </w:footnote>
  <w:footnote w:id="144">
    <w:p w:rsidR="002B6D13" w:rsidRDefault="00140BC2">
      <w:pPr>
        <w:pStyle w:val="FootnoteText"/>
        <w:spacing w:line="240" w:lineRule="auto"/>
      </w:pPr>
      <w:r>
        <w:rPr>
          <w:rStyle w:val="FootnoteReference"/>
        </w:rPr>
        <w:footnoteRef/>
      </w:r>
      <w:r>
        <w:rPr>
          <w:rStyle w:val="None"/>
          <w:lang w:val="it-IT"/>
        </w:rPr>
        <w:t xml:space="preserve"> Ferri, D. 2019. La ‘vulnerabilita’ come condizione giuridica dei migranti con disabilità nell’Unione Europea. Bernardini MG (ed.) </w:t>
      </w:r>
      <w:r>
        <w:rPr>
          <w:rStyle w:val="None"/>
          <w:i/>
          <w:iCs/>
          <w:lang w:val="it-IT"/>
        </w:rPr>
        <w:t>Migranti con disabilità e vulnerabilità. Rappresentazioni, politiche, diritti</w:t>
      </w:r>
      <w:r>
        <w:rPr>
          <w:rStyle w:val="None"/>
          <w:lang w:val="it-IT"/>
        </w:rPr>
        <w:t>.</w:t>
      </w:r>
      <w:r>
        <w:rPr>
          <w:rStyle w:val="None"/>
          <w:i/>
          <w:iCs/>
          <w:lang w:val="it-IT"/>
        </w:rPr>
        <w:t xml:space="preserve"> </w:t>
      </w:r>
      <w:r>
        <w:rPr>
          <w:rStyle w:val="NoneA"/>
        </w:rPr>
        <w:t>Jovene: Napoli.</w:t>
      </w:r>
    </w:p>
  </w:footnote>
  <w:footnote w:id="145">
    <w:p w:rsidR="002B6D13" w:rsidRDefault="00140BC2">
      <w:pPr>
        <w:pStyle w:val="FootnoteText"/>
        <w:spacing w:line="240" w:lineRule="auto"/>
      </w:pPr>
      <w:r>
        <w:rPr>
          <w:rStyle w:val="FootnoteReference"/>
        </w:rPr>
        <w:footnoteRef/>
      </w:r>
      <w:r>
        <w:rPr>
          <w:rStyle w:val="NoneB"/>
        </w:rPr>
        <w:t xml:space="preserve"> An a</w:t>
      </w:r>
      <w:r>
        <w:rPr>
          <w:rStyle w:val="NoneB"/>
        </w:rPr>
        <w:t xml:space="preserve">lliance between four central European States: the Czech Republic, Hungary, Poland and Slovakia, on matters of common strategic importance. See </w:t>
      </w:r>
      <w:hyperlink r:id="rId9" w:history="1">
        <w:r>
          <w:rPr>
            <w:rStyle w:val="Hyperlink0"/>
          </w:rPr>
          <w:t>http://www.visegradgroup.eu/</w:t>
        </w:r>
      </w:hyperlink>
      <w:r>
        <w:rPr>
          <w:rStyle w:val="NoneB"/>
        </w:rPr>
        <w:t>.</w:t>
      </w:r>
    </w:p>
  </w:footnote>
  <w:footnote w:id="146">
    <w:p w:rsidR="002B6D13" w:rsidRDefault="00140BC2">
      <w:pPr>
        <w:pStyle w:val="FootnoteText"/>
        <w:spacing w:line="240" w:lineRule="auto"/>
      </w:pPr>
      <w:r>
        <w:rPr>
          <w:rStyle w:val="FootnoteReference"/>
        </w:rPr>
        <w:footnoteRef/>
      </w:r>
      <w:r>
        <w:rPr>
          <w:rStyle w:val="Hyperlink1"/>
        </w:rPr>
        <w:t xml:space="preserve"> EU Fundamental Rights Agency, </w:t>
      </w:r>
      <w:r>
        <w:rPr>
          <w:rStyle w:val="None"/>
          <w:i/>
          <w:iCs/>
        </w:rPr>
        <w:t>Thematic focus: Migrants with disabilities</w:t>
      </w:r>
      <w:r>
        <w:rPr>
          <w:rStyle w:val="Hyperlink1"/>
        </w:rPr>
        <w:t xml:space="preserve">, available at </w:t>
      </w:r>
      <w:hyperlink r:id="rId10" w:history="1">
        <w:r>
          <w:rPr>
            <w:rStyle w:val="Hyperlink0"/>
          </w:rPr>
          <w:t>https://fra.europa.eu/en/theme/asylum-migration-borders/overviews/focus-d</w:t>
        </w:r>
        <w:r>
          <w:rPr>
            <w:rStyle w:val="Hyperlink0"/>
          </w:rPr>
          <w:t>isability</w:t>
        </w:r>
      </w:hyperlink>
      <w:r>
        <w:rPr>
          <w:rStyle w:val="Hyperlink1"/>
        </w:rPr>
        <w:t xml:space="preserve"> (last accessed 13/07/2019).</w:t>
      </w:r>
    </w:p>
  </w:footnote>
  <w:footnote w:id="147">
    <w:p w:rsidR="002B6D13" w:rsidRDefault="00140BC2">
      <w:pPr>
        <w:pStyle w:val="FootnoteText"/>
        <w:spacing w:line="240" w:lineRule="auto"/>
      </w:pPr>
      <w:r>
        <w:rPr>
          <w:rStyle w:val="FootnoteReference"/>
        </w:rPr>
        <w:footnoteRef/>
      </w:r>
      <w:r>
        <w:rPr>
          <w:rStyle w:val="Hyperlink1"/>
        </w:rPr>
        <w:t xml:space="preserve"> Straimer, C. 2011, Between protection and assistance: is there refuge for asylum seekers with disabilities in Europe?, </w:t>
      </w:r>
      <w:r>
        <w:rPr>
          <w:rStyle w:val="None"/>
          <w:i/>
          <w:iCs/>
        </w:rPr>
        <w:t>Disability &amp; Society</w:t>
      </w:r>
      <w:r>
        <w:rPr>
          <w:rStyle w:val="Hyperlink1"/>
        </w:rPr>
        <w:t xml:space="preserve"> 26(5), pp. 537-551; Ferri, D. 2017. The Role of the European Union in Pro</w:t>
      </w:r>
      <w:r>
        <w:rPr>
          <w:rStyle w:val="Hyperlink1"/>
        </w:rPr>
        <w:t xml:space="preserve">tecting the Rights of Asylum Seekers with Disabilities, in Baldin, S. &amp; Zago, M. (eds.), </w:t>
      </w:r>
      <w:r>
        <w:rPr>
          <w:rStyle w:val="None"/>
          <w:i/>
          <w:iCs/>
        </w:rPr>
        <w:t>Europe of Migrations: Policies, Legal Issues and Experiences. U</w:t>
      </w:r>
      <w:r>
        <w:rPr>
          <w:rStyle w:val="Hyperlink1"/>
        </w:rPr>
        <w:t>niversity of Trieste Press, Trieste, Italy.</w:t>
      </w:r>
    </w:p>
  </w:footnote>
  <w:footnote w:id="148">
    <w:p w:rsidR="002B6D13" w:rsidRDefault="00140BC2">
      <w:pPr>
        <w:pStyle w:val="FootnoteText"/>
        <w:spacing w:line="240" w:lineRule="auto"/>
        <w:rPr>
          <w:rStyle w:val="Hyperlink1"/>
        </w:rPr>
      </w:pPr>
      <w:r>
        <w:rPr>
          <w:rStyle w:val="FootnoteReference"/>
        </w:rPr>
        <w:footnoteRef/>
      </w:r>
      <w:r>
        <w:rPr>
          <w:rStyle w:val="Hyperlink1"/>
        </w:rPr>
        <w:t xml:space="preserve"> This situation is however widespread beyond Europe. See th</w:t>
      </w:r>
      <w:r>
        <w:rPr>
          <w:rStyle w:val="Hyperlink1"/>
        </w:rPr>
        <w:t xml:space="preserve">e recent account of Carlos Rios Espinosa at </w:t>
      </w:r>
      <w:hyperlink r:id="rId11" w:history="1">
        <w:r>
          <w:rPr>
            <w:rStyle w:val="Hyperlink0"/>
          </w:rPr>
          <w:t>https://www.hrw.org/news/2019/02/06/accommodating-asylum-seekers-and-migrants-disabilities</w:t>
        </w:r>
      </w:hyperlink>
      <w:r>
        <w:rPr>
          <w:rStyle w:val="Hyperlink1"/>
        </w:rPr>
        <w:t xml:space="preserve">. </w:t>
      </w:r>
    </w:p>
    <w:p w:rsidR="002B6D13" w:rsidRDefault="00140BC2">
      <w:pPr>
        <w:pStyle w:val="FootnoteText"/>
        <w:spacing w:line="240" w:lineRule="auto"/>
      </w:pPr>
      <w:r>
        <w:rPr>
          <w:rStyle w:val="Hyperlink1"/>
        </w:rPr>
        <w:t>For a general</w:t>
      </w:r>
      <w:r>
        <w:rPr>
          <w:rStyle w:val="Hyperlink1"/>
        </w:rPr>
        <w:t xml:space="preserve"> discussion see Minza, M. Disability and Forced Migration. 2014. in Fiddian-Qasmiyeh, E. Loescher, G. Long, K. &amp; Sigona, N. (eds.), T</w:t>
      </w:r>
      <w:r>
        <w:rPr>
          <w:rStyle w:val="None"/>
          <w:i/>
          <w:iCs/>
        </w:rPr>
        <w:t>he Oxford Handbook of Refugee and Forced Migration Studies</w:t>
      </w:r>
      <w:r>
        <w:rPr>
          <w:rStyle w:val="Hyperlink1"/>
        </w:rPr>
        <w:t>. Oxford University Press, Oxford, United Kingdom.</w:t>
      </w:r>
    </w:p>
  </w:footnote>
  <w:footnote w:id="149">
    <w:p w:rsidR="002B6D13" w:rsidRDefault="00140BC2">
      <w:pPr>
        <w:pStyle w:val="BodyA"/>
        <w:jc w:val="both"/>
      </w:pPr>
      <w:r>
        <w:rPr>
          <w:rStyle w:val="FootnoteReference"/>
        </w:rPr>
        <w:footnoteRef/>
      </w:r>
      <w:r>
        <w:rPr>
          <w:rStyle w:val="None"/>
          <w:sz w:val="20"/>
          <w:szCs w:val="20"/>
        </w:rPr>
        <w:t xml:space="preserve"> CRPD Committ</w:t>
      </w:r>
      <w:r>
        <w:rPr>
          <w:rStyle w:val="None"/>
          <w:sz w:val="20"/>
          <w:szCs w:val="20"/>
        </w:rPr>
        <w:t xml:space="preserve">ee. (2015). </w:t>
      </w:r>
      <w:r>
        <w:rPr>
          <w:rStyle w:val="None"/>
          <w:i/>
          <w:iCs/>
          <w:sz w:val="20"/>
          <w:szCs w:val="20"/>
        </w:rPr>
        <w:t>Concluding observations on the initial report of the European Union</w:t>
      </w:r>
      <w:r>
        <w:rPr>
          <w:rStyle w:val="None"/>
          <w:sz w:val="20"/>
          <w:szCs w:val="20"/>
        </w:rPr>
        <w:t>.</w:t>
      </w:r>
    </w:p>
  </w:footnote>
  <w:footnote w:id="150">
    <w:p w:rsidR="002B6D13" w:rsidRDefault="00140BC2">
      <w:pPr>
        <w:pStyle w:val="FootnoteText"/>
        <w:spacing w:line="240" w:lineRule="auto"/>
      </w:pPr>
      <w:r>
        <w:rPr>
          <w:rStyle w:val="FootnoteReference"/>
        </w:rPr>
        <w:footnoteRef/>
      </w:r>
      <w:r>
        <w:rPr>
          <w:rStyle w:val="Hyperlink1"/>
        </w:rPr>
        <w:t xml:space="preserve"> Ibid, para 34.</w:t>
      </w:r>
    </w:p>
  </w:footnote>
  <w:footnote w:id="151">
    <w:p w:rsidR="002B6D13" w:rsidRDefault="00140BC2">
      <w:pPr>
        <w:pStyle w:val="FootnoteText"/>
        <w:spacing w:line="240" w:lineRule="auto"/>
      </w:pPr>
      <w:r>
        <w:rPr>
          <w:rStyle w:val="FootnoteReference"/>
        </w:rPr>
        <w:footnoteRef/>
      </w:r>
      <w:r>
        <w:rPr>
          <w:rStyle w:val="Hyperlink1"/>
        </w:rPr>
        <w:t xml:space="preserve"> </w:t>
      </w:r>
      <w:hyperlink r:id="rId12" w:history="1">
        <w:r>
          <w:rPr>
            <w:rStyle w:val="Hyperlink0"/>
          </w:rPr>
          <w:t>https://www.esn-eu.org/news/837/index.html</w:t>
        </w:r>
      </w:hyperlink>
      <w:r>
        <w:rPr>
          <w:rStyle w:val="Hyperlink1"/>
        </w:rPr>
        <w:t xml:space="preserve">. </w:t>
      </w:r>
    </w:p>
  </w:footnote>
  <w:footnote w:id="152">
    <w:p w:rsidR="002B6D13" w:rsidRDefault="00140BC2">
      <w:pPr>
        <w:pStyle w:val="FootnoteText"/>
        <w:spacing w:line="240" w:lineRule="auto"/>
      </w:pPr>
      <w:r>
        <w:rPr>
          <w:rStyle w:val="FootnoteReference"/>
        </w:rPr>
        <w:footnoteRef/>
      </w:r>
      <w:r>
        <w:rPr>
          <w:rStyle w:val="Hyperlink1"/>
        </w:rPr>
        <w:t xml:space="preserve"> European Parliament, On the implementation of the U</w:t>
      </w:r>
      <w:r>
        <w:rPr>
          <w:rStyle w:val="Hyperlink1"/>
        </w:rPr>
        <w:t>N Convention on the Rights of Persons with Disabilities, with special regard to the Concluding Observations of the UN CRPD Committee (Report, 09/06/2016) (2015/2258(INI)), paras 7 and 56.</w:t>
      </w:r>
    </w:p>
  </w:footnote>
  <w:footnote w:id="153">
    <w:p w:rsidR="002B6D13" w:rsidRDefault="00140BC2">
      <w:pPr>
        <w:pStyle w:val="FootnoteText"/>
        <w:spacing w:line="240" w:lineRule="auto"/>
      </w:pPr>
      <w:r>
        <w:rPr>
          <w:rStyle w:val="FootnoteReference"/>
        </w:rPr>
        <w:footnoteRef/>
      </w:r>
      <w:r>
        <w:rPr>
          <w:rStyle w:val="Hyperlink1"/>
        </w:rPr>
        <w:t xml:space="preserve"> CRPD Committee (2015). Concluding observations on the Initial Repo</w:t>
      </w:r>
      <w:r>
        <w:rPr>
          <w:rStyle w:val="Hyperlink1"/>
        </w:rPr>
        <w:t>rt of Italy.</w:t>
      </w:r>
    </w:p>
  </w:footnote>
  <w:footnote w:id="154">
    <w:p w:rsidR="002B6D13" w:rsidRDefault="00140BC2">
      <w:pPr>
        <w:pStyle w:val="FootnoteText"/>
        <w:spacing w:line="240" w:lineRule="auto"/>
      </w:pPr>
      <w:r>
        <w:rPr>
          <w:rStyle w:val="FootnoteReference"/>
        </w:rPr>
        <w:footnoteRef/>
      </w:r>
      <w:r>
        <w:rPr>
          <w:rStyle w:val="Hyperlink1"/>
        </w:rPr>
        <w:t xml:space="preserve"> CRPD Committee (2019). Concluding observations on the combined second and third periodic reports of Spain 13 May 2019 CRPD/C/ESP/CO/2-3.</w:t>
      </w:r>
    </w:p>
  </w:footnote>
  <w:footnote w:id="155">
    <w:p w:rsidR="002B6D13" w:rsidRDefault="00140BC2">
      <w:pPr>
        <w:pStyle w:val="FootnoteText"/>
        <w:spacing w:line="240" w:lineRule="auto"/>
      </w:pPr>
      <w:r>
        <w:rPr>
          <w:rStyle w:val="FootnoteReference"/>
        </w:rPr>
        <w:footnoteRef/>
      </w:r>
      <w:r>
        <w:rPr>
          <w:rStyle w:val="Hyperlink1"/>
        </w:rPr>
        <w:t xml:space="preserve"> Ibid. paras 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13" w:rsidRDefault="002B6D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13"/>
    <w:rsid w:val="00140BC2"/>
    <w:rsid w:val="002B6D13"/>
    <w:rsid w:val="00982D0A"/>
    <w:rsid w:val="00ED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B266E-7991-4F50-B5C6-273D51D1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character" w:customStyle="1" w:styleId="NoneA">
    <w:name w:val="None A"/>
    <w:rPr>
      <w:lang w:val="en-US"/>
    </w:rPr>
  </w:style>
  <w:style w:type="character" w:customStyle="1" w:styleId="NoneB">
    <w:name w:val="None B"/>
    <w:rPr>
      <w:lang w:val="en-US"/>
    </w:rPr>
  </w:style>
  <w:style w:type="character" w:customStyle="1" w:styleId="None">
    <w:name w:val="None"/>
  </w:style>
  <w:style w:type="character" w:customStyle="1" w:styleId="Hyperlink0">
    <w:name w:val="Hyperlink.0"/>
    <w:basedOn w:val="None"/>
    <w:rPr>
      <w:outline w:val="0"/>
      <w:color w:val="000000"/>
      <w:u w:val="single" w:color="000000"/>
    </w:rPr>
  </w:style>
  <w:style w:type="character" w:styleId="FootnoteReference">
    <w:name w:val="footnote reference"/>
    <w:rPr>
      <w:vertAlign w:val="superscript"/>
    </w:rPr>
  </w:style>
  <w:style w:type="paragraph" w:styleId="FootnoteText">
    <w:name w:val="footnote text"/>
    <w:pPr>
      <w:widowControl w:val="0"/>
      <w:spacing w:line="360" w:lineRule="atLeast"/>
      <w:jc w:val="both"/>
    </w:pPr>
    <w:rPr>
      <w:rFonts w:eastAsia="Times New Roman"/>
      <w:color w:val="000000"/>
      <w:u w:color="000000"/>
      <w:lang w:val="en-US"/>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00"/>
      <w:u w:color="000000"/>
    </w:rPr>
  </w:style>
  <w:style w:type="paragraph" w:customStyle="1" w:styleId="BodyC">
    <w:name w:val="Body C"/>
    <w:rPr>
      <w:rFonts w:eastAsia="Times New Roman"/>
      <w:color w:val="000000"/>
      <w:sz w:val="24"/>
      <w:szCs w:val="24"/>
      <w:u w:color="000000"/>
      <w:lang w:val="it-IT"/>
      <w14:textOutline w14:w="12700" w14:cap="flat" w14:cmpd="sng" w14:algn="ctr">
        <w14:noFill/>
        <w14:prstDash w14:val="solid"/>
        <w14:miter w14:lim="400000"/>
      </w14:textOutline>
    </w:rPr>
  </w:style>
  <w:style w:type="character" w:customStyle="1" w:styleId="Hyperlink2">
    <w:name w:val="Hyperlink.2"/>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ia.ferri@mu.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sullivan@ulst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riorities/promoting-european-way-life/migration_en" TargetMode="External"/><Relationship Id="rId3" Type="http://schemas.openxmlformats.org/officeDocument/2006/relationships/hyperlink" Target="https://ec.europa.eu/home-affairs/what-we-do/policies/asylum" TargetMode="External"/><Relationship Id="rId7" Type="http://schemas.openxmlformats.org/officeDocument/2006/relationships/hyperlink" Target="https://www.easo.europa.eu/sites/default/files/EASO%252520Guidance%252520on%252520reception%252520conditions%252520-%252520operational%252520standards%252520and%252520indicators%25255B3%25255D.pdf" TargetMode="External"/><Relationship Id="rId12" Type="http://schemas.openxmlformats.org/officeDocument/2006/relationships/hyperlink" Target="https://www.esn-eu.org/news/837/index.html" TargetMode="External"/><Relationship Id="rId2" Type="http://schemas.openxmlformats.org/officeDocument/2006/relationships/hyperlink" Target="https://ec.europa.eu/eurostat/statistics-explained/index.php/Asylum_statistics%23cite_note-1" TargetMode="External"/><Relationship Id="rId1" Type="http://schemas.openxmlformats.org/officeDocument/2006/relationships/hyperlink" Target="https://europa.eu/rapid/press-release_IP-19-469_EN.htm" TargetMode="External"/><Relationship Id="rId6" Type="http://schemas.openxmlformats.org/officeDocument/2006/relationships/hyperlink" Target="http://www.fp7-frame.eu/wp-content/uploads/2016/08/Deliverable-11.3.pdf" TargetMode="External"/><Relationship Id="rId11" Type="http://schemas.openxmlformats.org/officeDocument/2006/relationships/hyperlink" Target="https://www.hrw.org/news/2019/02/06/accommodating-asylum-seekers-and-migrants-disabilities" TargetMode="External"/><Relationship Id="rId5" Type="http://schemas.openxmlformats.org/officeDocument/2006/relationships/hyperlink" Target="http://curia.europa.eu/juris/document/document.jsf?text=Directive%252525252B2013%25252525252F33&amp;docid=210332&amp;pageIndex=0&amp;doclang=EN&amp;mode=req&amp;dir=&amp;occ=first&amp;part=1&amp;cid=1577082%23Footnote43" TargetMode="External"/><Relationship Id="rId10" Type="http://schemas.openxmlformats.org/officeDocument/2006/relationships/hyperlink" Target="https://fra.europa.eu/en/theme/asylum-migration-borders/overviews/focus-disability" TargetMode="External"/><Relationship Id="rId4" Type="http://schemas.openxmlformats.org/officeDocument/2006/relationships/hyperlink" Target="http://www.asylumineurope.org/sites/default/files/shadow-reports/aida_wrong_counts_and_closing_doors.pdf" TargetMode="External"/><Relationship Id="rId9" Type="http://schemas.openxmlformats.org/officeDocument/2006/relationships/hyperlink" Target="http://www.visegradgroup.e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10877</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Sadie Magee</cp:lastModifiedBy>
  <cp:revision>2</cp:revision>
  <dcterms:created xsi:type="dcterms:W3CDTF">2020-06-22T14:42:00Z</dcterms:created>
  <dcterms:modified xsi:type="dcterms:W3CDTF">2020-06-22T14:42:00Z</dcterms:modified>
</cp:coreProperties>
</file>