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E611" w14:textId="77777777" w:rsidR="00A75094" w:rsidRPr="00A75094" w:rsidRDefault="00A75094" w:rsidP="00A75094">
      <w:pPr>
        <w:pStyle w:val="Heading1"/>
        <w:jc w:val="center"/>
        <w:rPr>
          <w:sz w:val="32"/>
        </w:rPr>
      </w:pPr>
      <w:r w:rsidRPr="00A75094">
        <w:rPr>
          <w:sz w:val="32"/>
        </w:rPr>
        <w:t>Creating inclusive health systems for people with intellectual disabilities:  An international study</w:t>
      </w:r>
    </w:p>
    <w:p w14:paraId="4B8FF849" w14:textId="77777777" w:rsidR="00A75094" w:rsidRPr="00A75094" w:rsidRDefault="00A75094" w:rsidP="00A75094">
      <w:pPr>
        <w:pStyle w:val="Paragraph"/>
      </w:pPr>
    </w:p>
    <w:p w14:paraId="6D34E7C0" w14:textId="77777777" w:rsidR="00A75094" w:rsidRPr="00A75094" w:rsidRDefault="00A75094" w:rsidP="00A75094">
      <w:pPr>
        <w:jc w:val="center"/>
        <w:rPr>
          <w:sz w:val="28"/>
          <w:szCs w:val="28"/>
        </w:rPr>
      </w:pPr>
      <w:r w:rsidRPr="00A75094">
        <w:rPr>
          <w:sz w:val="28"/>
          <w:szCs w:val="28"/>
        </w:rPr>
        <w:t>Roy McConkey</w:t>
      </w:r>
      <w:r w:rsidRPr="00A75094">
        <w:rPr>
          <w:sz w:val="28"/>
          <w:szCs w:val="28"/>
          <w:vertAlign w:val="superscript"/>
        </w:rPr>
        <w:t>1</w:t>
      </w:r>
      <w:r w:rsidRPr="00A75094">
        <w:rPr>
          <w:sz w:val="28"/>
          <w:szCs w:val="28"/>
        </w:rPr>
        <w:t>, Laurence Taggart</w:t>
      </w:r>
      <w:r w:rsidRPr="00A75094">
        <w:rPr>
          <w:sz w:val="28"/>
          <w:szCs w:val="28"/>
          <w:vertAlign w:val="superscript"/>
        </w:rPr>
        <w:t>1</w:t>
      </w:r>
      <w:r w:rsidRPr="00A75094">
        <w:rPr>
          <w:sz w:val="28"/>
          <w:szCs w:val="28"/>
        </w:rPr>
        <w:t>, Lindsay DuBois</w:t>
      </w:r>
      <w:r w:rsidRPr="00A75094">
        <w:rPr>
          <w:sz w:val="28"/>
          <w:szCs w:val="28"/>
          <w:vertAlign w:val="superscript"/>
        </w:rPr>
        <w:t>2</w:t>
      </w:r>
      <w:r w:rsidRPr="00A75094">
        <w:rPr>
          <w:sz w:val="28"/>
          <w:szCs w:val="28"/>
        </w:rPr>
        <w:t xml:space="preserve"> and Amy Shellard</w:t>
      </w:r>
      <w:r w:rsidRPr="00A75094">
        <w:rPr>
          <w:sz w:val="28"/>
          <w:szCs w:val="28"/>
          <w:vertAlign w:val="superscript"/>
        </w:rPr>
        <w:t>2</w:t>
      </w:r>
      <w:r w:rsidRPr="00A75094">
        <w:rPr>
          <w:sz w:val="28"/>
          <w:szCs w:val="28"/>
        </w:rPr>
        <w:t xml:space="preserve">, </w:t>
      </w:r>
    </w:p>
    <w:p w14:paraId="21ABABC9" w14:textId="77777777" w:rsidR="00A75094" w:rsidRPr="00A75094" w:rsidRDefault="00A75094" w:rsidP="00A75094">
      <w:pPr>
        <w:ind w:left="720"/>
        <w:rPr>
          <w:i/>
        </w:rPr>
      </w:pPr>
      <w:r w:rsidRPr="00A75094">
        <w:rPr>
          <w:i/>
          <w:vertAlign w:val="superscript"/>
        </w:rPr>
        <w:t>1</w:t>
      </w:r>
      <w:r w:rsidRPr="00A75094">
        <w:rPr>
          <w:i/>
        </w:rPr>
        <w:t xml:space="preserve">Ulster </w:t>
      </w:r>
      <w:proofErr w:type="gramStart"/>
      <w:r w:rsidRPr="00A75094">
        <w:rPr>
          <w:i/>
        </w:rPr>
        <w:t>University,  Newtownabbey</w:t>
      </w:r>
      <w:proofErr w:type="gramEnd"/>
      <w:r w:rsidRPr="00A75094">
        <w:rPr>
          <w:i/>
        </w:rPr>
        <w:t>, N. Ireland</w:t>
      </w:r>
    </w:p>
    <w:p w14:paraId="51E9FB63" w14:textId="77777777" w:rsidR="00A75094" w:rsidRPr="00A75094" w:rsidRDefault="00A75094" w:rsidP="00A75094">
      <w:pPr>
        <w:ind w:left="720"/>
        <w:rPr>
          <w:i/>
        </w:rPr>
      </w:pPr>
      <w:r w:rsidRPr="00A75094">
        <w:rPr>
          <w:i/>
          <w:vertAlign w:val="superscript"/>
        </w:rPr>
        <w:t>2</w:t>
      </w:r>
      <w:r w:rsidRPr="00A75094">
        <w:rPr>
          <w:i/>
        </w:rPr>
        <w:t>Special Olympics Inc., Washington DC</w:t>
      </w:r>
    </w:p>
    <w:p w14:paraId="185DD5BE" w14:textId="77777777" w:rsidR="00A75094" w:rsidRPr="00A75094" w:rsidRDefault="00A75094" w:rsidP="00A75094">
      <w:pPr>
        <w:rPr>
          <w:b/>
        </w:rPr>
      </w:pPr>
    </w:p>
    <w:p w14:paraId="62DD8628" w14:textId="77777777" w:rsidR="00A75094" w:rsidRPr="00A75094" w:rsidRDefault="00A75094" w:rsidP="00A75094">
      <w:pPr>
        <w:rPr>
          <w:b/>
        </w:rPr>
      </w:pPr>
      <w:r w:rsidRPr="00A75094">
        <w:rPr>
          <w:b/>
        </w:rPr>
        <w:t>Corresponding Author</w:t>
      </w:r>
    </w:p>
    <w:p w14:paraId="677085D8" w14:textId="77777777" w:rsidR="00A75094" w:rsidRPr="00A75094" w:rsidRDefault="00A75094" w:rsidP="00A75094">
      <w:r w:rsidRPr="00A75094">
        <w:t xml:space="preserve">Professor Roy McConkey  </w:t>
      </w:r>
    </w:p>
    <w:p w14:paraId="62CB9D16" w14:textId="77777777" w:rsidR="00A75094" w:rsidRPr="00A75094" w:rsidRDefault="00A75094" w:rsidP="00A75094">
      <w:pPr>
        <w:rPr>
          <w:b/>
        </w:rPr>
      </w:pPr>
    </w:p>
    <w:p w14:paraId="38564B3B" w14:textId="77777777" w:rsidR="00A75094" w:rsidRPr="00A75094" w:rsidRDefault="00A75094" w:rsidP="00A75094">
      <w:r w:rsidRPr="00A75094">
        <w:rPr>
          <w:b/>
        </w:rPr>
        <w:t>Email</w:t>
      </w:r>
      <w:r w:rsidRPr="00A75094">
        <w:t xml:space="preserve">: r.mcconkey@ulster.ac.uk      </w:t>
      </w:r>
      <w:r w:rsidRPr="00A75094">
        <w:rPr>
          <w:b/>
        </w:rPr>
        <w:t>Telephone</w:t>
      </w:r>
      <w:r w:rsidRPr="00A75094">
        <w:t>: (44) 028 90 852537</w:t>
      </w:r>
    </w:p>
    <w:p w14:paraId="6190E209" w14:textId="77777777" w:rsidR="00A75094" w:rsidRPr="00A75094" w:rsidRDefault="00A75094" w:rsidP="00A75094">
      <w:pPr>
        <w:pStyle w:val="Heading1"/>
      </w:pPr>
      <w:r w:rsidRPr="00A75094">
        <w:t>Acknowledgements</w:t>
      </w:r>
    </w:p>
    <w:p w14:paraId="0E3C57AD" w14:textId="77777777" w:rsidR="00A75094" w:rsidRPr="00A75094" w:rsidRDefault="00A75094" w:rsidP="00A75094">
      <w:pPr>
        <w:pStyle w:val="Heading1"/>
        <w:spacing w:before="0"/>
        <w:rPr>
          <w:b w:val="0"/>
        </w:rPr>
      </w:pPr>
      <w:r w:rsidRPr="00A75094">
        <w:rPr>
          <w:b w:val="0"/>
        </w:rPr>
        <w:t xml:space="preserve">This study paper was based on an evaluation commissioned by Special Olympics Inc. as part of their global Healthy Communities Initiative. Special Olympics Health is made possible by the Golisano Foundation.  We are grateful to members of the Advisory Board for their advice and guidance: </w:t>
      </w:r>
      <w:proofErr w:type="spellStart"/>
      <w:r w:rsidRPr="00A75094">
        <w:rPr>
          <w:b w:val="0"/>
        </w:rPr>
        <w:t>Alixe</w:t>
      </w:r>
      <w:proofErr w:type="spellEnd"/>
      <w:r w:rsidRPr="00A75094">
        <w:rPr>
          <w:b w:val="0"/>
        </w:rPr>
        <w:t xml:space="preserve"> </w:t>
      </w:r>
      <w:proofErr w:type="spellStart"/>
      <w:r w:rsidRPr="00A75094">
        <w:rPr>
          <w:b w:val="0"/>
        </w:rPr>
        <w:t>Bonardi</w:t>
      </w:r>
      <w:proofErr w:type="spellEnd"/>
      <w:r w:rsidRPr="00A75094">
        <w:rPr>
          <w:b w:val="0"/>
        </w:rPr>
        <w:t xml:space="preserve"> (USA); Professor Eric Emerson (UK/Australia); Dr Matt Holder (USA); Professor Theresa Lorenzo (South Africa); Professor Philip McCallion (USA) and Sue Swenson (USA/Inclusion International).</w:t>
      </w:r>
    </w:p>
    <w:p w14:paraId="7AAC2595" w14:textId="77777777" w:rsidR="00A75094" w:rsidRPr="00A75094" w:rsidRDefault="00A75094">
      <w:pPr>
        <w:spacing w:line="240" w:lineRule="auto"/>
        <w:rPr>
          <w:b/>
          <w:sz w:val="28"/>
          <w:szCs w:val="28"/>
        </w:rPr>
      </w:pPr>
    </w:p>
    <w:p w14:paraId="1B95A5D0" w14:textId="3F2AD5FB" w:rsidR="00A75094" w:rsidRPr="00A75094" w:rsidRDefault="00A75094">
      <w:pPr>
        <w:spacing w:line="240" w:lineRule="auto"/>
        <w:rPr>
          <w:b/>
          <w:sz w:val="28"/>
          <w:szCs w:val="28"/>
        </w:rPr>
      </w:pPr>
      <w:r w:rsidRPr="00A75094">
        <w:rPr>
          <w:b/>
          <w:sz w:val="28"/>
          <w:szCs w:val="28"/>
        </w:rPr>
        <w:t>Paper to be published in:</w:t>
      </w:r>
    </w:p>
    <w:p w14:paraId="695FD818" w14:textId="77777777" w:rsidR="00A75094" w:rsidRPr="00A75094" w:rsidRDefault="00A75094">
      <w:pPr>
        <w:spacing w:line="240" w:lineRule="auto"/>
        <w:rPr>
          <w:b/>
          <w:sz w:val="28"/>
          <w:szCs w:val="28"/>
        </w:rPr>
      </w:pPr>
    </w:p>
    <w:p w14:paraId="66D9F410" w14:textId="56866CF8" w:rsidR="00A75094" w:rsidRPr="00A75094" w:rsidRDefault="00A75094">
      <w:pPr>
        <w:spacing w:line="240" w:lineRule="auto"/>
        <w:rPr>
          <w:bCs/>
          <w:i/>
          <w:iCs/>
          <w:sz w:val="28"/>
          <w:szCs w:val="28"/>
        </w:rPr>
      </w:pPr>
      <w:r w:rsidRPr="00A75094">
        <w:rPr>
          <w:bCs/>
          <w:i/>
          <w:iCs/>
          <w:sz w:val="28"/>
          <w:szCs w:val="28"/>
        </w:rPr>
        <w:t xml:space="preserve">Journal of Policy and Practice in Intellectual Disability, </w:t>
      </w:r>
      <w:proofErr w:type="gramStart"/>
      <w:r w:rsidRPr="00A75094">
        <w:rPr>
          <w:bCs/>
          <w:i/>
          <w:iCs/>
          <w:sz w:val="28"/>
          <w:szCs w:val="28"/>
        </w:rPr>
        <w:t>2020..</w:t>
      </w:r>
      <w:proofErr w:type="gramEnd"/>
      <w:r w:rsidRPr="00A75094">
        <w:rPr>
          <w:bCs/>
          <w:i/>
          <w:iCs/>
          <w:sz w:val="28"/>
          <w:szCs w:val="28"/>
        </w:rPr>
        <w:br w:type="page"/>
      </w:r>
    </w:p>
    <w:p w14:paraId="03647539" w14:textId="040249E8" w:rsidR="005A5200" w:rsidRPr="00A75094" w:rsidRDefault="005A5200" w:rsidP="006F00E8">
      <w:pPr>
        <w:spacing w:line="240" w:lineRule="auto"/>
        <w:jc w:val="center"/>
        <w:rPr>
          <w:b/>
          <w:sz w:val="28"/>
          <w:szCs w:val="28"/>
        </w:rPr>
      </w:pPr>
      <w:r w:rsidRPr="00A75094">
        <w:rPr>
          <w:b/>
          <w:sz w:val="28"/>
          <w:szCs w:val="28"/>
        </w:rPr>
        <w:lastRenderedPageBreak/>
        <w:t xml:space="preserve">Creating inclusive health systems for people with intellectual </w:t>
      </w:r>
      <w:r w:rsidR="00DF64C6" w:rsidRPr="00A75094">
        <w:rPr>
          <w:b/>
          <w:sz w:val="28"/>
          <w:szCs w:val="28"/>
        </w:rPr>
        <w:t>disabilities: An</w:t>
      </w:r>
      <w:r w:rsidRPr="00A75094">
        <w:rPr>
          <w:b/>
          <w:sz w:val="28"/>
          <w:szCs w:val="28"/>
        </w:rPr>
        <w:t xml:space="preserve"> international study.</w:t>
      </w:r>
    </w:p>
    <w:p w14:paraId="37154D32" w14:textId="77777777" w:rsidR="00DB5FD4" w:rsidRPr="00A75094" w:rsidRDefault="00DB5FD4" w:rsidP="006F00E8">
      <w:pPr>
        <w:spacing w:before="360"/>
        <w:jc w:val="center"/>
        <w:rPr>
          <w:b/>
          <w:sz w:val="28"/>
          <w:szCs w:val="28"/>
        </w:rPr>
      </w:pPr>
      <w:r w:rsidRPr="00A75094">
        <w:rPr>
          <w:b/>
          <w:sz w:val="28"/>
          <w:szCs w:val="28"/>
        </w:rPr>
        <w:t>Abstract</w:t>
      </w:r>
    </w:p>
    <w:p w14:paraId="0A4804C1" w14:textId="10EA7A45" w:rsidR="00F17DC1" w:rsidRPr="00A75094" w:rsidRDefault="00F528AB" w:rsidP="00F17DC1">
      <w:pPr>
        <w:rPr>
          <w:rFonts w:asciiTheme="majorBidi" w:hAnsiTheme="majorBidi" w:cstheme="majorBidi"/>
          <w:shd w:val="clear" w:color="auto" w:fill="FFFFFF"/>
        </w:rPr>
      </w:pPr>
      <w:r w:rsidRPr="00A75094">
        <w:rPr>
          <w:rFonts w:asciiTheme="majorBidi" w:hAnsiTheme="majorBidi" w:cstheme="majorBidi"/>
          <w:b/>
          <w:bCs/>
        </w:rPr>
        <w:t>Background</w:t>
      </w:r>
      <w:r w:rsidR="00DB5FD4" w:rsidRPr="00A75094">
        <w:rPr>
          <w:rFonts w:asciiTheme="majorBidi" w:hAnsiTheme="majorBidi" w:cstheme="majorBidi"/>
          <w:b/>
          <w:bCs/>
        </w:rPr>
        <w:t>:</w:t>
      </w:r>
      <w:r w:rsidR="00DB5FD4" w:rsidRPr="00A75094">
        <w:rPr>
          <w:rFonts w:asciiTheme="majorBidi" w:hAnsiTheme="majorBidi" w:cstheme="majorBidi"/>
        </w:rPr>
        <w:t xml:space="preserve"> </w:t>
      </w:r>
      <w:r w:rsidRPr="00A75094">
        <w:rPr>
          <w:rFonts w:asciiTheme="majorBidi" w:hAnsiTheme="majorBidi" w:cstheme="majorBidi"/>
        </w:rPr>
        <w:t xml:space="preserve"> Creating equitable access to mainstream </w:t>
      </w:r>
      <w:r w:rsidR="00D265AF" w:rsidRPr="00A75094">
        <w:rPr>
          <w:rFonts w:asciiTheme="majorBidi" w:hAnsiTheme="majorBidi" w:cstheme="majorBidi"/>
        </w:rPr>
        <w:t xml:space="preserve">health and </w:t>
      </w:r>
      <w:r w:rsidRPr="00A75094">
        <w:rPr>
          <w:rFonts w:asciiTheme="majorBidi" w:hAnsiTheme="majorBidi" w:cstheme="majorBidi"/>
        </w:rPr>
        <w:t xml:space="preserve">healthcare service has been promoted as a means of addressing the health </w:t>
      </w:r>
      <w:r w:rsidR="00E110A8" w:rsidRPr="00A75094">
        <w:rPr>
          <w:rFonts w:asciiTheme="majorBidi" w:hAnsiTheme="majorBidi" w:cstheme="majorBidi"/>
        </w:rPr>
        <w:t>disparities</w:t>
      </w:r>
      <w:r w:rsidRPr="00A75094">
        <w:rPr>
          <w:rFonts w:asciiTheme="majorBidi" w:hAnsiTheme="majorBidi" w:cstheme="majorBidi"/>
        </w:rPr>
        <w:t xml:space="preserve"> experienced by people with intellectual disabilities</w:t>
      </w:r>
      <w:r w:rsidR="00E110A8" w:rsidRPr="00A75094">
        <w:rPr>
          <w:rFonts w:asciiTheme="majorBidi" w:hAnsiTheme="majorBidi" w:cstheme="majorBidi"/>
        </w:rPr>
        <w:t xml:space="preserve"> </w:t>
      </w:r>
      <w:r w:rsidR="00252AD1" w:rsidRPr="00A75094">
        <w:rPr>
          <w:rFonts w:asciiTheme="majorBidi" w:hAnsiTheme="majorBidi" w:cstheme="majorBidi"/>
        </w:rPr>
        <w:t xml:space="preserve">(ID) </w:t>
      </w:r>
      <w:r w:rsidR="00E110A8" w:rsidRPr="00A75094">
        <w:rPr>
          <w:rFonts w:asciiTheme="majorBidi" w:hAnsiTheme="majorBidi" w:cstheme="majorBidi"/>
        </w:rPr>
        <w:t>globally</w:t>
      </w:r>
      <w:r w:rsidRPr="00A75094">
        <w:rPr>
          <w:rFonts w:asciiTheme="majorBidi" w:hAnsiTheme="majorBidi" w:cstheme="majorBidi"/>
        </w:rPr>
        <w:t xml:space="preserve">. </w:t>
      </w:r>
      <w:r w:rsidR="00E110A8" w:rsidRPr="00A75094">
        <w:rPr>
          <w:rFonts w:asciiTheme="majorBidi" w:hAnsiTheme="majorBidi" w:cstheme="majorBidi"/>
        </w:rPr>
        <w:t xml:space="preserve"> </w:t>
      </w:r>
      <w:r w:rsidR="00603BDB" w:rsidRPr="00A75094">
        <w:rPr>
          <w:rFonts w:asciiTheme="majorBidi" w:hAnsiTheme="majorBidi" w:cstheme="majorBidi"/>
          <w:b/>
        </w:rPr>
        <w:t>Specific</w:t>
      </w:r>
      <w:r w:rsidR="00603BDB" w:rsidRPr="00A75094">
        <w:rPr>
          <w:rFonts w:asciiTheme="majorBidi" w:hAnsiTheme="majorBidi" w:cstheme="majorBidi"/>
        </w:rPr>
        <w:t xml:space="preserve"> </w:t>
      </w:r>
      <w:r w:rsidR="00252AD1" w:rsidRPr="00A75094">
        <w:rPr>
          <w:rFonts w:asciiTheme="majorBidi" w:hAnsiTheme="majorBidi" w:cstheme="majorBidi"/>
          <w:b/>
          <w:bCs/>
        </w:rPr>
        <w:t>A</w:t>
      </w:r>
      <w:r w:rsidRPr="00A75094">
        <w:rPr>
          <w:rFonts w:asciiTheme="majorBidi" w:hAnsiTheme="majorBidi" w:cstheme="majorBidi"/>
          <w:b/>
          <w:bCs/>
        </w:rPr>
        <w:t>ims:</w:t>
      </w:r>
      <w:r w:rsidR="002B545C" w:rsidRPr="00A75094">
        <w:rPr>
          <w:rFonts w:asciiTheme="majorBidi" w:hAnsiTheme="majorBidi" w:cstheme="majorBidi"/>
        </w:rPr>
        <w:t xml:space="preserve"> Th</w:t>
      </w:r>
      <w:r w:rsidR="004E29E0" w:rsidRPr="00A75094">
        <w:rPr>
          <w:rFonts w:asciiTheme="majorBidi" w:hAnsiTheme="majorBidi" w:cstheme="majorBidi"/>
        </w:rPr>
        <w:t xml:space="preserve">is </w:t>
      </w:r>
      <w:r w:rsidR="002B545C" w:rsidRPr="00A75094">
        <w:rPr>
          <w:rFonts w:asciiTheme="majorBidi" w:hAnsiTheme="majorBidi" w:cstheme="majorBidi"/>
        </w:rPr>
        <w:t xml:space="preserve">study addressed two questions: What </w:t>
      </w:r>
      <w:r w:rsidR="000A1D82" w:rsidRPr="00A75094">
        <w:rPr>
          <w:rFonts w:asciiTheme="majorBidi" w:hAnsiTheme="majorBidi" w:cstheme="majorBidi"/>
        </w:rPr>
        <w:t xml:space="preserve">strategic </w:t>
      </w:r>
      <w:r w:rsidR="000459BA" w:rsidRPr="00A75094">
        <w:rPr>
          <w:rFonts w:asciiTheme="majorBidi" w:hAnsiTheme="majorBidi" w:cstheme="majorBidi"/>
        </w:rPr>
        <w:t xml:space="preserve">actions </w:t>
      </w:r>
      <w:r w:rsidR="002B545C" w:rsidRPr="00A75094">
        <w:rPr>
          <w:rFonts w:asciiTheme="majorBidi" w:hAnsiTheme="majorBidi" w:cstheme="majorBidi"/>
        </w:rPr>
        <w:t>are most likely to bring about inclusive primary, secondary and tertiary health</w:t>
      </w:r>
      <w:r w:rsidR="00D265AF" w:rsidRPr="00A75094">
        <w:rPr>
          <w:rFonts w:asciiTheme="majorBidi" w:hAnsiTheme="majorBidi" w:cstheme="majorBidi"/>
        </w:rPr>
        <w:t xml:space="preserve"> systems</w:t>
      </w:r>
      <w:r w:rsidR="00C27DE5" w:rsidRPr="00A75094">
        <w:rPr>
          <w:rFonts w:asciiTheme="majorBidi" w:hAnsiTheme="majorBidi" w:cstheme="majorBidi"/>
        </w:rPr>
        <w:t xml:space="preserve"> for people</w:t>
      </w:r>
      <w:r w:rsidR="00252AD1" w:rsidRPr="00A75094">
        <w:rPr>
          <w:rFonts w:asciiTheme="majorBidi" w:hAnsiTheme="majorBidi" w:cstheme="majorBidi"/>
        </w:rPr>
        <w:t xml:space="preserve"> </w:t>
      </w:r>
      <w:r w:rsidR="00C27DE5" w:rsidRPr="00A75094">
        <w:rPr>
          <w:rFonts w:asciiTheme="majorBidi" w:hAnsiTheme="majorBidi" w:cstheme="majorBidi"/>
        </w:rPr>
        <w:t>I</w:t>
      </w:r>
      <w:r w:rsidR="00252AD1" w:rsidRPr="00A75094">
        <w:rPr>
          <w:rFonts w:asciiTheme="majorBidi" w:hAnsiTheme="majorBidi" w:cstheme="majorBidi"/>
        </w:rPr>
        <w:t>D</w:t>
      </w:r>
      <w:r w:rsidR="002B545C" w:rsidRPr="00A75094">
        <w:rPr>
          <w:rFonts w:asciiTheme="majorBidi" w:hAnsiTheme="majorBidi" w:cstheme="majorBidi"/>
        </w:rPr>
        <w:t xml:space="preserve">? What are the </w:t>
      </w:r>
      <w:r w:rsidR="000459BA" w:rsidRPr="00A75094">
        <w:rPr>
          <w:rFonts w:asciiTheme="majorBidi" w:hAnsiTheme="majorBidi" w:cstheme="majorBidi"/>
        </w:rPr>
        <w:t xml:space="preserve">system </w:t>
      </w:r>
      <w:r w:rsidR="002B545C" w:rsidRPr="00A75094">
        <w:rPr>
          <w:rFonts w:asciiTheme="majorBidi" w:hAnsiTheme="majorBidi" w:cstheme="majorBidi"/>
        </w:rPr>
        <w:t xml:space="preserve">indicators that can be used to </w:t>
      </w:r>
      <w:r w:rsidR="000459BA" w:rsidRPr="00A75094">
        <w:rPr>
          <w:rFonts w:asciiTheme="majorBidi" w:hAnsiTheme="majorBidi" w:cstheme="majorBidi"/>
        </w:rPr>
        <w:t>evidence</w:t>
      </w:r>
      <w:r w:rsidR="002B545C" w:rsidRPr="00A75094">
        <w:rPr>
          <w:rFonts w:asciiTheme="majorBidi" w:hAnsiTheme="majorBidi" w:cstheme="majorBidi"/>
        </w:rPr>
        <w:t xml:space="preserve"> a reduction in health disparities for this population?  </w:t>
      </w:r>
      <w:r w:rsidR="00DB5FD4" w:rsidRPr="00A75094">
        <w:rPr>
          <w:rFonts w:asciiTheme="majorBidi" w:hAnsiTheme="majorBidi" w:cstheme="majorBidi"/>
          <w:b/>
          <w:bCs/>
        </w:rPr>
        <w:t>Method:</w:t>
      </w:r>
      <w:r w:rsidR="00DB5FD4" w:rsidRPr="00A75094">
        <w:rPr>
          <w:rFonts w:asciiTheme="majorBidi" w:hAnsiTheme="majorBidi" w:cstheme="majorBidi"/>
        </w:rPr>
        <w:t xml:space="preserve"> A </w:t>
      </w:r>
      <w:r w:rsidR="000459BA" w:rsidRPr="00A75094">
        <w:rPr>
          <w:rFonts w:asciiTheme="majorBidi" w:hAnsiTheme="majorBidi" w:cstheme="majorBidi"/>
        </w:rPr>
        <w:t>four-</w:t>
      </w:r>
      <w:r w:rsidR="002B545C" w:rsidRPr="00A75094">
        <w:rPr>
          <w:rFonts w:asciiTheme="majorBidi" w:hAnsiTheme="majorBidi" w:cstheme="majorBidi"/>
        </w:rPr>
        <w:t xml:space="preserve">phase study </w:t>
      </w:r>
      <w:r w:rsidR="000459BA" w:rsidRPr="00A75094">
        <w:rPr>
          <w:rFonts w:asciiTheme="majorBidi" w:hAnsiTheme="majorBidi" w:cstheme="majorBidi"/>
        </w:rPr>
        <w:t xml:space="preserve">was undertaken </w:t>
      </w:r>
      <w:r w:rsidR="002B545C" w:rsidRPr="00A75094">
        <w:rPr>
          <w:rFonts w:asciiTheme="majorBidi" w:hAnsiTheme="majorBidi" w:cstheme="majorBidi"/>
        </w:rPr>
        <w:t xml:space="preserve">involving an </w:t>
      </w:r>
      <w:r w:rsidR="00252AD1" w:rsidRPr="00A75094">
        <w:rPr>
          <w:rFonts w:asciiTheme="majorBidi" w:hAnsiTheme="majorBidi" w:cstheme="majorBidi"/>
        </w:rPr>
        <w:t xml:space="preserve">international </w:t>
      </w:r>
      <w:r w:rsidR="002B545C" w:rsidRPr="00A75094">
        <w:rPr>
          <w:rFonts w:asciiTheme="majorBidi" w:hAnsiTheme="majorBidi" w:cstheme="majorBidi"/>
        </w:rPr>
        <w:t>expert advisory group, literature reviews and individual interviews with 16 key informants</w:t>
      </w:r>
      <w:r w:rsidR="00C27DE5" w:rsidRPr="00A75094">
        <w:rPr>
          <w:rFonts w:asciiTheme="majorBidi" w:hAnsiTheme="majorBidi" w:cstheme="majorBidi"/>
        </w:rPr>
        <w:t xml:space="preserve"> from S</w:t>
      </w:r>
      <w:r w:rsidR="000F20E9" w:rsidRPr="00A75094">
        <w:rPr>
          <w:rFonts w:asciiTheme="majorBidi" w:hAnsiTheme="majorBidi" w:cstheme="majorBidi"/>
        </w:rPr>
        <w:t>pecial Olympics</w:t>
      </w:r>
      <w:r w:rsidR="006A0586" w:rsidRPr="00A75094">
        <w:rPr>
          <w:rFonts w:asciiTheme="majorBidi" w:hAnsiTheme="majorBidi" w:cstheme="majorBidi"/>
        </w:rPr>
        <w:t xml:space="preserve"> (SO)</w:t>
      </w:r>
      <w:r w:rsidR="00C27DE5" w:rsidRPr="00A75094">
        <w:rPr>
          <w:rFonts w:asciiTheme="majorBidi" w:hAnsiTheme="majorBidi" w:cstheme="majorBidi"/>
        </w:rPr>
        <w:t>. Th</w:t>
      </w:r>
      <w:r w:rsidR="00DF64C6" w:rsidRPr="00A75094">
        <w:rPr>
          <w:rFonts w:asciiTheme="majorBidi" w:hAnsiTheme="majorBidi" w:cstheme="majorBidi"/>
        </w:rPr>
        <w:t>ese</w:t>
      </w:r>
      <w:r w:rsidR="00E0151B" w:rsidRPr="00A75094">
        <w:rPr>
          <w:rFonts w:asciiTheme="majorBidi" w:hAnsiTheme="majorBidi" w:cstheme="majorBidi"/>
        </w:rPr>
        <w:t xml:space="preserve"> led to an </w:t>
      </w:r>
      <w:r w:rsidR="002B545C" w:rsidRPr="00A75094">
        <w:rPr>
          <w:rFonts w:asciiTheme="majorBidi" w:hAnsiTheme="majorBidi" w:cstheme="majorBidi"/>
        </w:rPr>
        <w:t xml:space="preserve">online </w:t>
      </w:r>
      <w:r w:rsidR="00C27DE5" w:rsidRPr="00A75094">
        <w:rPr>
          <w:rFonts w:asciiTheme="majorBidi" w:hAnsiTheme="majorBidi" w:cstheme="majorBidi"/>
        </w:rPr>
        <w:t xml:space="preserve">international </w:t>
      </w:r>
      <w:r w:rsidR="002B545C" w:rsidRPr="00A75094">
        <w:rPr>
          <w:rFonts w:asciiTheme="majorBidi" w:hAnsiTheme="majorBidi" w:cstheme="majorBidi"/>
        </w:rPr>
        <w:t xml:space="preserve">survey </w:t>
      </w:r>
      <w:r w:rsidR="00E0151B" w:rsidRPr="00A75094">
        <w:rPr>
          <w:rFonts w:asciiTheme="majorBidi" w:hAnsiTheme="majorBidi" w:cstheme="majorBidi"/>
        </w:rPr>
        <w:t xml:space="preserve">in which 61 respondents rated the relevance and feasibility of 30 </w:t>
      </w:r>
      <w:r w:rsidR="000A1D82" w:rsidRPr="00A75094">
        <w:rPr>
          <w:rFonts w:asciiTheme="majorBidi" w:hAnsiTheme="majorBidi" w:cstheme="majorBidi"/>
        </w:rPr>
        <w:t xml:space="preserve">strategic </w:t>
      </w:r>
      <w:r w:rsidR="000459BA" w:rsidRPr="00A75094">
        <w:rPr>
          <w:rFonts w:asciiTheme="majorBidi" w:hAnsiTheme="majorBidi" w:cstheme="majorBidi"/>
        </w:rPr>
        <w:t>actions and</w:t>
      </w:r>
      <w:r w:rsidR="000A1D82" w:rsidRPr="00A75094">
        <w:rPr>
          <w:rFonts w:asciiTheme="majorBidi" w:hAnsiTheme="majorBidi" w:cstheme="majorBidi"/>
        </w:rPr>
        <w:t xml:space="preserve"> system indicators </w:t>
      </w:r>
      <w:r w:rsidR="00E0151B" w:rsidRPr="00A75094">
        <w:rPr>
          <w:rFonts w:asciiTheme="majorBidi" w:hAnsiTheme="majorBidi" w:cstheme="majorBidi"/>
        </w:rPr>
        <w:t xml:space="preserve">to promote inclusive systems and reduce health disparities.  </w:t>
      </w:r>
      <w:r w:rsidRPr="00A75094">
        <w:rPr>
          <w:rFonts w:asciiTheme="majorBidi" w:hAnsiTheme="majorBidi" w:cstheme="majorBidi"/>
          <w:b/>
          <w:bCs/>
        </w:rPr>
        <w:t>Findings</w:t>
      </w:r>
      <w:r w:rsidR="00DB5FD4" w:rsidRPr="00A75094">
        <w:rPr>
          <w:rFonts w:asciiTheme="majorBidi" w:hAnsiTheme="majorBidi" w:cstheme="majorBidi"/>
          <w:b/>
          <w:bCs/>
        </w:rPr>
        <w:t>:</w:t>
      </w:r>
      <w:r w:rsidR="00DB5FD4" w:rsidRPr="00A75094">
        <w:rPr>
          <w:rFonts w:asciiTheme="majorBidi" w:hAnsiTheme="majorBidi" w:cstheme="majorBidi"/>
        </w:rPr>
        <w:t xml:space="preserve"> </w:t>
      </w:r>
      <w:r w:rsidR="002B4217" w:rsidRPr="00A75094">
        <w:rPr>
          <w:rFonts w:asciiTheme="majorBidi" w:hAnsiTheme="majorBidi" w:cstheme="majorBidi"/>
        </w:rPr>
        <w:t xml:space="preserve"> All</w:t>
      </w:r>
      <w:r w:rsidR="000A1D82" w:rsidRPr="00A75094">
        <w:rPr>
          <w:rFonts w:asciiTheme="majorBidi" w:hAnsiTheme="majorBidi" w:cstheme="majorBidi"/>
        </w:rPr>
        <w:t xml:space="preserve"> </w:t>
      </w:r>
      <w:r w:rsidR="000459BA" w:rsidRPr="00A75094">
        <w:rPr>
          <w:rFonts w:asciiTheme="majorBidi" w:hAnsiTheme="majorBidi" w:cstheme="majorBidi"/>
        </w:rPr>
        <w:t xml:space="preserve">the strategic actions and </w:t>
      </w:r>
      <w:r w:rsidR="000A1D82" w:rsidRPr="00A75094">
        <w:rPr>
          <w:rFonts w:asciiTheme="majorBidi" w:hAnsiTheme="majorBidi" w:cstheme="majorBidi"/>
        </w:rPr>
        <w:t xml:space="preserve">system indicators </w:t>
      </w:r>
      <w:r w:rsidR="002B4217" w:rsidRPr="00A75094">
        <w:rPr>
          <w:rFonts w:asciiTheme="majorBidi" w:hAnsiTheme="majorBidi" w:cstheme="majorBidi"/>
        </w:rPr>
        <w:t>were endorsed as relevant but less so for the feasibi</w:t>
      </w:r>
      <w:r w:rsidR="000459BA" w:rsidRPr="00A75094">
        <w:rPr>
          <w:rFonts w:asciiTheme="majorBidi" w:hAnsiTheme="majorBidi" w:cstheme="majorBidi"/>
        </w:rPr>
        <w:t>lity of implementing them.  Top-</w:t>
      </w:r>
      <w:r w:rsidR="002B4217" w:rsidRPr="00A75094">
        <w:rPr>
          <w:rFonts w:asciiTheme="majorBidi" w:hAnsiTheme="majorBidi" w:cstheme="majorBidi"/>
        </w:rPr>
        <w:t xml:space="preserve">rated </w:t>
      </w:r>
      <w:r w:rsidR="000A1D82" w:rsidRPr="00A75094">
        <w:rPr>
          <w:rFonts w:asciiTheme="majorBidi" w:hAnsiTheme="majorBidi" w:cstheme="majorBidi"/>
        </w:rPr>
        <w:t xml:space="preserve">strategic </w:t>
      </w:r>
      <w:r w:rsidR="002B4217" w:rsidRPr="00A75094">
        <w:rPr>
          <w:rFonts w:asciiTheme="majorBidi" w:hAnsiTheme="majorBidi" w:cstheme="majorBidi"/>
        </w:rPr>
        <w:t xml:space="preserve">actions included </w:t>
      </w:r>
      <w:r w:rsidR="000A1D82" w:rsidRPr="00A75094">
        <w:rPr>
          <w:rFonts w:asciiTheme="majorBidi" w:hAnsiTheme="majorBidi" w:cstheme="majorBidi"/>
        </w:rPr>
        <w:t>the availability of policy statements and practice guidelines on making reasonable adjustment</w:t>
      </w:r>
      <w:r w:rsidR="000459BA" w:rsidRPr="00A75094">
        <w:rPr>
          <w:rFonts w:asciiTheme="majorBidi" w:hAnsiTheme="majorBidi" w:cstheme="majorBidi"/>
        </w:rPr>
        <w:t>s</w:t>
      </w:r>
      <w:r w:rsidR="000A1D82" w:rsidRPr="00A75094">
        <w:rPr>
          <w:rFonts w:asciiTheme="majorBidi" w:hAnsiTheme="majorBidi" w:cstheme="majorBidi"/>
        </w:rPr>
        <w:t xml:space="preserve">, </w:t>
      </w:r>
      <w:r w:rsidR="00DB5FD4" w:rsidRPr="00A75094">
        <w:rPr>
          <w:rFonts w:asciiTheme="majorBidi" w:hAnsiTheme="majorBidi" w:cstheme="majorBidi"/>
        </w:rPr>
        <w:t>mandatory training of health professionals</w:t>
      </w:r>
      <w:r w:rsidR="002B4217" w:rsidRPr="00A75094">
        <w:rPr>
          <w:rFonts w:asciiTheme="majorBidi" w:hAnsiTheme="majorBidi" w:cstheme="majorBidi"/>
        </w:rPr>
        <w:t xml:space="preserve"> on </w:t>
      </w:r>
      <w:r w:rsidR="00126922" w:rsidRPr="00A75094">
        <w:rPr>
          <w:rFonts w:asciiTheme="majorBidi" w:hAnsiTheme="majorBidi" w:cstheme="majorBidi"/>
        </w:rPr>
        <w:t>ID</w:t>
      </w:r>
      <w:r w:rsidR="000459BA" w:rsidRPr="00A75094">
        <w:rPr>
          <w:rFonts w:asciiTheme="majorBidi" w:hAnsiTheme="majorBidi" w:cstheme="majorBidi"/>
        </w:rPr>
        <w:t xml:space="preserve"> and their i</w:t>
      </w:r>
      <w:r w:rsidR="00DB5FD4" w:rsidRPr="00A75094">
        <w:rPr>
          <w:rFonts w:asciiTheme="majorBidi" w:hAnsiTheme="majorBidi" w:cstheme="majorBidi"/>
        </w:rPr>
        <w:t>nvolve</w:t>
      </w:r>
      <w:r w:rsidR="000459BA" w:rsidRPr="00A75094">
        <w:rPr>
          <w:rFonts w:asciiTheme="majorBidi" w:hAnsiTheme="majorBidi" w:cstheme="majorBidi"/>
        </w:rPr>
        <w:t xml:space="preserve">ment </w:t>
      </w:r>
      <w:r w:rsidR="00DB5FD4" w:rsidRPr="00A75094">
        <w:rPr>
          <w:rFonts w:asciiTheme="majorBidi" w:hAnsiTheme="majorBidi" w:cstheme="majorBidi"/>
        </w:rPr>
        <w:t xml:space="preserve">as co-trainers </w:t>
      </w:r>
      <w:r w:rsidR="000459BA" w:rsidRPr="00A75094">
        <w:rPr>
          <w:rFonts w:asciiTheme="majorBidi" w:hAnsiTheme="majorBidi" w:cstheme="majorBidi"/>
        </w:rPr>
        <w:t xml:space="preserve">in </w:t>
      </w:r>
      <w:r w:rsidR="00DB5FD4" w:rsidRPr="00A75094">
        <w:rPr>
          <w:rFonts w:asciiTheme="majorBidi" w:hAnsiTheme="majorBidi" w:cstheme="majorBidi"/>
        </w:rPr>
        <w:t>staff</w:t>
      </w:r>
      <w:r w:rsidR="00C27DE5" w:rsidRPr="00A75094">
        <w:rPr>
          <w:rFonts w:asciiTheme="majorBidi" w:hAnsiTheme="majorBidi" w:cstheme="majorBidi"/>
        </w:rPr>
        <w:t xml:space="preserve"> </w:t>
      </w:r>
      <w:r w:rsidR="000A1D82" w:rsidRPr="00A75094">
        <w:rPr>
          <w:rFonts w:asciiTheme="majorBidi" w:hAnsiTheme="majorBidi" w:cstheme="majorBidi"/>
        </w:rPr>
        <w:t>training</w:t>
      </w:r>
      <w:r w:rsidR="002B4217" w:rsidRPr="00A75094">
        <w:rPr>
          <w:rFonts w:asciiTheme="majorBidi" w:hAnsiTheme="majorBidi" w:cstheme="majorBidi"/>
        </w:rPr>
        <w:t xml:space="preserve">.  </w:t>
      </w:r>
      <w:r w:rsidR="004E29E0" w:rsidRPr="00A75094">
        <w:rPr>
          <w:rFonts w:asciiTheme="majorBidi" w:hAnsiTheme="majorBidi" w:cstheme="majorBidi"/>
          <w:b/>
          <w:bCs/>
        </w:rPr>
        <w:t>Discussion:</w:t>
      </w:r>
      <w:r w:rsidR="004E29E0" w:rsidRPr="00A75094">
        <w:rPr>
          <w:rFonts w:asciiTheme="majorBidi" w:hAnsiTheme="majorBidi" w:cstheme="majorBidi"/>
        </w:rPr>
        <w:t xml:space="preserve">  Implementing these </w:t>
      </w:r>
      <w:r w:rsidR="00BD757B" w:rsidRPr="00A75094">
        <w:rPr>
          <w:rFonts w:asciiTheme="majorBidi" w:hAnsiTheme="majorBidi" w:cstheme="majorBidi"/>
        </w:rPr>
        <w:t>strategic</w:t>
      </w:r>
      <w:r w:rsidR="000459BA" w:rsidRPr="00A75094">
        <w:rPr>
          <w:rFonts w:asciiTheme="majorBidi" w:hAnsiTheme="majorBidi" w:cstheme="majorBidi"/>
        </w:rPr>
        <w:t xml:space="preserve"> actions</w:t>
      </w:r>
      <w:r w:rsidR="00BD757B" w:rsidRPr="00A75094">
        <w:rPr>
          <w:rFonts w:asciiTheme="majorBidi" w:hAnsiTheme="majorBidi" w:cstheme="majorBidi"/>
        </w:rPr>
        <w:t xml:space="preserve"> and system indicators</w:t>
      </w:r>
      <w:r w:rsidR="004E29E0" w:rsidRPr="00A75094">
        <w:rPr>
          <w:rFonts w:asciiTheme="majorBidi" w:hAnsiTheme="majorBidi" w:cstheme="majorBidi"/>
        </w:rPr>
        <w:t xml:space="preserve"> will be a major undertaking and one that is unlikely to be speedily achieved given the many different </w:t>
      </w:r>
      <w:r w:rsidR="002C377F" w:rsidRPr="00A75094">
        <w:rPr>
          <w:rFonts w:asciiTheme="majorBidi" w:hAnsiTheme="majorBidi" w:cstheme="majorBidi"/>
        </w:rPr>
        <w:t xml:space="preserve">policy and </w:t>
      </w:r>
      <w:r w:rsidR="004E29E0" w:rsidRPr="00A75094">
        <w:rPr>
          <w:rFonts w:asciiTheme="majorBidi" w:hAnsiTheme="majorBidi" w:cstheme="majorBidi"/>
        </w:rPr>
        <w:t>health systems that exist even within a locality as well as nationally</w:t>
      </w:r>
      <w:r w:rsidR="00911675" w:rsidRPr="00A75094">
        <w:rPr>
          <w:rFonts w:asciiTheme="majorBidi" w:hAnsiTheme="majorBidi" w:cstheme="majorBidi"/>
        </w:rPr>
        <w:t xml:space="preserve"> and internationally</w:t>
      </w:r>
      <w:r w:rsidR="004E29E0" w:rsidRPr="00A75094">
        <w:rPr>
          <w:rFonts w:asciiTheme="majorBidi" w:hAnsiTheme="majorBidi" w:cstheme="majorBidi"/>
        </w:rPr>
        <w:t xml:space="preserve">.  </w:t>
      </w:r>
      <w:r w:rsidR="00911675" w:rsidRPr="00A75094">
        <w:rPr>
          <w:rFonts w:asciiTheme="majorBidi" w:hAnsiTheme="majorBidi" w:cstheme="majorBidi"/>
        </w:rPr>
        <w:t xml:space="preserve">Nonetheless </w:t>
      </w:r>
      <w:r w:rsidR="00F17DC1" w:rsidRPr="00A75094">
        <w:rPr>
          <w:rFonts w:asciiTheme="majorBidi" w:hAnsiTheme="majorBidi" w:cstheme="majorBidi"/>
          <w:shd w:val="clear" w:color="auto" w:fill="FFFFFF"/>
        </w:rPr>
        <w:t>the identified</w:t>
      </w:r>
      <w:r w:rsidR="000459BA" w:rsidRPr="00A75094">
        <w:rPr>
          <w:rFonts w:asciiTheme="majorBidi" w:hAnsiTheme="majorBidi" w:cstheme="majorBidi"/>
          <w:shd w:val="clear" w:color="auto" w:fill="FFFFFF"/>
        </w:rPr>
        <w:t xml:space="preserve"> actions and in</w:t>
      </w:r>
      <w:r w:rsidR="00F17DC1" w:rsidRPr="00A75094">
        <w:rPr>
          <w:rFonts w:asciiTheme="majorBidi" w:hAnsiTheme="majorBidi" w:cstheme="majorBidi"/>
          <w:shd w:val="clear" w:color="auto" w:fill="FFFFFF"/>
        </w:rPr>
        <w:t xml:space="preserve">dicators </w:t>
      </w:r>
      <w:r w:rsidR="000459BA" w:rsidRPr="00A75094">
        <w:rPr>
          <w:rFonts w:asciiTheme="majorBidi" w:hAnsiTheme="majorBidi" w:cstheme="majorBidi"/>
          <w:shd w:val="clear" w:color="auto" w:fill="FFFFFF"/>
        </w:rPr>
        <w:t>from this</w:t>
      </w:r>
      <w:r w:rsidR="00F17DC1" w:rsidRPr="00A75094">
        <w:rPr>
          <w:rFonts w:asciiTheme="majorBidi" w:hAnsiTheme="majorBidi" w:cstheme="majorBidi"/>
          <w:shd w:val="clear" w:color="auto" w:fill="FFFFFF"/>
        </w:rPr>
        <w:t xml:space="preserve"> study</w:t>
      </w:r>
      <w:r w:rsidR="00911675" w:rsidRPr="00A75094">
        <w:rPr>
          <w:rFonts w:asciiTheme="majorBidi" w:hAnsiTheme="majorBidi" w:cstheme="majorBidi"/>
          <w:shd w:val="clear" w:color="auto" w:fill="FFFFFF"/>
        </w:rPr>
        <w:t xml:space="preserve"> </w:t>
      </w:r>
      <w:r w:rsidR="000459BA" w:rsidRPr="00A75094">
        <w:rPr>
          <w:rFonts w:asciiTheme="majorBidi" w:hAnsiTheme="majorBidi" w:cstheme="majorBidi"/>
          <w:shd w:val="clear" w:color="auto" w:fill="FFFFFF"/>
        </w:rPr>
        <w:t xml:space="preserve">can </w:t>
      </w:r>
      <w:r w:rsidR="00911675" w:rsidRPr="00A75094">
        <w:rPr>
          <w:rFonts w:asciiTheme="majorBidi" w:hAnsiTheme="majorBidi" w:cstheme="majorBidi"/>
          <w:shd w:val="clear" w:color="auto" w:fill="FFFFFF"/>
        </w:rPr>
        <w:t xml:space="preserve">form the basis for </w:t>
      </w:r>
      <w:r w:rsidR="0009218B" w:rsidRPr="00A75094">
        <w:rPr>
          <w:rFonts w:asciiTheme="majorBidi" w:hAnsiTheme="majorBidi" w:cstheme="majorBidi"/>
          <w:shd w:val="clear" w:color="auto" w:fill="FFFFFF"/>
        </w:rPr>
        <w:t>improve</w:t>
      </w:r>
      <w:r w:rsidR="00911675" w:rsidRPr="00A75094">
        <w:rPr>
          <w:rFonts w:asciiTheme="majorBidi" w:hAnsiTheme="majorBidi" w:cstheme="majorBidi"/>
          <w:shd w:val="clear" w:color="auto" w:fill="FFFFFF"/>
        </w:rPr>
        <w:t>d</w:t>
      </w:r>
      <w:r w:rsidR="0009218B" w:rsidRPr="00A75094">
        <w:rPr>
          <w:rFonts w:asciiTheme="majorBidi" w:hAnsiTheme="majorBidi" w:cstheme="majorBidi"/>
          <w:shd w:val="clear" w:color="auto" w:fill="FFFFFF"/>
        </w:rPr>
        <w:t xml:space="preserve"> </w:t>
      </w:r>
      <w:r w:rsidR="00911675" w:rsidRPr="00A75094">
        <w:rPr>
          <w:rFonts w:asciiTheme="majorBidi" w:hAnsiTheme="majorBidi" w:cstheme="majorBidi"/>
          <w:shd w:val="clear" w:color="auto" w:fill="FFFFFF"/>
        </w:rPr>
        <w:t xml:space="preserve">access to health </w:t>
      </w:r>
      <w:r w:rsidR="0009218B" w:rsidRPr="00A75094">
        <w:rPr>
          <w:rFonts w:asciiTheme="majorBidi" w:hAnsiTheme="majorBidi" w:cstheme="majorBidi"/>
          <w:shd w:val="clear" w:color="auto" w:fill="FFFFFF"/>
        </w:rPr>
        <w:t xml:space="preserve">and </w:t>
      </w:r>
      <w:r w:rsidR="00911675" w:rsidRPr="00A75094">
        <w:rPr>
          <w:rFonts w:asciiTheme="majorBidi" w:hAnsiTheme="majorBidi" w:cstheme="majorBidi"/>
          <w:shd w:val="clear" w:color="auto" w:fill="FFFFFF"/>
        </w:rPr>
        <w:t xml:space="preserve">for advancing the </w:t>
      </w:r>
      <w:r w:rsidR="00F17DC1" w:rsidRPr="00A75094">
        <w:rPr>
          <w:rFonts w:asciiTheme="majorBidi" w:hAnsiTheme="majorBidi" w:cstheme="majorBidi"/>
          <w:shd w:val="clear" w:color="auto" w:fill="FFFFFF"/>
        </w:rPr>
        <w:t xml:space="preserve">human rights of persons with </w:t>
      </w:r>
      <w:r w:rsidR="00126922" w:rsidRPr="00A75094">
        <w:rPr>
          <w:rFonts w:asciiTheme="majorBidi" w:hAnsiTheme="majorBidi" w:cstheme="majorBidi"/>
          <w:shd w:val="clear" w:color="auto" w:fill="FFFFFF"/>
        </w:rPr>
        <w:t>ID</w:t>
      </w:r>
      <w:r w:rsidR="00F17DC1" w:rsidRPr="00A75094">
        <w:rPr>
          <w:rFonts w:asciiTheme="majorBidi" w:hAnsiTheme="majorBidi" w:cstheme="majorBidi"/>
          <w:shd w:val="clear" w:color="auto" w:fill="FFFFFF"/>
        </w:rPr>
        <w:t xml:space="preserve">. </w:t>
      </w:r>
    </w:p>
    <w:p w14:paraId="1CC1D3C6" w14:textId="0549D0F6" w:rsidR="00741DB4" w:rsidRPr="00A75094" w:rsidRDefault="00AC0D0D" w:rsidP="00933C31">
      <w:pPr>
        <w:pStyle w:val="Heading1"/>
        <w:spacing w:before="0" w:after="120" w:line="480" w:lineRule="auto"/>
        <w:rPr>
          <w:sz w:val="28"/>
          <w:szCs w:val="28"/>
        </w:rPr>
      </w:pPr>
      <w:r w:rsidRPr="00A75094">
        <w:rPr>
          <w:sz w:val="28"/>
          <w:szCs w:val="28"/>
        </w:rPr>
        <w:lastRenderedPageBreak/>
        <w:t>Introduction</w:t>
      </w:r>
    </w:p>
    <w:p w14:paraId="45DC6A32" w14:textId="593C9971" w:rsidR="006E32E2" w:rsidRPr="00A75094" w:rsidRDefault="005C2373" w:rsidP="006E32E2">
      <w:pPr>
        <w:autoSpaceDE w:val="0"/>
        <w:autoSpaceDN w:val="0"/>
        <w:adjustRightInd w:val="0"/>
        <w:spacing w:after="120"/>
      </w:pPr>
      <w:r w:rsidRPr="00A75094">
        <w:t xml:space="preserve">The poorer health experienced by </w:t>
      </w:r>
      <w:r w:rsidR="006A3DE0" w:rsidRPr="00A75094">
        <w:t>people with intellectual disability</w:t>
      </w:r>
      <w:r w:rsidR="00CF2C05" w:rsidRPr="00A75094">
        <w:t xml:space="preserve"> (</w:t>
      </w:r>
      <w:r w:rsidR="00126922" w:rsidRPr="00A75094">
        <w:t>ID</w:t>
      </w:r>
      <w:r w:rsidR="00CF2C05" w:rsidRPr="00A75094">
        <w:t>)</w:t>
      </w:r>
      <w:r w:rsidR="006A3DE0" w:rsidRPr="00A75094">
        <w:t xml:space="preserve"> </w:t>
      </w:r>
      <w:r w:rsidRPr="00A75094">
        <w:t>is</w:t>
      </w:r>
      <w:r w:rsidR="006A3DE0" w:rsidRPr="00A75094">
        <w:t xml:space="preserve"> well documented internationally (</w:t>
      </w:r>
      <w:r w:rsidR="00317333" w:rsidRPr="00A75094">
        <w:t xml:space="preserve">World Health Organisation, 2011: Taggart </w:t>
      </w:r>
      <w:r w:rsidR="00985772" w:rsidRPr="00A75094">
        <w:t>&amp;</w:t>
      </w:r>
      <w:r w:rsidR="000D348D" w:rsidRPr="00A75094">
        <w:t xml:space="preserve"> Cousins, 2014</w:t>
      </w:r>
      <w:r w:rsidR="00317333" w:rsidRPr="00A75094">
        <w:t>)</w:t>
      </w:r>
      <w:r w:rsidR="006A3DE0" w:rsidRPr="00A75094">
        <w:t xml:space="preserve">.  </w:t>
      </w:r>
      <w:r w:rsidR="006E32E2" w:rsidRPr="00A75094">
        <w:t>Moreover, a recent systematic review of early deaths and causes of death reported that people with ID have higher mortality rates, and died earlier, compared to their non-disabled peers (O'Leary, Cooper &amp; Hughes</w:t>
      </w:r>
      <w:r w:rsidR="006E32E2" w:rsidRPr="00A75094">
        <w:rPr>
          <w:rFonts w:ascii="Cambria Math" w:hAnsi="Cambria Math" w:cs="Cambria Math"/>
        </w:rPr>
        <w:t>‐</w:t>
      </w:r>
      <w:r w:rsidR="006E32E2" w:rsidRPr="00A75094">
        <w:t xml:space="preserve">McCormack, 2018).  This evidence has been reported internationally: in Australia (Florio &amp; </w:t>
      </w:r>
      <w:proofErr w:type="spellStart"/>
      <w:r w:rsidR="006E32E2" w:rsidRPr="00A75094">
        <w:t>Troller</w:t>
      </w:r>
      <w:proofErr w:type="spellEnd"/>
      <w:r w:rsidR="006E32E2" w:rsidRPr="00A75094">
        <w:t>, 2015): Canada (</w:t>
      </w:r>
      <w:proofErr w:type="spellStart"/>
      <w:r w:rsidR="006E32E2" w:rsidRPr="00A75094">
        <w:t>Stankiewicz</w:t>
      </w:r>
      <w:proofErr w:type="spellEnd"/>
      <w:r w:rsidR="006E32E2" w:rsidRPr="00A75094">
        <w:t xml:space="preserve"> et al., 2018); England (Heslop</w:t>
      </w:r>
      <w:r w:rsidR="00452788" w:rsidRPr="00A75094">
        <w:t xml:space="preserve"> &amp; Glover</w:t>
      </w:r>
      <w:r w:rsidR="006E32E2" w:rsidRPr="00A75094">
        <w:t>, 201</w:t>
      </w:r>
      <w:r w:rsidR="00452788" w:rsidRPr="00A75094">
        <w:t>5)</w:t>
      </w:r>
      <w:r w:rsidR="006E32E2" w:rsidRPr="00A75094">
        <w:t>; Finland (</w:t>
      </w:r>
      <w:proofErr w:type="spellStart"/>
      <w:r w:rsidR="006E32E2" w:rsidRPr="00A75094">
        <w:t>Arvio</w:t>
      </w:r>
      <w:proofErr w:type="spellEnd"/>
      <w:r w:rsidR="006E32E2" w:rsidRPr="00A75094">
        <w:t xml:space="preserve"> et al., 2016); Ireland (McCarron et al., 2015) and the USA (Lauer &amp; McCallion, 2015).   The leading causes of death for this population include respiratory disease (Heslop et al., 2013), cardio-vascul</w:t>
      </w:r>
      <w:r w:rsidR="008215D2" w:rsidRPr="00A75094">
        <w:t>ar disease (Janson et al., 2013</w:t>
      </w:r>
      <w:r w:rsidR="006E32E2" w:rsidRPr="00A75094">
        <w:t>) and certain cancers (stomach, colorectal, oesophagus cancer) (</w:t>
      </w:r>
      <w:proofErr w:type="gramStart"/>
      <w:r w:rsidR="006E32E2" w:rsidRPr="00A75094">
        <w:t>Glover  et al.</w:t>
      </w:r>
      <w:proofErr w:type="gramEnd"/>
      <w:r w:rsidR="006E32E2" w:rsidRPr="00A75094">
        <w:t>, 2017; O’Leary et al., 2018).  Robertson &amp; Hatton (2019) highlighted there were significant gender differences in the mortality patterns of people with ID when compared to the non-disabled population, with younger females with ID more likely to die early.</w:t>
      </w:r>
    </w:p>
    <w:p w14:paraId="55528539" w14:textId="2BADDDB1" w:rsidR="006E32E2" w:rsidRPr="00A75094" w:rsidRDefault="006E32E2" w:rsidP="006E32E2">
      <w:pPr>
        <w:autoSpaceDE w:val="0"/>
        <w:autoSpaceDN w:val="0"/>
        <w:adjustRightInd w:val="0"/>
        <w:spacing w:after="120"/>
      </w:pPr>
      <w:r w:rsidRPr="00A75094">
        <w:t>There is also growing evidence of the poorer physical and mental health experienced by people with ID internationally.    They have higher rates of epilepsy (Robertson et al., 2015); Type 2 diabetes (</w:t>
      </w:r>
      <w:proofErr w:type="spellStart"/>
      <w:r w:rsidRPr="00A75094">
        <w:t>MacRea</w:t>
      </w:r>
      <w:proofErr w:type="spellEnd"/>
      <w:r w:rsidRPr="00A75094">
        <w:t xml:space="preserve"> et al., 2014); osteoporosis (Balogh et al., 2017) and dementia (</w:t>
      </w:r>
      <w:proofErr w:type="spellStart"/>
      <w:r w:rsidRPr="00A75094">
        <w:t>Axmon</w:t>
      </w:r>
      <w:proofErr w:type="spellEnd"/>
      <w:r w:rsidRPr="00A75094">
        <w:t xml:space="preserve"> et al., 2017; Strydom et al., 2009).   Although most of the evidence comes from more affluent countries with well-developed public health systems, the risk of poorer health is probably even greater in low and middle-income countries (Emerson &amp; Savage, 2017; O'Leary, Cooper &amp; Hughes</w:t>
      </w:r>
      <w:r w:rsidRPr="00A75094">
        <w:rPr>
          <w:rFonts w:ascii="Cambria Math" w:hAnsi="Cambria Math" w:cs="Cambria Math"/>
        </w:rPr>
        <w:t>‐</w:t>
      </w:r>
      <w:r w:rsidRPr="00A75094">
        <w:t xml:space="preserve">McCormack, </w:t>
      </w:r>
      <w:proofErr w:type="gramStart"/>
      <w:r w:rsidRPr="00A75094">
        <w:t>2018 )</w:t>
      </w:r>
      <w:proofErr w:type="gramEnd"/>
      <w:r w:rsidRPr="00A75094">
        <w:t xml:space="preserve">.  </w:t>
      </w:r>
    </w:p>
    <w:p w14:paraId="5109ECD4" w14:textId="77777777" w:rsidR="006E32E2" w:rsidRPr="00A75094" w:rsidRDefault="006E32E2" w:rsidP="006E32E2">
      <w:pPr>
        <w:autoSpaceDE w:val="0"/>
        <w:autoSpaceDN w:val="0"/>
        <w:adjustRightInd w:val="0"/>
        <w:spacing w:after="120"/>
      </w:pPr>
    </w:p>
    <w:p w14:paraId="054D7EBF" w14:textId="64410C66" w:rsidR="00282B31" w:rsidRPr="00A75094" w:rsidRDefault="005C2373" w:rsidP="00207F4C">
      <w:pPr>
        <w:spacing w:after="120"/>
      </w:pPr>
      <w:r w:rsidRPr="00A75094">
        <w:lastRenderedPageBreak/>
        <w:t xml:space="preserve">Some of the </w:t>
      </w:r>
      <w:r w:rsidR="00911675" w:rsidRPr="00A75094">
        <w:t xml:space="preserve">poorer </w:t>
      </w:r>
      <w:r w:rsidRPr="00A75094">
        <w:t xml:space="preserve">health </w:t>
      </w:r>
      <w:r w:rsidR="00911675" w:rsidRPr="00A75094">
        <w:t xml:space="preserve">of </w:t>
      </w:r>
      <w:r w:rsidR="00CF2C05" w:rsidRPr="00A75094">
        <w:t>this population</w:t>
      </w:r>
      <w:r w:rsidR="00911675" w:rsidRPr="00A75094">
        <w:t xml:space="preserve"> may</w:t>
      </w:r>
      <w:r w:rsidRPr="00A75094">
        <w:t xml:space="preserve"> result from biological impairments associated with </w:t>
      </w:r>
      <w:r w:rsidR="00CF2C05" w:rsidRPr="00A75094">
        <w:t>the person</w:t>
      </w:r>
      <w:r w:rsidR="00911675" w:rsidRPr="00A75094">
        <w:t>’</w:t>
      </w:r>
      <w:r w:rsidR="00CF2C05" w:rsidRPr="00A75094">
        <w:t>s disability</w:t>
      </w:r>
      <w:r w:rsidR="002C377F" w:rsidRPr="00A75094">
        <w:t xml:space="preserve"> (</w:t>
      </w:r>
      <w:r w:rsidR="00911675" w:rsidRPr="00A75094">
        <w:t>e.g.</w:t>
      </w:r>
      <w:r w:rsidR="002C377F" w:rsidRPr="00A75094">
        <w:t xml:space="preserve"> physical </w:t>
      </w:r>
      <w:r w:rsidR="00911675" w:rsidRPr="00A75094">
        <w:t xml:space="preserve">and sensory </w:t>
      </w:r>
      <w:r w:rsidR="00EC084C" w:rsidRPr="00A75094">
        <w:t xml:space="preserve">impairments, </w:t>
      </w:r>
      <w:r w:rsidR="002C377F" w:rsidRPr="00A75094">
        <w:t xml:space="preserve">epilepsy, </w:t>
      </w:r>
      <w:r w:rsidR="00EC084C" w:rsidRPr="00A75094">
        <w:t>and early onset dementia</w:t>
      </w:r>
      <w:r w:rsidR="002C377F" w:rsidRPr="00A75094">
        <w:t>) (Taggart &amp; Cousins, 2014)</w:t>
      </w:r>
      <w:r w:rsidR="00CF2C05" w:rsidRPr="00A75094">
        <w:t>.</w:t>
      </w:r>
      <w:r w:rsidRPr="00A75094">
        <w:t xml:space="preserve"> </w:t>
      </w:r>
      <w:r w:rsidR="002C377F" w:rsidRPr="00A75094">
        <w:t xml:space="preserve"> </w:t>
      </w:r>
      <w:r w:rsidR="00CF2C05" w:rsidRPr="00A75094">
        <w:t>However,</w:t>
      </w:r>
      <w:r w:rsidRPr="00A75094">
        <w:t xml:space="preserve"> other </w:t>
      </w:r>
      <w:r w:rsidR="002C377F" w:rsidRPr="00A75094">
        <w:t xml:space="preserve">lifestyle </w:t>
      </w:r>
      <w:r w:rsidRPr="00A75094">
        <w:t xml:space="preserve">factors </w:t>
      </w:r>
      <w:r w:rsidR="000A1D82" w:rsidRPr="00A75094">
        <w:t>(i.e. diets, sedentary behaviour, physical activity,</w:t>
      </w:r>
      <w:r w:rsidR="00911675" w:rsidRPr="00A75094">
        <w:t xml:space="preserve"> and </w:t>
      </w:r>
      <w:r w:rsidR="000A1D82" w:rsidRPr="00A75094">
        <w:t>anti-psychotic medication)</w:t>
      </w:r>
      <w:r w:rsidR="00911675" w:rsidRPr="00A75094">
        <w:t xml:space="preserve"> are also implicated along with</w:t>
      </w:r>
      <w:r w:rsidR="00207F4C" w:rsidRPr="00A75094">
        <w:t xml:space="preserve"> </w:t>
      </w:r>
      <w:r w:rsidR="00A8692F" w:rsidRPr="00A75094">
        <w:t xml:space="preserve">a </w:t>
      </w:r>
      <w:r w:rsidR="00323707" w:rsidRPr="00A75094">
        <w:t xml:space="preserve">lack of </w:t>
      </w:r>
      <w:r w:rsidR="00911675" w:rsidRPr="00A75094">
        <w:t xml:space="preserve">timely </w:t>
      </w:r>
      <w:r w:rsidR="00323707" w:rsidRPr="00A75094">
        <w:t xml:space="preserve">access to </w:t>
      </w:r>
      <w:r w:rsidR="00911675" w:rsidRPr="00A75094">
        <w:t xml:space="preserve">effective </w:t>
      </w:r>
      <w:r w:rsidR="00323707" w:rsidRPr="00A75094">
        <w:t>health</w:t>
      </w:r>
      <w:r w:rsidR="00A8692F" w:rsidRPr="00A75094">
        <w:t>care</w:t>
      </w:r>
      <w:r w:rsidR="00D265AF" w:rsidRPr="00A75094">
        <w:t xml:space="preserve"> and preventi</w:t>
      </w:r>
      <w:r w:rsidR="00EC084C" w:rsidRPr="00A75094">
        <w:t>ve actions</w:t>
      </w:r>
      <w:r w:rsidR="00D265AF" w:rsidRPr="00A75094">
        <w:t>,</w:t>
      </w:r>
      <w:r w:rsidR="00A8692F" w:rsidRPr="00A75094">
        <w:t xml:space="preserve"> </w:t>
      </w:r>
      <w:r w:rsidR="00D265AF" w:rsidRPr="00A75094">
        <w:t xml:space="preserve">as well as </w:t>
      </w:r>
      <w:r w:rsidR="00911675" w:rsidRPr="00A75094">
        <w:t xml:space="preserve">the impact of wider </w:t>
      </w:r>
      <w:r w:rsidR="00207F4C" w:rsidRPr="00A75094">
        <w:t>social determinants</w:t>
      </w:r>
      <w:r w:rsidR="00911675" w:rsidRPr="00A75094">
        <w:t xml:space="preserve"> of health</w:t>
      </w:r>
      <w:r w:rsidR="00207F4C" w:rsidRPr="00A75094">
        <w:t xml:space="preserve"> (</w:t>
      </w:r>
      <w:r w:rsidR="00911675" w:rsidRPr="00A75094">
        <w:t>notably</w:t>
      </w:r>
      <w:r w:rsidR="00207F4C" w:rsidRPr="00A75094">
        <w:t xml:space="preserve"> </w:t>
      </w:r>
      <w:r w:rsidR="00911675" w:rsidRPr="00A75094">
        <w:t xml:space="preserve">prejudicial </w:t>
      </w:r>
      <w:r w:rsidR="00207F4C" w:rsidRPr="00A75094">
        <w:t>attitudes, discriminatory practices</w:t>
      </w:r>
      <w:r w:rsidR="00911675" w:rsidRPr="00A75094">
        <w:t xml:space="preserve"> and </w:t>
      </w:r>
      <w:r w:rsidR="00207F4C" w:rsidRPr="00A75094">
        <w:t>poverty)</w:t>
      </w:r>
      <w:r w:rsidR="00911675" w:rsidRPr="00A75094">
        <w:t xml:space="preserve">.  The resulting </w:t>
      </w:r>
      <w:r w:rsidR="00B710AC" w:rsidRPr="00A75094">
        <w:t xml:space="preserve">health </w:t>
      </w:r>
      <w:r w:rsidR="003158A6" w:rsidRPr="00A75094">
        <w:t xml:space="preserve">inequities or </w:t>
      </w:r>
      <w:r w:rsidR="00B710AC" w:rsidRPr="00A75094">
        <w:t>disparities</w:t>
      </w:r>
      <w:r w:rsidR="00FA086C" w:rsidRPr="00A75094">
        <w:t xml:space="preserve"> experienced by people with </w:t>
      </w:r>
      <w:r w:rsidR="00126922" w:rsidRPr="00A75094">
        <w:t>ID</w:t>
      </w:r>
      <w:r w:rsidR="00FA086C" w:rsidRPr="00A75094">
        <w:t xml:space="preserve"> are now well acknowledged, namely</w:t>
      </w:r>
      <w:r w:rsidRPr="00A75094">
        <w:t xml:space="preserve"> </w:t>
      </w:r>
      <w:r w:rsidR="00B710AC" w:rsidRPr="00A75094">
        <w:t>"</w:t>
      </w:r>
      <w:r w:rsidRPr="00A75094">
        <w:rPr>
          <w:i/>
        </w:rPr>
        <w:t xml:space="preserve">differences in health outcomes at the population level, that </w:t>
      </w:r>
      <w:r w:rsidR="00B710AC" w:rsidRPr="00A75094">
        <w:rPr>
          <w:i/>
        </w:rPr>
        <w:t>…</w:t>
      </w:r>
      <w:r w:rsidRPr="00A75094">
        <w:rPr>
          <w:i/>
        </w:rPr>
        <w:t>are linked to a history of social, economic, or environmental disadvantages, and that these differen</w:t>
      </w:r>
      <w:r w:rsidR="00B710AC" w:rsidRPr="00A75094">
        <w:rPr>
          <w:i/>
        </w:rPr>
        <w:t>ces are regarded as avoidable</w:t>
      </w:r>
      <w:r w:rsidR="003158A6" w:rsidRPr="00A75094">
        <w:t>”</w:t>
      </w:r>
      <w:r w:rsidR="00B710AC" w:rsidRPr="00A75094">
        <w:t xml:space="preserve"> </w:t>
      </w:r>
      <w:r w:rsidR="00BA0FCB" w:rsidRPr="00A75094">
        <w:t>(</w:t>
      </w:r>
      <w:proofErr w:type="spellStart"/>
      <w:r w:rsidR="00985772" w:rsidRPr="00A75094">
        <w:t>Krahn</w:t>
      </w:r>
      <w:proofErr w:type="spellEnd"/>
      <w:r w:rsidR="00985772" w:rsidRPr="00A75094">
        <w:t>, Walker&amp; Correa-De-Araujo,</w:t>
      </w:r>
      <w:r w:rsidR="00317333" w:rsidRPr="00A75094">
        <w:t xml:space="preserve"> 2015</w:t>
      </w:r>
      <w:r w:rsidR="0088459C" w:rsidRPr="00A75094">
        <w:t>:p.S198</w:t>
      </w:r>
      <w:r w:rsidR="003158A6" w:rsidRPr="00A75094">
        <w:t xml:space="preserve">).  </w:t>
      </w:r>
    </w:p>
    <w:p w14:paraId="70A6852E" w14:textId="0017FD85" w:rsidR="00CE3CFF" w:rsidRPr="00A75094" w:rsidRDefault="00CE3CFF" w:rsidP="00207F4C">
      <w:pPr>
        <w:spacing w:after="120"/>
      </w:pPr>
      <w:r w:rsidRPr="00A75094">
        <w:t xml:space="preserve">A major goal of public health is to reduce health disparities within populations </w:t>
      </w:r>
      <w:r w:rsidR="00E4034F" w:rsidRPr="00A75094">
        <w:t xml:space="preserve">because of </w:t>
      </w:r>
      <w:r w:rsidR="00BA0FCB" w:rsidRPr="00A75094">
        <w:t>the social</w:t>
      </w:r>
      <w:r w:rsidRPr="00A75094">
        <w:t xml:space="preserve"> and economic benefits </w:t>
      </w:r>
      <w:r w:rsidR="00E4034F" w:rsidRPr="00A75094">
        <w:t xml:space="preserve">it brings </w:t>
      </w:r>
      <w:r w:rsidRPr="00A75094">
        <w:t xml:space="preserve">(World Health Organisation, 2008). </w:t>
      </w:r>
      <w:r w:rsidR="00BA0FCB" w:rsidRPr="00A75094">
        <w:t xml:space="preserve"> T</w:t>
      </w:r>
      <w:r w:rsidRPr="00A75094">
        <w:t xml:space="preserve">he </w:t>
      </w:r>
      <w:r w:rsidR="00BA0FCB" w:rsidRPr="00A75094">
        <w:t xml:space="preserve">recent </w:t>
      </w:r>
      <w:r w:rsidRPr="00A75094">
        <w:t>U</w:t>
      </w:r>
      <w:r w:rsidR="00282B31" w:rsidRPr="00A75094">
        <w:t>N</w:t>
      </w:r>
      <w:r w:rsidRPr="00A75094">
        <w:t xml:space="preserve"> Sustainable Development Goal relating to health is to </w:t>
      </w:r>
      <w:r w:rsidRPr="00A75094">
        <w:rPr>
          <w:i/>
        </w:rPr>
        <w:t>“ensure healthy lives and improve well-being for all and for all ages</w:t>
      </w:r>
      <w:r w:rsidRPr="00A75094">
        <w:t xml:space="preserve">”.  And more particularly: </w:t>
      </w:r>
      <w:r w:rsidR="00985772" w:rsidRPr="00A75094">
        <w:t xml:space="preserve">  “</w:t>
      </w:r>
      <w:r w:rsidRPr="00A75094">
        <w:rPr>
          <w:i/>
        </w:rPr>
        <w:t>to achieve universal health coverage, including financial risk protection, access to quality essential health-care services and access to safe, effective, quality and affordable essential medicines and vaccines for all.</w:t>
      </w:r>
      <w:r w:rsidRPr="00A75094">
        <w:t>”</w:t>
      </w:r>
      <w:r w:rsidR="00985772" w:rsidRPr="00A75094">
        <w:t xml:space="preserve"> (United Nations, 2018).</w:t>
      </w:r>
    </w:p>
    <w:p w14:paraId="3F50297A" w14:textId="32CC6967" w:rsidR="00E4034F" w:rsidRPr="00A75094" w:rsidRDefault="00BA0FCB" w:rsidP="00933C31">
      <w:pPr>
        <w:spacing w:after="120"/>
      </w:pPr>
      <w:r w:rsidRPr="00A75094">
        <w:t xml:space="preserve">For people with </w:t>
      </w:r>
      <w:r w:rsidR="00126922" w:rsidRPr="00A75094">
        <w:t>ID</w:t>
      </w:r>
      <w:r w:rsidRPr="00A75094">
        <w:t xml:space="preserve">, a major cause of health disparities </w:t>
      </w:r>
      <w:r w:rsidR="00FA086C" w:rsidRPr="00A75094">
        <w:t xml:space="preserve">seems to be </w:t>
      </w:r>
      <w:r w:rsidRPr="00A75094">
        <w:t xml:space="preserve">their poorer access to mainstream healthcare, health promotion and </w:t>
      </w:r>
      <w:r w:rsidR="00CA1DEA" w:rsidRPr="00A75094">
        <w:t xml:space="preserve">disease </w:t>
      </w:r>
      <w:r w:rsidRPr="00A75094">
        <w:t>prevention (</w:t>
      </w:r>
      <w:r w:rsidR="00E4034F" w:rsidRPr="00A75094">
        <w:t>Emerson</w:t>
      </w:r>
      <w:r w:rsidR="00985772" w:rsidRPr="00A75094">
        <w:t xml:space="preserve"> &amp; Baines, 20</w:t>
      </w:r>
      <w:r w:rsidR="00CF2C05" w:rsidRPr="00A75094">
        <w:t>1</w:t>
      </w:r>
      <w:r w:rsidR="00985772" w:rsidRPr="00A75094">
        <w:t>1;</w:t>
      </w:r>
      <w:r w:rsidRPr="00A75094">
        <w:t xml:space="preserve"> </w:t>
      </w:r>
      <w:proofErr w:type="spellStart"/>
      <w:r w:rsidRPr="00A75094">
        <w:t>Krahn</w:t>
      </w:r>
      <w:proofErr w:type="spellEnd"/>
      <w:r w:rsidRPr="00A75094">
        <w:t xml:space="preserve"> </w:t>
      </w:r>
      <w:r w:rsidR="00985772" w:rsidRPr="00A75094">
        <w:t>&amp;</w:t>
      </w:r>
      <w:r w:rsidRPr="00A75094">
        <w:t xml:space="preserve"> Fox, 201</w:t>
      </w:r>
      <w:r w:rsidR="00985772" w:rsidRPr="00A75094">
        <w:t>4</w:t>
      </w:r>
      <w:r w:rsidRPr="00A75094">
        <w:t>).</w:t>
      </w:r>
      <w:r w:rsidR="00E4034F" w:rsidRPr="00A75094">
        <w:t xml:space="preserve">  </w:t>
      </w:r>
      <w:r w:rsidR="00F739EA" w:rsidRPr="00A75094">
        <w:t>While p</w:t>
      </w:r>
      <w:r w:rsidR="00384CE7" w:rsidRPr="00A75094">
        <w:t>ersonal characteristics such as poor communication skills, transport difficulties and poverty</w:t>
      </w:r>
      <w:r w:rsidR="00F739EA" w:rsidRPr="00A75094">
        <w:t xml:space="preserve"> undoubtedly contribute to this population’s lack of access to health, </w:t>
      </w:r>
      <w:r w:rsidR="00384CE7" w:rsidRPr="00A75094">
        <w:t>an</w:t>
      </w:r>
      <w:r w:rsidR="00F739EA" w:rsidRPr="00A75094">
        <w:t>other significant</w:t>
      </w:r>
      <w:r w:rsidR="00384CE7" w:rsidRPr="00A75094">
        <w:t xml:space="preserve"> reason </w:t>
      </w:r>
      <w:r w:rsidR="00A8692F" w:rsidRPr="00A75094">
        <w:t xml:space="preserve">in many </w:t>
      </w:r>
      <w:r w:rsidR="00282B31" w:rsidRPr="00A75094">
        <w:t>countries is</w:t>
      </w:r>
      <w:r w:rsidR="00384CE7" w:rsidRPr="00A75094">
        <w:t xml:space="preserve"> a failure in health systems to make reasonable adjustments to accommodate persons with </w:t>
      </w:r>
      <w:r w:rsidR="00126922" w:rsidRPr="00A75094">
        <w:t>ID</w:t>
      </w:r>
      <w:r w:rsidR="00904949" w:rsidRPr="00A75094">
        <w:t xml:space="preserve"> and their specific health needs</w:t>
      </w:r>
      <w:r w:rsidR="000D348D" w:rsidRPr="00A75094">
        <w:t xml:space="preserve"> (Ali, </w:t>
      </w:r>
      <w:proofErr w:type="spellStart"/>
      <w:r w:rsidR="000D348D" w:rsidRPr="00A75094">
        <w:t>Scior</w:t>
      </w:r>
      <w:proofErr w:type="spellEnd"/>
      <w:r w:rsidR="000D348D" w:rsidRPr="00A75094">
        <w:t xml:space="preserve">, </w:t>
      </w:r>
      <w:proofErr w:type="spellStart"/>
      <w:r w:rsidR="000D348D" w:rsidRPr="00A75094">
        <w:t>Ratti</w:t>
      </w:r>
      <w:proofErr w:type="spellEnd"/>
      <w:r w:rsidR="000D348D" w:rsidRPr="00A75094">
        <w:t>, Strydom, King &amp; Hassiotis, 2014)</w:t>
      </w:r>
      <w:r w:rsidR="00384CE7" w:rsidRPr="00A75094">
        <w:t xml:space="preserve">.  </w:t>
      </w:r>
      <w:r w:rsidR="00AD3B5C" w:rsidRPr="00A75094">
        <w:t xml:space="preserve">The </w:t>
      </w:r>
      <w:r w:rsidR="00AD3B5C" w:rsidRPr="00A75094">
        <w:lastRenderedPageBreak/>
        <w:t xml:space="preserve">consequence is that people with </w:t>
      </w:r>
      <w:r w:rsidR="00126922" w:rsidRPr="00A75094">
        <w:t>ID</w:t>
      </w:r>
      <w:r w:rsidR="00AD3B5C" w:rsidRPr="00A75094">
        <w:t xml:space="preserve"> are excluded from the services</w:t>
      </w:r>
      <w:r w:rsidR="00A8692F" w:rsidRPr="00A75094">
        <w:t xml:space="preserve">, </w:t>
      </w:r>
      <w:r w:rsidR="00AD3B5C" w:rsidRPr="00A75094">
        <w:t xml:space="preserve">supports </w:t>
      </w:r>
      <w:r w:rsidR="00A8692F" w:rsidRPr="00A75094">
        <w:t xml:space="preserve">and communities </w:t>
      </w:r>
      <w:r w:rsidR="00AD3B5C" w:rsidRPr="00A75094">
        <w:t>that will promote their health</w:t>
      </w:r>
      <w:r w:rsidR="00507BE5" w:rsidRPr="00A75094">
        <w:t xml:space="preserve">, </w:t>
      </w:r>
      <w:r w:rsidR="00AD3B5C" w:rsidRPr="00A75094">
        <w:t>wellbeing</w:t>
      </w:r>
      <w:r w:rsidR="00A8692F" w:rsidRPr="00A75094">
        <w:t xml:space="preserve"> and quality of life</w:t>
      </w:r>
      <w:r w:rsidR="00AD3B5C" w:rsidRPr="00A75094">
        <w:t xml:space="preserve">.  Similar </w:t>
      </w:r>
      <w:r w:rsidR="00FA086C" w:rsidRPr="00A75094">
        <w:t xml:space="preserve">exclusions occur </w:t>
      </w:r>
      <w:r w:rsidR="00282B31" w:rsidRPr="00A75094">
        <w:t>from other</w:t>
      </w:r>
      <w:r w:rsidR="00AD3B5C" w:rsidRPr="00A75094">
        <w:t xml:space="preserve"> public services, notably education</w:t>
      </w:r>
      <w:r w:rsidR="00FA086C" w:rsidRPr="00A75094">
        <w:t>,</w:t>
      </w:r>
      <w:r w:rsidR="00AD3B5C" w:rsidRPr="00A75094">
        <w:t xml:space="preserve"> </w:t>
      </w:r>
      <w:r w:rsidR="00282B31" w:rsidRPr="00A75094">
        <w:t>but</w:t>
      </w:r>
      <w:r w:rsidR="00AD3B5C" w:rsidRPr="00A75094">
        <w:t xml:space="preserve"> there is a growing body of knowledge </w:t>
      </w:r>
      <w:r w:rsidR="00942981" w:rsidRPr="00A75094">
        <w:t>as to how such systems can become more inclusive (</w:t>
      </w:r>
      <w:proofErr w:type="spellStart"/>
      <w:r w:rsidR="00A811F6" w:rsidRPr="00A75094">
        <w:t>Ainscow</w:t>
      </w:r>
      <w:proofErr w:type="spellEnd"/>
      <w:r w:rsidR="00A811F6" w:rsidRPr="00A75094">
        <w:t>, 2016</w:t>
      </w:r>
      <w:r w:rsidR="00942981" w:rsidRPr="00A75094">
        <w:t xml:space="preserve">).   It was against this background that the present study was conceived.  The primary aim was to identify the </w:t>
      </w:r>
      <w:r w:rsidR="00A8692F" w:rsidRPr="00A75094">
        <w:t xml:space="preserve">strategic </w:t>
      </w:r>
      <w:r w:rsidR="00FA086C" w:rsidRPr="00A75094">
        <w:t xml:space="preserve">actions </w:t>
      </w:r>
      <w:r w:rsidR="00942981" w:rsidRPr="00A75094">
        <w:t xml:space="preserve">that health systems should take to become more inclusive of persons with </w:t>
      </w:r>
      <w:r w:rsidR="00126922" w:rsidRPr="00A75094">
        <w:t>ID</w:t>
      </w:r>
      <w:r w:rsidR="00942981" w:rsidRPr="00A75094">
        <w:t xml:space="preserve">.  </w:t>
      </w:r>
    </w:p>
    <w:p w14:paraId="0D8CD9A0" w14:textId="77777777" w:rsidR="00942981" w:rsidRPr="00A75094" w:rsidRDefault="00942981" w:rsidP="00933C31">
      <w:pPr>
        <w:spacing w:after="120"/>
        <w:rPr>
          <w:b/>
        </w:rPr>
      </w:pPr>
      <w:r w:rsidRPr="00A75094">
        <w:rPr>
          <w:b/>
        </w:rPr>
        <w:t>The context for the study</w:t>
      </w:r>
    </w:p>
    <w:p w14:paraId="6F858167" w14:textId="4CF004C0" w:rsidR="00393094" w:rsidRPr="00A75094" w:rsidRDefault="00393094" w:rsidP="00933C31">
      <w:pPr>
        <w:spacing w:after="120"/>
      </w:pPr>
      <w:r w:rsidRPr="00A75094">
        <w:t>Special Olympics</w:t>
      </w:r>
      <w:r w:rsidR="006A0586" w:rsidRPr="00A75094">
        <w:t xml:space="preserve"> (SO)</w:t>
      </w:r>
      <w:r w:rsidRPr="00A75094">
        <w:t xml:space="preserve"> is a world-wide sports organisation </w:t>
      </w:r>
      <w:r w:rsidR="00C347B6" w:rsidRPr="00A75094">
        <w:t xml:space="preserve">for </w:t>
      </w:r>
      <w:r w:rsidRPr="00A75094">
        <w:t xml:space="preserve">people with </w:t>
      </w:r>
      <w:r w:rsidR="00126922" w:rsidRPr="00A75094">
        <w:t>ID</w:t>
      </w:r>
      <w:r w:rsidRPr="00A75094">
        <w:t xml:space="preserve">.  Now in its 51st year, it is active in 174 countries with over 5 million athletes and nearly half a million coaches involved in regular training sessions </w:t>
      </w:r>
      <w:r w:rsidR="00CA1DEA" w:rsidRPr="00A75094">
        <w:t xml:space="preserve"> (</w:t>
      </w:r>
      <w:hyperlink r:id="rId8" w:history="1">
        <w:r w:rsidR="00CA1DEA" w:rsidRPr="00A75094">
          <w:rPr>
            <w:rStyle w:val="Hyperlink"/>
            <w:color w:val="auto"/>
          </w:rPr>
          <w:t>http://annualreport.specialolympics.org/reach-report</w:t>
        </w:r>
      </w:hyperlink>
      <w:r w:rsidRPr="00A75094">
        <w:t>).</w:t>
      </w:r>
    </w:p>
    <w:p w14:paraId="074C67BA" w14:textId="3D2DA484" w:rsidR="00FF7458" w:rsidRPr="00A75094" w:rsidRDefault="00393094" w:rsidP="001C7649">
      <w:pPr>
        <w:spacing w:after="120"/>
      </w:pPr>
      <w:r w:rsidRPr="00A75094">
        <w:t xml:space="preserve">In 1997, </w:t>
      </w:r>
      <w:r w:rsidR="00942981" w:rsidRPr="00A75094">
        <w:t xml:space="preserve">Special Olympics instituted a Healthy Athletes program which offered free health </w:t>
      </w:r>
      <w:r w:rsidR="004174E7" w:rsidRPr="00A75094">
        <w:t>screenings</w:t>
      </w:r>
      <w:r w:rsidR="00942981" w:rsidRPr="00A75094">
        <w:t xml:space="preserve"> </w:t>
      </w:r>
      <w:r w:rsidR="00601209" w:rsidRPr="00A75094">
        <w:t xml:space="preserve">and </w:t>
      </w:r>
      <w:r w:rsidR="00C347B6" w:rsidRPr="00A75094">
        <w:t xml:space="preserve">education </w:t>
      </w:r>
      <w:r w:rsidR="00942981" w:rsidRPr="00A75094">
        <w:t>for participants in local, national, regional and international competitions.  To date</w:t>
      </w:r>
      <w:r w:rsidR="00C347B6" w:rsidRPr="00A75094">
        <w:t>, Special Olympics has conducted</w:t>
      </w:r>
      <w:r w:rsidR="00942981" w:rsidRPr="00A75094">
        <w:t xml:space="preserve"> over </w:t>
      </w:r>
      <w:r w:rsidR="00F74184" w:rsidRPr="00A75094">
        <w:t>two</w:t>
      </w:r>
      <w:r w:rsidR="00942981" w:rsidRPr="00A75094">
        <w:t xml:space="preserve"> million athlete </w:t>
      </w:r>
      <w:r w:rsidR="00C347B6" w:rsidRPr="00A75094">
        <w:t xml:space="preserve">screenings </w:t>
      </w:r>
      <w:r w:rsidR="00942981" w:rsidRPr="00A75094">
        <w:t xml:space="preserve">world-wide </w:t>
      </w:r>
      <w:r w:rsidR="000739BF" w:rsidRPr="00A75094">
        <w:t>(</w:t>
      </w:r>
      <w:hyperlink r:id="rId9" w:history="1">
        <w:r w:rsidR="00CA1DEA" w:rsidRPr="00A75094">
          <w:rPr>
            <w:rStyle w:val="Hyperlink"/>
            <w:color w:val="auto"/>
          </w:rPr>
          <w:t>https://www.specialolympics.org/our-work/inclusive-health</w:t>
        </w:r>
      </w:hyperlink>
      <w:r w:rsidR="000739BF" w:rsidRPr="00A75094">
        <w:t>).</w:t>
      </w:r>
      <w:r w:rsidR="00942981" w:rsidRPr="00A75094">
        <w:t xml:space="preserve"> </w:t>
      </w:r>
      <w:r w:rsidR="000739BF" w:rsidRPr="00A75094">
        <w:t xml:space="preserve"> </w:t>
      </w:r>
      <w:r w:rsidR="004174E7" w:rsidRPr="00A75094">
        <w:t>Through local partners, r</w:t>
      </w:r>
      <w:r w:rsidR="00601209" w:rsidRPr="00A75094">
        <w:t xml:space="preserve">emedial action is provided at the </w:t>
      </w:r>
      <w:r w:rsidR="004174E7" w:rsidRPr="00A75094">
        <w:t>screenings</w:t>
      </w:r>
      <w:r w:rsidR="00601209" w:rsidRPr="00A75094">
        <w:t xml:space="preserve"> for some of the identified health needs, such as </w:t>
      </w:r>
      <w:r w:rsidR="00A8692F" w:rsidRPr="00A75094">
        <w:t xml:space="preserve">health promotion, </w:t>
      </w:r>
      <w:r w:rsidR="00601209" w:rsidRPr="00A75094">
        <w:t xml:space="preserve">dental treatments or the provision of glasses.  However for many conditions, an onward referral to </w:t>
      </w:r>
      <w:r w:rsidR="001003A9" w:rsidRPr="00A75094">
        <w:t xml:space="preserve">continuing </w:t>
      </w:r>
      <w:r w:rsidR="00601209" w:rsidRPr="00A75094">
        <w:t xml:space="preserve">healthcare services has to be made.  In order to </w:t>
      </w:r>
      <w:r w:rsidR="00C347B6" w:rsidRPr="00A75094">
        <w:t xml:space="preserve">facilitate </w:t>
      </w:r>
      <w:r w:rsidR="00601209" w:rsidRPr="00A75094">
        <w:t>better follow-up</w:t>
      </w:r>
      <w:r w:rsidR="004174E7" w:rsidRPr="00A75094">
        <w:t xml:space="preserve"> care and also encourage year-round health and wellness, </w:t>
      </w:r>
      <w:r w:rsidR="00601209" w:rsidRPr="00A75094">
        <w:t>Special Olympics laun</w:t>
      </w:r>
      <w:r w:rsidR="001C7649" w:rsidRPr="00A75094">
        <w:t>ched their Healthy Communities p</w:t>
      </w:r>
      <w:r w:rsidR="00601209" w:rsidRPr="00A75094">
        <w:t>rogram</w:t>
      </w:r>
      <w:r w:rsidR="00C347B6" w:rsidRPr="00A75094">
        <w:t xml:space="preserve"> in 2012.</w:t>
      </w:r>
      <w:r w:rsidR="00F74184" w:rsidRPr="00A75094">
        <w:t xml:space="preserve"> </w:t>
      </w:r>
      <w:r w:rsidR="004174E7" w:rsidRPr="00A75094">
        <w:t xml:space="preserve"> </w:t>
      </w:r>
      <w:r w:rsidR="001C7649" w:rsidRPr="00A75094">
        <w:t xml:space="preserve">Currently Special Olympics works through a global network of 225 Special Olympics Programs, which are independent, accredited 501(c)3 organizations that operate under the General Rules of Special Olympics.  Each program could bid for funding to instigate a </w:t>
      </w:r>
      <w:r w:rsidR="004174E7" w:rsidRPr="00A75094">
        <w:t>‘</w:t>
      </w:r>
      <w:r w:rsidR="00C347B6" w:rsidRPr="00A75094">
        <w:t>Healthy Communities</w:t>
      </w:r>
      <w:r w:rsidR="004174E7" w:rsidRPr="00A75094">
        <w:t>’</w:t>
      </w:r>
      <w:r w:rsidR="00F74184" w:rsidRPr="00A75094">
        <w:t xml:space="preserve"> </w:t>
      </w:r>
      <w:r w:rsidR="001C7649" w:rsidRPr="00A75094">
        <w:t xml:space="preserve">project, the aim of which </w:t>
      </w:r>
      <w:r w:rsidR="00C9476D" w:rsidRPr="00A75094">
        <w:lastRenderedPageBreak/>
        <w:t xml:space="preserve">was </w:t>
      </w:r>
      <w:r w:rsidR="00FF7458" w:rsidRPr="00A75094">
        <w:t>to improve access to quality healthcare and preventative health education for people with</w:t>
      </w:r>
      <w:r w:rsidR="000739BF" w:rsidRPr="00A75094">
        <w:t xml:space="preserve"> </w:t>
      </w:r>
      <w:r w:rsidR="00126922" w:rsidRPr="00A75094">
        <w:t>ID</w:t>
      </w:r>
      <w:r w:rsidR="00F74184" w:rsidRPr="00A75094">
        <w:t>, primarily</w:t>
      </w:r>
      <w:r w:rsidR="000739BF" w:rsidRPr="00A75094">
        <w:t xml:space="preserve"> </w:t>
      </w:r>
      <w:r w:rsidR="00FF7458" w:rsidRPr="00A75094">
        <w:t>through strengthening the capacity of existing healthcare</w:t>
      </w:r>
      <w:r w:rsidR="00C347B6" w:rsidRPr="00A75094">
        <w:t xml:space="preserve"> and prevention</w:t>
      </w:r>
      <w:r w:rsidR="00FF7458" w:rsidRPr="00A75094">
        <w:t xml:space="preserve"> systems.  </w:t>
      </w:r>
      <w:r w:rsidR="001C7649" w:rsidRPr="00A75094">
        <w:t xml:space="preserve">   Healthy Community </w:t>
      </w:r>
      <w:r w:rsidR="000739BF" w:rsidRPr="00A75094">
        <w:t>staff work w</w:t>
      </w:r>
      <w:r w:rsidR="001C2DAF" w:rsidRPr="00A75094">
        <w:t>ith local and national partners including healthcare</w:t>
      </w:r>
      <w:r w:rsidR="00C347B6" w:rsidRPr="00A75094">
        <w:t xml:space="preserve"> and wellness</w:t>
      </w:r>
      <w:r w:rsidR="001C2DAF" w:rsidRPr="00A75094">
        <w:t xml:space="preserve"> professionals, universities, NGOs and government officials.  </w:t>
      </w:r>
    </w:p>
    <w:p w14:paraId="7B7A9A75" w14:textId="2BD21A78" w:rsidR="00FF7A7B" w:rsidRPr="00A75094" w:rsidRDefault="001C7649" w:rsidP="00933C31">
      <w:pPr>
        <w:spacing w:after="120"/>
      </w:pPr>
      <w:r w:rsidRPr="00A75094">
        <w:t>In 2016, Special Olympics launched a new health strategy aimed at creating a tipping point for the inclusive health of all people with ID</w:t>
      </w:r>
      <w:r w:rsidR="00A14040" w:rsidRPr="00A75094">
        <w:t xml:space="preserve">. </w:t>
      </w:r>
      <w:r w:rsidRPr="00A75094">
        <w:t xml:space="preserve">The aim is for people with ID to be included in all </w:t>
      </w:r>
      <w:r w:rsidR="00A14040" w:rsidRPr="00A75094">
        <w:t xml:space="preserve">mainstream </w:t>
      </w:r>
      <w:r w:rsidRPr="00A75094">
        <w:t xml:space="preserve">health policies and laws, programming and services, staff training programs and education, communities and funding streams.  To achieve this goal, Special Olympics identified two primary questions for this study.  First, what strategic actions are most likely to bring about inclusive health systems; whether it be at a local or national level and provided by either statutory or non-governmental agencies?   Second, what are the indicators that can be used to evidence a reduction in health disparities for people with IDD; within local as well as national populations?   </w:t>
      </w:r>
    </w:p>
    <w:p w14:paraId="5A9DC0EA" w14:textId="77777777" w:rsidR="00393094" w:rsidRPr="00A75094" w:rsidRDefault="00EB2033" w:rsidP="00933C31">
      <w:pPr>
        <w:spacing w:after="120"/>
        <w:rPr>
          <w:b/>
          <w:sz w:val="28"/>
          <w:szCs w:val="28"/>
        </w:rPr>
      </w:pPr>
      <w:r w:rsidRPr="00A75094">
        <w:rPr>
          <w:b/>
          <w:sz w:val="28"/>
          <w:szCs w:val="28"/>
        </w:rPr>
        <w:t>Research Strategy</w:t>
      </w:r>
    </w:p>
    <w:p w14:paraId="70FEABAB" w14:textId="77777777" w:rsidR="00393094" w:rsidRPr="00A75094" w:rsidRDefault="00F23AFD" w:rsidP="00933C31">
      <w:pPr>
        <w:spacing w:after="120"/>
      </w:pPr>
      <w:r w:rsidRPr="00A75094">
        <w:t>A four phase study was undertaken.</w:t>
      </w:r>
    </w:p>
    <w:p w14:paraId="750CB714" w14:textId="6FCC90DD" w:rsidR="00212386" w:rsidRPr="00A75094" w:rsidRDefault="00933C31" w:rsidP="00933C31">
      <w:pPr>
        <w:spacing w:after="120"/>
      </w:pPr>
      <w:r w:rsidRPr="00A75094">
        <w:rPr>
          <w:b/>
        </w:rPr>
        <w:t xml:space="preserve">Phase 1: </w:t>
      </w:r>
      <w:r w:rsidR="00F23AFD" w:rsidRPr="00A75094">
        <w:t xml:space="preserve">An advisory group of six persons </w:t>
      </w:r>
      <w:r w:rsidR="000F20E9" w:rsidRPr="00A75094">
        <w:t xml:space="preserve">(see </w:t>
      </w:r>
      <w:r w:rsidR="001003A9" w:rsidRPr="00A75094">
        <w:t>a</w:t>
      </w:r>
      <w:r w:rsidR="000F20E9" w:rsidRPr="00A75094">
        <w:t xml:space="preserve">cknowledgements) </w:t>
      </w:r>
      <w:r w:rsidR="00F23AFD" w:rsidRPr="00A75094">
        <w:t xml:space="preserve">was identified who together with the two project leaders </w:t>
      </w:r>
      <w:r w:rsidR="000F20E9" w:rsidRPr="00A75094">
        <w:t>(</w:t>
      </w:r>
      <w:proofErr w:type="spellStart"/>
      <w:r w:rsidR="000F20E9" w:rsidRPr="00A75094">
        <w:t>RMcC</w:t>
      </w:r>
      <w:proofErr w:type="spellEnd"/>
      <w:r w:rsidR="000F20E9" w:rsidRPr="00A75094">
        <w:t xml:space="preserve"> &amp; LT) </w:t>
      </w:r>
      <w:r w:rsidR="00F23AFD" w:rsidRPr="00A75094">
        <w:t>embodied a range of international expertise in research, health policy, service delivery and family care.  The advisory group identified relevant literature</w:t>
      </w:r>
      <w:r w:rsidR="00212386" w:rsidRPr="00A75094">
        <w:t xml:space="preserve"> and </w:t>
      </w:r>
      <w:r w:rsidR="00F23AFD" w:rsidRPr="00A75094">
        <w:t>ad</w:t>
      </w:r>
      <w:r w:rsidR="00212386" w:rsidRPr="00A75094">
        <w:t>vised on possible</w:t>
      </w:r>
      <w:r w:rsidR="000F20E9" w:rsidRPr="00A75094">
        <w:rPr>
          <w:bCs/>
        </w:rPr>
        <w:t xml:space="preserve"> </w:t>
      </w:r>
      <w:r w:rsidR="00A8692F" w:rsidRPr="00A75094">
        <w:rPr>
          <w:bCs/>
        </w:rPr>
        <w:t xml:space="preserve">strategic </w:t>
      </w:r>
      <w:r w:rsidR="001003A9" w:rsidRPr="00A75094">
        <w:t>actions</w:t>
      </w:r>
      <w:r w:rsidR="001003A9" w:rsidRPr="00A75094">
        <w:rPr>
          <w:bCs/>
        </w:rPr>
        <w:t xml:space="preserve"> </w:t>
      </w:r>
      <w:r w:rsidR="00A8692F" w:rsidRPr="00A75094">
        <w:rPr>
          <w:bCs/>
        </w:rPr>
        <w:t xml:space="preserve">and </w:t>
      </w:r>
      <w:r w:rsidR="000F20E9" w:rsidRPr="00A75094">
        <w:t>system</w:t>
      </w:r>
      <w:r w:rsidR="00A8692F" w:rsidRPr="00A75094">
        <w:t xml:space="preserve"> </w:t>
      </w:r>
      <w:r w:rsidR="00212386" w:rsidRPr="00A75094">
        <w:t xml:space="preserve">indicators.  They critically reviewed and quality assured all other phases of work. </w:t>
      </w:r>
    </w:p>
    <w:p w14:paraId="352B3C28" w14:textId="2AD009A2" w:rsidR="00AB6118" w:rsidRPr="00A75094" w:rsidRDefault="00212386" w:rsidP="00933C31">
      <w:pPr>
        <w:spacing w:after="120"/>
      </w:pPr>
      <w:r w:rsidRPr="00A75094">
        <w:rPr>
          <w:b/>
        </w:rPr>
        <w:t xml:space="preserve">Phase 2: </w:t>
      </w:r>
      <w:r w:rsidR="00933C31" w:rsidRPr="00A75094">
        <w:rPr>
          <w:b/>
        </w:rPr>
        <w:t xml:space="preserve"> </w:t>
      </w:r>
      <w:r w:rsidRPr="00A75094">
        <w:t xml:space="preserve">A </w:t>
      </w:r>
      <w:r w:rsidR="00F52508" w:rsidRPr="00A75094">
        <w:t xml:space="preserve">scoping </w:t>
      </w:r>
      <w:r w:rsidRPr="00A75094">
        <w:t>literature review was undertaken by the first two authors</w:t>
      </w:r>
      <w:r w:rsidR="001A3EF0" w:rsidRPr="00A75094">
        <w:t xml:space="preserve"> with a discrete focus on identifying strategic actions and indic</w:t>
      </w:r>
      <w:r w:rsidR="00AB4AE1" w:rsidRPr="00A75094">
        <w:t>a</w:t>
      </w:r>
      <w:r w:rsidR="001A3EF0" w:rsidRPr="00A75094">
        <w:t>tors of inclusive systems</w:t>
      </w:r>
      <w:r w:rsidRPr="00A75094">
        <w:t xml:space="preserve"> </w:t>
      </w:r>
      <w:r w:rsidR="001A3EF0" w:rsidRPr="00A75094">
        <w:t>that had been proposed mostly in review papers.  From this, a</w:t>
      </w:r>
      <w:r w:rsidRPr="00A75094">
        <w:t xml:space="preserve"> </w:t>
      </w:r>
      <w:r w:rsidR="00A8692F" w:rsidRPr="00A75094">
        <w:t xml:space="preserve">socio-ecological </w:t>
      </w:r>
      <w:r w:rsidRPr="00A75094">
        <w:t xml:space="preserve">conceptual </w:t>
      </w:r>
      <w:r w:rsidRPr="00A75094">
        <w:lastRenderedPageBreak/>
        <w:t xml:space="preserve">framework emerged </w:t>
      </w:r>
      <w:r w:rsidR="00F06DC4" w:rsidRPr="00A75094">
        <w:t>(see Figure 1).   A</w:t>
      </w:r>
      <w:r w:rsidRPr="00A75094">
        <w:t xml:space="preserve"> listing </w:t>
      </w:r>
      <w:r w:rsidR="00417CEE" w:rsidRPr="00A75094">
        <w:t xml:space="preserve">was </w:t>
      </w:r>
      <w:r w:rsidR="00F06DC4" w:rsidRPr="00A75094">
        <w:t xml:space="preserve">also </w:t>
      </w:r>
      <w:r w:rsidR="00417CEE" w:rsidRPr="00A75094">
        <w:t xml:space="preserve">made </w:t>
      </w:r>
      <w:r w:rsidR="00507BE5" w:rsidRPr="00A75094">
        <w:t xml:space="preserve">of </w:t>
      </w:r>
      <w:r w:rsidR="00A8692F" w:rsidRPr="00A75094">
        <w:t xml:space="preserve">the </w:t>
      </w:r>
      <w:r w:rsidRPr="00A75094">
        <w:t xml:space="preserve">possible </w:t>
      </w:r>
      <w:r w:rsidR="00A8692F" w:rsidRPr="00A75094">
        <w:t xml:space="preserve">strategic </w:t>
      </w:r>
      <w:r w:rsidR="00AB6118" w:rsidRPr="00A75094">
        <w:t xml:space="preserve">actions </w:t>
      </w:r>
      <w:r w:rsidR="00A8692F" w:rsidRPr="00A75094">
        <w:t xml:space="preserve">and system indicators </w:t>
      </w:r>
      <w:r w:rsidR="00AB6118" w:rsidRPr="00A75094">
        <w:t xml:space="preserve">that </w:t>
      </w:r>
      <w:r w:rsidR="00F06DC4" w:rsidRPr="00A75094">
        <w:t xml:space="preserve">previous studies suggested </w:t>
      </w:r>
      <w:r w:rsidR="00AB6118" w:rsidRPr="00A75094">
        <w:t xml:space="preserve">would </w:t>
      </w:r>
      <w:r w:rsidR="00DB2327" w:rsidRPr="00A75094">
        <w:t xml:space="preserve">make </w:t>
      </w:r>
      <w:r w:rsidRPr="00A75094">
        <w:t xml:space="preserve">health systems </w:t>
      </w:r>
      <w:r w:rsidR="00DB2327" w:rsidRPr="00A75094">
        <w:t>more inclusive</w:t>
      </w:r>
      <w:r w:rsidR="00F06DC4" w:rsidRPr="00A75094">
        <w:t>.</w:t>
      </w:r>
      <w:r w:rsidR="00AB6118" w:rsidRPr="00A75094">
        <w:t xml:space="preserve"> </w:t>
      </w:r>
    </w:p>
    <w:p w14:paraId="21C56C04" w14:textId="29CE3093" w:rsidR="00DB2327" w:rsidRPr="00A75094" w:rsidRDefault="00AB6118" w:rsidP="0052489A">
      <w:pPr>
        <w:spacing w:after="120"/>
        <w:jc w:val="center"/>
        <w:rPr>
          <w:i/>
        </w:rPr>
      </w:pPr>
      <w:r w:rsidRPr="00A75094">
        <w:rPr>
          <w:i/>
        </w:rPr>
        <w:t>Insert Figure 1 about here</w:t>
      </w:r>
      <w:r w:rsidR="00DB2327" w:rsidRPr="00A75094">
        <w:rPr>
          <w:i/>
        </w:rPr>
        <w:t xml:space="preserve">  </w:t>
      </w:r>
    </w:p>
    <w:p w14:paraId="2DCDA3AE" w14:textId="22543FE3" w:rsidR="0087222F" w:rsidRPr="00A75094" w:rsidRDefault="00F06DC4" w:rsidP="00AE4CFA">
      <w:pPr>
        <w:spacing w:after="120"/>
      </w:pPr>
      <w:r w:rsidRPr="00A75094">
        <w:t>The current literature suggest</w:t>
      </w:r>
      <w:r w:rsidR="00CA1DEA" w:rsidRPr="00A75094">
        <w:t>s</w:t>
      </w:r>
      <w:r w:rsidRPr="00A75094">
        <w:t xml:space="preserve"> that a</w:t>
      </w:r>
      <w:r w:rsidR="00AB6118" w:rsidRPr="00A75094">
        <w:t xml:space="preserve">ccess to </w:t>
      </w:r>
      <w:r w:rsidR="00EC084C" w:rsidRPr="00A75094">
        <w:t xml:space="preserve">health </w:t>
      </w:r>
      <w:r w:rsidR="00AB6118" w:rsidRPr="00A75094">
        <w:t xml:space="preserve">services </w:t>
      </w:r>
      <w:r w:rsidRPr="00A75094">
        <w:t xml:space="preserve">by people with </w:t>
      </w:r>
      <w:r w:rsidR="00126922" w:rsidRPr="00A75094">
        <w:t>ID</w:t>
      </w:r>
      <w:r w:rsidRPr="00A75094">
        <w:t xml:space="preserve"> </w:t>
      </w:r>
      <w:r w:rsidR="00AB6118" w:rsidRPr="00A75094">
        <w:t xml:space="preserve">was primarily </w:t>
      </w:r>
      <w:r w:rsidR="00CA1DEA" w:rsidRPr="00A75094">
        <w:t xml:space="preserve">studied </w:t>
      </w:r>
      <w:r w:rsidR="00AB6118" w:rsidRPr="00A75094">
        <w:t xml:space="preserve">at a locality or community level – be it primary, secondary or tertiary level care.   </w:t>
      </w:r>
      <w:r w:rsidRPr="00A75094">
        <w:t>Moreover, s</w:t>
      </w:r>
      <w:r w:rsidR="00AB6118" w:rsidRPr="00A75094">
        <w:t xml:space="preserve">trategic actions are required to overcome barriers to access that are currently experienced </w:t>
      </w:r>
      <w:r w:rsidR="00417CEE" w:rsidRPr="00A75094">
        <w:t xml:space="preserve">in community </w:t>
      </w:r>
      <w:r w:rsidR="008F2E60" w:rsidRPr="00A75094">
        <w:t xml:space="preserve">settings, </w:t>
      </w:r>
      <w:r w:rsidR="00AB6118" w:rsidRPr="00A75094">
        <w:t xml:space="preserve">but </w:t>
      </w:r>
      <w:r w:rsidR="00417CEE" w:rsidRPr="00A75094">
        <w:t xml:space="preserve">information about the extent of disparities is needed to both justify the need for action as well as evidencing the impact </w:t>
      </w:r>
      <w:r w:rsidR="00AE4CFA" w:rsidRPr="00A75094">
        <w:t xml:space="preserve">they have </w:t>
      </w:r>
      <w:r w:rsidR="00417CEE" w:rsidRPr="00A75094">
        <w:t xml:space="preserve">on the health and wellbeing of </w:t>
      </w:r>
      <w:r w:rsidR="008F2E60" w:rsidRPr="00A75094">
        <w:t xml:space="preserve">people </w:t>
      </w:r>
      <w:r w:rsidR="00417CEE" w:rsidRPr="00A75094">
        <w:t xml:space="preserve">with </w:t>
      </w:r>
      <w:r w:rsidR="00126922" w:rsidRPr="00A75094">
        <w:t>ID</w:t>
      </w:r>
      <w:r w:rsidR="00417CEE" w:rsidRPr="00A75094">
        <w:t>.   However in many instances actions may have to be taken nationally in order for change to happen in local services.  Moreover trans</w:t>
      </w:r>
      <w:r w:rsidR="00D61374" w:rsidRPr="00A75094">
        <w:t>-</w:t>
      </w:r>
      <w:r w:rsidR="00417CEE" w:rsidRPr="00A75094">
        <w:t xml:space="preserve">national organisations, notably the World Health Organisation and in this instance, Special Olympics, can also have an important influence.  </w:t>
      </w:r>
      <w:r w:rsidR="00AE4CFA" w:rsidRPr="00A75094">
        <w:t xml:space="preserve">As the figure shows, strategic actions and indicators of disparities could be applied nationally and transnationally.  </w:t>
      </w:r>
    </w:p>
    <w:p w14:paraId="450D15F7" w14:textId="488859FA" w:rsidR="00A83961" w:rsidRPr="00A75094" w:rsidRDefault="00A83961" w:rsidP="00933C31">
      <w:pPr>
        <w:spacing w:after="120"/>
      </w:pPr>
      <w:r w:rsidRPr="00A75094">
        <w:rPr>
          <w:b/>
        </w:rPr>
        <w:t xml:space="preserve">Phase 3: </w:t>
      </w:r>
      <w:r w:rsidR="00933C31" w:rsidRPr="00A75094">
        <w:rPr>
          <w:b/>
        </w:rPr>
        <w:t xml:space="preserve"> </w:t>
      </w:r>
      <w:r w:rsidRPr="00A75094">
        <w:t>Individual interviews</w:t>
      </w:r>
      <w:r w:rsidR="00AE4CFA" w:rsidRPr="00A75094">
        <w:t>,</w:t>
      </w:r>
      <w:r w:rsidRPr="00A75094">
        <w:t xml:space="preserve"> </w:t>
      </w:r>
      <w:r w:rsidR="00AB6118" w:rsidRPr="00A75094">
        <w:t xml:space="preserve">mainly </w:t>
      </w:r>
      <w:r w:rsidRPr="00A75094">
        <w:t>by Skype</w:t>
      </w:r>
      <w:r w:rsidR="00AE4CFA" w:rsidRPr="00A75094">
        <w:t>,</w:t>
      </w:r>
      <w:r w:rsidR="00AB6118" w:rsidRPr="00A75094">
        <w:t xml:space="preserve"> </w:t>
      </w:r>
      <w:r w:rsidR="00AE4CFA" w:rsidRPr="00A75094">
        <w:t xml:space="preserve">were undertaken </w:t>
      </w:r>
      <w:r w:rsidRPr="00A75094">
        <w:t>with 16 nominated Specia</w:t>
      </w:r>
      <w:r w:rsidR="00483A18" w:rsidRPr="00A75094">
        <w:t>l Olympics staff involved with h</w:t>
      </w:r>
      <w:r w:rsidRPr="00A75094">
        <w:t xml:space="preserve">ealth </w:t>
      </w:r>
      <w:r w:rsidR="008F2E60" w:rsidRPr="00A75094">
        <w:t xml:space="preserve">programming </w:t>
      </w:r>
      <w:r w:rsidRPr="00A75094">
        <w:t xml:space="preserve">in </w:t>
      </w:r>
      <w:r w:rsidR="00483A18" w:rsidRPr="00A75094">
        <w:t xml:space="preserve">Special Olympics </w:t>
      </w:r>
      <w:r w:rsidR="008F2E60" w:rsidRPr="00A75094">
        <w:t>headq</w:t>
      </w:r>
      <w:r w:rsidRPr="00A75094">
        <w:t xml:space="preserve">uarters as well as Regional Managers and country managers for </w:t>
      </w:r>
      <w:r w:rsidR="008F2E60" w:rsidRPr="00A75094">
        <w:t>local Special Olympics</w:t>
      </w:r>
      <w:r w:rsidRPr="00A75094">
        <w:t xml:space="preserve"> </w:t>
      </w:r>
      <w:r w:rsidR="00AE4CFA" w:rsidRPr="00A75094">
        <w:t>Programs</w:t>
      </w:r>
      <w:r w:rsidR="00D61374" w:rsidRPr="00A75094">
        <w:t xml:space="preserve"> </w:t>
      </w:r>
      <w:r w:rsidR="008F2E60" w:rsidRPr="00A75094">
        <w:t>implementing health activities</w:t>
      </w:r>
      <w:r w:rsidRPr="00A75094">
        <w:t xml:space="preserve">.  The interviews drew on their experiences of the health needs of people with </w:t>
      </w:r>
      <w:r w:rsidR="00126922" w:rsidRPr="00A75094">
        <w:t>ID</w:t>
      </w:r>
      <w:r w:rsidRPr="00A75094">
        <w:t xml:space="preserve"> nationally and internationally, the strategies they had found effective in health improvement, and the types and means of obtaining information relating to health systems</w:t>
      </w:r>
      <w:r w:rsidR="00EB2033" w:rsidRPr="00A75094">
        <w:t xml:space="preserve"> and health disparities</w:t>
      </w:r>
      <w:r w:rsidRPr="00A75094">
        <w:t>.   The</w:t>
      </w:r>
      <w:r w:rsidR="00AE4CFA" w:rsidRPr="00A75094">
        <w:t>ir</w:t>
      </w:r>
      <w:r w:rsidRPr="00A75094">
        <w:t xml:space="preserve"> responses helped to </w:t>
      </w:r>
      <w:r w:rsidR="000855A4" w:rsidRPr="00A75094">
        <w:t>amplify the conceptual model and confirmed the</w:t>
      </w:r>
      <w:r w:rsidRPr="00A75094">
        <w:t xml:space="preserve"> possible </w:t>
      </w:r>
      <w:r w:rsidR="00A8692F" w:rsidRPr="00A75094">
        <w:rPr>
          <w:bCs/>
        </w:rPr>
        <w:t xml:space="preserve">strategic </w:t>
      </w:r>
      <w:r w:rsidR="000855A4" w:rsidRPr="00A75094">
        <w:rPr>
          <w:bCs/>
        </w:rPr>
        <w:t xml:space="preserve">actions </w:t>
      </w:r>
      <w:r w:rsidR="00A8692F" w:rsidRPr="00A75094">
        <w:rPr>
          <w:bCs/>
        </w:rPr>
        <w:t xml:space="preserve">and system </w:t>
      </w:r>
      <w:r w:rsidR="00F06DC4" w:rsidRPr="00A75094">
        <w:rPr>
          <w:bCs/>
        </w:rPr>
        <w:t>indicators</w:t>
      </w:r>
      <w:r w:rsidR="00F06DC4" w:rsidRPr="00A75094">
        <w:rPr>
          <w:b/>
        </w:rPr>
        <w:t xml:space="preserve"> </w:t>
      </w:r>
      <w:r w:rsidR="00F06DC4" w:rsidRPr="00A75094">
        <w:t>that</w:t>
      </w:r>
      <w:r w:rsidRPr="00A75094">
        <w:t xml:space="preserve"> were used in the next phase</w:t>
      </w:r>
      <w:r w:rsidR="00AE4CFA" w:rsidRPr="00A75094">
        <w:t xml:space="preserve"> (</w:t>
      </w:r>
      <w:r w:rsidR="00790C32" w:rsidRPr="00A75094">
        <w:t>see Tables 2 and 3 for examples)</w:t>
      </w:r>
      <w:r w:rsidRPr="00A75094">
        <w:t>. (Further details of th</w:t>
      </w:r>
      <w:r w:rsidR="006A0586" w:rsidRPr="00A75094">
        <w:t xml:space="preserve">e above </w:t>
      </w:r>
      <w:r w:rsidRPr="00A75094">
        <w:t>phase</w:t>
      </w:r>
      <w:r w:rsidR="006A0586" w:rsidRPr="00A75094">
        <w:t>s</w:t>
      </w:r>
      <w:r w:rsidRPr="00A75094">
        <w:t xml:space="preserve"> are available on request). </w:t>
      </w:r>
    </w:p>
    <w:p w14:paraId="6BC0B0A2" w14:textId="334935D3" w:rsidR="00A83961" w:rsidRPr="00A75094" w:rsidRDefault="00A83961" w:rsidP="00111CD3">
      <w:pPr>
        <w:spacing w:after="120"/>
      </w:pPr>
      <w:r w:rsidRPr="00A75094">
        <w:rPr>
          <w:b/>
        </w:rPr>
        <w:lastRenderedPageBreak/>
        <w:t xml:space="preserve">Phase 4: </w:t>
      </w:r>
      <w:r w:rsidR="00933C31" w:rsidRPr="00A75094">
        <w:rPr>
          <w:b/>
        </w:rPr>
        <w:t xml:space="preserve"> </w:t>
      </w:r>
      <w:r w:rsidR="00EB2033" w:rsidRPr="00A75094">
        <w:t>From P</w:t>
      </w:r>
      <w:r w:rsidRPr="00A75094">
        <w:t xml:space="preserve">hases 2 and 3, a list of </w:t>
      </w:r>
      <w:r w:rsidR="00EB2033" w:rsidRPr="00A75094">
        <w:t xml:space="preserve">19 </w:t>
      </w:r>
      <w:r w:rsidR="00A8692F" w:rsidRPr="00A75094">
        <w:rPr>
          <w:bCs/>
        </w:rPr>
        <w:t xml:space="preserve">strategic </w:t>
      </w:r>
      <w:r w:rsidR="00AE4CFA" w:rsidRPr="00A75094">
        <w:rPr>
          <w:bCs/>
        </w:rPr>
        <w:t xml:space="preserve">actions </w:t>
      </w:r>
      <w:r w:rsidR="00EB2033" w:rsidRPr="00A75094">
        <w:t>relating to service policies and procedures</w:t>
      </w:r>
      <w:r w:rsidR="000F20E9" w:rsidRPr="00A75094">
        <w:t>,</w:t>
      </w:r>
      <w:r w:rsidR="00EB2033" w:rsidRPr="00A75094">
        <w:t xml:space="preserve"> </w:t>
      </w:r>
      <w:r w:rsidRPr="00A75094">
        <w:t xml:space="preserve">and </w:t>
      </w:r>
      <w:r w:rsidR="00EB2033" w:rsidRPr="00A75094">
        <w:t xml:space="preserve">a further 11 indicators of  health disparities was created and validated with the Advisory Group and </w:t>
      </w:r>
      <w:r w:rsidR="00AE4CFA" w:rsidRPr="00A75094">
        <w:t xml:space="preserve">through </w:t>
      </w:r>
      <w:r w:rsidR="00EB2033" w:rsidRPr="00A75094">
        <w:t>further consultations with S</w:t>
      </w:r>
      <w:r w:rsidR="006A0586" w:rsidRPr="00A75094">
        <w:t>pecial Olympic respondents</w:t>
      </w:r>
      <w:r w:rsidR="007E12B9" w:rsidRPr="00A75094">
        <w:t xml:space="preserve"> (see Table</w:t>
      </w:r>
      <w:r w:rsidR="00790C32" w:rsidRPr="00A75094">
        <w:t>s</w:t>
      </w:r>
      <w:r w:rsidR="007E12B9" w:rsidRPr="00A75094">
        <w:t xml:space="preserve"> 2</w:t>
      </w:r>
      <w:r w:rsidR="00790C32" w:rsidRPr="00A75094">
        <w:t xml:space="preserve"> and 3</w:t>
      </w:r>
      <w:r w:rsidR="007E12B9" w:rsidRPr="00A75094">
        <w:t>)</w:t>
      </w:r>
      <w:r w:rsidR="00EB2033" w:rsidRPr="00A75094">
        <w:t xml:space="preserve">. </w:t>
      </w:r>
      <w:r w:rsidR="00881B49" w:rsidRPr="00A75094">
        <w:t xml:space="preserve"> These items formed the basis of the survey which t</w:t>
      </w:r>
      <w:r w:rsidR="00EB2033" w:rsidRPr="00A75094">
        <w:t xml:space="preserve">he remainder of the paper </w:t>
      </w:r>
      <w:r w:rsidR="00881B49" w:rsidRPr="00A75094">
        <w:t xml:space="preserve">describes with the aim of </w:t>
      </w:r>
      <w:r w:rsidR="00EB2033" w:rsidRPr="00A75094">
        <w:t>establish</w:t>
      </w:r>
      <w:r w:rsidR="00881B49" w:rsidRPr="00A75094">
        <w:t>ing</w:t>
      </w:r>
      <w:r w:rsidR="00EB2033" w:rsidRPr="00A75094">
        <w:t xml:space="preserve"> consensus on the </w:t>
      </w:r>
      <w:r w:rsidR="007F5F72" w:rsidRPr="00A75094">
        <w:rPr>
          <w:bCs/>
        </w:rPr>
        <w:t xml:space="preserve">strategic </w:t>
      </w:r>
      <w:r w:rsidR="005A78DD" w:rsidRPr="00A75094">
        <w:rPr>
          <w:bCs/>
        </w:rPr>
        <w:t xml:space="preserve">actions </w:t>
      </w:r>
      <w:r w:rsidR="00AE4CFA" w:rsidRPr="00A75094">
        <w:rPr>
          <w:bCs/>
        </w:rPr>
        <w:t>and system</w:t>
      </w:r>
      <w:r w:rsidR="007F5F72" w:rsidRPr="00A75094">
        <w:rPr>
          <w:bCs/>
        </w:rPr>
        <w:t xml:space="preserve"> indicators</w:t>
      </w:r>
      <w:r w:rsidR="007F5F72" w:rsidRPr="00A75094">
        <w:rPr>
          <w:b/>
        </w:rPr>
        <w:t xml:space="preserve"> </w:t>
      </w:r>
      <w:r w:rsidR="00EB2033" w:rsidRPr="00A75094">
        <w:t>that were most releva</w:t>
      </w:r>
      <w:r w:rsidR="00483A18" w:rsidRPr="00A75094">
        <w:t xml:space="preserve">nt to </w:t>
      </w:r>
      <w:r w:rsidR="00E855E1" w:rsidRPr="00A75094">
        <w:t xml:space="preserve">the creation of </w:t>
      </w:r>
      <w:r w:rsidR="00483A18" w:rsidRPr="00A75094">
        <w:t>inclusive health systems.</w:t>
      </w:r>
      <w:r w:rsidR="00111CD3" w:rsidRPr="00A75094">
        <w:t xml:space="preserve">  This </w:t>
      </w:r>
      <w:r w:rsidR="005A78DD" w:rsidRPr="00A75094">
        <w:t xml:space="preserve">phase </w:t>
      </w:r>
      <w:r w:rsidR="00111CD3" w:rsidRPr="00A75094">
        <w:t xml:space="preserve">was modelled on previous surveys with expert panels (e.g. Tomlinson, </w:t>
      </w:r>
      <w:proofErr w:type="spellStart"/>
      <w:r w:rsidR="00111CD3" w:rsidRPr="00A75094">
        <w:t>Yasamy</w:t>
      </w:r>
      <w:proofErr w:type="spellEnd"/>
      <w:r w:rsidR="00111CD3" w:rsidRPr="00A75094">
        <w:t xml:space="preserve">, Emerson, Officer, Richler &amp; Saxena, 2014). </w:t>
      </w:r>
    </w:p>
    <w:p w14:paraId="2B91CEF1" w14:textId="77777777" w:rsidR="00EB2033" w:rsidRPr="00A75094" w:rsidRDefault="00EB2033" w:rsidP="00933C31">
      <w:pPr>
        <w:spacing w:after="120"/>
        <w:rPr>
          <w:b/>
          <w:sz w:val="28"/>
          <w:szCs w:val="28"/>
        </w:rPr>
      </w:pPr>
      <w:r w:rsidRPr="00A75094">
        <w:rPr>
          <w:b/>
          <w:sz w:val="28"/>
          <w:szCs w:val="28"/>
        </w:rPr>
        <w:t>Method</w:t>
      </w:r>
    </w:p>
    <w:p w14:paraId="13BCBEA2" w14:textId="77777777" w:rsidR="007E12B9" w:rsidRPr="00A75094" w:rsidRDefault="007E12B9" w:rsidP="00933C31">
      <w:pPr>
        <w:spacing w:after="120"/>
        <w:rPr>
          <w:b/>
        </w:rPr>
      </w:pPr>
      <w:r w:rsidRPr="00A75094">
        <w:rPr>
          <w:b/>
        </w:rPr>
        <w:t>Participants</w:t>
      </w:r>
    </w:p>
    <w:p w14:paraId="4AEA007A" w14:textId="488BD435" w:rsidR="00EE13C7" w:rsidRPr="00A75094" w:rsidRDefault="00EE13C7" w:rsidP="00933C31">
      <w:pPr>
        <w:spacing w:after="120"/>
      </w:pPr>
      <w:r w:rsidRPr="00A75094">
        <w:t>Two panels of informants were recruited</w:t>
      </w:r>
      <w:r w:rsidR="007E12B9" w:rsidRPr="00A75094">
        <w:t xml:space="preserve"> </w:t>
      </w:r>
      <w:r w:rsidR="002F7876" w:rsidRPr="00A75094">
        <w:t xml:space="preserve">through </w:t>
      </w:r>
      <w:r w:rsidR="007E12B9" w:rsidRPr="00A75094">
        <w:t>emails sent to three groups</w:t>
      </w:r>
      <w:r w:rsidR="00EB2033" w:rsidRPr="00A75094">
        <w:t xml:space="preserve">. </w:t>
      </w:r>
      <w:r w:rsidRPr="00A75094">
        <w:t xml:space="preserve">  One panel was drawn from Special Olympics </w:t>
      </w:r>
      <w:r w:rsidR="006A0586" w:rsidRPr="00A75094">
        <w:t xml:space="preserve">(SO) </w:t>
      </w:r>
      <w:r w:rsidRPr="00A75094">
        <w:t>staff involved in</w:t>
      </w:r>
      <w:r w:rsidR="00CB4B4D" w:rsidRPr="00A75094">
        <w:t xml:space="preserve"> their </w:t>
      </w:r>
      <w:r w:rsidR="008F2E60" w:rsidRPr="00A75094">
        <w:t xml:space="preserve">health programming </w:t>
      </w:r>
      <w:r w:rsidRPr="00A75094">
        <w:t xml:space="preserve">internationally; the second from health personnel involved in research, teaching and clinical practice with people with </w:t>
      </w:r>
      <w:r w:rsidR="00126922" w:rsidRPr="00A75094">
        <w:t>ID</w:t>
      </w:r>
      <w:r w:rsidRPr="00A75094">
        <w:t xml:space="preserve"> (recruited through the Health Special Interest Research Group of IASS</w:t>
      </w:r>
      <w:r w:rsidR="00126922" w:rsidRPr="00A75094">
        <w:t>I</w:t>
      </w:r>
      <w:r w:rsidR="00B26602" w:rsidRPr="00A75094">
        <w:t>D</w:t>
      </w:r>
      <w:r w:rsidR="00126922" w:rsidRPr="00A75094">
        <w:t>D</w:t>
      </w:r>
      <w:r w:rsidRPr="00A75094">
        <w:t xml:space="preserve"> and the American Academy of Developmental Medicine and Dentistry</w:t>
      </w:r>
      <w:r w:rsidR="00EB2033" w:rsidRPr="00A75094">
        <w:t>, AA</w:t>
      </w:r>
      <w:r w:rsidR="007E12B9" w:rsidRPr="00A75094">
        <w:t>DMD</w:t>
      </w:r>
      <w:r w:rsidRPr="00A75094">
        <w:t>).</w:t>
      </w:r>
      <w:r w:rsidR="007E12B9" w:rsidRPr="00A75094">
        <w:t xml:space="preserve">  An </w:t>
      </w:r>
      <w:r w:rsidR="00F06DC4" w:rsidRPr="00A75094">
        <w:t xml:space="preserve">estimated 300 persons </w:t>
      </w:r>
      <w:r w:rsidR="007E12B9" w:rsidRPr="00A75094">
        <w:t>were sent the link to the online questionnaire</w:t>
      </w:r>
      <w:r w:rsidR="00F9727B" w:rsidRPr="00A75094">
        <w:t xml:space="preserve"> according to information from the distributors of the emails. </w:t>
      </w:r>
      <w:r w:rsidR="007E12B9" w:rsidRPr="00A75094">
        <w:t xml:space="preserve"> </w:t>
      </w:r>
    </w:p>
    <w:p w14:paraId="2905A69C" w14:textId="5FD1D0F7" w:rsidR="007E12B9" w:rsidRPr="00A75094" w:rsidRDefault="007E12B9" w:rsidP="00510C8E">
      <w:pPr>
        <w:spacing w:after="120"/>
      </w:pPr>
      <w:r w:rsidRPr="00A75094">
        <w:t xml:space="preserve">In all, 61 completed responses were received </w:t>
      </w:r>
      <w:r w:rsidR="006A0586" w:rsidRPr="00A75094">
        <w:t xml:space="preserve">(a response rate of around 20%) </w:t>
      </w:r>
      <w:r w:rsidRPr="00A75094">
        <w:t xml:space="preserve">and </w:t>
      </w:r>
      <w:r w:rsidR="005A37E1" w:rsidRPr="00A75094">
        <w:t>Table</w:t>
      </w:r>
      <w:r w:rsidR="00510C8E" w:rsidRPr="00A75094">
        <w:t xml:space="preserve"> 1 summarises </w:t>
      </w:r>
      <w:r w:rsidRPr="00A75094">
        <w:t>the characteristics</w:t>
      </w:r>
      <w:r w:rsidR="00900400" w:rsidRPr="00A75094">
        <w:t xml:space="preserve"> of respondents</w:t>
      </w:r>
      <w:r w:rsidR="00510C8E" w:rsidRPr="00A75094">
        <w:t xml:space="preserve">.  Health professionals came from the following disciplines: </w:t>
      </w:r>
      <w:r w:rsidR="000F20E9" w:rsidRPr="00A75094">
        <w:t>medical</w:t>
      </w:r>
      <w:r w:rsidR="00510C8E" w:rsidRPr="00A75094">
        <w:t xml:space="preserve"> doctors, dentists, therapists, nurses, pharmacy, dietitian, audiology, optometry, social work, sports scientist and researchers.  Special Olympics respondents included Healthy Athlete</w:t>
      </w:r>
      <w:r w:rsidR="008F2E60" w:rsidRPr="00A75094">
        <w:t>s</w:t>
      </w:r>
      <w:r w:rsidR="00510C8E" w:rsidRPr="00A75094">
        <w:t xml:space="preserve"> and Healthy Communities personnel from most S</w:t>
      </w:r>
      <w:r w:rsidR="00BE1916" w:rsidRPr="00A75094">
        <w:t xml:space="preserve">pecial Olympic </w:t>
      </w:r>
      <w:r w:rsidR="00510C8E" w:rsidRPr="00A75094">
        <w:t>regions along with some family relatives of athletes.</w:t>
      </w:r>
    </w:p>
    <w:p w14:paraId="58D57DA5" w14:textId="77777777" w:rsidR="007E12B9" w:rsidRPr="00A75094" w:rsidRDefault="00933C31" w:rsidP="00933C31">
      <w:pPr>
        <w:spacing w:after="120"/>
        <w:jc w:val="center"/>
        <w:rPr>
          <w:i/>
        </w:rPr>
      </w:pPr>
      <w:r w:rsidRPr="00A75094">
        <w:rPr>
          <w:i/>
        </w:rPr>
        <w:t>Insert Table 1 about here</w:t>
      </w:r>
    </w:p>
    <w:p w14:paraId="11420E04" w14:textId="77777777" w:rsidR="007E12B9" w:rsidRPr="00A75094" w:rsidRDefault="007E12B9" w:rsidP="00933C31">
      <w:pPr>
        <w:spacing w:after="120"/>
        <w:rPr>
          <w:b/>
        </w:rPr>
      </w:pPr>
      <w:r w:rsidRPr="00A75094">
        <w:rPr>
          <w:b/>
        </w:rPr>
        <w:lastRenderedPageBreak/>
        <w:t>Procedure</w:t>
      </w:r>
    </w:p>
    <w:p w14:paraId="0B06D60E" w14:textId="71D28BEB" w:rsidR="00742F5D" w:rsidRPr="00A75094" w:rsidRDefault="002F7876" w:rsidP="00933C31">
      <w:pPr>
        <w:spacing w:after="120"/>
      </w:pPr>
      <w:r w:rsidRPr="00A75094">
        <w:t xml:space="preserve">An </w:t>
      </w:r>
      <w:r w:rsidR="001F160E" w:rsidRPr="00A75094">
        <w:t>online self-completion questionnaire using Qual</w:t>
      </w:r>
      <w:r w:rsidRPr="00A75094">
        <w:t>trics software</w:t>
      </w:r>
      <w:r w:rsidR="001F160E" w:rsidRPr="00A75094">
        <w:t xml:space="preserve"> (https://www.qualtrics.com/uk/)</w:t>
      </w:r>
      <w:r w:rsidRPr="00A75094">
        <w:t xml:space="preserve"> was developed.  The </w:t>
      </w:r>
      <w:r w:rsidR="001F160E" w:rsidRPr="00A75094">
        <w:t xml:space="preserve">19 </w:t>
      </w:r>
      <w:r w:rsidRPr="00A75094">
        <w:t xml:space="preserve">items describing strategic actions were grouped together in one section and those relating to </w:t>
      </w:r>
      <w:r w:rsidR="001F160E" w:rsidRPr="00A75094">
        <w:t xml:space="preserve">the 11 </w:t>
      </w:r>
      <w:r w:rsidRPr="00A75094">
        <w:t>indicators into a further section.  The items were presented singly and t</w:t>
      </w:r>
      <w:r w:rsidR="00CB4B4D" w:rsidRPr="00A75094">
        <w:t xml:space="preserve">he panel members </w:t>
      </w:r>
      <w:r w:rsidR="00EE13C7" w:rsidRPr="00A75094">
        <w:t>were invited to rate</w:t>
      </w:r>
      <w:r w:rsidR="00F06DC4" w:rsidRPr="00A75094">
        <w:t xml:space="preserve"> </w:t>
      </w:r>
      <w:r w:rsidRPr="00A75094">
        <w:t xml:space="preserve">the </w:t>
      </w:r>
      <w:r w:rsidR="007E12B9" w:rsidRPr="00A75094">
        <w:t xml:space="preserve">item </w:t>
      </w:r>
      <w:r w:rsidR="00EE13C7" w:rsidRPr="00A75094">
        <w:t xml:space="preserve">in terms of its </w:t>
      </w:r>
      <w:r w:rsidR="00EE13C7" w:rsidRPr="00A75094">
        <w:rPr>
          <w:b/>
          <w:i/>
        </w:rPr>
        <w:t>relevance</w:t>
      </w:r>
      <w:r w:rsidR="00EE13C7" w:rsidRPr="00A75094">
        <w:t xml:space="preserve"> for</w:t>
      </w:r>
      <w:r w:rsidR="007E12B9" w:rsidRPr="00A75094">
        <w:t xml:space="preserve"> making health systems more inclusive of people </w:t>
      </w:r>
      <w:r w:rsidR="00EE13C7" w:rsidRPr="00A75094">
        <w:t xml:space="preserve">with </w:t>
      </w:r>
      <w:r w:rsidR="00126922" w:rsidRPr="00A75094">
        <w:t>ID</w:t>
      </w:r>
      <w:r w:rsidR="00EE13C7" w:rsidRPr="00A75094">
        <w:t>, and also in terms of the </w:t>
      </w:r>
      <w:r w:rsidR="00EE13C7" w:rsidRPr="00A75094">
        <w:rPr>
          <w:b/>
          <w:i/>
        </w:rPr>
        <w:t>feasibility</w:t>
      </w:r>
      <w:r w:rsidR="00EE13C7" w:rsidRPr="00A75094">
        <w:t xml:space="preserve"> of </w:t>
      </w:r>
      <w:r w:rsidR="007E12B9" w:rsidRPr="00A75094">
        <w:t xml:space="preserve">implementing this action. </w:t>
      </w:r>
      <w:r w:rsidR="00C36564" w:rsidRPr="00A75094">
        <w:t xml:space="preserve"> </w:t>
      </w:r>
    </w:p>
    <w:p w14:paraId="2E207896" w14:textId="68474ECD" w:rsidR="00EE13C7" w:rsidRPr="00A75094" w:rsidRDefault="00EE13C7" w:rsidP="00933C31">
      <w:pPr>
        <w:spacing w:after="120"/>
      </w:pPr>
      <w:r w:rsidRPr="00A75094">
        <w:t xml:space="preserve">A 10 point scale </w:t>
      </w:r>
      <w:r w:rsidR="000F20E9" w:rsidRPr="00A75094">
        <w:t>was</w:t>
      </w:r>
      <w:r w:rsidRPr="00A75094">
        <w:t xml:space="preserve"> used, in which 10 means very relevant/very feasible – through to 1 which indicates no relevance to people with ID or it is not feasible to reliably obtain this information.   </w:t>
      </w:r>
      <w:r w:rsidR="002F7876" w:rsidRPr="00A75094">
        <w:t>As a further aid to respondents, i</w:t>
      </w:r>
      <w:r w:rsidR="00CB4B4D" w:rsidRPr="00A75094">
        <w:t xml:space="preserve">t was </w:t>
      </w:r>
      <w:r w:rsidR="007E12B9" w:rsidRPr="00A75094">
        <w:t xml:space="preserve">suggested </w:t>
      </w:r>
      <w:r w:rsidR="00CB4B4D" w:rsidRPr="00A75094">
        <w:t>that r</w:t>
      </w:r>
      <w:r w:rsidRPr="00A75094">
        <w:t xml:space="preserve">atings </w:t>
      </w:r>
      <w:r w:rsidR="00CB4B4D" w:rsidRPr="00A75094">
        <w:t xml:space="preserve">of </w:t>
      </w:r>
      <w:r w:rsidRPr="00A75094">
        <w:t xml:space="preserve">8 to 10 would suggest the </w:t>
      </w:r>
      <w:r w:rsidR="007F5F72" w:rsidRPr="00A75094">
        <w:t xml:space="preserve">item </w:t>
      </w:r>
      <w:r w:rsidRPr="00A75094">
        <w:t xml:space="preserve">is highly suitable </w:t>
      </w:r>
      <w:r w:rsidR="00CB4B4D" w:rsidRPr="00A75094">
        <w:t xml:space="preserve">as a </w:t>
      </w:r>
      <w:r w:rsidR="007F5F72" w:rsidRPr="00A75094">
        <w:rPr>
          <w:bCs/>
        </w:rPr>
        <w:t xml:space="preserve">strategic </w:t>
      </w:r>
      <w:r w:rsidR="002F7876" w:rsidRPr="00A75094">
        <w:rPr>
          <w:bCs/>
        </w:rPr>
        <w:t xml:space="preserve">action or </w:t>
      </w:r>
      <w:r w:rsidR="00CB4B4D" w:rsidRPr="00A75094">
        <w:t>indicator</w:t>
      </w:r>
      <w:r w:rsidR="007F5F72" w:rsidRPr="00A75094">
        <w:t xml:space="preserve"> </w:t>
      </w:r>
      <w:r w:rsidR="00CB4B4D" w:rsidRPr="00A75094">
        <w:t>of inclusive systems; r</w:t>
      </w:r>
      <w:r w:rsidRPr="00A75094">
        <w:t xml:space="preserve">atings 4 through 7 are indicators that </w:t>
      </w:r>
      <w:r w:rsidR="008325A7" w:rsidRPr="00A75094">
        <w:t xml:space="preserve">the actions or indicators </w:t>
      </w:r>
      <w:r w:rsidRPr="00A75094">
        <w:t xml:space="preserve">might </w:t>
      </w:r>
      <w:r w:rsidR="00CB4B4D" w:rsidRPr="00A75094">
        <w:t>be suitable pending refinements or in certain contexts; and r</w:t>
      </w:r>
      <w:r w:rsidRPr="00A75094">
        <w:t xml:space="preserve">atings 1 to 3 </w:t>
      </w:r>
      <w:r w:rsidR="00CB4B4D" w:rsidRPr="00A75094">
        <w:t>were</w:t>
      </w:r>
      <w:r w:rsidR="008325A7" w:rsidRPr="00A75094">
        <w:t xml:space="preserve"> actions or </w:t>
      </w:r>
      <w:r w:rsidRPr="00A75094">
        <w:t xml:space="preserve"> indicators </w:t>
      </w:r>
      <w:r w:rsidR="008325A7" w:rsidRPr="00A75094">
        <w:t xml:space="preserve">and </w:t>
      </w:r>
      <w:r w:rsidRPr="00A75094">
        <w:t xml:space="preserve">that </w:t>
      </w:r>
      <w:r w:rsidR="00CB4B4D" w:rsidRPr="00A75094">
        <w:t xml:space="preserve">are unlikely to be </w:t>
      </w:r>
      <w:r w:rsidRPr="00A75094">
        <w:t>suitable</w:t>
      </w:r>
      <w:r w:rsidR="008325A7" w:rsidRPr="00A75094">
        <w:t xml:space="preserve">. </w:t>
      </w:r>
    </w:p>
    <w:p w14:paraId="695B7A24" w14:textId="6283BF7D" w:rsidR="00EE13C7" w:rsidRPr="00A75094" w:rsidRDefault="00900400" w:rsidP="00933C31">
      <w:pPr>
        <w:spacing w:after="120"/>
      </w:pPr>
      <w:r w:rsidRPr="00A75094">
        <w:t>Respondents</w:t>
      </w:r>
      <w:r w:rsidR="00EE13C7" w:rsidRPr="00A75094">
        <w:t xml:space="preserve"> were asked to keep in mind the following considerations when rating the </w:t>
      </w:r>
      <w:r w:rsidR="00C36564" w:rsidRPr="00A75094">
        <w:t xml:space="preserve">relevance of the </w:t>
      </w:r>
      <w:r w:rsidR="002213AF" w:rsidRPr="00A75094">
        <w:t>items.</w:t>
      </w:r>
      <w:r w:rsidR="00EE13C7" w:rsidRPr="00A75094">
        <w:t xml:space="preserve"> </w:t>
      </w:r>
    </w:p>
    <w:p w14:paraId="7569A4D8" w14:textId="615B843F" w:rsidR="00EE13C7" w:rsidRPr="00A75094" w:rsidRDefault="00EE13C7" w:rsidP="00933C31">
      <w:pPr>
        <w:numPr>
          <w:ilvl w:val="0"/>
          <w:numId w:val="38"/>
        </w:numPr>
        <w:spacing w:after="120"/>
      </w:pPr>
      <w:r w:rsidRPr="00A75094">
        <w:t>The i</w:t>
      </w:r>
      <w:r w:rsidR="00C36564" w:rsidRPr="00A75094">
        <w:t>tem</w:t>
      </w:r>
      <w:r w:rsidRPr="00A75094">
        <w:t xml:space="preserve"> reflects an issue that commonly effects people with </w:t>
      </w:r>
      <w:r w:rsidR="00126922" w:rsidRPr="00A75094">
        <w:t>ID</w:t>
      </w:r>
      <w:r w:rsidR="000F20E9" w:rsidRPr="00A75094">
        <w:t xml:space="preserve"> </w:t>
      </w:r>
      <w:r w:rsidRPr="00A75094">
        <w:t>globally</w:t>
      </w:r>
      <w:r w:rsidR="00CB4B4D" w:rsidRPr="00A75094">
        <w:t xml:space="preserve"> and has the potential to </w:t>
      </w:r>
      <w:r w:rsidRPr="00A75094">
        <w:t xml:space="preserve">improve the quality of their lives. </w:t>
      </w:r>
    </w:p>
    <w:p w14:paraId="70E5F6A4" w14:textId="42188E60" w:rsidR="00EE13C7" w:rsidRPr="00A75094" w:rsidRDefault="00EE13C7" w:rsidP="00933C31">
      <w:pPr>
        <w:numPr>
          <w:ilvl w:val="0"/>
          <w:numId w:val="38"/>
        </w:numPr>
        <w:spacing w:after="120"/>
      </w:pPr>
      <w:r w:rsidRPr="00A75094">
        <w:t xml:space="preserve">The issue is one on which there are marked inequalities or disparities between people with </w:t>
      </w:r>
      <w:r w:rsidR="00126922" w:rsidRPr="00A75094">
        <w:t>ID</w:t>
      </w:r>
      <w:r w:rsidRPr="00A75094">
        <w:t xml:space="preserve"> and their peers without disabilities.  </w:t>
      </w:r>
    </w:p>
    <w:p w14:paraId="4133DB4D" w14:textId="2A7ECA57" w:rsidR="00EE13C7" w:rsidRPr="00A75094" w:rsidRDefault="00EE13C7" w:rsidP="00933C31">
      <w:pPr>
        <w:numPr>
          <w:ilvl w:val="0"/>
          <w:numId w:val="38"/>
        </w:numPr>
        <w:spacing w:after="120"/>
      </w:pPr>
      <w:r w:rsidRPr="00A75094">
        <w:t xml:space="preserve">The issue is one on which </w:t>
      </w:r>
      <w:r w:rsidR="007F5F72" w:rsidRPr="00A75094">
        <w:t xml:space="preserve">strategic and operational </w:t>
      </w:r>
      <w:r w:rsidRPr="00A75094">
        <w:t xml:space="preserve">improvements can be </w:t>
      </w:r>
      <w:r w:rsidR="00CB4B4D" w:rsidRPr="00A75094">
        <w:t xml:space="preserve">achieved </w:t>
      </w:r>
      <w:r w:rsidRPr="00A75094">
        <w:t xml:space="preserve">mainly by using available resources or easily implemented strategies.   </w:t>
      </w:r>
    </w:p>
    <w:p w14:paraId="7D70FE33" w14:textId="77777777" w:rsidR="00EE13C7" w:rsidRPr="00A75094" w:rsidRDefault="00EE13C7" w:rsidP="00933C31">
      <w:pPr>
        <w:numPr>
          <w:ilvl w:val="0"/>
          <w:numId w:val="38"/>
        </w:numPr>
        <w:spacing w:after="120"/>
      </w:pPr>
      <w:r w:rsidRPr="00A75094">
        <w:t xml:space="preserve">The indicator is, or could be especially persuasive in supporting system change.  </w:t>
      </w:r>
    </w:p>
    <w:p w14:paraId="69C5A1B7" w14:textId="7CF48079" w:rsidR="00C36564" w:rsidRPr="00A75094" w:rsidRDefault="00C36564" w:rsidP="00933C31">
      <w:pPr>
        <w:spacing w:after="120"/>
      </w:pPr>
      <w:r w:rsidRPr="00A75094">
        <w:lastRenderedPageBreak/>
        <w:t xml:space="preserve">With regard to </w:t>
      </w:r>
      <w:r w:rsidR="00CB4B4D" w:rsidRPr="00A75094">
        <w:t>feasibility rating</w:t>
      </w:r>
      <w:r w:rsidRPr="00A75094">
        <w:t xml:space="preserve">s, it was suggested that </w:t>
      </w:r>
      <w:r w:rsidR="00900400" w:rsidRPr="00A75094">
        <w:t>respondents</w:t>
      </w:r>
      <w:r w:rsidRPr="00A75094">
        <w:t xml:space="preserve"> </w:t>
      </w:r>
      <w:r w:rsidR="00CB4B4D" w:rsidRPr="00A75094">
        <w:t xml:space="preserve">should take account of the resources and efforts involved in implementing the </w:t>
      </w:r>
      <w:r w:rsidR="007F5F72" w:rsidRPr="00A75094">
        <w:t>indicator</w:t>
      </w:r>
      <w:r w:rsidR="002F7876" w:rsidRPr="00A75094">
        <w:t>s</w:t>
      </w:r>
      <w:r w:rsidR="00900400" w:rsidRPr="00A75094">
        <w:t xml:space="preserve"> of health disparities</w:t>
      </w:r>
      <w:r w:rsidR="00CB4B4D" w:rsidRPr="00A75094">
        <w:t xml:space="preserve">.   Thus a rating of ‘10’ is an </w:t>
      </w:r>
      <w:r w:rsidRPr="00A75094">
        <w:t>action</w:t>
      </w:r>
      <w:r w:rsidR="00CB4B4D" w:rsidRPr="00A75094">
        <w:t xml:space="preserve"> that could be readily implemented with relatively little extra resource or effort</w:t>
      </w:r>
      <w:r w:rsidR="00900400" w:rsidRPr="00A75094">
        <w:t>,</w:t>
      </w:r>
      <w:r w:rsidR="00CB4B4D" w:rsidRPr="00A75094">
        <w:t xml:space="preserve"> through to ‘1’ which means that reliable information across systems would be very difficult to obtain.   The </w:t>
      </w:r>
      <w:r w:rsidR="00900400" w:rsidRPr="00A75094">
        <w:t>respondents</w:t>
      </w:r>
      <w:r w:rsidR="00EE13C7" w:rsidRPr="00A75094">
        <w:t xml:space="preserve"> were asked to keep in mind the following considerations when rating the feasibility of obtaining reliable information </w:t>
      </w:r>
      <w:r w:rsidRPr="00A75094">
        <w:t xml:space="preserve">about health disparities. </w:t>
      </w:r>
    </w:p>
    <w:p w14:paraId="5DD9D84C" w14:textId="77777777" w:rsidR="00EE13C7" w:rsidRPr="00A75094" w:rsidRDefault="00C36564" w:rsidP="00933C31">
      <w:pPr>
        <w:pStyle w:val="ListParagraph"/>
        <w:numPr>
          <w:ilvl w:val="0"/>
          <w:numId w:val="41"/>
        </w:numPr>
        <w:spacing w:line="480" w:lineRule="auto"/>
        <w:ind w:left="714" w:hanging="357"/>
        <w:rPr>
          <w:rFonts w:ascii="Times New Roman" w:hAnsi="Times New Roman"/>
        </w:rPr>
      </w:pPr>
      <w:r w:rsidRPr="00A75094">
        <w:rPr>
          <w:rFonts w:ascii="Times New Roman" w:hAnsi="Times New Roman"/>
        </w:rPr>
        <w:t xml:space="preserve">Could the </w:t>
      </w:r>
      <w:r w:rsidR="00EE13C7" w:rsidRPr="00A75094">
        <w:rPr>
          <w:rFonts w:ascii="Times New Roman" w:hAnsi="Times New Roman"/>
        </w:rPr>
        <w:t>information be obtained from publically available data sets to provide a compari</w:t>
      </w:r>
      <w:r w:rsidR="00933C31" w:rsidRPr="00A75094">
        <w:rPr>
          <w:rFonts w:ascii="Times New Roman" w:hAnsi="Times New Roman"/>
        </w:rPr>
        <w:t>son with the general population?</w:t>
      </w:r>
      <w:r w:rsidR="00EE13C7" w:rsidRPr="00A75094">
        <w:rPr>
          <w:rFonts w:ascii="Times New Roman" w:hAnsi="Times New Roman"/>
        </w:rPr>
        <w:t xml:space="preserve">  </w:t>
      </w:r>
    </w:p>
    <w:p w14:paraId="094BCE41" w14:textId="77777777" w:rsidR="00EE13C7" w:rsidRPr="00A75094" w:rsidRDefault="00C36564" w:rsidP="00933C31">
      <w:pPr>
        <w:numPr>
          <w:ilvl w:val="0"/>
          <w:numId w:val="37"/>
        </w:numPr>
        <w:spacing w:after="120"/>
      </w:pPr>
      <w:r w:rsidRPr="00A75094">
        <w:t xml:space="preserve">Could the </w:t>
      </w:r>
      <w:r w:rsidR="00EE13C7" w:rsidRPr="00A75094">
        <w:t>information can be cross-checked from different sources</w:t>
      </w:r>
      <w:r w:rsidR="00933C31" w:rsidRPr="00A75094">
        <w:t>?</w:t>
      </w:r>
      <w:r w:rsidR="00EE13C7" w:rsidRPr="00A75094">
        <w:t xml:space="preserve"> </w:t>
      </w:r>
    </w:p>
    <w:p w14:paraId="3C3443A5" w14:textId="77777777" w:rsidR="00EE13C7" w:rsidRPr="00A75094" w:rsidRDefault="00C36564" w:rsidP="00933C31">
      <w:pPr>
        <w:numPr>
          <w:ilvl w:val="0"/>
          <w:numId w:val="37"/>
        </w:numPr>
        <w:spacing w:after="120"/>
      </w:pPr>
      <w:r w:rsidRPr="00A75094">
        <w:t xml:space="preserve">Is there </w:t>
      </w:r>
      <w:r w:rsidR="00EE13C7" w:rsidRPr="00A75094">
        <w:t>a lower risk of the information being unavailable, biased or inaccurate</w:t>
      </w:r>
      <w:r w:rsidR="00933C31" w:rsidRPr="00A75094">
        <w:t>?</w:t>
      </w:r>
      <w:r w:rsidR="00EE13C7" w:rsidRPr="00A75094">
        <w:t xml:space="preserve">  </w:t>
      </w:r>
    </w:p>
    <w:p w14:paraId="65C440B4" w14:textId="529BF790" w:rsidR="00714E33" w:rsidRPr="00A75094" w:rsidRDefault="00714E33" w:rsidP="00933C31">
      <w:pPr>
        <w:spacing w:after="120"/>
        <w:rPr>
          <w:b/>
        </w:rPr>
      </w:pPr>
      <w:r w:rsidRPr="00A75094">
        <w:rPr>
          <w:b/>
        </w:rPr>
        <w:t>Ethical Opinion</w:t>
      </w:r>
    </w:p>
    <w:p w14:paraId="5BA661D8" w14:textId="5208E4E6" w:rsidR="00A64554" w:rsidRPr="00A75094" w:rsidRDefault="00A64554" w:rsidP="00933C31">
      <w:pPr>
        <w:spacing w:after="120"/>
      </w:pPr>
      <w:r w:rsidRPr="00A75094">
        <w:t xml:space="preserve">Advice was sought on ethical approval. A formal ethical opinion was not deemed to be necessary as the study did not involve personal information nor any intervention. Nonetheless, good practice was followed: participants could freely choose to participate in the study and withdraw at any time. Assurances of confidentiality were given.  Members of the advisory board approved arrangements </w:t>
      </w:r>
      <w:proofErr w:type="gramStart"/>
      <w:r w:rsidRPr="00A75094">
        <w:t>for  recruitment</w:t>
      </w:r>
      <w:proofErr w:type="gramEnd"/>
      <w:r w:rsidRPr="00A75094">
        <w:t>, the study information sheet and the questionnaire itself.  A response to the questionnaire was taken to imply consent to participate. Benefits in new knowledge was predicted to outweigh any inconvenience associated with questionnaire completion.</w:t>
      </w:r>
    </w:p>
    <w:p w14:paraId="5FDE51F6" w14:textId="12CCF381" w:rsidR="00947E55" w:rsidRPr="00A75094" w:rsidRDefault="002F7876" w:rsidP="00933C31">
      <w:pPr>
        <w:spacing w:after="120"/>
        <w:rPr>
          <w:b/>
        </w:rPr>
      </w:pPr>
      <w:r w:rsidRPr="00A75094">
        <w:rPr>
          <w:b/>
        </w:rPr>
        <w:t>Data analysis</w:t>
      </w:r>
    </w:p>
    <w:p w14:paraId="1845FA85" w14:textId="6CCE49E2" w:rsidR="00900400" w:rsidRPr="00A75094" w:rsidRDefault="00742F5D" w:rsidP="000C3E1E">
      <w:pPr>
        <w:spacing w:after="120"/>
      </w:pPr>
      <w:r w:rsidRPr="00A75094">
        <w:t xml:space="preserve">The ratings given for each item in terms of relevance and feasibility were downloaded </w:t>
      </w:r>
      <w:r w:rsidR="00900400" w:rsidRPr="00A75094">
        <w:t>from Qualtrics as</w:t>
      </w:r>
      <w:r w:rsidRPr="00A75094">
        <w:t xml:space="preserve"> a SPSS </w:t>
      </w:r>
      <w:r w:rsidR="00900400" w:rsidRPr="00A75094">
        <w:t>datafile</w:t>
      </w:r>
      <w:r w:rsidRPr="00A75094">
        <w:t xml:space="preserve">.  The median and range scores were calculated for each item on both sets of ratings.  For each item, non-parametric tests were used to </w:t>
      </w:r>
      <w:r w:rsidRPr="00A75094">
        <w:lastRenderedPageBreak/>
        <w:t>determine if there were any statistically significant differences in the relevance ratings given by S</w:t>
      </w:r>
      <w:r w:rsidR="006A0586" w:rsidRPr="00A75094">
        <w:t>pecial Olympic (SO)</w:t>
      </w:r>
      <w:r w:rsidRPr="00A75094">
        <w:t xml:space="preserve"> personnel (including those who noted they were also health professionals</w:t>
      </w:r>
      <w:r w:rsidR="00900400" w:rsidRPr="00A75094">
        <w:t xml:space="preserve">) </w:t>
      </w:r>
      <w:r w:rsidRPr="00A75094">
        <w:t xml:space="preserve"> and non-SO personnel but who were health professionals) (n=40 v n=18 respectively).</w:t>
      </w:r>
    </w:p>
    <w:p w14:paraId="446FC80D" w14:textId="400FF6BC" w:rsidR="00742F5D" w:rsidRPr="00A75094" w:rsidRDefault="00742F5D" w:rsidP="000C3E1E">
      <w:pPr>
        <w:spacing w:after="120"/>
      </w:pPr>
      <w:r w:rsidRPr="00A75094">
        <w:t xml:space="preserve">Similarly differences in ratings given by respondents </w:t>
      </w:r>
      <w:r w:rsidR="00900400" w:rsidRPr="00A75094">
        <w:t xml:space="preserve">based </w:t>
      </w:r>
      <w:r w:rsidRPr="00A75094">
        <w:t>in high income countries were compared with those</w:t>
      </w:r>
      <w:r w:rsidR="00900400" w:rsidRPr="00A75094">
        <w:t xml:space="preserve"> from </w:t>
      </w:r>
      <w:r w:rsidR="00C9476D" w:rsidRPr="00A75094">
        <w:t>middle</w:t>
      </w:r>
      <w:r w:rsidRPr="00A75094">
        <w:t xml:space="preserve"> and low-income countries (n=29 v n=28 respectively).</w:t>
      </w:r>
      <w:r w:rsidR="000C3E1E" w:rsidRPr="00A75094">
        <w:t xml:space="preserve"> </w:t>
      </w:r>
      <w:r w:rsidR="00900400" w:rsidRPr="00A75094">
        <w:t xml:space="preserve"> </w:t>
      </w:r>
      <w:r w:rsidR="000C3E1E" w:rsidRPr="00A75094">
        <w:t>Because of the large number of comparisons that were made, the probability level was set at p&lt;0.01 to minimise the possibility that the difference arose from chance variations.</w:t>
      </w:r>
    </w:p>
    <w:p w14:paraId="6EFB2DB8" w14:textId="6D069C42" w:rsidR="00EE13C7" w:rsidRPr="00A75094" w:rsidRDefault="00EE13C7" w:rsidP="00933C31">
      <w:pPr>
        <w:spacing w:after="120"/>
        <w:rPr>
          <w:b/>
        </w:rPr>
      </w:pPr>
      <w:r w:rsidRPr="00A75094">
        <w:rPr>
          <w:b/>
        </w:rPr>
        <w:t>Findings</w:t>
      </w:r>
    </w:p>
    <w:p w14:paraId="3515E681" w14:textId="77777777" w:rsidR="008863A0" w:rsidRPr="00A75094" w:rsidRDefault="008863A0" w:rsidP="00933C31">
      <w:pPr>
        <w:spacing w:after="120"/>
        <w:jc w:val="center"/>
        <w:rPr>
          <w:i/>
        </w:rPr>
      </w:pPr>
      <w:r w:rsidRPr="00A75094">
        <w:rPr>
          <w:i/>
        </w:rPr>
        <w:t>Insert Tables 2 and 3 about here</w:t>
      </w:r>
    </w:p>
    <w:p w14:paraId="48B9BD2B" w14:textId="0D4C2C7B" w:rsidR="007F5F72" w:rsidRPr="00A75094" w:rsidRDefault="006222A7" w:rsidP="00933C31">
      <w:pPr>
        <w:spacing w:after="120"/>
      </w:pPr>
      <w:r w:rsidRPr="00A75094">
        <w:t>Table</w:t>
      </w:r>
      <w:r w:rsidR="008863A0" w:rsidRPr="00A75094">
        <w:t>s</w:t>
      </w:r>
      <w:r w:rsidRPr="00A75094">
        <w:t xml:space="preserve"> </w:t>
      </w:r>
      <w:r w:rsidR="005E44B9" w:rsidRPr="00A75094">
        <w:t>2</w:t>
      </w:r>
      <w:r w:rsidRPr="00A75094">
        <w:t xml:space="preserve"> </w:t>
      </w:r>
      <w:r w:rsidR="008863A0" w:rsidRPr="00A75094">
        <w:t xml:space="preserve">and 3 </w:t>
      </w:r>
      <w:r w:rsidRPr="00A75094">
        <w:t>s</w:t>
      </w:r>
      <w:r w:rsidR="00EE13C7" w:rsidRPr="00A75094">
        <w:t xml:space="preserve">ummarise the median </w:t>
      </w:r>
      <w:r w:rsidR="008863A0" w:rsidRPr="00A75094">
        <w:t xml:space="preserve">and range </w:t>
      </w:r>
      <w:r w:rsidR="00EE13C7" w:rsidRPr="00A75094">
        <w:t>scores for relevance and feasibility for</w:t>
      </w:r>
      <w:r w:rsidR="008863A0" w:rsidRPr="00A75094">
        <w:t xml:space="preserve"> </w:t>
      </w:r>
      <w:r w:rsidR="00947E55" w:rsidRPr="00A75094">
        <w:t xml:space="preserve">the </w:t>
      </w:r>
      <w:r w:rsidR="008863A0" w:rsidRPr="00A75094">
        <w:t>30 items rated by the 61 respondents.  These are ordered by the items with the highest median score for relevance.  Items with equivalent relevance ratings were then ordered by those deemed most feasible to implement.</w:t>
      </w:r>
      <w:r w:rsidR="00933C31" w:rsidRPr="00A75094">
        <w:t xml:space="preserve"> </w:t>
      </w:r>
      <w:r w:rsidR="00BB64B6" w:rsidRPr="00A75094">
        <w:t xml:space="preserve">  </w:t>
      </w:r>
    </w:p>
    <w:p w14:paraId="3E531611" w14:textId="3DD810F4" w:rsidR="00BB64B6" w:rsidRPr="00A75094" w:rsidRDefault="00BB64B6" w:rsidP="00933C31">
      <w:pPr>
        <w:spacing w:after="120"/>
      </w:pPr>
      <w:r w:rsidRPr="00A75094">
        <w:t>All the strategic actions and system indicators were endorsed as relevant but less so for the feasibility of implementing them.  Top-rated strategic actions included the availability of policy statements and practice guidelines on making reasonable adjustments, mandatory training of health professionals on ID and the involvement of people with ID as co-trainers in staff training.</w:t>
      </w:r>
      <w:r w:rsidR="007D4A98" w:rsidRPr="00A75094">
        <w:t xml:space="preserve">   The other actions and indicators noted in the tables could of course become more significant in particular contexts or when addressing the specific health needs of people with ID. </w:t>
      </w:r>
    </w:p>
    <w:p w14:paraId="3321023C" w14:textId="5BE96466" w:rsidR="00F5789A" w:rsidRPr="00A75094" w:rsidRDefault="007D4A98" w:rsidP="00F5789A">
      <w:pPr>
        <w:spacing w:after="120"/>
      </w:pPr>
      <w:r w:rsidRPr="00A75094">
        <w:t>In addition, f</w:t>
      </w:r>
      <w:r w:rsidR="00933C31" w:rsidRPr="00A75094">
        <w:t>our</w:t>
      </w:r>
      <w:r w:rsidR="00EE13C7" w:rsidRPr="00A75094">
        <w:t xml:space="preserve"> general </w:t>
      </w:r>
      <w:r w:rsidR="00852013" w:rsidRPr="00A75094">
        <w:t>conclusions</w:t>
      </w:r>
      <w:r w:rsidR="00EE13C7" w:rsidRPr="00A75094">
        <w:t xml:space="preserve"> can be drawn from these ratings.</w:t>
      </w:r>
      <w:r w:rsidR="00F5789A" w:rsidRPr="00A75094">
        <w:t xml:space="preserve"> </w:t>
      </w:r>
      <w:r w:rsidR="008863A0" w:rsidRPr="00A75094">
        <w:t xml:space="preserve">First, </w:t>
      </w:r>
      <w:r w:rsidR="00641387" w:rsidRPr="00A75094">
        <w:t>all</w:t>
      </w:r>
      <w:r w:rsidR="00EE13C7" w:rsidRPr="00A75094">
        <w:t xml:space="preserve"> the</w:t>
      </w:r>
      <w:r w:rsidR="00E26B10" w:rsidRPr="00A75094">
        <w:t xml:space="preserve"> actions and </w:t>
      </w:r>
      <w:r w:rsidR="00EE13C7" w:rsidRPr="00A75094">
        <w:t xml:space="preserve">indicators had median scores for relevance of 8 or above which </w:t>
      </w:r>
      <w:r w:rsidR="00641387" w:rsidRPr="00A75094">
        <w:t xml:space="preserve">had been </w:t>
      </w:r>
      <w:r w:rsidR="00641387" w:rsidRPr="00A75094">
        <w:lastRenderedPageBreak/>
        <w:t xml:space="preserve">indicated as being </w:t>
      </w:r>
      <w:r w:rsidR="00EE13C7" w:rsidRPr="00A75094">
        <w:t xml:space="preserve">highly suitable </w:t>
      </w:r>
      <w:r w:rsidR="00852013" w:rsidRPr="00A75094">
        <w:t xml:space="preserve">in creating </w:t>
      </w:r>
      <w:r w:rsidR="00FC5473" w:rsidRPr="00A75094">
        <w:t xml:space="preserve">an inclusive health system. </w:t>
      </w:r>
      <w:r w:rsidR="006222A7" w:rsidRPr="00A75094">
        <w:t xml:space="preserve"> </w:t>
      </w:r>
      <w:r w:rsidR="00EE13C7" w:rsidRPr="00A75094">
        <w:t xml:space="preserve">  This finding is not surprising given the process that was followed in identifying the </w:t>
      </w:r>
      <w:r w:rsidR="00E26B10" w:rsidRPr="00A75094">
        <w:t xml:space="preserve">actions and </w:t>
      </w:r>
      <w:r w:rsidR="00EE13C7" w:rsidRPr="00A75094">
        <w:t xml:space="preserve">indicators </w:t>
      </w:r>
      <w:r w:rsidR="00E26B10" w:rsidRPr="00A75094">
        <w:t xml:space="preserve">that were </w:t>
      </w:r>
      <w:r w:rsidR="00852013" w:rsidRPr="00A75094">
        <w:t>included in the survey</w:t>
      </w:r>
      <w:r w:rsidR="00E26B10" w:rsidRPr="00A75094">
        <w:t xml:space="preserve"> but it is helpful confirmation across a variety of respondents</w:t>
      </w:r>
      <w:r w:rsidR="00900400" w:rsidRPr="00A75094">
        <w:t>; most of whom were active practitioners</w:t>
      </w:r>
      <w:r w:rsidR="00852013" w:rsidRPr="00A75094">
        <w:t xml:space="preserve">.  </w:t>
      </w:r>
    </w:p>
    <w:p w14:paraId="32518127" w14:textId="692E95F9" w:rsidR="00EE13C7" w:rsidRPr="00A75094" w:rsidRDefault="00641387" w:rsidP="00F5789A">
      <w:pPr>
        <w:spacing w:after="120"/>
      </w:pPr>
      <w:r w:rsidRPr="00A75094">
        <w:t>Second, r</w:t>
      </w:r>
      <w:r w:rsidR="00EE13C7" w:rsidRPr="00A75094">
        <w:t>atings for relevance were nearly always significantly higher than they were for feasibility.  In the main</w:t>
      </w:r>
      <w:r w:rsidRPr="00A75094">
        <w:t>,</w:t>
      </w:r>
      <w:r w:rsidR="00EE13C7" w:rsidRPr="00A75094">
        <w:t xml:space="preserve"> we had indicated that the information</w:t>
      </w:r>
      <w:r w:rsidR="00FC5473" w:rsidRPr="00A75094">
        <w:t xml:space="preserve"> would come from publically available data and </w:t>
      </w:r>
      <w:r w:rsidR="00900400" w:rsidRPr="00A75094">
        <w:t>understandably,</w:t>
      </w:r>
      <w:r w:rsidR="00FC5473" w:rsidRPr="00A75094">
        <w:t xml:space="preserve"> r</w:t>
      </w:r>
      <w:r w:rsidR="00EE13C7" w:rsidRPr="00A75094">
        <w:t>espond</w:t>
      </w:r>
      <w:r w:rsidR="00FC5473" w:rsidRPr="00A75094">
        <w:t xml:space="preserve">ents had reservations about </w:t>
      </w:r>
      <w:r w:rsidRPr="00A75094">
        <w:t xml:space="preserve">the feasibility of </w:t>
      </w:r>
      <w:r w:rsidR="00852013" w:rsidRPr="00A75094">
        <w:t xml:space="preserve">collecting and </w:t>
      </w:r>
      <w:r w:rsidR="00FC5473" w:rsidRPr="00A75094">
        <w:t>accessing such information</w:t>
      </w:r>
      <w:r w:rsidR="00852013" w:rsidRPr="00A75094">
        <w:t xml:space="preserve"> when it may not </w:t>
      </w:r>
      <w:r w:rsidR="00900400" w:rsidRPr="00A75094">
        <w:t xml:space="preserve">even </w:t>
      </w:r>
      <w:r w:rsidR="00852013" w:rsidRPr="00A75094">
        <w:t>be available nationally for the general population</w:t>
      </w:r>
      <w:r w:rsidR="00FC5473" w:rsidRPr="00A75094">
        <w:t xml:space="preserve">. </w:t>
      </w:r>
    </w:p>
    <w:p w14:paraId="24E96C9E" w14:textId="23B635B6" w:rsidR="00EE13C7" w:rsidRPr="00A75094" w:rsidRDefault="00641387" w:rsidP="00933C31">
      <w:pPr>
        <w:spacing w:after="120"/>
      </w:pPr>
      <w:r w:rsidRPr="00A75094">
        <w:t xml:space="preserve">Third, the </w:t>
      </w:r>
      <w:r w:rsidR="00EE13C7" w:rsidRPr="00A75094">
        <w:t xml:space="preserve">range scores on nearly all items were very wide which means that there was great variation among the respondents as to what they considered </w:t>
      </w:r>
      <w:r w:rsidR="00852013" w:rsidRPr="00A75094">
        <w:t xml:space="preserve">to be </w:t>
      </w:r>
      <w:r w:rsidRPr="00A75094">
        <w:t>relevant</w:t>
      </w:r>
      <w:r w:rsidR="00EE13C7" w:rsidRPr="00A75094">
        <w:t xml:space="preserve"> and feasible.  This finding is not unexpected if respondents have in mind the </w:t>
      </w:r>
      <w:r w:rsidR="006222A7" w:rsidRPr="00A75094">
        <w:t xml:space="preserve">variations in </w:t>
      </w:r>
      <w:r w:rsidR="00EE13C7" w:rsidRPr="00A75094">
        <w:t xml:space="preserve">health </w:t>
      </w:r>
      <w:r w:rsidR="006222A7" w:rsidRPr="00A75094">
        <w:t xml:space="preserve">issues faced by people with </w:t>
      </w:r>
      <w:r w:rsidR="00126922" w:rsidRPr="00A75094">
        <w:t>ID</w:t>
      </w:r>
      <w:r w:rsidR="00EE13C7" w:rsidRPr="00A75094">
        <w:t>, the culture and health systems they work and the respondents’ own particular health interests and knowledge.</w:t>
      </w:r>
      <w:r w:rsidR="00852013" w:rsidRPr="00A75094">
        <w:t xml:space="preserve"> </w:t>
      </w:r>
      <w:r w:rsidR="00933C31" w:rsidRPr="00A75094">
        <w:t xml:space="preserve"> Country-specific </w:t>
      </w:r>
      <w:r w:rsidR="00900400" w:rsidRPr="00A75094">
        <w:t xml:space="preserve">surveys or ones focussed on particular health disciplines, </w:t>
      </w:r>
      <w:r w:rsidR="00933C31" w:rsidRPr="00A75094">
        <w:t xml:space="preserve">might find greater unanimity in responses. </w:t>
      </w:r>
    </w:p>
    <w:p w14:paraId="3D21ACF2" w14:textId="02619CF4" w:rsidR="005F4DF0" w:rsidRPr="00A75094" w:rsidRDefault="00933C31" w:rsidP="00933C31">
      <w:pPr>
        <w:spacing w:after="120"/>
      </w:pPr>
      <w:r w:rsidRPr="00A75094">
        <w:t xml:space="preserve">Fourth, the relevance ratings had a fair degree of agreement across respondents based in high, </w:t>
      </w:r>
      <w:r w:rsidR="00C9476D" w:rsidRPr="00A75094">
        <w:t>middle</w:t>
      </w:r>
      <w:r w:rsidRPr="00A75094">
        <w:t xml:space="preserve"> and </w:t>
      </w:r>
      <w:r w:rsidR="00900400" w:rsidRPr="00A75094">
        <w:t xml:space="preserve">low </w:t>
      </w:r>
      <w:r w:rsidRPr="00A75094">
        <w:t>income countries</w:t>
      </w:r>
      <w:r w:rsidR="00CE72FB" w:rsidRPr="00A75094">
        <w:t xml:space="preserve"> as well as across health professionals and Special Olympics personnel</w:t>
      </w:r>
      <w:r w:rsidRPr="00A75094">
        <w:t xml:space="preserve">.  </w:t>
      </w:r>
      <w:r w:rsidR="00CE72FB" w:rsidRPr="00A75094">
        <w:t>Moreover t</w:t>
      </w:r>
      <w:r w:rsidRPr="00A75094">
        <w:t>here were no significant differences on feasibility ratings</w:t>
      </w:r>
      <w:r w:rsidR="0060136B" w:rsidRPr="00A75094">
        <w:t xml:space="preserve"> among the respondents</w:t>
      </w:r>
      <w:r w:rsidRPr="00A75094">
        <w:t xml:space="preserve">. </w:t>
      </w:r>
      <w:r w:rsidR="00CE72FB" w:rsidRPr="00A75094">
        <w:t xml:space="preserve"> </w:t>
      </w:r>
      <w:r w:rsidRPr="00A75094">
        <w:t>Th</w:t>
      </w:r>
      <w:r w:rsidR="00CE72FB" w:rsidRPr="00A75094">
        <w:t xml:space="preserve">us the proposed actions </w:t>
      </w:r>
      <w:r w:rsidR="00900400" w:rsidRPr="00A75094">
        <w:t xml:space="preserve">and indicators </w:t>
      </w:r>
      <w:r w:rsidR="00CE72FB" w:rsidRPr="00A75094">
        <w:t xml:space="preserve">seem to have reasonable international applicability. </w:t>
      </w:r>
    </w:p>
    <w:p w14:paraId="332C67E0" w14:textId="14463E19" w:rsidR="00F5789A" w:rsidRPr="00A75094" w:rsidRDefault="00CE72FB" w:rsidP="00933C31">
      <w:pPr>
        <w:spacing w:after="120"/>
      </w:pPr>
      <w:r w:rsidRPr="00A75094">
        <w:t xml:space="preserve"> </w:t>
      </w:r>
      <w:r w:rsidR="005F4DF0" w:rsidRPr="00A75094">
        <w:t xml:space="preserve">On three of the 19 strategic actions, there were statistically significant differences (Mann-Whitney U tests p&lt;0.01) in the ratings given by SO respondents and non-SO respondents, along with one further difference between respondents in high and lower </w:t>
      </w:r>
      <w:r w:rsidR="005F4DF0" w:rsidRPr="00A75094">
        <w:lastRenderedPageBreak/>
        <w:t>income countries.  These are shown for the pertinent items in Tables 2 and 3</w:t>
      </w:r>
      <w:r w:rsidR="00CD3A84" w:rsidRPr="00A75094">
        <w:t xml:space="preserve"> and </w:t>
      </w:r>
      <w:proofErr w:type="gramStart"/>
      <w:r w:rsidR="00CD3A84" w:rsidRPr="00A75094">
        <w:t>might  merit</w:t>
      </w:r>
      <w:proofErr w:type="gramEnd"/>
      <w:r w:rsidR="00CD3A84" w:rsidRPr="00A75094">
        <w:t xml:space="preserve"> further investigation in future studies. </w:t>
      </w:r>
    </w:p>
    <w:p w14:paraId="2C713C87" w14:textId="6FF3384C" w:rsidR="00852013" w:rsidRPr="00A75094" w:rsidRDefault="00C9476D" w:rsidP="00933C31">
      <w:pPr>
        <w:spacing w:after="120"/>
      </w:pPr>
      <w:r w:rsidRPr="00A75094">
        <w:t>Overall, t</w:t>
      </w:r>
      <w:r w:rsidR="009D1B21" w:rsidRPr="00A75094">
        <w:t>he</w:t>
      </w:r>
      <w:r w:rsidR="00F5789A" w:rsidRPr="00A75094">
        <w:t>se</w:t>
      </w:r>
      <w:r w:rsidR="009D1B21" w:rsidRPr="00A75094">
        <w:t xml:space="preserve"> findings illustrate the</w:t>
      </w:r>
      <w:r w:rsidR="0060136B" w:rsidRPr="00A75094">
        <w:t xml:space="preserve"> complex, </w:t>
      </w:r>
      <w:r w:rsidR="009D1B21" w:rsidRPr="00A75094">
        <w:t>multi-facet</w:t>
      </w:r>
      <w:r w:rsidR="0079508B" w:rsidRPr="00A75094">
        <w:t>ed</w:t>
      </w:r>
      <w:r w:rsidR="007F5F72" w:rsidRPr="00A75094">
        <w:t xml:space="preserve"> </w:t>
      </w:r>
      <w:r w:rsidR="009D1B21" w:rsidRPr="00A75094">
        <w:t xml:space="preserve">approach that respondents </w:t>
      </w:r>
      <w:r w:rsidR="005D7132" w:rsidRPr="00A75094">
        <w:t>felt</w:t>
      </w:r>
      <w:r w:rsidR="00F5789A" w:rsidRPr="00A75094">
        <w:t xml:space="preserve"> </w:t>
      </w:r>
      <w:r w:rsidR="009D1B21" w:rsidRPr="00A75094">
        <w:t>was required to create more inclusive health services.  Nonetheless the highest rated actions focussed around training and guidance for staff alongside explicit policy and practice statements</w:t>
      </w:r>
      <w:r w:rsidR="00445DD8" w:rsidRPr="00A75094">
        <w:t xml:space="preserve"> and the active engagement of people with </w:t>
      </w:r>
      <w:r w:rsidR="00F5789A" w:rsidRPr="00A75094">
        <w:t>ID</w:t>
      </w:r>
      <w:r w:rsidR="00445DD8" w:rsidRPr="00A75094">
        <w:t xml:space="preserve"> within service planning and practice</w:t>
      </w:r>
      <w:r w:rsidR="009D1B21" w:rsidRPr="00A75094">
        <w:t>.  Likewise information on health disparities depended on people with</w:t>
      </w:r>
      <w:r w:rsidR="00F5789A" w:rsidRPr="00A75094">
        <w:t xml:space="preserve"> </w:t>
      </w:r>
      <w:r w:rsidR="00126922" w:rsidRPr="00A75094">
        <w:t>ID</w:t>
      </w:r>
      <w:r w:rsidR="009D1B21" w:rsidRPr="00A75094">
        <w:t xml:space="preserve"> being identified in health information systems allied with having systems that capture significant health data for the general population against which comparisons can be made for people with </w:t>
      </w:r>
      <w:r w:rsidR="00126922" w:rsidRPr="00A75094">
        <w:t>ID</w:t>
      </w:r>
      <w:r w:rsidR="009D1B21" w:rsidRPr="00A75094">
        <w:t xml:space="preserve">. </w:t>
      </w:r>
    </w:p>
    <w:p w14:paraId="1D965B5C" w14:textId="77777777" w:rsidR="009D1B21" w:rsidRPr="00A75094" w:rsidRDefault="009D1B21" w:rsidP="009D1B21">
      <w:pPr>
        <w:spacing w:after="120"/>
        <w:rPr>
          <w:b/>
          <w:sz w:val="28"/>
          <w:szCs w:val="28"/>
        </w:rPr>
      </w:pPr>
      <w:r w:rsidRPr="00A75094">
        <w:rPr>
          <w:b/>
          <w:sz w:val="28"/>
          <w:szCs w:val="28"/>
        </w:rPr>
        <w:t xml:space="preserve">Discussion </w:t>
      </w:r>
    </w:p>
    <w:p w14:paraId="56EC44D0" w14:textId="3349C4D2" w:rsidR="0060136B" w:rsidRPr="00A75094" w:rsidRDefault="009D1B21" w:rsidP="00CB757F">
      <w:pPr>
        <w:spacing w:after="120"/>
        <w:rPr>
          <w:rFonts w:asciiTheme="majorBidi" w:hAnsiTheme="majorBidi" w:cstheme="majorBidi"/>
        </w:rPr>
      </w:pPr>
      <w:r w:rsidRPr="00A75094">
        <w:t xml:space="preserve">This study has identified </w:t>
      </w:r>
      <w:r w:rsidR="00590950" w:rsidRPr="00A75094">
        <w:t>strategic</w:t>
      </w:r>
      <w:r w:rsidR="0060136B" w:rsidRPr="00A75094">
        <w:t xml:space="preserve"> actions and</w:t>
      </w:r>
      <w:r w:rsidR="00590950" w:rsidRPr="00A75094">
        <w:t xml:space="preserve"> system indicators </w:t>
      </w:r>
      <w:r w:rsidRPr="00A75094">
        <w:t xml:space="preserve">that </w:t>
      </w:r>
      <w:r w:rsidR="00590950" w:rsidRPr="00A75094">
        <w:t>if</w:t>
      </w:r>
      <w:r w:rsidRPr="00A75094">
        <w:t xml:space="preserve"> </w:t>
      </w:r>
      <w:r w:rsidR="00CB757F" w:rsidRPr="00A75094">
        <w:t>instigated</w:t>
      </w:r>
      <w:r w:rsidR="00590950" w:rsidRPr="00A75094">
        <w:t xml:space="preserve"> could </w:t>
      </w:r>
      <w:r w:rsidR="00445DD8" w:rsidRPr="00A75094">
        <w:t xml:space="preserve">make health systems more </w:t>
      </w:r>
      <w:r w:rsidR="00BD757B" w:rsidRPr="00A75094">
        <w:t xml:space="preserve">comprehensive and </w:t>
      </w:r>
      <w:r w:rsidR="00445DD8" w:rsidRPr="00A75094">
        <w:t xml:space="preserve">inclusive for persons with </w:t>
      </w:r>
      <w:r w:rsidR="00126922" w:rsidRPr="00A75094">
        <w:t>ID</w:t>
      </w:r>
      <w:r w:rsidR="00590950" w:rsidRPr="00A75094">
        <w:t>,</w:t>
      </w:r>
      <w:r w:rsidR="00445DD8" w:rsidRPr="00A75094">
        <w:t xml:space="preserve"> and </w:t>
      </w:r>
      <w:r w:rsidR="00590950" w:rsidRPr="00A75094">
        <w:t xml:space="preserve">lead to </w:t>
      </w:r>
      <w:r w:rsidR="00FB2568" w:rsidRPr="00A75094">
        <w:t>reductions in t</w:t>
      </w:r>
      <w:r w:rsidR="00445DD8" w:rsidRPr="00A75094">
        <w:t xml:space="preserve">he health disparities </w:t>
      </w:r>
      <w:r w:rsidR="00BD757B" w:rsidRPr="00A75094">
        <w:t xml:space="preserve">that are </w:t>
      </w:r>
      <w:r w:rsidR="00445DD8" w:rsidRPr="00A75094">
        <w:t>of</w:t>
      </w:r>
      <w:r w:rsidR="00590950" w:rsidRPr="00A75094">
        <w:t>ten reported for</w:t>
      </w:r>
      <w:r w:rsidR="00445DD8" w:rsidRPr="00A75094">
        <w:t xml:space="preserve"> this population </w:t>
      </w:r>
      <w:r w:rsidR="00590950" w:rsidRPr="00A75094">
        <w:t>(Emerson &amp; Hatton, 2013)</w:t>
      </w:r>
      <w:r w:rsidR="00445DD8" w:rsidRPr="00A75094">
        <w:t xml:space="preserve">.  </w:t>
      </w:r>
      <w:r w:rsidR="0060136B" w:rsidRPr="00A75094">
        <w:t>Even so</w:t>
      </w:r>
      <w:r w:rsidR="00CB757F" w:rsidRPr="00A75094">
        <w:t>,</w:t>
      </w:r>
      <w:r w:rsidR="0060136B" w:rsidRPr="00A75094">
        <w:t xml:space="preserve"> the</w:t>
      </w:r>
      <w:r w:rsidR="001A3EF0" w:rsidRPr="00A75094">
        <w:t xml:space="preserve">se proposals </w:t>
      </w:r>
      <w:r w:rsidR="0060136B" w:rsidRPr="00A75094">
        <w:t xml:space="preserve">may need to be embedded within broader considerations which  </w:t>
      </w:r>
      <w:proofErr w:type="spellStart"/>
      <w:r w:rsidR="005F4DF0" w:rsidRPr="00A75094">
        <w:rPr>
          <w:rFonts w:asciiTheme="majorBidi" w:hAnsiTheme="majorBidi" w:cstheme="majorBidi"/>
          <w:shd w:val="clear" w:color="auto" w:fill="FFFFFF"/>
        </w:rPr>
        <w:t>Krahn</w:t>
      </w:r>
      <w:proofErr w:type="spellEnd"/>
      <w:r w:rsidR="005F4DF0" w:rsidRPr="00A75094">
        <w:rPr>
          <w:rFonts w:asciiTheme="majorBidi" w:hAnsiTheme="majorBidi" w:cstheme="majorBidi"/>
          <w:shd w:val="clear" w:color="auto" w:fill="FFFFFF"/>
        </w:rPr>
        <w:t xml:space="preserve"> &amp; F</w:t>
      </w:r>
      <w:r w:rsidR="00477F16" w:rsidRPr="00A75094">
        <w:rPr>
          <w:rFonts w:asciiTheme="majorBidi" w:hAnsiTheme="majorBidi" w:cstheme="majorBidi"/>
          <w:shd w:val="clear" w:color="auto" w:fill="FFFFFF"/>
        </w:rPr>
        <w:t>ox (20</w:t>
      </w:r>
      <w:r w:rsidR="00962FF3" w:rsidRPr="00A75094">
        <w:rPr>
          <w:rFonts w:asciiTheme="majorBidi" w:hAnsiTheme="majorBidi" w:cstheme="majorBidi"/>
          <w:shd w:val="clear" w:color="auto" w:fill="FFFFFF"/>
        </w:rPr>
        <w:t>14</w:t>
      </w:r>
      <w:r w:rsidR="00477F16" w:rsidRPr="00A75094">
        <w:rPr>
          <w:rFonts w:asciiTheme="majorBidi" w:hAnsiTheme="majorBidi" w:cstheme="majorBidi"/>
          <w:shd w:val="clear" w:color="auto" w:fill="FFFFFF"/>
        </w:rPr>
        <w:t xml:space="preserve">) </w:t>
      </w:r>
      <w:r w:rsidR="0060136B" w:rsidRPr="00A75094">
        <w:rPr>
          <w:rFonts w:asciiTheme="majorBidi" w:hAnsiTheme="majorBidi" w:cstheme="majorBidi"/>
          <w:shd w:val="clear" w:color="auto" w:fill="FFFFFF"/>
        </w:rPr>
        <w:t xml:space="preserve">noted </w:t>
      </w:r>
      <w:r w:rsidR="001A3EF0" w:rsidRPr="00A75094">
        <w:rPr>
          <w:rFonts w:asciiTheme="majorBidi" w:hAnsiTheme="majorBidi" w:cstheme="majorBidi"/>
          <w:shd w:val="clear" w:color="auto" w:fill="FFFFFF"/>
        </w:rPr>
        <w:t>sh</w:t>
      </w:r>
      <w:r w:rsidR="0060136B" w:rsidRPr="00A75094">
        <w:rPr>
          <w:rFonts w:asciiTheme="majorBidi" w:hAnsiTheme="majorBidi" w:cstheme="majorBidi"/>
          <w:shd w:val="clear" w:color="auto" w:fill="FFFFFF"/>
        </w:rPr>
        <w:t>ould include ‘the</w:t>
      </w:r>
      <w:r w:rsidR="00477F16" w:rsidRPr="00A75094">
        <w:rPr>
          <w:rFonts w:asciiTheme="majorBidi" w:hAnsiTheme="majorBidi" w:cstheme="majorBidi"/>
          <w:iCs/>
          <w:shd w:val="clear" w:color="auto" w:fill="FFFFFF"/>
        </w:rPr>
        <w:t xml:space="preserve"> use of data to educate decision makers, attention to social determinants and a life</w:t>
      </w:r>
      <w:r w:rsidR="00477F16" w:rsidRPr="00A75094">
        <w:rPr>
          <w:rFonts w:ascii="Cambria Math" w:hAnsi="Cambria Math" w:cs="Cambria Math"/>
          <w:iCs/>
          <w:shd w:val="clear" w:color="auto" w:fill="FFFFFF"/>
        </w:rPr>
        <w:t>‐</w:t>
      </w:r>
      <w:r w:rsidR="00477F16" w:rsidRPr="00A75094">
        <w:rPr>
          <w:rFonts w:asciiTheme="majorBidi" w:hAnsiTheme="majorBidi" w:cstheme="majorBidi"/>
          <w:iCs/>
          <w:shd w:val="clear" w:color="auto" w:fill="FFFFFF"/>
        </w:rPr>
        <w:t>course model</w:t>
      </w:r>
      <w:r w:rsidR="0060136B" w:rsidRPr="00A75094">
        <w:rPr>
          <w:rFonts w:asciiTheme="majorBidi" w:hAnsiTheme="majorBidi" w:cstheme="majorBidi"/>
          <w:iCs/>
          <w:shd w:val="clear" w:color="auto" w:fill="FFFFFF"/>
        </w:rPr>
        <w:t>,</w:t>
      </w:r>
      <w:r w:rsidR="00477F16" w:rsidRPr="00A75094">
        <w:rPr>
          <w:rFonts w:asciiTheme="majorBidi" w:hAnsiTheme="majorBidi" w:cstheme="majorBidi"/>
          <w:iCs/>
          <w:shd w:val="clear" w:color="auto" w:fill="FFFFFF"/>
        </w:rPr>
        <w:t xml:space="preserve"> and emphasis on leveraging inclusion in mainstream services where possible’</w:t>
      </w:r>
      <w:r w:rsidR="005F4DF0" w:rsidRPr="00A75094">
        <w:rPr>
          <w:rFonts w:asciiTheme="majorBidi" w:hAnsiTheme="majorBidi" w:cstheme="majorBidi"/>
          <w:iCs/>
          <w:shd w:val="clear" w:color="auto" w:fill="FFFFFF"/>
        </w:rPr>
        <w:t xml:space="preserve"> (p.431)</w:t>
      </w:r>
      <w:r w:rsidR="00477F16" w:rsidRPr="00A75094">
        <w:rPr>
          <w:rFonts w:asciiTheme="majorBidi" w:hAnsiTheme="majorBidi" w:cstheme="majorBidi"/>
          <w:shd w:val="clear" w:color="auto" w:fill="FFFFFF"/>
        </w:rPr>
        <w:t>.</w:t>
      </w:r>
      <w:r w:rsidR="00962FF3" w:rsidRPr="00A75094">
        <w:rPr>
          <w:rFonts w:asciiTheme="majorBidi" w:hAnsiTheme="majorBidi" w:cstheme="majorBidi"/>
        </w:rPr>
        <w:t xml:space="preserve">  </w:t>
      </w:r>
    </w:p>
    <w:p w14:paraId="77B08593" w14:textId="4E85D9EF" w:rsidR="00CB757F" w:rsidRPr="00A75094" w:rsidRDefault="0017724F" w:rsidP="00933C31">
      <w:pPr>
        <w:spacing w:after="120"/>
      </w:pPr>
      <w:r w:rsidRPr="00A75094">
        <w:t>However i</w:t>
      </w:r>
      <w:r w:rsidR="00445DD8" w:rsidRPr="00A75094">
        <w:t xml:space="preserve">mplementing these </w:t>
      </w:r>
      <w:r w:rsidR="00590950" w:rsidRPr="00A75094">
        <w:t>strategic</w:t>
      </w:r>
      <w:r w:rsidR="00AC659A" w:rsidRPr="00A75094">
        <w:t xml:space="preserve"> actions</w:t>
      </w:r>
      <w:r w:rsidR="00590950" w:rsidRPr="00A75094">
        <w:t xml:space="preserve"> and system indicators</w:t>
      </w:r>
      <w:r w:rsidR="00445DD8" w:rsidRPr="00A75094">
        <w:t xml:space="preserve"> </w:t>
      </w:r>
      <w:r w:rsidR="00CB757F" w:rsidRPr="00A75094">
        <w:t xml:space="preserve">is </w:t>
      </w:r>
      <w:r w:rsidR="00445DD8" w:rsidRPr="00A75094">
        <w:t xml:space="preserve">a major undertaking </w:t>
      </w:r>
      <w:r w:rsidRPr="00A75094">
        <w:t xml:space="preserve">and one that is unlikely to be speedily achieved given </w:t>
      </w:r>
      <w:r w:rsidR="00445DD8" w:rsidRPr="00A75094">
        <w:t xml:space="preserve">the </w:t>
      </w:r>
      <w:r w:rsidR="00FB2568" w:rsidRPr="00A75094">
        <w:t xml:space="preserve">many </w:t>
      </w:r>
      <w:r w:rsidR="00445DD8" w:rsidRPr="00A75094">
        <w:t xml:space="preserve">different health systems that exist even within a locality as well as nationally.  </w:t>
      </w:r>
      <w:r w:rsidR="005A37E1" w:rsidRPr="00A75094">
        <w:t>For example, t</w:t>
      </w:r>
      <w:r w:rsidRPr="00A75094">
        <w:t xml:space="preserve">his study did not examine </w:t>
      </w:r>
      <w:r w:rsidR="00445DD8" w:rsidRPr="00A75094">
        <w:t xml:space="preserve">whether certain </w:t>
      </w:r>
      <w:r w:rsidR="00BD757B" w:rsidRPr="00A75094">
        <w:t xml:space="preserve">system indicators </w:t>
      </w:r>
      <w:r w:rsidR="00445DD8" w:rsidRPr="00A75094">
        <w:t xml:space="preserve">are more appropriate to primary </w:t>
      </w:r>
      <w:r w:rsidR="00BD757B" w:rsidRPr="00A75094">
        <w:t>health</w:t>
      </w:r>
      <w:r w:rsidR="007F5F72" w:rsidRPr="00A75094">
        <w:t xml:space="preserve"> </w:t>
      </w:r>
      <w:r w:rsidR="00445DD8" w:rsidRPr="00A75094">
        <w:t>care as opposed to tertiary care systems</w:t>
      </w:r>
      <w:r w:rsidRPr="00A75094">
        <w:t xml:space="preserve"> </w:t>
      </w:r>
      <w:r w:rsidR="005C6CC0" w:rsidRPr="00A75094">
        <w:t>(</w:t>
      </w:r>
      <w:r w:rsidR="00B224E4" w:rsidRPr="00A75094">
        <w:t xml:space="preserve">Lennox, Van </w:t>
      </w:r>
      <w:proofErr w:type="spellStart"/>
      <w:r w:rsidR="00B224E4" w:rsidRPr="00A75094">
        <w:t>Driel</w:t>
      </w:r>
      <w:proofErr w:type="spellEnd"/>
      <w:r w:rsidR="00B224E4" w:rsidRPr="00A75094">
        <w:t xml:space="preserve"> &amp; van </w:t>
      </w:r>
      <w:proofErr w:type="spellStart"/>
      <w:r w:rsidR="00B224E4" w:rsidRPr="00A75094">
        <w:t>Dooren</w:t>
      </w:r>
      <w:proofErr w:type="spellEnd"/>
      <w:r w:rsidR="00B224E4" w:rsidRPr="00A75094">
        <w:t>, 2015</w:t>
      </w:r>
      <w:r w:rsidR="005C6CC0" w:rsidRPr="00A75094">
        <w:t xml:space="preserve">: </w:t>
      </w:r>
      <w:proofErr w:type="spellStart"/>
      <w:r w:rsidR="005C6CC0" w:rsidRPr="00A75094">
        <w:t>Iacono</w:t>
      </w:r>
      <w:proofErr w:type="spellEnd"/>
      <w:r w:rsidR="005C6CC0" w:rsidRPr="00A75094">
        <w:t xml:space="preserve">, </w:t>
      </w:r>
      <w:proofErr w:type="spellStart"/>
      <w:r w:rsidR="005C6CC0" w:rsidRPr="00A75094">
        <w:t>Bigby</w:t>
      </w:r>
      <w:proofErr w:type="spellEnd"/>
      <w:r w:rsidR="005C6CC0" w:rsidRPr="00A75094">
        <w:t>, Unsworth, Douglas &amp; Fitzpatrick, 2014)</w:t>
      </w:r>
      <w:r w:rsidR="00445DD8" w:rsidRPr="00A75094">
        <w:t xml:space="preserve">.  </w:t>
      </w:r>
      <w:r w:rsidRPr="00A75094">
        <w:t xml:space="preserve">Experience of </w:t>
      </w:r>
      <w:r w:rsidRPr="00A75094">
        <w:lastRenderedPageBreak/>
        <w:t>implementing actions in different healthcare</w:t>
      </w:r>
      <w:r w:rsidR="00647319" w:rsidRPr="00A75094">
        <w:t xml:space="preserve"> and health promotion</w:t>
      </w:r>
      <w:r w:rsidR="0079508B" w:rsidRPr="00A75094">
        <w:t xml:space="preserve"> </w:t>
      </w:r>
      <w:r w:rsidRPr="00A75094">
        <w:t xml:space="preserve">settings will </w:t>
      </w:r>
      <w:r w:rsidR="005A37E1" w:rsidRPr="00A75094">
        <w:t xml:space="preserve">help </w:t>
      </w:r>
      <w:r w:rsidR="00647319" w:rsidRPr="00A75094">
        <w:t xml:space="preserve">to </w:t>
      </w:r>
      <w:r w:rsidR="005A37E1" w:rsidRPr="00A75094">
        <w:t xml:space="preserve">make service change more effective. </w:t>
      </w:r>
      <w:r w:rsidR="00CB757F" w:rsidRPr="00A75094">
        <w:t xml:space="preserve">  </w:t>
      </w:r>
    </w:p>
    <w:p w14:paraId="2E2651DB" w14:textId="04DD2643" w:rsidR="00852013" w:rsidRPr="00A75094" w:rsidRDefault="00445DD8" w:rsidP="00CB757F">
      <w:pPr>
        <w:spacing w:after="120"/>
      </w:pPr>
      <w:r w:rsidRPr="00A75094">
        <w:t xml:space="preserve">Likewise </w:t>
      </w:r>
      <w:r w:rsidR="00BD757B" w:rsidRPr="00A75094">
        <w:t xml:space="preserve">these </w:t>
      </w:r>
      <w:r w:rsidR="00AC659A" w:rsidRPr="00A75094">
        <w:t xml:space="preserve"> actions and</w:t>
      </w:r>
      <w:r w:rsidR="00BD757B" w:rsidRPr="00A75094">
        <w:t xml:space="preserve"> indicators </w:t>
      </w:r>
      <w:r w:rsidRPr="00A75094">
        <w:t>ma</w:t>
      </w:r>
      <w:r w:rsidR="0017724F" w:rsidRPr="00A75094">
        <w:t>y</w:t>
      </w:r>
      <w:r w:rsidRPr="00A75094">
        <w:t xml:space="preserve"> need to </w:t>
      </w:r>
      <w:r w:rsidR="0017724F" w:rsidRPr="00A75094">
        <w:t xml:space="preserve">be </w:t>
      </w:r>
      <w:r w:rsidRPr="00A75094">
        <w:t xml:space="preserve">tailored to the various health professionals – </w:t>
      </w:r>
      <w:r w:rsidR="00F5789A" w:rsidRPr="00A75094">
        <w:t xml:space="preserve">medical </w:t>
      </w:r>
      <w:r w:rsidRPr="00A75094">
        <w:t xml:space="preserve">doctors, nurses, therapists - as their roles </w:t>
      </w:r>
      <w:r w:rsidR="0017724F" w:rsidRPr="00A75094">
        <w:t xml:space="preserve">can </w:t>
      </w:r>
      <w:r w:rsidRPr="00A75094">
        <w:t>differ</w:t>
      </w:r>
      <w:r w:rsidR="00A9529B" w:rsidRPr="00A75094">
        <w:t xml:space="preserve"> </w:t>
      </w:r>
      <w:r w:rsidRPr="00A75094">
        <w:t xml:space="preserve">within and across primary care or in hospital settings.  </w:t>
      </w:r>
      <w:r w:rsidR="0017724F" w:rsidRPr="00A75094">
        <w:t>Hence, d</w:t>
      </w:r>
      <w:r w:rsidRPr="00A75094">
        <w:t xml:space="preserve">ifferent levels of training and guidance may be needed for </w:t>
      </w:r>
      <w:r w:rsidR="0017724F" w:rsidRPr="00A75094">
        <w:t>different disciplines albeit that there could be some commonality on issues such as adapting communication</w:t>
      </w:r>
      <w:r w:rsidR="00A43C9F" w:rsidRPr="00A75094">
        <w:t xml:space="preserve"> </w:t>
      </w:r>
      <w:r w:rsidR="00A9529B" w:rsidRPr="00A75094">
        <w:t xml:space="preserve">to patients with </w:t>
      </w:r>
      <w:r w:rsidR="00126922" w:rsidRPr="00A75094">
        <w:t>ID</w:t>
      </w:r>
      <w:r w:rsidR="00A9529B" w:rsidRPr="00A75094">
        <w:t xml:space="preserve"> </w:t>
      </w:r>
      <w:r w:rsidR="003D0317" w:rsidRPr="00A75094">
        <w:t>(</w:t>
      </w:r>
      <w:proofErr w:type="spellStart"/>
      <w:r w:rsidR="00A43C9F" w:rsidRPr="00A75094">
        <w:t>Hemm</w:t>
      </w:r>
      <w:proofErr w:type="spellEnd"/>
      <w:r w:rsidR="00A43C9F" w:rsidRPr="00A75094">
        <w:t xml:space="preserve">, </w:t>
      </w:r>
      <w:proofErr w:type="spellStart"/>
      <w:proofErr w:type="gramStart"/>
      <w:r w:rsidR="00A43C9F" w:rsidRPr="00A75094">
        <w:t>Dagnan</w:t>
      </w:r>
      <w:proofErr w:type="spellEnd"/>
      <w:r w:rsidR="00A43C9F" w:rsidRPr="00A75094">
        <w:t>,  &amp;</w:t>
      </w:r>
      <w:proofErr w:type="gramEnd"/>
      <w:r w:rsidR="00A43C9F" w:rsidRPr="00A75094">
        <w:t xml:space="preserve"> Meyer, 2015).</w:t>
      </w:r>
      <w:r w:rsidR="0017724F" w:rsidRPr="00A75094">
        <w:t xml:space="preserve">   </w:t>
      </w:r>
    </w:p>
    <w:p w14:paraId="34ECAA44" w14:textId="42646BA7" w:rsidR="00A9529B" w:rsidRPr="00A75094" w:rsidRDefault="0017724F" w:rsidP="00AC659A">
      <w:pPr>
        <w:spacing w:after="120"/>
      </w:pPr>
      <w:r w:rsidRPr="00A75094">
        <w:t xml:space="preserve">The range of </w:t>
      </w:r>
      <w:r w:rsidR="004830DA" w:rsidRPr="00A75094">
        <w:t xml:space="preserve">strategic </w:t>
      </w:r>
      <w:r w:rsidR="00AC659A" w:rsidRPr="00A75094">
        <w:t xml:space="preserve">actions </w:t>
      </w:r>
      <w:r w:rsidR="00CB757F" w:rsidRPr="00A75094">
        <w:t xml:space="preserve">and </w:t>
      </w:r>
      <w:r w:rsidR="004830DA" w:rsidRPr="00A75094">
        <w:t xml:space="preserve">indicators </w:t>
      </w:r>
      <w:r w:rsidRPr="00A75094">
        <w:t>identified here reflects the complexity of creating more inclusive health systems</w:t>
      </w:r>
      <w:r w:rsidR="00CC0193" w:rsidRPr="00A75094">
        <w:t xml:space="preserve"> and public health interventions</w:t>
      </w:r>
      <w:r w:rsidRPr="00A75094">
        <w:t>.</w:t>
      </w:r>
      <w:r w:rsidR="00852013" w:rsidRPr="00A75094">
        <w:t xml:space="preserve">  The greater the number of </w:t>
      </w:r>
      <w:r w:rsidR="00CB757F" w:rsidRPr="00A75094">
        <w:t xml:space="preserve">actions implemented and </w:t>
      </w:r>
      <w:r w:rsidR="00CC0193" w:rsidRPr="00A75094">
        <w:t xml:space="preserve">system indicators </w:t>
      </w:r>
      <w:r w:rsidR="00CB757F" w:rsidRPr="00A75094">
        <w:t xml:space="preserve">obtained, </w:t>
      </w:r>
      <w:r w:rsidR="00852013" w:rsidRPr="00A75094">
        <w:t xml:space="preserve">the more likely the service could be deemed to be inclusive.  </w:t>
      </w:r>
      <w:r w:rsidRPr="00A75094">
        <w:t>Such a</w:t>
      </w:r>
      <w:r w:rsidR="00852013" w:rsidRPr="00A75094">
        <w:t xml:space="preserve"> </w:t>
      </w:r>
      <w:r w:rsidRPr="00A75094">
        <w:t xml:space="preserve">profiling </w:t>
      </w:r>
      <w:r w:rsidR="00852013" w:rsidRPr="00A75094">
        <w:t xml:space="preserve">approach would also identify improvements that services need to make in order to become more inclusive. </w:t>
      </w:r>
      <w:r w:rsidR="00E303C2" w:rsidRPr="00A75094">
        <w:t xml:space="preserve">  However it is unlikely that</w:t>
      </w:r>
      <w:r w:rsidR="005C6CC0" w:rsidRPr="00A75094">
        <w:t xml:space="preserve"> any</w:t>
      </w:r>
      <w:r w:rsidR="00E303C2" w:rsidRPr="00A75094">
        <w:t xml:space="preserve"> one </w:t>
      </w:r>
      <w:r w:rsidR="008A19EB" w:rsidRPr="00A75094">
        <w:t xml:space="preserve">system indicator </w:t>
      </w:r>
      <w:r w:rsidR="00E303C2" w:rsidRPr="00A75094">
        <w:t xml:space="preserve">is necessarily preferable to another.  Rather they are interlinked.  For example, in some systems the training of health professionals may require a policy commitment and practice guidelines in order for it to be implemented.  Whereas in other situations, </w:t>
      </w:r>
      <w:r w:rsidR="00F5789A" w:rsidRPr="00A75094">
        <w:t>loca</w:t>
      </w:r>
      <w:r w:rsidR="00AC659A" w:rsidRPr="00A75094">
        <w:t>l</w:t>
      </w:r>
      <w:r w:rsidR="00F5789A" w:rsidRPr="00A75094">
        <w:t>l</w:t>
      </w:r>
      <w:r w:rsidR="00AC659A" w:rsidRPr="00A75094">
        <w:t>y</w:t>
      </w:r>
      <w:r w:rsidR="00F5789A" w:rsidRPr="00A75094">
        <w:t xml:space="preserve"> tailored </w:t>
      </w:r>
      <w:r w:rsidR="00E303C2" w:rsidRPr="00A75094">
        <w:t xml:space="preserve">training initiatives </w:t>
      </w:r>
      <w:r w:rsidR="00CB757F" w:rsidRPr="00A75094">
        <w:t xml:space="preserve">could foster </w:t>
      </w:r>
      <w:r w:rsidR="00E303C2" w:rsidRPr="00A75094">
        <w:t>the development of policies.</w:t>
      </w:r>
      <w:r w:rsidR="00E303C2" w:rsidRPr="00A75094">
        <w:rPr>
          <w:rFonts w:asciiTheme="majorBidi" w:hAnsiTheme="majorBidi" w:cstheme="majorBidi"/>
        </w:rPr>
        <w:t xml:space="preserve">  </w:t>
      </w:r>
      <w:r w:rsidR="008A19EB" w:rsidRPr="00A75094">
        <w:rPr>
          <w:rFonts w:asciiTheme="majorBidi" w:hAnsiTheme="majorBidi" w:cstheme="majorBidi"/>
        </w:rPr>
        <w:t xml:space="preserve">There is a small, but emerging, literature that is now exploring our understanding of the </w:t>
      </w:r>
      <w:r w:rsidR="000D0D72" w:rsidRPr="00A75094">
        <w:rPr>
          <w:rFonts w:asciiTheme="majorBidi" w:hAnsiTheme="majorBidi" w:cstheme="majorBidi"/>
        </w:rPr>
        <w:t xml:space="preserve">context and </w:t>
      </w:r>
      <w:r w:rsidR="008A19EB" w:rsidRPr="00A75094">
        <w:rPr>
          <w:rFonts w:asciiTheme="majorBidi" w:hAnsiTheme="majorBidi" w:cstheme="majorBidi"/>
        </w:rPr>
        <w:t>systems that</w:t>
      </w:r>
      <w:r w:rsidR="008A19EB" w:rsidRPr="00A75094">
        <w:rPr>
          <w:rFonts w:asciiTheme="majorBidi" w:hAnsiTheme="majorBidi" w:cstheme="majorBidi"/>
          <w:i/>
          <w:iCs/>
        </w:rPr>
        <w:t xml:space="preserve"> ‘can promote the integration of policies, supports and outcomes within the field of </w:t>
      </w:r>
      <w:r w:rsidR="00126922" w:rsidRPr="00A75094">
        <w:rPr>
          <w:rFonts w:asciiTheme="majorBidi" w:hAnsiTheme="majorBidi" w:cstheme="majorBidi"/>
          <w:i/>
          <w:iCs/>
        </w:rPr>
        <w:t>ID</w:t>
      </w:r>
      <w:r w:rsidR="00D61374" w:rsidRPr="00A75094">
        <w:rPr>
          <w:rFonts w:asciiTheme="majorBidi" w:hAnsiTheme="majorBidi" w:cstheme="majorBidi"/>
          <w:i/>
          <w:iCs/>
        </w:rPr>
        <w:t xml:space="preserve">’ </w:t>
      </w:r>
      <w:r w:rsidR="00D61374" w:rsidRPr="00A75094">
        <w:rPr>
          <w:rFonts w:asciiTheme="majorBidi" w:hAnsiTheme="majorBidi" w:cstheme="majorBidi"/>
          <w:iCs/>
        </w:rPr>
        <w:t>to</w:t>
      </w:r>
      <w:r w:rsidR="000D0D72" w:rsidRPr="00A75094">
        <w:rPr>
          <w:rFonts w:asciiTheme="majorBidi" w:hAnsiTheme="majorBidi" w:cstheme="majorBidi"/>
        </w:rPr>
        <w:t xml:space="preserve"> improve the health and quality of life of this population</w:t>
      </w:r>
      <w:r w:rsidR="00AC659A" w:rsidRPr="00A75094">
        <w:rPr>
          <w:rFonts w:asciiTheme="majorBidi" w:hAnsiTheme="majorBidi" w:cstheme="majorBidi"/>
        </w:rPr>
        <w:t xml:space="preserve"> (</w:t>
      </w:r>
      <w:proofErr w:type="spellStart"/>
      <w:r w:rsidR="00AC659A" w:rsidRPr="00A75094">
        <w:rPr>
          <w:rFonts w:asciiTheme="majorBidi" w:hAnsiTheme="majorBidi" w:cstheme="majorBidi"/>
        </w:rPr>
        <w:t>Claes</w:t>
      </w:r>
      <w:proofErr w:type="spellEnd"/>
      <w:r w:rsidR="00AC659A" w:rsidRPr="00A75094">
        <w:rPr>
          <w:rFonts w:asciiTheme="majorBidi" w:hAnsiTheme="majorBidi" w:cstheme="majorBidi"/>
        </w:rPr>
        <w:t xml:space="preserve"> et al., 2017; </w:t>
      </w:r>
      <w:proofErr w:type="spellStart"/>
      <w:r w:rsidR="00AC659A" w:rsidRPr="00A75094">
        <w:rPr>
          <w:rFonts w:asciiTheme="majorBidi" w:hAnsiTheme="majorBidi" w:cstheme="majorBidi"/>
        </w:rPr>
        <w:t>Shogren</w:t>
      </w:r>
      <w:proofErr w:type="spellEnd"/>
      <w:r w:rsidR="00AC659A" w:rsidRPr="00A75094">
        <w:rPr>
          <w:rFonts w:asciiTheme="majorBidi" w:hAnsiTheme="majorBidi" w:cstheme="majorBidi"/>
        </w:rPr>
        <w:t xml:space="preserve"> et al., 2018)</w:t>
      </w:r>
      <w:r w:rsidR="0079508B" w:rsidRPr="00A75094">
        <w:rPr>
          <w:rFonts w:asciiTheme="majorBidi" w:hAnsiTheme="majorBidi" w:cstheme="majorBidi"/>
        </w:rPr>
        <w:t>.</w:t>
      </w:r>
    </w:p>
    <w:p w14:paraId="00807F21" w14:textId="71E46CF5" w:rsidR="00FF00F3" w:rsidRPr="00A75094" w:rsidRDefault="00647319" w:rsidP="00CB757F">
      <w:pPr>
        <w:spacing w:after="120"/>
        <w:rPr>
          <w:rFonts w:cs="Arial"/>
          <w:b/>
        </w:rPr>
      </w:pPr>
      <w:r w:rsidRPr="00A75094">
        <w:t xml:space="preserve">A limitation of this study is that it remains unclear </w:t>
      </w:r>
      <w:r w:rsidR="00E303C2" w:rsidRPr="00A75094">
        <w:t>whose responsibility it is to initiat</w:t>
      </w:r>
      <w:r w:rsidR="006C6DBE" w:rsidRPr="00A75094">
        <w:t>e</w:t>
      </w:r>
      <w:r w:rsidR="00E303C2" w:rsidRPr="00A75094">
        <w:t xml:space="preserve"> inclusive actions.   </w:t>
      </w:r>
      <w:r w:rsidR="00A9529B" w:rsidRPr="00A75094">
        <w:t>Leadership from managers may be a key component</w:t>
      </w:r>
      <w:r w:rsidR="000769C7" w:rsidRPr="00A75094">
        <w:t xml:space="preserve"> (Popescu &amp; </w:t>
      </w:r>
      <w:proofErr w:type="spellStart"/>
      <w:r w:rsidR="000769C7" w:rsidRPr="00A75094">
        <w:t>Predescu</w:t>
      </w:r>
      <w:proofErr w:type="spellEnd"/>
      <w:r w:rsidR="000769C7" w:rsidRPr="00A75094">
        <w:t>, 2016)</w:t>
      </w:r>
      <w:r w:rsidR="001F4AD2" w:rsidRPr="00A75094">
        <w:t xml:space="preserve"> a</w:t>
      </w:r>
      <w:r w:rsidR="00CB757F" w:rsidRPr="00A75094">
        <w:t xml:space="preserve">lthough this </w:t>
      </w:r>
      <w:r w:rsidR="0079508B" w:rsidRPr="00A75094">
        <w:t xml:space="preserve">may </w:t>
      </w:r>
      <w:r w:rsidR="00CB757F" w:rsidRPr="00A75094">
        <w:t xml:space="preserve">inhibit </w:t>
      </w:r>
      <w:r w:rsidR="001F4AD2" w:rsidRPr="00A75094">
        <w:t xml:space="preserve">frontline staff taking the initiative, especially in low and </w:t>
      </w:r>
      <w:r w:rsidR="000906A7" w:rsidRPr="00A75094">
        <w:t>middle</w:t>
      </w:r>
      <w:r w:rsidR="001F4AD2" w:rsidRPr="00A75094">
        <w:t xml:space="preserve"> income countries </w:t>
      </w:r>
      <w:r w:rsidR="00A849D0" w:rsidRPr="00A75094">
        <w:t xml:space="preserve">where hierarchical management structures tend to </w:t>
      </w:r>
      <w:r w:rsidR="00A849D0" w:rsidRPr="00A75094">
        <w:lastRenderedPageBreak/>
        <w:t xml:space="preserve">dominate </w:t>
      </w:r>
      <w:r w:rsidR="001F4AD2" w:rsidRPr="00A75094">
        <w:t>(McConkey, 2018).</w:t>
      </w:r>
      <w:r w:rsidR="00A9529B" w:rsidRPr="00A75094">
        <w:t xml:space="preserve">  However </w:t>
      </w:r>
      <w:r w:rsidR="00E303C2" w:rsidRPr="00A75094">
        <w:t>experience suggests that th</w:t>
      </w:r>
      <w:r w:rsidR="001F4AD2" w:rsidRPr="00A75094">
        <w:t>e</w:t>
      </w:r>
      <w:r w:rsidR="00E303C2" w:rsidRPr="00A75094">
        <w:t xml:space="preserve"> </w:t>
      </w:r>
      <w:r w:rsidR="001F4AD2" w:rsidRPr="00A75094">
        <w:t xml:space="preserve">stimulus for change </w:t>
      </w:r>
      <w:r w:rsidR="00E303C2" w:rsidRPr="00A75094">
        <w:t xml:space="preserve">can </w:t>
      </w:r>
      <w:r w:rsidR="000769C7" w:rsidRPr="00A75094">
        <w:t xml:space="preserve">also </w:t>
      </w:r>
      <w:r w:rsidR="00E303C2" w:rsidRPr="00A75094">
        <w:t xml:space="preserve">come from advocacy of persons with disabilities and their family carers, assisted by organisations such as Special Olympics </w:t>
      </w:r>
      <w:r w:rsidR="0079508B" w:rsidRPr="00A75094">
        <w:t xml:space="preserve">and </w:t>
      </w:r>
      <w:r w:rsidR="00E303C2" w:rsidRPr="00A75094">
        <w:t xml:space="preserve">their health programs </w:t>
      </w:r>
      <w:r w:rsidR="003D0317" w:rsidRPr="00A75094">
        <w:t>(</w:t>
      </w:r>
      <w:proofErr w:type="spellStart"/>
      <w:r w:rsidR="003D0317" w:rsidRPr="00A75094">
        <w:t>Frankena</w:t>
      </w:r>
      <w:proofErr w:type="spellEnd"/>
      <w:r w:rsidR="003D0317" w:rsidRPr="00A75094">
        <w:t xml:space="preserve">, </w:t>
      </w:r>
      <w:proofErr w:type="spellStart"/>
      <w:r w:rsidR="003D0317" w:rsidRPr="00A75094">
        <w:t>Naaldenberg</w:t>
      </w:r>
      <w:proofErr w:type="spellEnd"/>
      <w:r w:rsidR="003D0317" w:rsidRPr="00A75094">
        <w:t xml:space="preserve">, </w:t>
      </w:r>
      <w:proofErr w:type="spellStart"/>
      <w:r w:rsidR="003D0317" w:rsidRPr="00A75094">
        <w:t>Cardol</w:t>
      </w:r>
      <w:proofErr w:type="spellEnd"/>
      <w:r w:rsidR="003D0317" w:rsidRPr="00A75094">
        <w:t xml:space="preserve">, Linehan &amp; van </w:t>
      </w:r>
      <w:proofErr w:type="spellStart"/>
      <w:r w:rsidR="003D0317" w:rsidRPr="00A75094">
        <w:t>Schrojenstein</w:t>
      </w:r>
      <w:proofErr w:type="spellEnd"/>
      <w:r w:rsidR="003D0317" w:rsidRPr="00A75094">
        <w:t xml:space="preserve"> </w:t>
      </w:r>
      <w:proofErr w:type="spellStart"/>
      <w:r w:rsidR="003D0317" w:rsidRPr="00A75094">
        <w:t>Lantman</w:t>
      </w:r>
      <w:proofErr w:type="spellEnd"/>
      <w:r w:rsidR="003D0317" w:rsidRPr="00A75094">
        <w:t xml:space="preserve">-de </w:t>
      </w:r>
      <w:proofErr w:type="spellStart"/>
      <w:r w:rsidR="003D0317" w:rsidRPr="00A75094">
        <w:t>Valk</w:t>
      </w:r>
      <w:proofErr w:type="spellEnd"/>
      <w:r w:rsidR="003D0317" w:rsidRPr="00A75094">
        <w:t>, 2015)</w:t>
      </w:r>
      <w:r w:rsidR="00E303C2" w:rsidRPr="00A75094">
        <w:t xml:space="preserve">. </w:t>
      </w:r>
      <w:r w:rsidR="000D0D72" w:rsidRPr="00A75094">
        <w:t xml:space="preserve"> </w:t>
      </w:r>
      <w:r w:rsidR="00AC659A" w:rsidRPr="00A75094">
        <w:t>Moreover the W</w:t>
      </w:r>
      <w:r w:rsidR="00CB757F" w:rsidRPr="00A75094">
        <w:t xml:space="preserve">orld Health Organisation </w:t>
      </w:r>
      <w:r w:rsidR="00AC659A" w:rsidRPr="00A75094">
        <w:t xml:space="preserve">(2017) </w:t>
      </w:r>
      <w:r w:rsidR="00AC659A" w:rsidRPr="00A75094">
        <w:rPr>
          <w:rFonts w:cs="Arial"/>
        </w:rPr>
        <w:t>recommend</w:t>
      </w:r>
      <w:r w:rsidR="00CB757F" w:rsidRPr="00A75094">
        <w:rPr>
          <w:rFonts w:cs="Arial"/>
        </w:rPr>
        <w:t>s</w:t>
      </w:r>
      <w:r w:rsidR="00D3159A" w:rsidRPr="00A75094">
        <w:rPr>
          <w:rFonts w:cs="Arial"/>
        </w:rPr>
        <w:t xml:space="preserve"> </w:t>
      </w:r>
      <w:r w:rsidR="00AC659A" w:rsidRPr="00A75094">
        <w:rPr>
          <w:rFonts w:cs="Arial"/>
        </w:rPr>
        <w:t xml:space="preserve">involving </w:t>
      </w:r>
      <w:r w:rsidR="00CB757F" w:rsidRPr="00A75094">
        <w:rPr>
          <w:rFonts w:cs="Arial"/>
        </w:rPr>
        <w:t xml:space="preserve">all </w:t>
      </w:r>
      <w:r w:rsidR="00AC659A" w:rsidRPr="00A75094">
        <w:rPr>
          <w:rFonts w:cs="Arial"/>
        </w:rPr>
        <w:t>stakeholders in the development of interventions aimed at improving health for all.</w:t>
      </w:r>
      <w:r w:rsidR="00D3159A" w:rsidRPr="00A75094">
        <w:rPr>
          <w:rFonts w:cs="Arial"/>
        </w:rPr>
        <w:t xml:space="preserve"> </w:t>
      </w:r>
      <w:r w:rsidR="00CB757F" w:rsidRPr="00A75094">
        <w:rPr>
          <w:rFonts w:cs="Arial"/>
        </w:rPr>
        <w:t xml:space="preserve"> </w:t>
      </w:r>
      <w:r w:rsidR="00D3159A" w:rsidRPr="00A75094">
        <w:rPr>
          <w:rFonts w:cs="Arial"/>
        </w:rPr>
        <w:t xml:space="preserve">One </w:t>
      </w:r>
      <w:r w:rsidR="00CB757F" w:rsidRPr="00A75094">
        <w:rPr>
          <w:rFonts w:cs="Arial"/>
        </w:rPr>
        <w:t>possible means</w:t>
      </w:r>
      <w:r w:rsidR="00D3159A" w:rsidRPr="00A75094">
        <w:rPr>
          <w:rFonts w:cs="Arial"/>
        </w:rPr>
        <w:t xml:space="preserve"> is </w:t>
      </w:r>
      <w:r w:rsidR="000D0D72" w:rsidRPr="00A75094">
        <w:t>through a series of co-production workshops</w:t>
      </w:r>
      <w:r w:rsidR="00AC659A" w:rsidRPr="00A75094">
        <w:t>, to</w:t>
      </w:r>
      <w:r w:rsidR="00380673" w:rsidRPr="00A75094">
        <w:t xml:space="preserve"> identify priorities and public health actions</w:t>
      </w:r>
      <w:r w:rsidR="00AC659A" w:rsidRPr="00A75094">
        <w:t xml:space="preserve"> as recommended by</w:t>
      </w:r>
      <w:r w:rsidR="00FF00F3" w:rsidRPr="00A75094">
        <w:t xml:space="preserve"> </w:t>
      </w:r>
      <w:r w:rsidR="00FF00F3" w:rsidRPr="00A75094">
        <w:rPr>
          <w:rFonts w:cs="Arial"/>
        </w:rPr>
        <w:t xml:space="preserve">Fritz et al. (2017) </w:t>
      </w:r>
      <w:r w:rsidR="00AC659A" w:rsidRPr="00A75094">
        <w:rPr>
          <w:rFonts w:cs="Arial"/>
        </w:rPr>
        <w:t>and</w:t>
      </w:r>
      <w:r w:rsidR="00CB757F" w:rsidRPr="00A75094">
        <w:rPr>
          <w:rFonts w:cs="Arial"/>
        </w:rPr>
        <w:t xml:space="preserve"> Morton et al. (2017).</w:t>
      </w:r>
    </w:p>
    <w:p w14:paraId="35B6A248" w14:textId="79B5E391" w:rsidR="00D923B7" w:rsidRPr="00A75094" w:rsidRDefault="00E303C2" w:rsidP="00933C31">
      <w:pPr>
        <w:spacing w:after="120"/>
      </w:pPr>
      <w:r w:rsidRPr="00A75094">
        <w:t xml:space="preserve">The monitoring of health disparities </w:t>
      </w:r>
      <w:r w:rsidR="00BA1AB5" w:rsidRPr="00A75094">
        <w:t>is an</w:t>
      </w:r>
      <w:r w:rsidRPr="00A75094">
        <w:t>other driver for health system change</w:t>
      </w:r>
      <w:r w:rsidR="00BF0AA7" w:rsidRPr="00A75094">
        <w:t xml:space="preserve"> (</w:t>
      </w:r>
      <w:proofErr w:type="spellStart"/>
      <w:r w:rsidR="00BF0AA7" w:rsidRPr="00A75094">
        <w:t>Krahn</w:t>
      </w:r>
      <w:proofErr w:type="spellEnd"/>
      <w:r w:rsidR="00BF0AA7" w:rsidRPr="00A75094">
        <w:t>, &amp; Fox</w:t>
      </w:r>
      <w:r w:rsidR="00F5789A" w:rsidRPr="00A75094">
        <w:t>,</w:t>
      </w:r>
      <w:r w:rsidRPr="00A75094">
        <w:t xml:space="preserve"> </w:t>
      </w:r>
      <w:r w:rsidR="00BF0AA7" w:rsidRPr="00A75094">
        <w:t xml:space="preserve">2014), </w:t>
      </w:r>
      <w:r w:rsidRPr="00A75094">
        <w:t>although the paradox is that</w:t>
      </w:r>
      <w:r w:rsidR="00903685" w:rsidRPr="00A75094">
        <w:t xml:space="preserve"> </w:t>
      </w:r>
      <w:r w:rsidR="00F13F20" w:rsidRPr="00A75094">
        <w:t>a commitment from the system towards inclusivity may be required before the system will consider gathering information in relation to possible disparities.  Nonetheless o</w:t>
      </w:r>
      <w:r w:rsidR="00903685" w:rsidRPr="00A75094">
        <w:t xml:space="preserve">ur respondents agreed that a priority was the identification of persons with </w:t>
      </w:r>
      <w:r w:rsidR="00126922" w:rsidRPr="00A75094">
        <w:t>ID</w:t>
      </w:r>
      <w:r w:rsidR="00903685" w:rsidRPr="00A75094">
        <w:t xml:space="preserve"> in any datasets relati</w:t>
      </w:r>
      <w:r w:rsidR="00D923B7" w:rsidRPr="00A75094">
        <w:t>ng to the health system</w:t>
      </w:r>
      <w:r w:rsidR="00F13F20" w:rsidRPr="00A75094">
        <w:t xml:space="preserve"> in question</w:t>
      </w:r>
      <w:r w:rsidR="00D923B7" w:rsidRPr="00A75094">
        <w:t>, be it p</w:t>
      </w:r>
      <w:r w:rsidR="00903685" w:rsidRPr="00A75094">
        <w:t xml:space="preserve">rimary care </w:t>
      </w:r>
      <w:r w:rsidR="00C43F7D" w:rsidRPr="00A75094">
        <w:t xml:space="preserve">records </w:t>
      </w:r>
      <w:r w:rsidR="00903685" w:rsidRPr="00A75094">
        <w:t>or hospital admissions</w:t>
      </w:r>
      <w:r w:rsidR="00B224E4" w:rsidRPr="00A75094">
        <w:t xml:space="preserve"> (</w:t>
      </w:r>
      <w:proofErr w:type="spellStart"/>
      <w:r w:rsidR="00B224E4" w:rsidRPr="00A75094">
        <w:t>Fujiura</w:t>
      </w:r>
      <w:proofErr w:type="spellEnd"/>
      <w:r w:rsidR="00B224E4" w:rsidRPr="00A75094">
        <w:t>, Rutkowski-</w:t>
      </w:r>
      <w:proofErr w:type="spellStart"/>
      <w:r w:rsidR="00B224E4" w:rsidRPr="00A75094">
        <w:t>Kmitta</w:t>
      </w:r>
      <w:proofErr w:type="spellEnd"/>
      <w:r w:rsidR="00B224E4" w:rsidRPr="00A75094">
        <w:t xml:space="preserve"> &amp; Owen, 2010)</w:t>
      </w:r>
      <w:r w:rsidR="00903685" w:rsidRPr="00A75094">
        <w:t xml:space="preserve">.   </w:t>
      </w:r>
      <w:r w:rsidR="0079508B" w:rsidRPr="00A75094">
        <w:t xml:space="preserve">One </w:t>
      </w:r>
      <w:r w:rsidR="00D923B7" w:rsidRPr="00A75094">
        <w:t>u</w:t>
      </w:r>
      <w:r w:rsidR="00C43F7D" w:rsidRPr="00A75094">
        <w:t xml:space="preserve">nresolved </w:t>
      </w:r>
      <w:r w:rsidR="0079508B" w:rsidRPr="00A75094">
        <w:t xml:space="preserve">question relates to </w:t>
      </w:r>
      <w:r w:rsidR="00C43F7D" w:rsidRPr="00A75094">
        <w:t xml:space="preserve">the criteria for deeming the person to have an </w:t>
      </w:r>
      <w:r w:rsidR="00126922" w:rsidRPr="00A75094">
        <w:t>ID</w:t>
      </w:r>
      <w:r w:rsidR="0079508B" w:rsidRPr="00A75094">
        <w:t>:</w:t>
      </w:r>
      <w:r w:rsidR="00D61374" w:rsidRPr="00A75094">
        <w:t xml:space="preserve"> </w:t>
      </w:r>
      <w:r w:rsidR="0079508B" w:rsidRPr="00A75094">
        <w:t>i</w:t>
      </w:r>
      <w:r w:rsidR="00C43F7D" w:rsidRPr="00A75094">
        <w:t xml:space="preserve">s self-declaration sufficient or does the person need to have a formal assessment and/or be in receipt of specialist services because of an </w:t>
      </w:r>
      <w:r w:rsidR="00126922" w:rsidRPr="00A75094">
        <w:t>ID</w:t>
      </w:r>
      <w:r w:rsidR="00D923B7" w:rsidRPr="00A75094">
        <w:t>?</w:t>
      </w:r>
      <w:r w:rsidR="00C43F7D" w:rsidRPr="00A75094">
        <w:t xml:space="preserve">  </w:t>
      </w:r>
      <w:r w:rsidR="00D923B7" w:rsidRPr="00A75094">
        <w:t xml:space="preserve">National agreements on this issue are vital and would be a prelude to </w:t>
      </w:r>
      <w:r w:rsidR="00B224E4" w:rsidRPr="00A75094">
        <w:t xml:space="preserve">accurate </w:t>
      </w:r>
      <w:r w:rsidR="00D923B7" w:rsidRPr="00A75094">
        <w:t xml:space="preserve">transnational </w:t>
      </w:r>
      <w:r w:rsidR="00B224E4" w:rsidRPr="00A75094">
        <w:t>comparisons</w:t>
      </w:r>
      <w:r w:rsidR="00CB757F" w:rsidRPr="00A75094">
        <w:t xml:space="preserve"> (</w:t>
      </w:r>
      <w:r w:rsidR="00D93857" w:rsidRPr="00A75094">
        <w:t xml:space="preserve">McCallion, Ferretti, </w:t>
      </w:r>
      <w:proofErr w:type="spellStart"/>
      <w:r w:rsidR="00D93857" w:rsidRPr="00A75094">
        <w:t>Beange</w:t>
      </w:r>
      <w:proofErr w:type="spellEnd"/>
      <w:r w:rsidR="00D93857" w:rsidRPr="00A75094">
        <w:t xml:space="preserve"> &amp; McCarron, 2018)</w:t>
      </w:r>
      <w:r w:rsidR="00D923B7" w:rsidRPr="00A75094">
        <w:t xml:space="preserve">. </w:t>
      </w:r>
    </w:p>
    <w:p w14:paraId="29F47B42" w14:textId="13B506BD" w:rsidR="00BA1AB5" w:rsidRPr="00A75094" w:rsidRDefault="00D923B7" w:rsidP="00C10445">
      <w:pPr>
        <w:autoSpaceDE w:val="0"/>
        <w:autoSpaceDN w:val="0"/>
        <w:adjustRightInd w:val="0"/>
        <w:spacing w:after="120"/>
        <w:rPr>
          <w:lang w:val="en-US"/>
        </w:rPr>
      </w:pPr>
      <w:r w:rsidRPr="00A75094">
        <w:rPr>
          <w:rFonts w:asciiTheme="majorBidi" w:hAnsiTheme="majorBidi" w:cstheme="majorBidi"/>
        </w:rPr>
        <w:t>A bigger obstacle is arguably the lack of population datasets relating to health issues</w:t>
      </w:r>
      <w:r w:rsidR="00BA1AB5" w:rsidRPr="00A75094">
        <w:rPr>
          <w:rFonts w:asciiTheme="majorBidi" w:hAnsiTheme="majorBidi" w:cstheme="majorBidi"/>
        </w:rPr>
        <w:t xml:space="preserve">, </w:t>
      </w:r>
      <w:r w:rsidR="00F0447D" w:rsidRPr="00A75094">
        <w:rPr>
          <w:rFonts w:asciiTheme="majorBidi" w:hAnsiTheme="majorBidi" w:cstheme="majorBidi"/>
        </w:rPr>
        <w:t>(</w:t>
      </w:r>
      <w:r w:rsidR="00BA1AB5" w:rsidRPr="00A75094">
        <w:rPr>
          <w:rFonts w:asciiTheme="majorBidi" w:hAnsiTheme="majorBidi" w:cstheme="majorBidi"/>
        </w:rPr>
        <w:t>including health</w:t>
      </w:r>
      <w:r w:rsidR="003B21D1" w:rsidRPr="00A75094">
        <w:rPr>
          <w:rFonts w:asciiTheme="majorBidi" w:hAnsiTheme="majorBidi" w:cstheme="majorBidi"/>
        </w:rPr>
        <w:t>care</w:t>
      </w:r>
      <w:r w:rsidR="00BA1AB5" w:rsidRPr="00A75094">
        <w:rPr>
          <w:rFonts w:asciiTheme="majorBidi" w:hAnsiTheme="majorBidi" w:cstheme="majorBidi"/>
        </w:rPr>
        <w:t xml:space="preserve"> costs</w:t>
      </w:r>
      <w:r w:rsidR="00F0447D" w:rsidRPr="00A75094">
        <w:rPr>
          <w:rFonts w:asciiTheme="majorBidi" w:hAnsiTheme="majorBidi" w:cstheme="majorBidi"/>
        </w:rPr>
        <w:t>)</w:t>
      </w:r>
      <w:r w:rsidR="00BA1AB5" w:rsidRPr="00A75094">
        <w:rPr>
          <w:rFonts w:asciiTheme="majorBidi" w:hAnsiTheme="majorBidi" w:cstheme="majorBidi"/>
        </w:rPr>
        <w:t>,</w:t>
      </w:r>
      <w:r w:rsidRPr="00A75094">
        <w:rPr>
          <w:rFonts w:asciiTheme="majorBidi" w:hAnsiTheme="majorBidi" w:cstheme="majorBidi"/>
        </w:rPr>
        <w:t xml:space="preserve"> </w:t>
      </w:r>
      <w:r w:rsidR="00F0447D" w:rsidRPr="00A75094">
        <w:rPr>
          <w:rFonts w:asciiTheme="majorBidi" w:hAnsiTheme="majorBidi" w:cstheme="majorBidi"/>
        </w:rPr>
        <w:t xml:space="preserve">that are </w:t>
      </w:r>
      <w:r w:rsidRPr="00A75094">
        <w:rPr>
          <w:rFonts w:asciiTheme="majorBidi" w:hAnsiTheme="majorBidi" w:cstheme="majorBidi"/>
        </w:rPr>
        <w:t xml:space="preserve">of particular concern to people with </w:t>
      </w:r>
      <w:r w:rsidR="00126922" w:rsidRPr="00A75094">
        <w:rPr>
          <w:rFonts w:asciiTheme="majorBidi" w:hAnsiTheme="majorBidi" w:cstheme="majorBidi"/>
        </w:rPr>
        <w:t>ID</w:t>
      </w:r>
      <w:r w:rsidRPr="00A75094">
        <w:rPr>
          <w:rFonts w:asciiTheme="majorBidi" w:hAnsiTheme="majorBidi" w:cstheme="majorBidi"/>
        </w:rPr>
        <w:t xml:space="preserve">.   National census data may provide information on mortality rates and life expectancy (assuming people with </w:t>
      </w:r>
      <w:r w:rsidR="00BA1AB5" w:rsidRPr="00A75094">
        <w:rPr>
          <w:rFonts w:asciiTheme="majorBidi" w:hAnsiTheme="majorBidi" w:cstheme="majorBidi"/>
        </w:rPr>
        <w:t>ID</w:t>
      </w:r>
      <w:r w:rsidRPr="00A75094">
        <w:rPr>
          <w:rFonts w:asciiTheme="majorBidi" w:hAnsiTheme="majorBidi" w:cstheme="majorBidi"/>
        </w:rPr>
        <w:t xml:space="preserve"> are identified in census returns) but there may not be national coverage of other pertinent data such as</w:t>
      </w:r>
      <w:r w:rsidR="00F13F20" w:rsidRPr="00A75094">
        <w:rPr>
          <w:rFonts w:asciiTheme="majorBidi" w:hAnsiTheme="majorBidi" w:cstheme="majorBidi"/>
        </w:rPr>
        <w:t xml:space="preserve"> health </w:t>
      </w:r>
      <w:r w:rsidRPr="00A75094">
        <w:rPr>
          <w:rFonts w:asciiTheme="majorBidi" w:hAnsiTheme="majorBidi" w:cstheme="majorBidi"/>
        </w:rPr>
        <w:t xml:space="preserve">screening, medication use and </w:t>
      </w:r>
      <w:r w:rsidR="00F13F20" w:rsidRPr="00A75094">
        <w:rPr>
          <w:rFonts w:asciiTheme="majorBidi" w:hAnsiTheme="majorBidi" w:cstheme="majorBidi"/>
        </w:rPr>
        <w:t>immunisation</w:t>
      </w:r>
      <w:r w:rsidR="00326C8A" w:rsidRPr="00A75094">
        <w:rPr>
          <w:rFonts w:asciiTheme="majorBidi" w:hAnsiTheme="majorBidi" w:cstheme="majorBidi"/>
        </w:rPr>
        <w:t xml:space="preserve"> (</w:t>
      </w:r>
      <w:proofErr w:type="spellStart"/>
      <w:r w:rsidR="00326C8A" w:rsidRPr="00A75094">
        <w:rPr>
          <w:rFonts w:asciiTheme="majorBidi" w:hAnsiTheme="majorBidi" w:cstheme="majorBidi"/>
        </w:rPr>
        <w:t>Nevill</w:t>
      </w:r>
      <w:proofErr w:type="spellEnd"/>
      <w:r w:rsidR="00326C8A" w:rsidRPr="00A75094">
        <w:rPr>
          <w:rFonts w:asciiTheme="majorBidi" w:hAnsiTheme="majorBidi" w:cstheme="majorBidi"/>
        </w:rPr>
        <w:t xml:space="preserve">, Scott &amp; </w:t>
      </w:r>
      <w:proofErr w:type="spellStart"/>
      <w:r w:rsidR="00326C8A" w:rsidRPr="00A75094">
        <w:rPr>
          <w:rFonts w:asciiTheme="majorBidi" w:hAnsiTheme="majorBidi" w:cstheme="majorBidi"/>
        </w:rPr>
        <w:t>Havercamp</w:t>
      </w:r>
      <w:proofErr w:type="spellEnd"/>
      <w:r w:rsidR="00326C8A" w:rsidRPr="00A75094">
        <w:rPr>
          <w:rFonts w:asciiTheme="majorBidi" w:hAnsiTheme="majorBidi" w:cstheme="majorBidi"/>
        </w:rPr>
        <w:t xml:space="preserve">, 2016). </w:t>
      </w:r>
      <w:r w:rsidR="00F13F20" w:rsidRPr="00A75094">
        <w:rPr>
          <w:rFonts w:asciiTheme="majorBidi" w:hAnsiTheme="majorBidi" w:cstheme="majorBidi"/>
        </w:rPr>
        <w:t xml:space="preserve">  Low and m</w:t>
      </w:r>
      <w:r w:rsidR="000906A7" w:rsidRPr="00A75094">
        <w:rPr>
          <w:rFonts w:asciiTheme="majorBidi" w:hAnsiTheme="majorBidi" w:cstheme="majorBidi"/>
        </w:rPr>
        <w:t>iddle</w:t>
      </w:r>
      <w:r w:rsidR="00F13F20" w:rsidRPr="00A75094">
        <w:rPr>
          <w:rFonts w:asciiTheme="majorBidi" w:hAnsiTheme="majorBidi" w:cstheme="majorBidi"/>
        </w:rPr>
        <w:t xml:space="preserve"> income countries in particular</w:t>
      </w:r>
      <w:r w:rsidR="00F0447D" w:rsidRPr="00A75094">
        <w:rPr>
          <w:rFonts w:asciiTheme="majorBidi" w:hAnsiTheme="majorBidi" w:cstheme="majorBidi"/>
        </w:rPr>
        <w:t>,</w:t>
      </w:r>
      <w:r w:rsidR="00F13F20" w:rsidRPr="00A75094">
        <w:rPr>
          <w:rFonts w:asciiTheme="majorBidi" w:hAnsiTheme="majorBidi" w:cstheme="majorBidi"/>
        </w:rPr>
        <w:t xml:space="preserve"> </w:t>
      </w:r>
      <w:r w:rsidR="00F13F20" w:rsidRPr="00A75094">
        <w:rPr>
          <w:rFonts w:asciiTheme="majorBidi" w:hAnsiTheme="majorBidi" w:cstheme="majorBidi"/>
        </w:rPr>
        <w:lastRenderedPageBreak/>
        <w:t>often lack electronic systems of collecting and analysing health data</w:t>
      </w:r>
      <w:r w:rsidR="000D348D" w:rsidRPr="00A75094">
        <w:rPr>
          <w:rFonts w:asciiTheme="majorBidi" w:hAnsiTheme="majorBidi" w:cstheme="majorBidi"/>
        </w:rPr>
        <w:t xml:space="preserve"> (Mills, 2014)</w:t>
      </w:r>
      <w:r w:rsidR="00F13F20" w:rsidRPr="00A75094">
        <w:rPr>
          <w:rFonts w:asciiTheme="majorBidi" w:hAnsiTheme="majorBidi" w:cstheme="majorBidi"/>
        </w:rPr>
        <w:t xml:space="preserve">. </w:t>
      </w:r>
      <w:r w:rsidR="00D3159A" w:rsidRPr="00A75094">
        <w:rPr>
          <w:rFonts w:asciiTheme="majorBidi" w:hAnsiTheme="majorBidi" w:cstheme="majorBidi"/>
        </w:rPr>
        <w:t xml:space="preserve"> Hence </w:t>
      </w:r>
      <w:r w:rsidR="00B57763" w:rsidRPr="00A75094">
        <w:rPr>
          <w:lang w:val="en-US"/>
        </w:rPr>
        <w:t xml:space="preserve">it will not possible to evaluate the form, context or degree of inequality that may be experienced by this population. This in turn makes it </w:t>
      </w:r>
      <w:r w:rsidR="002A339F" w:rsidRPr="00A75094">
        <w:rPr>
          <w:lang w:val="en-US"/>
        </w:rPr>
        <w:t xml:space="preserve">challenging </w:t>
      </w:r>
      <w:r w:rsidR="00B57763" w:rsidRPr="00A75094">
        <w:rPr>
          <w:lang w:val="en-US"/>
        </w:rPr>
        <w:t xml:space="preserve">to fund, target and tailor health services or to monitor </w:t>
      </w:r>
      <w:r w:rsidR="00F0447D" w:rsidRPr="00A75094">
        <w:rPr>
          <w:lang w:val="en-US"/>
        </w:rPr>
        <w:t>the</w:t>
      </w:r>
      <w:r w:rsidR="00B57763" w:rsidRPr="00A75094">
        <w:rPr>
          <w:lang w:val="en-US"/>
        </w:rPr>
        <w:t xml:space="preserve"> health inequalities for people with </w:t>
      </w:r>
      <w:r w:rsidR="00126922" w:rsidRPr="00A75094">
        <w:rPr>
          <w:lang w:val="en-US"/>
        </w:rPr>
        <w:t>ID</w:t>
      </w:r>
      <w:r w:rsidR="00B57763" w:rsidRPr="00A75094">
        <w:rPr>
          <w:lang w:val="en-US"/>
        </w:rPr>
        <w:t xml:space="preserve">. </w:t>
      </w:r>
      <w:r w:rsidR="00D3159A" w:rsidRPr="00A75094">
        <w:rPr>
          <w:lang w:val="en-US"/>
        </w:rPr>
        <w:t xml:space="preserve">  As </w:t>
      </w:r>
      <w:r w:rsidR="00C10445" w:rsidRPr="00A75094">
        <w:rPr>
          <w:lang w:val="en-US"/>
        </w:rPr>
        <w:t xml:space="preserve">the </w:t>
      </w:r>
      <w:r w:rsidR="00C10445" w:rsidRPr="00A75094">
        <w:rPr>
          <w:rFonts w:asciiTheme="majorBidi" w:hAnsiTheme="majorBidi" w:cstheme="majorBidi"/>
          <w:lang w:eastAsia="en-US"/>
        </w:rPr>
        <w:t>World</w:t>
      </w:r>
      <w:r w:rsidR="00BA1AB5" w:rsidRPr="00A75094">
        <w:rPr>
          <w:rFonts w:asciiTheme="majorBidi" w:hAnsiTheme="majorBidi" w:cstheme="majorBidi"/>
          <w:lang w:eastAsia="en-US"/>
        </w:rPr>
        <w:t xml:space="preserve"> Report on Disability (WHO, 2011) </w:t>
      </w:r>
      <w:r w:rsidR="00D3159A" w:rsidRPr="00A75094">
        <w:rPr>
          <w:rFonts w:asciiTheme="majorBidi" w:hAnsiTheme="majorBidi" w:cstheme="majorBidi"/>
          <w:lang w:eastAsia="en-US"/>
        </w:rPr>
        <w:t xml:space="preserve">noted, a priority is the collation of better data.  </w:t>
      </w:r>
    </w:p>
    <w:p w14:paraId="2ED5CD24" w14:textId="4234F0F6" w:rsidR="00903685" w:rsidRPr="00A75094" w:rsidRDefault="00F13F20" w:rsidP="00933C31">
      <w:pPr>
        <w:spacing w:after="120"/>
      </w:pPr>
      <w:r w:rsidRPr="00A75094">
        <w:t xml:space="preserve">This study focussed on people with </w:t>
      </w:r>
      <w:r w:rsidR="00126922" w:rsidRPr="00A75094">
        <w:t>ID</w:t>
      </w:r>
      <w:r w:rsidRPr="00A75094">
        <w:t xml:space="preserve"> but it is likely that these findings are applicable to other </w:t>
      </w:r>
      <w:r w:rsidR="007D1009" w:rsidRPr="00A75094">
        <w:t>cognitive</w:t>
      </w:r>
      <w:r w:rsidR="00D3159A" w:rsidRPr="00A75094">
        <w:t xml:space="preserve">ly impaired </w:t>
      </w:r>
      <w:r w:rsidR="007D1009" w:rsidRPr="00A75094">
        <w:t>populations</w:t>
      </w:r>
      <w:r w:rsidR="006C6DBE" w:rsidRPr="00A75094">
        <w:t>, such as those with</w:t>
      </w:r>
      <w:r w:rsidR="000906A7" w:rsidRPr="00A75094">
        <w:t xml:space="preserve"> other developmental disabilities,</w:t>
      </w:r>
      <w:r w:rsidR="006C6DBE" w:rsidRPr="00A75094">
        <w:t xml:space="preserve"> brain injury or dementia</w:t>
      </w:r>
      <w:r w:rsidR="00D61374" w:rsidRPr="00A75094">
        <w:t>, and</w:t>
      </w:r>
      <w:r w:rsidR="007D1009" w:rsidRPr="00A75094">
        <w:t xml:space="preserve"> </w:t>
      </w:r>
      <w:r w:rsidRPr="00A75094">
        <w:t>marginalised groups within health</w:t>
      </w:r>
      <w:r w:rsidR="00130414" w:rsidRPr="00A75094">
        <w:t xml:space="preserve"> systems and disease </w:t>
      </w:r>
      <w:r w:rsidR="002A339F" w:rsidRPr="00A75094">
        <w:t>prevention</w:t>
      </w:r>
      <w:r w:rsidRPr="00A75094">
        <w:t xml:space="preserve"> such as </w:t>
      </w:r>
      <w:r w:rsidR="006C6DBE" w:rsidRPr="00A75094">
        <w:t>immigrants</w:t>
      </w:r>
      <w:r w:rsidR="00BB64B6" w:rsidRPr="00A75094">
        <w:t xml:space="preserve"> (Blas et al., 2008) </w:t>
      </w:r>
      <w:r w:rsidR="007D1009" w:rsidRPr="00A75094">
        <w:t xml:space="preserve">. </w:t>
      </w:r>
      <w:r w:rsidRPr="00A75094">
        <w:t>It is also possible that the same or similar actions a</w:t>
      </w:r>
      <w:r w:rsidR="000A3F50" w:rsidRPr="00A75094">
        <w:t>s</w:t>
      </w:r>
      <w:r w:rsidRPr="00A75094">
        <w:t xml:space="preserve"> noted here will ensure better health for all as international declarations aspire to do.  Thus alliances with other </w:t>
      </w:r>
      <w:r w:rsidR="007D1009" w:rsidRPr="00A75094">
        <w:t xml:space="preserve">disability and </w:t>
      </w:r>
      <w:r w:rsidRPr="00A75094">
        <w:t>marginalised groups could prove mutually beneficial and lead to a better chance of instituting system change</w:t>
      </w:r>
      <w:r w:rsidR="000A3F50" w:rsidRPr="00A75094">
        <w:t xml:space="preserve"> (</w:t>
      </w:r>
      <w:proofErr w:type="spellStart"/>
      <w:r w:rsidR="000A3F50" w:rsidRPr="00A75094">
        <w:t>Cacari</w:t>
      </w:r>
      <w:proofErr w:type="spellEnd"/>
      <w:r w:rsidR="000A3F50" w:rsidRPr="00A75094">
        <w:t xml:space="preserve">-Stone, Wallerstein, Garcia &amp; </w:t>
      </w:r>
      <w:proofErr w:type="spellStart"/>
      <w:r w:rsidR="000A3F50" w:rsidRPr="00A75094">
        <w:t>Minkler</w:t>
      </w:r>
      <w:proofErr w:type="spellEnd"/>
      <w:r w:rsidR="000A3F50" w:rsidRPr="00A75094">
        <w:t>, 2014)</w:t>
      </w:r>
      <w:r w:rsidRPr="00A75094">
        <w:t xml:space="preserve">. </w:t>
      </w:r>
    </w:p>
    <w:p w14:paraId="0A5C130F" w14:textId="6B1A2F41" w:rsidR="00962FF3" w:rsidRPr="00A75094" w:rsidRDefault="00F13F20" w:rsidP="00933C31">
      <w:pPr>
        <w:spacing w:after="120"/>
      </w:pPr>
      <w:r w:rsidRPr="00A75094">
        <w:t xml:space="preserve">The present study had many limitations not least </w:t>
      </w:r>
      <w:r w:rsidR="007D4A98" w:rsidRPr="00A75094">
        <w:t xml:space="preserve">the paucity of research on </w:t>
      </w:r>
      <w:r w:rsidR="004E3E4D" w:rsidRPr="00A75094">
        <w:t>creating inclusive health systems</w:t>
      </w:r>
      <w:r w:rsidR="007D4A98" w:rsidRPr="00A75094">
        <w:t xml:space="preserve"> and the relatively small number of </w:t>
      </w:r>
      <w:r w:rsidR="001A3EF0" w:rsidRPr="00A75094">
        <w:t xml:space="preserve">self-selected </w:t>
      </w:r>
      <w:r w:rsidR="007D4A98" w:rsidRPr="00A75094">
        <w:t>respondents included in the study, albeit they</w:t>
      </w:r>
      <w:r w:rsidR="004E3E4D" w:rsidRPr="00A75094">
        <w:t xml:space="preserve"> had an active interest and experience in addressing the health needs of people with intellectual disability.  Moreover the study yielded little </w:t>
      </w:r>
      <w:r w:rsidRPr="00A75094">
        <w:t xml:space="preserve">detail as to how the actions identified could be implemented in health systems.  </w:t>
      </w:r>
      <w:r w:rsidR="002A339F" w:rsidRPr="00A75094">
        <w:t>This</w:t>
      </w:r>
      <w:r w:rsidR="006E726E" w:rsidRPr="00A75094">
        <w:t xml:space="preserve"> is the agenda which future research and development projects must address.  </w:t>
      </w:r>
      <w:r w:rsidR="00EF0856" w:rsidRPr="00A75094">
        <w:t xml:space="preserve">The value of this study is that the range of possible actions </w:t>
      </w:r>
      <w:r w:rsidR="0013680A" w:rsidRPr="00A75094">
        <w:t xml:space="preserve">required to build inclusive healthcare </w:t>
      </w:r>
      <w:r w:rsidR="00EF0856" w:rsidRPr="00A75094">
        <w:t xml:space="preserve">has been scoped </w:t>
      </w:r>
      <w:r w:rsidR="0013680A" w:rsidRPr="00A75094">
        <w:t xml:space="preserve">which </w:t>
      </w:r>
      <w:r w:rsidR="00EF0856" w:rsidRPr="00A75094">
        <w:t>can be applied to local, regional or national health</w:t>
      </w:r>
      <w:r w:rsidR="006C6DBE" w:rsidRPr="00A75094">
        <w:t xml:space="preserve"> </w:t>
      </w:r>
      <w:r w:rsidR="002A339F" w:rsidRPr="00A75094">
        <w:t xml:space="preserve">and </w:t>
      </w:r>
      <w:r w:rsidR="006C6DBE" w:rsidRPr="00A75094">
        <w:t xml:space="preserve">disease </w:t>
      </w:r>
      <w:r w:rsidR="002A339F" w:rsidRPr="00A75094">
        <w:t>prevention</w:t>
      </w:r>
      <w:r w:rsidR="00EF0856" w:rsidRPr="00A75094">
        <w:t xml:space="preserve"> systems.  No longer can the excuse be used that we do not know </w:t>
      </w:r>
      <w:r w:rsidR="0013680A" w:rsidRPr="00A75094">
        <w:t>how to make change happen.</w:t>
      </w:r>
    </w:p>
    <w:p w14:paraId="2D58FFDD" w14:textId="77777777" w:rsidR="00A75094" w:rsidRPr="00A75094" w:rsidRDefault="00A75094" w:rsidP="00933C31">
      <w:pPr>
        <w:spacing w:after="120"/>
        <w:rPr>
          <w:b/>
          <w:bCs/>
          <w:sz w:val="28"/>
          <w:szCs w:val="28"/>
        </w:rPr>
      </w:pPr>
    </w:p>
    <w:p w14:paraId="70468BEA" w14:textId="7E0F55BC" w:rsidR="001742CF" w:rsidRPr="00A75094" w:rsidRDefault="00EF3944" w:rsidP="00933C31">
      <w:pPr>
        <w:spacing w:after="120"/>
        <w:rPr>
          <w:b/>
          <w:bCs/>
          <w:sz w:val="28"/>
          <w:szCs w:val="28"/>
        </w:rPr>
      </w:pPr>
      <w:r w:rsidRPr="00A75094">
        <w:rPr>
          <w:b/>
          <w:bCs/>
          <w:sz w:val="28"/>
          <w:szCs w:val="28"/>
        </w:rPr>
        <w:lastRenderedPageBreak/>
        <w:t>Conclusion</w:t>
      </w:r>
    </w:p>
    <w:p w14:paraId="6F7566EA" w14:textId="246BBB50" w:rsidR="009B7CB9" w:rsidRPr="00A75094" w:rsidRDefault="00EF3944" w:rsidP="00933C31">
      <w:pPr>
        <w:spacing w:after="120"/>
      </w:pPr>
      <w:r w:rsidRPr="00A75094">
        <w:t xml:space="preserve">This is the first study to explore a range of </w:t>
      </w:r>
      <w:r w:rsidR="00BD757B" w:rsidRPr="00A75094">
        <w:t xml:space="preserve">strategic </w:t>
      </w:r>
      <w:r w:rsidR="00D3159A" w:rsidRPr="00A75094">
        <w:t xml:space="preserve">actions </w:t>
      </w:r>
      <w:r w:rsidR="00BD757B" w:rsidRPr="00A75094">
        <w:t xml:space="preserve">and </w:t>
      </w:r>
      <w:r w:rsidRPr="00A75094">
        <w:t xml:space="preserve">system indicators from an international perspective that if implemented </w:t>
      </w:r>
      <w:r w:rsidR="00BD757B" w:rsidRPr="00A75094">
        <w:t>across health</w:t>
      </w:r>
      <w:r w:rsidR="002A339F" w:rsidRPr="00A75094">
        <w:t xml:space="preserve"> systems</w:t>
      </w:r>
      <w:r w:rsidRPr="00A75094">
        <w:t>, could lead to improvement</w:t>
      </w:r>
      <w:r w:rsidR="00BD757B" w:rsidRPr="00A75094">
        <w:t>s</w:t>
      </w:r>
      <w:r w:rsidRPr="00A75094">
        <w:t xml:space="preserve"> in the health of people with </w:t>
      </w:r>
      <w:r w:rsidR="00126922" w:rsidRPr="00A75094">
        <w:t>ID</w:t>
      </w:r>
      <w:r w:rsidRPr="00A75094">
        <w:t xml:space="preserve"> and </w:t>
      </w:r>
      <w:r w:rsidR="009B7CB9" w:rsidRPr="00A75094">
        <w:t xml:space="preserve">improve their </w:t>
      </w:r>
      <w:r w:rsidRPr="00A75094">
        <w:t>quality</w:t>
      </w:r>
      <w:r w:rsidR="009B7CB9" w:rsidRPr="00A75094">
        <w:t xml:space="preserve"> of life</w:t>
      </w:r>
      <w:r w:rsidRPr="00A75094">
        <w:t>. This paper highlights the complexity involved in targeting</w:t>
      </w:r>
      <w:r w:rsidR="009B7CB9" w:rsidRPr="00A75094">
        <w:t xml:space="preserve"> and changing </w:t>
      </w:r>
      <w:r w:rsidR="00BD757B" w:rsidRPr="00A75094">
        <w:t xml:space="preserve">complex </w:t>
      </w:r>
      <w:r w:rsidR="009B7CB9" w:rsidRPr="00A75094">
        <w:t>health</w:t>
      </w:r>
      <w:r w:rsidRPr="00A75094">
        <w:t xml:space="preserve"> systems</w:t>
      </w:r>
      <w:r w:rsidR="009B7CB9" w:rsidRPr="00A75094">
        <w:t xml:space="preserve"> for a vulnerable population.</w:t>
      </w:r>
      <w:r w:rsidR="00252AD1" w:rsidRPr="00A75094">
        <w:t xml:space="preserve"> </w:t>
      </w:r>
      <w:r w:rsidR="009B7CB9" w:rsidRPr="00A75094">
        <w:t xml:space="preserve"> </w:t>
      </w:r>
      <w:r w:rsidR="00252AD1" w:rsidRPr="00A75094">
        <w:t xml:space="preserve">Implementing the </w:t>
      </w:r>
      <w:r w:rsidR="00BD757B" w:rsidRPr="00A75094">
        <w:t xml:space="preserve">strategic </w:t>
      </w:r>
      <w:r w:rsidR="00D3159A" w:rsidRPr="00A75094">
        <w:t>actions and</w:t>
      </w:r>
      <w:r w:rsidR="00BD757B" w:rsidRPr="00A75094">
        <w:t xml:space="preserve"> indicators </w:t>
      </w:r>
      <w:r w:rsidR="00252AD1" w:rsidRPr="00A75094">
        <w:t xml:space="preserve">identified in this study will be a </w:t>
      </w:r>
      <w:r w:rsidR="00285680" w:rsidRPr="00A75094">
        <w:t>heavy</w:t>
      </w:r>
      <w:r w:rsidR="00252AD1" w:rsidRPr="00A75094">
        <w:t xml:space="preserve"> </w:t>
      </w:r>
      <w:r w:rsidR="00BD757B" w:rsidRPr="00A75094">
        <w:t>responsibility</w:t>
      </w:r>
      <w:r w:rsidR="00252AD1" w:rsidRPr="00A75094">
        <w:t xml:space="preserve"> and one that </w:t>
      </w:r>
      <w:r w:rsidR="00BD757B" w:rsidRPr="00A75094">
        <w:t>will require a change in the mindset and attitude of</w:t>
      </w:r>
      <w:r w:rsidR="00207F4C" w:rsidRPr="00A75094">
        <w:t xml:space="preserve"> </w:t>
      </w:r>
      <w:r w:rsidR="00BD757B" w:rsidRPr="00A75094">
        <w:t>policy makers, commissioners of services, service providers and healthcare practitioners</w:t>
      </w:r>
      <w:r w:rsidR="00285680" w:rsidRPr="00A75094">
        <w:t xml:space="preserve"> as well as politicians and public opinion.</w:t>
      </w:r>
      <w:r w:rsidR="00BD757B" w:rsidRPr="00A75094">
        <w:t xml:space="preserve"> Such dramatic shifts in complex systems are</w:t>
      </w:r>
      <w:r w:rsidR="00252AD1" w:rsidRPr="00A75094">
        <w:t xml:space="preserve"> unlikely to be speedily achieved given the many different</w:t>
      </w:r>
      <w:r w:rsidR="00BD757B" w:rsidRPr="00A75094">
        <w:t xml:space="preserve"> political, economic and health</w:t>
      </w:r>
      <w:r w:rsidR="00252AD1" w:rsidRPr="00A75094">
        <w:t xml:space="preserve"> systems that exist within </w:t>
      </w:r>
      <w:r w:rsidR="00ED42D5" w:rsidRPr="00A75094">
        <w:t>localities</w:t>
      </w:r>
      <w:r w:rsidR="00252AD1" w:rsidRPr="00A75094">
        <w:t xml:space="preserve"> as well as nationally.  </w:t>
      </w:r>
      <w:r w:rsidR="00285680" w:rsidRPr="00A75094">
        <w:t>Nevertheless a start can be made</w:t>
      </w:r>
      <w:r w:rsidR="00ED42D5" w:rsidRPr="00A75094">
        <w:t>,</w:t>
      </w:r>
      <w:r w:rsidR="00285680" w:rsidRPr="00A75094">
        <w:t xml:space="preserve"> based </w:t>
      </w:r>
      <w:r w:rsidR="0009218B" w:rsidRPr="00A75094">
        <w:rPr>
          <w:rFonts w:asciiTheme="majorBidi" w:hAnsiTheme="majorBidi" w:cstheme="majorBidi"/>
          <w:shd w:val="clear" w:color="auto" w:fill="FFFFFF"/>
        </w:rPr>
        <w:t xml:space="preserve">on the identified strategic </w:t>
      </w:r>
      <w:r w:rsidR="00285680" w:rsidRPr="00A75094">
        <w:rPr>
          <w:rFonts w:asciiTheme="majorBidi" w:hAnsiTheme="majorBidi" w:cstheme="majorBidi"/>
          <w:shd w:val="clear" w:color="auto" w:fill="FFFFFF"/>
        </w:rPr>
        <w:t xml:space="preserve">actions and </w:t>
      </w:r>
      <w:r w:rsidR="0009218B" w:rsidRPr="00A75094">
        <w:rPr>
          <w:rFonts w:asciiTheme="majorBidi" w:hAnsiTheme="majorBidi" w:cstheme="majorBidi"/>
          <w:shd w:val="clear" w:color="auto" w:fill="FFFFFF"/>
        </w:rPr>
        <w:t xml:space="preserve">indicators </w:t>
      </w:r>
      <w:r w:rsidR="00285680" w:rsidRPr="00A75094">
        <w:rPr>
          <w:rFonts w:asciiTheme="majorBidi" w:hAnsiTheme="majorBidi" w:cstheme="majorBidi"/>
          <w:shd w:val="clear" w:color="auto" w:fill="FFFFFF"/>
        </w:rPr>
        <w:t>recommended in this study</w:t>
      </w:r>
      <w:r w:rsidR="00ED42D5" w:rsidRPr="00A75094">
        <w:rPr>
          <w:rFonts w:asciiTheme="majorBidi" w:hAnsiTheme="majorBidi" w:cstheme="majorBidi"/>
          <w:shd w:val="clear" w:color="auto" w:fill="FFFFFF"/>
        </w:rPr>
        <w:t xml:space="preserve">. </w:t>
      </w:r>
      <w:r w:rsidR="00285680" w:rsidRPr="00A75094">
        <w:rPr>
          <w:rFonts w:asciiTheme="majorBidi" w:hAnsiTheme="majorBidi" w:cstheme="majorBidi"/>
          <w:shd w:val="clear" w:color="auto" w:fill="FFFFFF"/>
        </w:rPr>
        <w:t xml:space="preserve"> </w:t>
      </w:r>
      <w:r w:rsidR="00ED42D5" w:rsidRPr="00A75094">
        <w:rPr>
          <w:rFonts w:asciiTheme="majorBidi" w:hAnsiTheme="majorBidi" w:cstheme="majorBidi"/>
          <w:shd w:val="clear" w:color="auto" w:fill="FFFFFF"/>
        </w:rPr>
        <w:t xml:space="preserve">Further research could usefully evaluate the </w:t>
      </w:r>
      <w:r w:rsidR="000906A7" w:rsidRPr="00A75094">
        <w:rPr>
          <w:rFonts w:asciiTheme="majorBidi" w:hAnsiTheme="majorBidi" w:cstheme="majorBidi"/>
          <w:shd w:val="clear" w:color="auto" w:fill="FFFFFF"/>
        </w:rPr>
        <w:t xml:space="preserve">implementation and </w:t>
      </w:r>
      <w:r w:rsidR="00ED42D5" w:rsidRPr="00A75094">
        <w:rPr>
          <w:rFonts w:asciiTheme="majorBidi" w:hAnsiTheme="majorBidi" w:cstheme="majorBidi"/>
          <w:shd w:val="clear" w:color="auto" w:fill="FFFFFF"/>
        </w:rPr>
        <w:t>impact of particular actions on access to healthcare</w:t>
      </w:r>
      <w:r w:rsidR="002A339F" w:rsidRPr="00A75094">
        <w:rPr>
          <w:rFonts w:asciiTheme="majorBidi" w:hAnsiTheme="majorBidi" w:cstheme="majorBidi"/>
          <w:shd w:val="clear" w:color="auto" w:fill="FFFFFF"/>
        </w:rPr>
        <w:t xml:space="preserve"> and </w:t>
      </w:r>
      <w:r w:rsidR="006C6DBE" w:rsidRPr="00A75094">
        <w:rPr>
          <w:rFonts w:asciiTheme="majorBidi" w:hAnsiTheme="majorBidi" w:cstheme="majorBidi"/>
          <w:shd w:val="clear" w:color="auto" w:fill="FFFFFF"/>
        </w:rPr>
        <w:t xml:space="preserve">health promotion </w:t>
      </w:r>
      <w:r w:rsidR="00ED42D5" w:rsidRPr="00A75094">
        <w:rPr>
          <w:rFonts w:asciiTheme="majorBidi" w:hAnsiTheme="majorBidi" w:cstheme="majorBidi"/>
          <w:shd w:val="clear" w:color="auto" w:fill="FFFFFF"/>
        </w:rPr>
        <w:t xml:space="preserve">and the resulting gains on the health and wellbeing of people with </w:t>
      </w:r>
      <w:r w:rsidR="00126922" w:rsidRPr="00A75094">
        <w:rPr>
          <w:rFonts w:asciiTheme="majorBidi" w:hAnsiTheme="majorBidi" w:cstheme="majorBidi"/>
          <w:shd w:val="clear" w:color="auto" w:fill="FFFFFF"/>
        </w:rPr>
        <w:t>ID</w:t>
      </w:r>
      <w:r w:rsidR="00ED42D5" w:rsidRPr="00A75094">
        <w:rPr>
          <w:rFonts w:asciiTheme="majorBidi" w:hAnsiTheme="majorBidi" w:cstheme="majorBidi"/>
          <w:shd w:val="clear" w:color="auto" w:fill="FFFFFF"/>
        </w:rPr>
        <w:t xml:space="preserve">. </w:t>
      </w:r>
    </w:p>
    <w:p w14:paraId="5D728C50" w14:textId="71A83BA2" w:rsidR="001742CF" w:rsidRPr="00A75094" w:rsidRDefault="003A4839" w:rsidP="00933C31">
      <w:pPr>
        <w:spacing w:after="120"/>
        <w:rPr>
          <w:i/>
        </w:rPr>
      </w:pPr>
      <w:r w:rsidRPr="00A75094">
        <w:rPr>
          <w:i/>
        </w:rPr>
        <w:t>(</w:t>
      </w:r>
      <w:r w:rsidR="00252AD1" w:rsidRPr="00A75094">
        <w:rPr>
          <w:i/>
        </w:rPr>
        <w:t>3</w:t>
      </w:r>
      <w:r w:rsidRPr="00A75094">
        <w:rPr>
          <w:i/>
        </w:rPr>
        <w:t>,</w:t>
      </w:r>
      <w:r w:rsidR="008664C2" w:rsidRPr="00A75094">
        <w:rPr>
          <w:i/>
        </w:rPr>
        <w:t>9</w:t>
      </w:r>
      <w:r w:rsidR="006566E1" w:rsidRPr="00A75094">
        <w:rPr>
          <w:i/>
        </w:rPr>
        <w:t>3</w:t>
      </w:r>
      <w:r w:rsidR="008664C2" w:rsidRPr="00A75094">
        <w:rPr>
          <w:i/>
        </w:rPr>
        <w:t>0</w:t>
      </w:r>
      <w:r w:rsidR="00252AD1" w:rsidRPr="00A75094">
        <w:rPr>
          <w:i/>
        </w:rPr>
        <w:t xml:space="preserve"> </w:t>
      </w:r>
      <w:r w:rsidR="001742CF" w:rsidRPr="00A75094">
        <w:rPr>
          <w:i/>
        </w:rPr>
        <w:t>words</w:t>
      </w:r>
      <w:r w:rsidRPr="00A75094">
        <w:rPr>
          <w:i/>
        </w:rPr>
        <w:t>)</w:t>
      </w:r>
      <w:r w:rsidR="00252AD1" w:rsidRPr="00A75094">
        <w:rPr>
          <w:i/>
        </w:rPr>
        <w:t xml:space="preserve"> </w:t>
      </w:r>
    </w:p>
    <w:p w14:paraId="093F02D5" w14:textId="77777777" w:rsidR="00EF0856" w:rsidRPr="00A75094" w:rsidRDefault="00EF0856" w:rsidP="00DD13CE">
      <w:pPr>
        <w:rPr>
          <w:b/>
          <w:sz w:val="28"/>
          <w:szCs w:val="28"/>
        </w:rPr>
      </w:pPr>
      <w:r w:rsidRPr="00A75094">
        <w:rPr>
          <w:b/>
          <w:sz w:val="28"/>
          <w:szCs w:val="28"/>
        </w:rPr>
        <w:t xml:space="preserve">References </w:t>
      </w:r>
    </w:p>
    <w:p w14:paraId="03707A5F" w14:textId="4A7DB5EB" w:rsidR="00D300B5" w:rsidRPr="00A75094" w:rsidRDefault="00D300B5" w:rsidP="00D300B5">
      <w:pPr>
        <w:spacing w:after="240" w:line="240" w:lineRule="auto"/>
        <w:ind w:left="720" w:hanging="720"/>
      </w:pPr>
      <w:proofErr w:type="spellStart"/>
      <w:r w:rsidRPr="00A75094">
        <w:t>Ainscow</w:t>
      </w:r>
      <w:proofErr w:type="spellEnd"/>
      <w:r w:rsidRPr="00A75094">
        <w:t>, M. (2016)</w:t>
      </w:r>
      <w:r w:rsidR="00D82860" w:rsidRPr="00A75094">
        <w:t>.</w:t>
      </w:r>
      <w:r w:rsidRPr="00A75094">
        <w:t xml:space="preserve"> Struggles for Equity in Education: The selected works of Mel </w:t>
      </w:r>
      <w:proofErr w:type="spellStart"/>
      <w:r w:rsidRPr="00A75094">
        <w:t>Ainscow</w:t>
      </w:r>
      <w:proofErr w:type="spellEnd"/>
      <w:r w:rsidRPr="00A75094">
        <w:t>.  Abingdon, Oxon:  Routledge</w:t>
      </w:r>
    </w:p>
    <w:p w14:paraId="515C5C00" w14:textId="07FA82FE" w:rsidR="0013680A" w:rsidRPr="00A75094" w:rsidRDefault="0013680A" w:rsidP="00DD13CE">
      <w:pPr>
        <w:spacing w:after="240" w:line="240" w:lineRule="auto"/>
        <w:ind w:left="720" w:hanging="720"/>
      </w:pPr>
      <w:r w:rsidRPr="00A75094">
        <w:t xml:space="preserve">Ali, A., Scior, K., </w:t>
      </w:r>
      <w:proofErr w:type="spellStart"/>
      <w:r w:rsidRPr="00A75094">
        <w:t>Ratti</w:t>
      </w:r>
      <w:proofErr w:type="spellEnd"/>
      <w:r w:rsidRPr="00A75094">
        <w:t xml:space="preserve">, V., Strydom, A., King, M., &amp; Hassiotis, A. (2013). Discrimination and other barriers to accessing health care: perspectives of patients with mild and moderate intellectual disability and their </w:t>
      </w:r>
      <w:proofErr w:type="spellStart"/>
      <w:r w:rsidRPr="00A75094">
        <w:t>carers</w:t>
      </w:r>
      <w:proofErr w:type="spellEnd"/>
      <w:r w:rsidRPr="00A75094">
        <w:t xml:space="preserve">. </w:t>
      </w:r>
      <w:proofErr w:type="spellStart"/>
      <w:r w:rsidRPr="00A75094">
        <w:t>PloS</w:t>
      </w:r>
      <w:proofErr w:type="spellEnd"/>
      <w:r w:rsidRPr="00A75094">
        <w:t xml:space="preserve"> one, 8(8), e70855.</w:t>
      </w:r>
    </w:p>
    <w:p w14:paraId="1F61028B" w14:textId="6457E3F8" w:rsidR="00FF0FC8" w:rsidRPr="00A75094" w:rsidRDefault="00FF0FC8" w:rsidP="00FF0FC8">
      <w:pPr>
        <w:spacing w:after="240" w:line="240" w:lineRule="auto"/>
        <w:ind w:left="720" w:hanging="720"/>
      </w:pPr>
      <w:proofErr w:type="spellStart"/>
      <w:r w:rsidRPr="00A75094">
        <w:t>Arvio</w:t>
      </w:r>
      <w:proofErr w:type="spellEnd"/>
      <w:r w:rsidR="00D82860" w:rsidRPr="00A75094">
        <w:t>,</w:t>
      </w:r>
      <w:r w:rsidRPr="00A75094">
        <w:t xml:space="preserve"> M., </w:t>
      </w:r>
      <w:proofErr w:type="spellStart"/>
      <w:r w:rsidRPr="00A75094">
        <w:t>Salokivi</w:t>
      </w:r>
      <w:proofErr w:type="spellEnd"/>
      <w:r w:rsidR="00D82860" w:rsidRPr="00A75094">
        <w:t>,</w:t>
      </w:r>
      <w:r w:rsidRPr="00A75094">
        <w:t xml:space="preserve"> T., </w:t>
      </w:r>
      <w:proofErr w:type="spellStart"/>
      <w:r w:rsidRPr="00A75094">
        <w:t>Tiitinen</w:t>
      </w:r>
      <w:proofErr w:type="spellEnd"/>
      <w:r w:rsidR="00D82860" w:rsidRPr="00A75094">
        <w:t>,</w:t>
      </w:r>
      <w:r w:rsidRPr="00A75094">
        <w:t xml:space="preserve"> A. &amp; </w:t>
      </w:r>
      <w:proofErr w:type="spellStart"/>
      <w:r w:rsidRPr="00A75094">
        <w:t>Haataja</w:t>
      </w:r>
      <w:proofErr w:type="spellEnd"/>
      <w:r w:rsidR="00D82860" w:rsidRPr="00A75094">
        <w:t>,</w:t>
      </w:r>
      <w:r w:rsidRPr="00A75094">
        <w:t xml:space="preserve"> L. (2016)</w:t>
      </w:r>
      <w:r w:rsidR="00D82860" w:rsidRPr="00A75094">
        <w:t>.</w:t>
      </w:r>
      <w:r w:rsidRPr="00A75094">
        <w:t xml:space="preserve"> Mortality in individuals with intellectual disabilities in Finland. Brain and </w:t>
      </w:r>
      <w:proofErr w:type="spellStart"/>
      <w:r w:rsidRPr="00A75094">
        <w:t>Behavior</w:t>
      </w:r>
      <w:proofErr w:type="spellEnd"/>
      <w:r w:rsidRPr="00A75094">
        <w:t>, 6, e00431.</w:t>
      </w:r>
    </w:p>
    <w:p w14:paraId="350545F8" w14:textId="2ABF49BA" w:rsidR="00FF0FC8" w:rsidRPr="00A75094" w:rsidRDefault="00BE6E1A" w:rsidP="00FF0FC8">
      <w:pPr>
        <w:spacing w:after="240" w:line="240" w:lineRule="auto"/>
        <w:ind w:left="720" w:hanging="720"/>
      </w:pPr>
      <w:proofErr w:type="spellStart"/>
      <w:r w:rsidRPr="00A75094">
        <w:t>Axmon</w:t>
      </w:r>
      <w:proofErr w:type="spellEnd"/>
      <w:r w:rsidR="00D82860" w:rsidRPr="00A75094">
        <w:t>,</w:t>
      </w:r>
      <w:r w:rsidRPr="00A75094">
        <w:t xml:space="preserve"> A., Sandberg</w:t>
      </w:r>
      <w:r w:rsidR="00D82860" w:rsidRPr="00A75094">
        <w:t>,</w:t>
      </w:r>
      <w:r w:rsidRPr="00A75094">
        <w:t xml:space="preserve"> M. &amp; Ahlström</w:t>
      </w:r>
      <w:r w:rsidR="00D82860" w:rsidRPr="00A75094">
        <w:t>,</w:t>
      </w:r>
      <w:r w:rsidRPr="00A75094">
        <w:t xml:space="preserve"> G. (2017)</w:t>
      </w:r>
      <w:r w:rsidR="00D82860" w:rsidRPr="00A75094">
        <w:t xml:space="preserve">. </w:t>
      </w:r>
      <w:r w:rsidRPr="00A75094">
        <w:t xml:space="preserve"> Gender differences in psychiatric diagnoses in older people with intellectual disability: a register study. BMC Psychiatry, 17, 192-192.</w:t>
      </w:r>
    </w:p>
    <w:p w14:paraId="660D8716" w14:textId="469221E8" w:rsidR="00FF0FC8" w:rsidRPr="00A75094" w:rsidRDefault="00FF0FC8" w:rsidP="00FF0FC8">
      <w:pPr>
        <w:spacing w:after="240" w:line="240" w:lineRule="auto"/>
        <w:ind w:left="720" w:hanging="720"/>
      </w:pPr>
      <w:r w:rsidRPr="00A75094">
        <w:lastRenderedPageBreak/>
        <w:t>Balogh</w:t>
      </w:r>
      <w:r w:rsidR="00D82860" w:rsidRPr="00A75094">
        <w:t>,</w:t>
      </w:r>
      <w:r w:rsidRPr="00A75094">
        <w:t xml:space="preserve"> R., Lin</w:t>
      </w:r>
      <w:r w:rsidR="00D82860" w:rsidRPr="00A75094">
        <w:t>,</w:t>
      </w:r>
      <w:r w:rsidRPr="00A75094">
        <w:t xml:space="preserve"> E., </w:t>
      </w:r>
      <w:proofErr w:type="spellStart"/>
      <w:r w:rsidRPr="00A75094">
        <w:t>Jaglal</w:t>
      </w:r>
      <w:proofErr w:type="spellEnd"/>
      <w:r w:rsidR="00D82860" w:rsidRPr="00A75094">
        <w:t>,</w:t>
      </w:r>
      <w:r w:rsidRPr="00A75094">
        <w:t xml:space="preserve"> S., </w:t>
      </w:r>
      <w:proofErr w:type="spellStart"/>
      <w:r w:rsidRPr="00A75094">
        <w:t>Lunsky</w:t>
      </w:r>
      <w:proofErr w:type="spellEnd"/>
      <w:r w:rsidR="00D82860" w:rsidRPr="00A75094">
        <w:t>,</w:t>
      </w:r>
      <w:r w:rsidRPr="00A75094">
        <w:t xml:space="preserve"> Y., Wood</w:t>
      </w:r>
      <w:r w:rsidR="00D82860" w:rsidRPr="00A75094">
        <w:t>,</w:t>
      </w:r>
      <w:r w:rsidRPr="00A75094">
        <w:t xml:space="preserve"> J., </w:t>
      </w:r>
      <w:proofErr w:type="spellStart"/>
      <w:r w:rsidRPr="00A75094">
        <w:t>Dobranowski</w:t>
      </w:r>
      <w:proofErr w:type="spellEnd"/>
      <w:r w:rsidR="00D82860" w:rsidRPr="00A75094">
        <w:t>,</w:t>
      </w:r>
      <w:r w:rsidRPr="00A75094">
        <w:t xml:space="preserve"> K., Wilton</w:t>
      </w:r>
      <w:r w:rsidR="00D82860" w:rsidRPr="00A75094">
        <w:t>,</w:t>
      </w:r>
      <w:r w:rsidRPr="00A75094">
        <w:t xml:space="preserve"> A. &amp; Gemmill</w:t>
      </w:r>
      <w:r w:rsidR="00D82860" w:rsidRPr="00A75094">
        <w:t>,</w:t>
      </w:r>
      <w:r w:rsidRPr="00A75094">
        <w:t xml:space="preserve"> M. (2017) Low-trauma fractures and bone mineral density testing in adults with and without intellectual and developmental disabilities: a population study. Osteoporosis International, 28, 727-732.</w:t>
      </w:r>
    </w:p>
    <w:p w14:paraId="0CEAC51D" w14:textId="1B117CF3" w:rsidR="00BE6E1A" w:rsidRPr="00A75094" w:rsidRDefault="00BE6E1A" w:rsidP="00BE6E1A">
      <w:pPr>
        <w:spacing w:after="240" w:line="240" w:lineRule="auto"/>
        <w:ind w:left="720" w:hanging="720"/>
      </w:pPr>
      <w:r w:rsidRPr="00A75094">
        <w:t xml:space="preserve">Blas, E., Gilson, L., Kelly, M. P., </w:t>
      </w:r>
      <w:proofErr w:type="spellStart"/>
      <w:r w:rsidRPr="00A75094">
        <w:t>Labonté</w:t>
      </w:r>
      <w:proofErr w:type="spellEnd"/>
      <w:r w:rsidRPr="00A75094">
        <w:t xml:space="preserve">, R., </w:t>
      </w:r>
      <w:proofErr w:type="spellStart"/>
      <w:r w:rsidRPr="00A75094">
        <w:t>Lapitan</w:t>
      </w:r>
      <w:proofErr w:type="spellEnd"/>
      <w:r w:rsidRPr="00A75094">
        <w:t xml:space="preserve">, J., </w:t>
      </w:r>
      <w:proofErr w:type="spellStart"/>
      <w:r w:rsidRPr="00A75094">
        <w:t>Muntaner</w:t>
      </w:r>
      <w:proofErr w:type="spellEnd"/>
      <w:r w:rsidRPr="00A75094">
        <w:t xml:space="preserve">, C., ... &amp; </w:t>
      </w:r>
      <w:proofErr w:type="spellStart"/>
      <w:r w:rsidRPr="00A75094">
        <w:t>Schrecker</w:t>
      </w:r>
      <w:proofErr w:type="spellEnd"/>
      <w:r w:rsidRPr="00A75094">
        <w:t>, T. (2008). Addressing social determinants of health inequities: what can the state and civil society do? The Lancet, 372(9650), 1684-1689.</w:t>
      </w:r>
    </w:p>
    <w:p w14:paraId="2598954C" w14:textId="77777777" w:rsidR="00BE6E1A" w:rsidRPr="00A75094" w:rsidRDefault="00BE6E1A" w:rsidP="00BE6E1A">
      <w:pPr>
        <w:spacing w:after="240" w:line="240" w:lineRule="auto"/>
        <w:ind w:left="720" w:hanging="720"/>
      </w:pPr>
      <w:proofErr w:type="spellStart"/>
      <w:r w:rsidRPr="00A75094">
        <w:t>Cacari</w:t>
      </w:r>
      <w:proofErr w:type="spellEnd"/>
      <w:r w:rsidRPr="00A75094">
        <w:t xml:space="preserve">-Stone, L., Wallerstein, N., Garcia, A. P., &amp; </w:t>
      </w:r>
      <w:proofErr w:type="spellStart"/>
      <w:r w:rsidRPr="00A75094">
        <w:t>Minkler</w:t>
      </w:r>
      <w:proofErr w:type="spellEnd"/>
      <w:r w:rsidRPr="00A75094">
        <w:t>, M. (2014). The promise of community-based participatory research for health equity: a conceptual model for bridging evidence with policy. American Journal of Public Health, 104(9), 1615-1623.</w:t>
      </w:r>
    </w:p>
    <w:p w14:paraId="69A43B14" w14:textId="77777777" w:rsidR="00BE6E1A" w:rsidRPr="00A75094" w:rsidRDefault="00BE6E1A" w:rsidP="00BE6E1A">
      <w:pPr>
        <w:spacing w:after="240" w:line="240" w:lineRule="auto"/>
        <w:ind w:left="720" w:hanging="720"/>
      </w:pPr>
      <w:proofErr w:type="spellStart"/>
      <w:r w:rsidRPr="00A75094">
        <w:t>Claes</w:t>
      </w:r>
      <w:proofErr w:type="spellEnd"/>
      <w:r w:rsidRPr="00A75094">
        <w:t xml:space="preserve">, C., </w:t>
      </w:r>
      <w:proofErr w:type="spellStart"/>
      <w:r w:rsidRPr="00A75094">
        <w:t>Ferket</w:t>
      </w:r>
      <w:proofErr w:type="spellEnd"/>
      <w:r w:rsidRPr="00A75094">
        <w:t xml:space="preserve">, H., </w:t>
      </w:r>
      <w:proofErr w:type="spellStart"/>
      <w:r w:rsidRPr="00A75094">
        <w:t>Vandevelde</w:t>
      </w:r>
      <w:proofErr w:type="spellEnd"/>
      <w:r w:rsidRPr="00A75094">
        <w:t xml:space="preserve">, S., </w:t>
      </w:r>
      <w:proofErr w:type="spellStart"/>
      <w:r w:rsidRPr="00A75094">
        <w:t>Verlet</w:t>
      </w:r>
      <w:proofErr w:type="spellEnd"/>
      <w:r w:rsidRPr="00A75094">
        <w:t xml:space="preserve">, D. &amp; De </w:t>
      </w:r>
      <w:proofErr w:type="spellStart"/>
      <w:r w:rsidRPr="00A75094">
        <w:t>Maeyer</w:t>
      </w:r>
      <w:proofErr w:type="spellEnd"/>
      <w:r w:rsidRPr="00A75094">
        <w:t xml:space="preserve">, J. (2017) Disability policy evaluation: combing logic models and systems thinking. Intellectual and Developmental Disabilities; 55(4), 247-257. </w:t>
      </w:r>
    </w:p>
    <w:p w14:paraId="5C7B707D" w14:textId="77777777" w:rsidR="00BE6E1A" w:rsidRPr="00A75094" w:rsidRDefault="00BE6E1A" w:rsidP="00BE6E1A">
      <w:pPr>
        <w:spacing w:after="240" w:line="240" w:lineRule="auto"/>
        <w:ind w:left="720" w:hanging="720"/>
      </w:pPr>
      <w:r w:rsidRPr="00A75094">
        <w:t>Emerson, E., &amp; Baines, S. (2011). Health inequalities and people with learning disabilities in the UK. Tizard Learning Disability Review, 16(1), 42-48.</w:t>
      </w:r>
    </w:p>
    <w:p w14:paraId="06975FC7" w14:textId="77777777" w:rsidR="00BE6E1A" w:rsidRPr="00A75094" w:rsidRDefault="00BE6E1A" w:rsidP="00BE6E1A">
      <w:pPr>
        <w:spacing w:after="240" w:line="240" w:lineRule="auto"/>
        <w:ind w:left="720" w:hanging="720"/>
      </w:pPr>
      <w:r w:rsidRPr="00A75094">
        <w:t xml:space="preserve">Emerson, E., &amp; Hatton, C. (2013). Health Inequalities and People with Intellectual Disabilities. Cambridge: Cambridge University Press. </w:t>
      </w:r>
    </w:p>
    <w:p w14:paraId="78420C23" w14:textId="77777777" w:rsidR="00BE6E1A" w:rsidRPr="00A75094" w:rsidRDefault="00BE6E1A" w:rsidP="00BE6E1A">
      <w:pPr>
        <w:spacing w:after="240" w:line="240" w:lineRule="auto"/>
        <w:ind w:left="720" w:hanging="720"/>
      </w:pPr>
      <w:r w:rsidRPr="00A75094">
        <w:t>Emerson, E., &amp; Savage, A. (2017). Acute respiratory infection, diarrhoea and fever in young children at-risk of intellectual disability in 24 low-and middle-income countries. Public Health, 142, 85-93.</w:t>
      </w:r>
    </w:p>
    <w:p w14:paraId="2C28692C" w14:textId="03643BD6" w:rsidR="00FF0FC8" w:rsidRPr="00A75094" w:rsidRDefault="00FF0FC8" w:rsidP="00FF0FC8">
      <w:pPr>
        <w:spacing w:after="240" w:line="240" w:lineRule="auto"/>
        <w:ind w:left="720" w:hanging="720"/>
      </w:pPr>
      <w:r w:rsidRPr="00A75094">
        <w:t>Florio</w:t>
      </w:r>
      <w:r w:rsidR="00D82860" w:rsidRPr="00A75094">
        <w:t>,</w:t>
      </w:r>
      <w:r w:rsidRPr="00A75094">
        <w:t xml:space="preserve"> T. &amp; </w:t>
      </w:r>
      <w:proofErr w:type="spellStart"/>
      <w:r w:rsidRPr="00A75094">
        <w:t>Trollor</w:t>
      </w:r>
      <w:proofErr w:type="spellEnd"/>
      <w:r w:rsidR="00D82860" w:rsidRPr="00A75094">
        <w:t>,</w:t>
      </w:r>
      <w:r w:rsidRPr="00A75094">
        <w:t xml:space="preserve"> J. (2015)</w:t>
      </w:r>
      <w:r w:rsidR="00D82860" w:rsidRPr="00A75094">
        <w:t>.</w:t>
      </w:r>
      <w:r w:rsidRPr="00A75094">
        <w:t xml:space="preserve"> Mortality among a Cohort of Persons with an Intellectual Disability in New S</w:t>
      </w:r>
      <w:r w:rsidR="00D82860" w:rsidRPr="00A75094">
        <w:t>outh Wales, Australia. Journal o</w:t>
      </w:r>
      <w:r w:rsidRPr="00A75094">
        <w:t xml:space="preserve">f Applied Research </w:t>
      </w:r>
      <w:r w:rsidR="00D82860" w:rsidRPr="00A75094">
        <w:t>i</w:t>
      </w:r>
      <w:r w:rsidRPr="00A75094">
        <w:t>n Intellectual Disabilities, 28, 383-393.</w:t>
      </w:r>
    </w:p>
    <w:p w14:paraId="687E322F" w14:textId="77777777" w:rsidR="00BE6E1A" w:rsidRPr="00A75094" w:rsidRDefault="00BE6E1A" w:rsidP="00BE6E1A">
      <w:pPr>
        <w:spacing w:after="240" w:line="240" w:lineRule="auto"/>
        <w:ind w:left="720" w:hanging="720"/>
      </w:pPr>
      <w:proofErr w:type="spellStart"/>
      <w:r w:rsidRPr="00A75094">
        <w:t>Frankena</w:t>
      </w:r>
      <w:proofErr w:type="spellEnd"/>
      <w:r w:rsidRPr="00A75094">
        <w:t xml:space="preserve">, T. K., </w:t>
      </w:r>
      <w:proofErr w:type="spellStart"/>
      <w:r w:rsidRPr="00A75094">
        <w:t>Naaldenberg</w:t>
      </w:r>
      <w:proofErr w:type="spellEnd"/>
      <w:r w:rsidRPr="00A75094">
        <w:t xml:space="preserve">, J., </w:t>
      </w:r>
      <w:proofErr w:type="spellStart"/>
      <w:r w:rsidRPr="00A75094">
        <w:t>Cardol</w:t>
      </w:r>
      <w:proofErr w:type="spellEnd"/>
      <w:r w:rsidRPr="00A75094">
        <w:t xml:space="preserve">, M., Linehan, C., &amp; van </w:t>
      </w:r>
      <w:proofErr w:type="spellStart"/>
      <w:r w:rsidRPr="00A75094">
        <w:t>Schrojenstein</w:t>
      </w:r>
      <w:proofErr w:type="spellEnd"/>
      <w:r w:rsidRPr="00A75094">
        <w:t xml:space="preserve"> </w:t>
      </w:r>
      <w:proofErr w:type="spellStart"/>
      <w:r w:rsidRPr="00A75094">
        <w:t>Lantman</w:t>
      </w:r>
      <w:proofErr w:type="spellEnd"/>
      <w:r w:rsidRPr="00A75094">
        <w:t xml:space="preserve">-de </w:t>
      </w:r>
      <w:proofErr w:type="spellStart"/>
      <w:r w:rsidRPr="00A75094">
        <w:t>Valk</w:t>
      </w:r>
      <w:proofErr w:type="spellEnd"/>
      <w:r w:rsidRPr="00A75094">
        <w:t xml:space="preserve">, H. (2015). Active involvement of people with intellectual disabilities in health research–A structured literature review. Research in Developmental Disabilities, 45, 271-283. </w:t>
      </w:r>
    </w:p>
    <w:p w14:paraId="4C5821F2" w14:textId="77777777" w:rsidR="00BE6E1A" w:rsidRPr="00A75094" w:rsidRDefault="00BE6E1A" w:rsidP="00BE6E1A">
      <w:pPr>
        <w:spacing w:after="240" w:line="240" w:lineRule="auto"/>
        <w:ind w:left="720" w:hanging="720"/>
        <w:rPr>
          <w:rFonts w:cs="Times"/>
        </w:rPr>
      </w:pPr>
      <w:r w:rsidRPr="00A75094">
        <w:rPr>
          <w:rFonts w:cs="Times"/>
        </w:rPr>
        <w:t xml:space="preserve">Fritz, P., Irwin, K., &amp; </w:t>
      </w:r>
      <w:proofErr w:type="spellStart"/>
      <w:r w:rsidRPr="00A75094">
        <w:rPr>
          <w:rFonts w:cs="Times"/>
        </w:rPr>
        <w:t>Bouza</w:t>
      </w:r>
      <w:proofErr w:type="spellEnd"/>
      <w:r w:rsidRPr="00A75094">
        <w:rPr>
          <w:rFonts w:cs="Times"/>
        </w:rPr>
        <w:t xml:space="preserve">, L. (2017) Using a community workshop model to initiate policy, systems and environmental change that support active living in Indiana. </w:t>
      </w:r>
      <w:r w:rsidRPr="00A75094">
        <w:rPr>
          <w:rFonts w:cs="Times"/>
          <w:i/>
        </w:rPr>
        <w:t>Preventing Chronic Disease</w:t>
      </w:r>
      <w:r w:rsidRPr="00A75094">
        <w:rPr>
          <w:rFonts w:cs="Times"/>
        </w:rPr>
        <w:t>, 14.</w:t>
      </w:r>
      <w:r w:rsidRPr="00A75094">
        <w:t xml:space="preserve"> </w:t>
      </w:r>
      <w:r w:rsidRPr="00A75094">
        <w:rPr>
          <w:rFonts w:cs="Times"/>
        </w:rPr>
        <w:t xml:space="preserve">160503. DOI: </w:t>
      </w:r>
      <w:hyperlink r:id="rId10" w:history="1">
        <w:r w:rsidRPr="00A75094">
          <w:rPr>
            <w:rStyle w:val="Hyperlink"/>
            <w:rFonts w:cs="Times"/>
            <w:color w:val="auto"/>
          </w:rPr>
          <w:t>http://dx.doi.org/10.5888/pcd14.160503</w:t>
        </w:r>
      </w:hyperlink>
    </w:p>
    <w:p w14:paraId="6C1B234B" w14:textId="22F092BC" w:rsidR="00BE6E1A" w:rsidRPr="00A75094" w:rsidRDefault="00D82860" w:rsidP="00BE6E1A">
      <w:pPr>
        <w:spacing w:after="240" w:line="240" w:lineRule="auto"/>
        <w:ind w:left="720" w:hanging="720"/>
      </w:pPr>
      <w:proofErr w:type="spellStart"/>
      <w:r w:rsidRPr="00A75094">
        <w:t>Fujiura</w:t>
      </w:r>
      <w:proofErr w:type="spellEnd"/>
      <w:r w:rsidRPr="00A75094">
        <w:t>, G.</w:t>
      </w:r>
      <w:r w:rsidR="00BE6E1A" w:rsidRPr="00A75094">
        <w:t>T., Rutkowski-</w:t>
      </w:r>
      <w:proofErr w:type="spellStart"/>
      <w:r w:rsidR="00BE6E1A" w:rsidRPr="00A75094">
        <w:t>Kmitta</w:t>
      </w:r>
      <w:proofErr w:type="spellEnd"/>
      <w:r w:rsidR="00BE6E1A" w:rsidRPr="00A75094">
        <w:t>, V. &amp; Owen, R. (2010). Make measurable what is not so: National monitoring of the status of persons with intellectual disability. Journal of Intellectual and Developmental Disability, 35(4), 244-258.</w:t>
      </w:r>
    </w:p>
    <w:p w14:paraId="2AE8FDD8" w14:textId="1C3FFCF3" w:rsidR="00FF0FC8" w:rsidRPr="00A75094" w:rsidRDefault="00FF0FC8" w:rsidP="00FF0FC8">
      <w:pPr>
        <w:spacing w:after="240" w:line="240" w:lineRule="auto"/>
        <w:ind w:left="720" w:hanging="720"/>
      </w:pPr>
      <w:r w:rsidRPr="00A75094">
        <w:t>Glover</w:t>
      </w:r>
      <w:r w:rsidR="00D82860" w:rsidRPr="00A75094">
        <w:t>,</w:t>
      </w:r>
      <w:r w:rsidRPr="00A75094">
        <w:t xml:space="preserve"> G., Williams</w:t>
      </w:r>
      <w:r w:rsidR="00D82860" w:rsidRPr="00A75094">
        <w:t>,</w:t>
      </w:r>
      <w:r w:rsidRPr="00A75094">
        <w:t xml:space="preserve"> R., Heslop</w:t>
      </w:r>
      <w:r w:rsidR="00D82860" w:rsidRPr="00A75094">
        <w:t>,</w:t>
      </w:r>
      <w:r w:rsidRPr="00A75094">
        <w:t xml:space="preserve"> P., Oyinlola</w:t>
      </w:r>
      <w:r w:rsidR="00D82860" w:rsidRPr="00A75094">
        <w:t>,</w:t>
      </w:r>
      <w:r w:rsidRPr="00A75094">
        <w:t xml:space="preserve"> J. &amp; Grey</w:t>
      </w:r>
      <w:r w:rsidR="00D82860" w:rsidRPr="00A75094">
        <w:t>,</w:t>
      </w:r>
      <w:r w:rsidRPr="00A75094">
        <w:t xml:space="preserve"> J. (2017)</w:t>
      </w:r>
      <w:r w:rsidR="00D82860" w:rsidRPr="00A75094">
        <w:t>.</w:t>
      </w:r>
      <w:r w:rsidRPr="00A75094">
        <w:t xml:space="preserve"> Mortality in people with intellectual disabilities in England. Journal of Intellectual Disability Research, 61, 62-74.</w:t>
      </w:r>
    </w:p>
    <w:p w14:paraId="56B2FDFD" w14:textId="77777777" w:rsidR="00BE6E1A" w:rsidRPr="00A75094" w:rsidRDefault="00BE6E1A" w:rsidP="00BE6E1A">
      <w:pPr>
        <w:spacing w:after="240" w:line="240" w:lineRule="auto"/>
        <w:ind w:left="720" w:hanging="720"/>
      </w:pPr>
      <w:proofErr w:type="spellStart"/>
      <w:r w:rsidRPr="00A75094">
        <w:t>Hemm</w:t>
      </w:r>
      <w:proofErr w:type="spellEnd"/>
      <w:r w:rsidRPr="00A75094">
        <w:t xml:space="preserve">, C., </w:t>
      </w:r>
      <w:proofErr w:type="spellStart"/>
      <w:r w:rsidRPr="00A75094">
        <w:t>Dagnan</w:t>
      </w:r>
      <w:proofErr w:type="spellEnd"/>
      <w:r w:rsidRPr="00A75094">
        <w:t xml:space="preserve">, D., &amp; Meyer, T. D. (2015). Identifying training needs for mainstream healthcare professionals, to prepare them for working with </w:t>
      </w:r>
      <w:r w:rsidRPr="00A75094">
        <w:lastRenderedPageBreak/>
        <w:t xml:space="preserve">individuals with intellectual disabilities: a systematic review. Journal of Applied Research in Intellectual Disabilities, 28(2), 98-110. </w:t>
      </w:r>
    </w:p>
    <w:p w14:paraId="1FADA3A7" w14:textId="77777777" w:rsidR="008215D2" w:rsidRPr="00A75094" w:rsidRDefault="008215D2" w:rsidP="008215D2">
      <w:pPr>
        <w:spacing w:after="240" w:line="240" w:lineRule="auto"/>
        <w:ind w:left="720" w:hanging="720"/>
      </w:pPr>
      <w:bookmarkStart w:id="0" w:name="_GoBack"/>
      <w:bookmarkEnd w:id="0"/>
      <w:r w:rsidRPr="00A75094">
        <w:t xml:space="preserve">Heslop, P., Blair, P., Fleming, P., </w:t>
      </w:r>
      <w:proofErr w:type="spellStart"/>
      <w:r w:rsidRPr="00A75094">
        <w:t>Hoghton</w:t>
      </w:r>
      <w:proofErr w:type="spellEnd"/>
      <w:r w:rsidRPr="00A75094">
        <w:t>, M., Marriott, A., &amp; Russ, L. (2013). Confidential Inquiry into premature deaths of people with learning disabilities (CIPOLD). Bristol: Norah Fry Research Centre.</w:t>
      </w:r>
    </w:p>
    <w:p w14:paraId="1EF1CE37" w14:textId="77777777" w:rsidR="00452788" w:rsidRPr="00A75094" w:rsidRDefault="00452788" w:rsidP="00BE6E1A">
      <w:pPr>
        <w:spacing w:after="240" w:line="240" w:lineRule="auto"/>
        <w:ind w:left="720" w:hanging="720"/>
      </w:pPr>
      <w:r w:rsidRPr="00A75094">
        <w:t>Heslop, P., &amp; Glover, G. (2015). Mortality of people with intellectual disabilities in England: a comparison of data from existing sources. Journal of applied research in intellectual disabilities, 28(5), 414-422.</w:t>
      </w:r>
    </w:p>
    <w:p w14:paraId="2BC6B298" w14:textId="3E853718" w:rsidR="00BE6E1A" w:rsidRPr="00A75094" w:rsidRDefault="00BE6E1A" w:rsidP="00BE6E1A">
      <w:pPr>
        <w:spacing w:after="240" w:line="240" w:lineRule="auto"/>
        <w:ind w:left="720" w:hanging="720"/>
      </w:pPr>
      <w:proofErr w:type="spellStart"/>
      <w:r w:rsidRPr="00A75094">
        <w:t>Iacono</w:t>
      </w:r>
      <w:proofErr w:type="spellEnd"/>
      <w:r w:rsidRPr="00A75094">
        <w:t xml:space="preserve">, T., </w:t>
      </w:r>
      <w:proofErr w:type="spellStart"/>
      <w:r w:rsidRPr="00A75094">
        <w:t>Bigby</w:t>
      </w:r>
      <w:proofErr w:type="spellEnd"/>
      <w:r w:rsidRPr="00A75094">
        <w:t>, C., Unsworth, C., Douglas, J., &amp; Fitzpatrick, P. (2014). A systematic review of hospital experiences of people wit</w:t>
      </w:r>
      <w:r w:rsidR="00A654BD" w:rsidRPr="00A75094">
        <w:t>h intellectual disability. BMC Health Services R</w:t>
      </w:r>
      <w:r w:rsidRPr="00A75094">
        <w:t>esearch, 14(1), Article 505.</w:t>
      </w:r>
    </w:p>
    <w:p w14:paraId="26DB6D64" w14:textId="60F7D07E" w:rsidR="00FF0FC8" w:rsidRPr="00A75094" w:rsidRDefault="00FF0FC8" w:rsidP="00FF0FC8">
      <w:pPr>
        <w:spacing w:after="240" w:line="240" w:lineRule="auto"/>
        <w:ind w:left="720" w:hanging="720"/>
      </w:pPr>
      <w:r w:rsidRPr="00A75094">
        <w:t>Jansen</w:t>
      </w:r>
      <w:r w:rsidR="00A654BD" w:rsidRPr="00A75094">
        <w:t>,</w:t>
      </w:r>
      <w:r w:rsidRPr="00A75094">
        <w:t xml:space="preserve"> J., </w:t>
      </w:r>
      <w:proofErr w:type="spellStart"/>
      <w:r w:rsidRPr="00A75094">
        <w:t>Rozeboom</w:t>
      </w:r>
      <w:proofErr w:type="spellEnd"/>
      <w:r w:rsidR="00A654BD" w:rsidRPr="00A75094">
        <w:t>,</w:t>
      </w:r>
      <w:r w:rsidRPr="00A75094">
        <w:t xml:space="preserve"> W., Penning</w:t>
      </w:r>
      <w:r w:rsidR="00A654BD" w:rsidRPr="00A75094">
        <w:t>,</w:t>
      </w:r>
      <w:r w:rsidRPr="00A75094">
        <w:t xml:space="preserve"> C. &amp; </w:t>
      </w:r>
      <w:proofErr w:type="spellStart"/>
      <w:r w:rsidRPr="00A75094">
        <w:t>Evenhuis</w:t>
      </w:r>
      <w:proofErr w:type="spellEnd"/>
      <w:r w:rsidR="00A654BD" w:rsidRPr="00A75094">
        <w:t>,</w:t>
      </w:r>
      <w:r w:rsidRPr="00A75094">
        <w:t xml:space="preserve"> H. M. (2013)</w:t>
      </w:r>
      <w:r w:rsidR="00A654BD" w:rsidRPr="00A75094">
        <w:t>.</w:t>
      </w:r>
      <w:r w:rsidRPr="00A75094">
        <w:t xml:space="preserve"> Prevalence and incidence of myocardial infarction and cerebrovascular accident in ageing persons with in</w:t>
      </w:r>
      <w:r w:rsidR="008215D2" w:rsidRPr="00A75094">
        <w:t>tellectual disability. Journal o</w:t>
      </w:r>
      <w:r w:rsidRPr="00A75094">
        <w:t xml:space="preserve">f Intellectual Disability </w:t>
      </w:r>
      <w:proofErr w:type="gramStart"/>
      <w:r w:rsidRPr="00A75094">
        <w:t>Rese</w:t>
      </w:r>
      <w:r w:rsidR="008215D2" w:rsidRPr="00A75094">
        <w:t xml:space="preserve">arch, </w:t>
      </w:r>
      <w:r w:rsidRPr="00A75094">
        <w:t xml:space="preserve"> 57</w:t>
      </w:r>
      <w:proofErr w:type="gramEnd"/>
      <w:r w:rsidRPr="00A75094">
        <w:t>, 681-685.</w:t>
      </w:r>
    </w:p>
    <w:p w14:paraId="320AED09" w14:textId="77777777" w:rsidR="00BE6E1A" w:rsidRPr="00A75094" w:rsidRDefault="00BE6E1A" w:rsidP="00BE6E1A">
      <w:pPr>
        <w:spacing w:after="240" w:line="240" w:lineRule="auto"/>
        <w:ind w:left="720" w:hanging="720"/>
      </w:pPr>
      <w:proofErr w:type="spellStart"/>
      <w:r w:rsidRPr="00A75094">
        <w:t>Krahn</w:t>
      </w:r>
      <w:proofErr w:type="spellEnd"/>
      <w:r w:rsidRPr="00A75094">
        <w:t xml:space="preserve">, G. L., &amp; Fox, M. H. (2014). Health disparities of adults with intellectual disabilities: what do we know? What do we </w:t>
      </w:r>
      <w:proofErr w:type="gramStart"/>
      <w:r w:rsidRPr="00A75094">
        <w:t>do?.</w:t>
      </w:r>
      <w:proofErr w:type="gramEnd"/>
      <w:r w:rsidRPr="00A75094">
        <w:t xml:space="preserve"> Journal of Applied Research in Intellectual Disabilities, 27(5), 431-446.</w:t>
      </w:r>
    </w:p>
    <w:p w14:paraId="68344FB4" w14:textId="77777777" w:rsidR="00BE6E1A" w:rsidRPr="00A75094" w:rsidRDefault="00BE6E1A" w:rsidP="00BE6E1A">
      <w:pPr>
        <w:spacing w:after="240" w:line="240" w:lineRule="auto"/>
        <w:ind w:left="720" w:hanging="720"/>
      </w:pPr>
      <w:r w:rsidRPr="00A75094">
        <w:rPr>
          <w:lang w:val="pt-BR"/>
        </w:rPr>
        <w:t xml:space="preserve">Krahn, G. L., Walker, D. K., &amp; Correa-De-Araujo, R. (2015). </w:t>
      </w:r>
      <w:r w:rsidRPr="00A75094">
        <w:t>Persons with disabilities as an unrecognized health disparity population. American Journal of Public Health, 105(S2), S198-S206.</w:t>
      </w:r>
    </w:p>
    <w:p w14:paraId="68B02D92" w14:textId="43E8B876" w:rsidR="00FF0FC8" w:rsidRPr="00A75094" w:rsidRDefault="00FF0FC8" w:rsidP="00FF0FC8">
      <w:pPr>
        <w:spacing w:after="240" w:line="240" w:lineRule="auto"/>
        <w:ind w:left="720" w:hanging="720"/>
      </w:pPr>
      <w:r w:rsidRPr="00A75094">
        <w:t>Lauer</w:t>
      </w:r>
      <w:r w:rsidR="00A654BD" w:rsidRPr="00A75094">
        <w:t>,</w:t>
      </w:r>
      <w:r w:rsidRPr="00A75094">
        <w:t xml:space="preserve"> E. &amp; McCallion</w:t>
      </w:r>
      <w:r w:rsidR="00A654BD" w:rsidRPr="00A75094">
        <w:t>,</w:t>
      </w:r>
      <w:r w:rsidRPr="00A75094">
        <w:t xml:space="preserve"> P. (2015)</w:t>
      </w:r>
      <w:r w:rsidR="00A654BD" w:rsidRPr="00A75094">
        <w:t>.</w:t>
      </w:r>
      <w:r w:rsidRPr="00A75094">
        <w:t xml:space="preserve"> Mortality of People with Intellectual and Developmental Disabilities from Select US State Disability Service Systems and Medical Claims Data. </w:t>
      </w:r>
      <w:r w:rsidR="008215D2" w:rsidRPr="00A75094">
        <w:t>Journal of Applied Research in Intellectual Disabilities</w:t>
      </w:r>
      <w:r w:rsidRPr="00A75094">
        <w:t>, 28, 394-405.</w:t>
      </w:r>
    </w:p>
    <w:p w14:paraId="766247A1" w14:textId="77777777" w:rsidR="00BE6E1A" w:rsidRPr="00A75094" w:rsidRDefault="00BE6E1A" w:rsidP="00BE6E1A">
      <w:pPr>
        <w:spacing w:after="240" w:line="240" w:lineRule="auto"/>
        <w:ind w:left="720" w:hanging="720"/>
      </w:pPr>
      <w:r w:rsidRPr="00A75094">
        <w:t xml:space="preserve">Lennox, N., Van </w:t>
      </w:r>
      <w:proofErr w:type="spellStart"/>
      <w:r w:rsidRPr="00A75094">
        <w:t>Driel</w:t>
      </w:r>
      <w:proofErr w:type="spellEnd"/>
      <w:r w:rsidRPr="00A75094">
        <w:t xml:space="preserve">, M. L., &amp; van </w:t>
      </w:r>
      <w:proofErr w:type="spellStart"/>
      <w:r w:rsidRPr="00A75094">
        <w:t>Dooren</w:t>
      </w:r>
      <w:proofErr w:type="spellEnd"/>
      <w:r w:rsidRPr="00A75094">
        <w:t>, K. (2015). Supporting primary healthcare professionals to care for people with intellectual disability: a research agenda. Journal of Applied Research in Intellectual Disabilities, 28(1), 33-42.</w:t>
      </w:r>
    </w:p>
    <w:p w14:paraId="3362DDFB" w14:textId="77777777" w:rsidR="00BE6E1A" w:rsidRPr="00A75094" w:rsidRDefault="00BE6E1A" w:rsidP="00BE6E1A">
      <w:pPr>
        <w:spacing w:after="240" w:line="240" w:lineRule="auto"/>
        <w:ind w:left="720" w:hanging="720"/>
      </w:pPr>
      <w:r w:rsidRPr="00A75094">
        <w:t xml:space="preserve">McCallion, P., Ferretti, L. A., </w:t>
      </w:r>
      <w:proofErr w:type="spellStart"/>
      <w:r w:rsidRPr="00A75094">
        <w:t>Beange</w:t>
      </w:r>
      <w:proofErr w:type="spellEnd"/>
      <w:r w:rsidRPr="00A75094">
        <w:t xml:space="preserve">, H., &amp; McCarron, M. (2019). Epidemiological Issues in Intellectual Disability and Aging Research. In V.P. </w:t>
      </w:r>
      <w:proofErr w:type="spellStart"/>
      <w:r w:rsidRPr="00A75094">
        <w:t>Prasher</w:t>
      </w:r>
      <w:proofErr w:type="spellEnd"/>
      <w:r w:rsidRPr="00A75094">
        <w:t xml:space="preserve"> &amp; M.P. Janicki (Eds.). Physical Health of Adults with Intellectual and Developmental Disabilities (pp. 9-26). Springer, Cham.</w:t>
      </w:r>
    </w:p>
    <w:p w14:paraId="72EAAEA3" w14:textId="77777777" w:rsidR="00BE6E1A" w:rsidRPr="00A75094" w:rsidRDefault="00BE6E1A" w:rsidP="00BE6E1A">
      <w:pPr>
        <w:spacing w:after="240" w:line="240" w:lineRule="auto"/>
        <w:ind w:left="720" w:hanging="720"/>
        <w:rPr>
          <w:lang w:val="en-US"/>
        </w:rPr>
      </w:pPr>
      <w:r w:rsidRPr="00A75094">
        <w:rPr>
          <w:lang w:val="en-US"/>
        </w:rPr>
        <w:t xml:space="preserve">McCarron, M., Carroll, R., Kelly, C. &amp; McCallion, P., (2015). Mortality rates in the general Irish population compared to those with an intellectual disability from 2003 to 2012.  </w:t>
      </w:r>
      <w:r w:rsidRPr="00A75094">
        <w:rPr>
          <w:lang w:val="fr-FR"/>
        </w:rPr>
        <w:t xml:space="preserve">J. </w:t>
      </w:r>
      <w:proofErr w:type="spellStart"/>
      <w:r w:rsidRPr="00A75094">
        <w:rPr>
          <w:lang w:val="fr-FR"/>
        </w:rPr>
        <w:t>Applied</w:t>
      </w:r>
      <w:proofErr w:type="spellEnd"/>
      <w:r w:rsidRPr="00A75094">
        <w:rPr>
          <w:lang w:val="fr-FR"/>
        </w:rPr>
        <w:t xml:space="preserve">. Research in Intellect. </w:t>
      </w:r>
      <w:proofErr w:type="gramStart"/>
      <w:r w:rsidRPr="00A75094">
        <w:rPr>
          <w:lang w:val="fr-FR"/>
        </w:rPr>
        <w:t xml:space="preserve">Disabilities,  </w:t>
      </w:r>
      <w:r w:rsidRPr="00A75094">
        <w:rPr>
          <w:lang w:val="en-US"/>
        </w:rPr>
        <w:t>28</w:t>
      </w:r>
      <w:proofErr w:type="gramEnd"/>
      <w:r w:rsidRPr="00A75094">
        <w:rPr>
          <w:lang w:val="en-US"/>
        </w:rPr>
        <w:t xml:space="preserve"> (5), 406–413.</w:t>
      </w:r>
    </w:p>
    <w:p w14:paraId="5DBB4455" w14:textId="293F79F9" w:rsidR="00BE6E1A" w:rsidRPr="00A75094" w:rsidRDefault="00BE6E1A" w:rsidP="00BE6E1A">
      <w:pPr>
        <w:spacing w:after="240" w:line="240" w:lineRule="auto"/>
        <w:ind w:left="720" w:hanging="720"/>
      </w:pPr>
      <w:r w:rsidRPr="00A75094">
        <w:t xml:space="preserve">McConkey, R. </w:t>
      </w:r>
      <w:r w:rsidR="00A654BD" w:rsidRPr="00A75094">
        <w:t xml:space="preserve">(ed) </w:t>
      </w:r>
      <w:r w:rsidRPr="00A75094">
        <w:t>(2018)</w:t>
      </w:r>
      <w:r w:rsidR="00A654BD" w:rsidRPr="00A75094">
        <w:t>.</w:t>
      </w:r>
      <w:r w:rsidRPr="00A75094">
        <w:t xml:space="preserve"> Implementing inclusive population health for youth: Experiences from low and middle-income countries.  Cape Town: Disability Innovations Africa.  </w:t>
      </w:r>
    </w:p>
    <w:p w14:paraId="6DA7F1EC" w14:textId="55E26104" w:rsidR="00D300B5" w:rsidRPr="00A75094" w:rsidRDefault="00D300B5" w:rsidP="00D300B5">
      <w:pPr>
        <w:spacing w:after="240" w:line="240" w:lineRule="auto"/>
        <w:ind w:left="720" w:hanging="720"/>
      </w:pPr>
      <w:proofErr w:type="spellStart"/>
      <w:r w:rsidRPr="00A75094">
        <w:t>MacRae</w:t>
      </w:r>
      <w:proofErr w:type="spellEnd"/>
      <w:r w:rsidR="008215D2" w:rsidRPr="00A75094">
        <w:t>,</w:t>
      </w:r>
      <w:r w:rsidRPr="00A75094">
        <w:t xml:space="preserve"> S., Brown</w:t>
      </w:r>
      <w:r w:rsidR="008215D2" w:rsidRPr="00A75094">
        <w:t>,</w:t>
      </w:r>
      <w:r w:rsidRPr="00A75094">
        <w:t xml:space="preserve"> M., </w:t>
      </w:r>
      <w:proofErr w:type="spellStart"/>
      <w:r w:rsidRPr="00A75094">
        <w:t>Karatzias</w:t>
      </w:r>
      <w:proofErr w:type="spellEnd"/>
      <w:r w:rsidR="008215D2" w:rsidRPr="00A75094">
        <w:t>,</w:t>
      </w:r>
      <w:r w:rsidRPr="00A75094">
        <w:t xml:space="preserve"> T., Taggart</w:t>
      </w:r>
      <w:r w:rsidR="008215D2" w:rsidRPr="00A75094">
        <w:t>,</w:t>
      </w:r>
      <w:r w:rsidRPr="00A75094">
        <w:t xml:space="preserve"> L., Truesdale-Kennedy</w:t>
      </w:r>
      <w:r w:rsidR="008215D2" w:rsidRPr="00A75094">
        <w:t>,</w:t>
      </w:r>
      <w:r w:rsidRPr="00A75094">
        <w:t xml:space="preserve"> M., Walley</w:t>
      </w:r>
      <w:r w:rsidR="008215D2" w:rsidRPr="00A75094">
        <w:t>,</w:t>
      </w:r>
      <w:r w:rsidRPr="00A75094">
        <w:t xml:space="preserve"> R., Northway</w:t>
      </w:r>
      <w:r w:rsidR="008215D2" w:rsidRPr="00A75094">
        <w:t>,</w:t>
      </w:r>
      <w:r w:rsidRPr="00A75094">
        <w:t xml:space="preserve"> R., Carey</w:t>
      </w:r>
      <w:r w:rsidR="008215D2" w:rsidRPr="00A75094">
        <w:t xml:space="preserve">, M. &amp; </w:t>
      </w:r>
      <w:r w:rsidRPr="00A75094">
        <w:t xml:space="preserve">Davies M. (2015): Diabetes in People with </w:t>
      </w:r>
      <w:r w:rsidRPr="00A75094">
        <w:lastRenderedPageBreak/>
        <w:t>Intellectual Disabilities: A Systematic Review of the Literature. Research in Developmental Disabilities, 47, 352-374.</w:t>
      </w:r>
    </w:p>
    <w:p w14:paraId="74396756" w14:textId="77777777" w:rsidR="00BE6E1A" w:rsidRPr="00A75094" w:rsidRDefault="00BE6E1A" w:rsidP="00BE6E1A">
      <w:pPr>
        <w:spacing w:after="240" w:line="240" w:lineRule="auto"/>
        <w:ind w:left="720" w:hanging="720"/>
      </w:pPr>
      <w:r w:rsidRPr="00A75094">
        <w:t xml:space="preserve">Mills, A. (2014). Health care systems in low-and middle-income countries. New England Journal of Medicine, 370(6), 552-557. </w:t>
      </w:r>
    </w:p>
    <w:p w14:paraId="593E551D" w14:textId="28843919" w:rsidR="00BE6E1A" w:rsidRPr="00A75094" w:rsidRDefault="00BE6E1A" w:rsidP="00BE6E1A">
      <w:pPr>
        <w:spacing w:after="240" w:line="240" w:lineRule="auto"/>
        <w:ind w:left="720" w:hanging="720"/>
        <w:rPr>
          <w:rFonts w:cs="Arial"/>
          <w:bCs/>
        </w:rPr>
      </w:pPr>
      <w:r w:rsidRPr="00A75094">
        <w:rPr>
          <w:rFonts w:cs="Arial"/>
          <w:bCs/>
        </w:rPr>
        <w:t xml:space="preserve">Morton, K., Atkin, A., </w:t>
      </w:r>
      <w:proofErr w:type="spellStart"/>
      <w:r w:rsidRPr="00A75094">
        <w:rPr>
          <w:rFonts w:cs="Arial"/>
          <w:bCs/>
        </w:rPr>
        <w:t>Corder</w:t>
      </w:r>
      <w:proofErr w:type="spellEnd"/>
      <w:r w:rsidRPr="00A75094">
        <w:rPr>
          <w:rFonts w:cs="Arial"/>
          <w:bCs/>
        </w:rPr>
        <w:t xml:space="preserve">, K., </w:t>
      </w:r>
      <w:proofErr w:type="spellStart"/>
      <w:r w:rsidRPr="00A75094">
        <w:rPr>
          <w:rFonts w:cs="Arial"/>
          <w:bCs/>
        </w:rPr>
        <w:t>Suhrcke</w:t>
      </w:r>
      <w:proofErr w:type="spellEnd"/>
      <w:r w:rsidRPr="00A75094">
        <w:rPr>
          <w:rFonts w:cs="Arial"/>
          <w:bCs/>
        </w:rPr>
        <w:t xml:space="preserve">, M., Turner, D. &amp; Van </w:t>
      </w:r>
      <w:proofErr w:type="spellStart"/>
      <w:r w:rsidRPr="00A75094">
        <w:rPr>
          <w:rFonts w:cs="Arial"/>
          <w:bCs/>
        </w:rPr>
        <w:t>Sluijs</w:t>
      </w:r>
      <w:proofErr w:type="spellEnd"/>
      <w:r w:rsidRPr="00A75094">
        <w:rPr>
          <w:rFonts w:cs="Arial"/>
          <w:bCs/>
        </w:rPr>
        <w:t>, E. (2017)</w:t>
      </w:r>
      <w:r w:rsidR="00A654BD" w:rsidRPr="00A75094">
        <w:rPr>
          <w:rFonts w:cs="Arial"/>
          <w:bCs/>
        </w:rPr>
        <w:t xml:space="preserve">. </w:t>
      </w:r>
      <w:r w:rsidRPr="00A75094">
        <w:rPr>
          <w:rFonts w:cs="Arial"/>
          <w:bCs/>
        </w:rPr>
        <w:t xml:space="preserve"> Engaging stakeholders and target groups in prioritising a public health intervention: the Creating Active School Environments (CASE) online Delphi study. </w:t>
      </w:r>
      <w:r w:rsidRPr="00A75094">
        <w:rPr>
          <w:rFonts w:cs="Arial"/>
          <w:bCs/>
          <w:i/>
        </w:rPr>
        <w:t>British Medical Journal Open</w:t>
      </w:r>
      <w:r w:rsidRPr="00A75094">
        <w:rPr>
          <w:rFonts w:cs="Arial"/>
          <w:bCs/>
        </w:rPr>
        <w:t>, 7(1),</w:t>
      </w:r>
      <w:r w:rsidRPr="00A75094">
        <w:t xml:space="preserve"> </w:t>
      </w:r>
      <w:r w:rsidRPr="00A75094">
        <w:rPr>
          <w:rFonts w:cs="Arial"/>
          <w:bCs/>
        </w:rPr>
        <w:t xml:space="preserve">e013340. </w:t>
      </w:r>
    </w:p>
    <w:p w14:paraId="47541193" w14:textId="5EA13513" w:rsidR="00BE6E1A" w:rsidRPr="00A75094" w:rsidRDefault="00BE6E1A" w:rsidP="00BE6E1A">
      <w:pPr>
        <w:spacing w:after="240" w:line="240" w:lineRule="auto"/>
        <w:ind w:left="720" w:hanging="720"/>
      </w:pPr>
      <w:proofErr w:type="spellStart"/>
      <w:r w:rsidRPr="00A75094">
        <w:t>Nevill</w:t>
      </w:r>
      <w:proofErr w:type="spellEnd"/>
      <w:r w:rsidRPr="00A75094">
        <w:t xml:space="preserve">, R. E., Scott, H. M., &amp; </w:t>
      </w:r>
      <w:proofErr w:type="spellStart"/>
      <w:r w:rsidRPr="00A75094">
        <w:t>Havercamp</w:t>
      </w:r>
      <w:proofErr w:type="spellEnd"/>
      <w:r w:rsidRPr="00A75094">
        <w:t xml:space="preserve">, S. M. (2016). Health Research in Intellectual and Developmental Disabilities. In </w:t>
      </w:r>
      <w:proofErr w:type="spellStart"/>
      <w:r w:rsidRPr="00A75094">
        <w:t>I.L.Rubin</w:t>
      </w:r>
      <w:proofErr w:type="spellEnd"/>
      <w:r w:rsidRPr="00A75094">
        <w:t xml:space="preserve">, J. Merrick, D.E. </w:t>
      </w:r>
      <w:proofErr w:type="spellStart"/>
      <w:r w:rsidRPr="00A75094">
        <w:t>Greydanus</w:t>
      </w:r>
      <w:proofErr w:type="spellEnd"/>
      <w:r w:rsidRPr="00A75094">
        <w:t xml:space="preserve"> &amp; D.R. </w:t>
      </w:r>
      <w:r w:rsidR="00A654BD" w:rsidRPr="00A75094">
        <w:t>Patel (e</w:t>
      </w:r>
      <w:r w:rsidRPr="00A75094">
        <w:t xml:space="preserve">ds.) Health Care for People with Intellectual and Developmental Disabilities across the Lifespan (pp. 2213-2223). Springer, Cham. </w:t>
      </w:r>
    </w:p>
    <w:p w14:paraId="430864AA" w14:textId="2A83CFEE" w:rsidR="00FF0FC8" w:rsidRPr="00A75094" w:rsidRDefault="00FF0FC8" w:rsidP="00FF0FC8">
      <w:pPr>
        <w:spacing w:after="240" w:line="240" w:lineRule="auto"/>
        <w:ind w:left="720" w:hanging="720"/>
      </w:pPr>
      <w:r w:rsidRPr="00A75094">
        <w:t>O'Leary</w:t>
      </w:r>
      <w:r w:rsidR="00A654BD" w:rsidRPr="00A75094">
        <w:t>,</w:t>
      </w:r>
      <w:r w:rsidRPr="00A75094">
        <w:t xml:space="preserve"> L., Cooper</w:t>
      </w:r>
      <w:r w:rsidR="00A654BD" w:rsidRPr="00A75094">
        <w:t>, S</w:t>
      </w:r>
      <w:r w:rsidRPr="00A75094">
        <w:t>-A. &amp; Hughes-McCormack</w:t>
      </w:r>
      <w:r w:rsidR="00A654BD" w:rsidRPr="00A75094">
        <w:t>,</w:t>
      </w:r>
      <w:r w:rsidRPr="00A75094">
        <w:t xml:space="preserve"> L. (2018)</w:t>
      </w:r>
      <w:r w:rsidR="00A654BD" w:rsidRPr="00A75094">
        <w:t>.</w:t>
      </w:r>
      <w:r w:rsidRPr="00A75094">
        <w:t xml:space="preserve"> Early death and causes of death of people with intellectual disabilities: A systematic review. Journal </w:t>
      </w:r>
      <w:proofErr w:type="gramStart"/>
      <w:r w:rsidRPr="00A75094">
        <w:t>Of</w:t>
      </w:r>
      <w:proofErr w:type="gramEnd"/>
      <w:r w:rsidRPr="00A75094">
        <w:t xml:space="preserve"> Applied Research In Intellectual Disabilities: JARID, 31, 325-342.</w:t>
      </w:r>
    </w:p>
    <w:p w14:paraId="66A5D2DD" w14:textId="66FE60DB" w:rsidR="00D300B5" w:rsidRPr="00A75094" w:rsidRDefault="00D300B5" w:rsidP="00D300B5">
      <w:pPr>
        <w:spacing w:after="240" w:line="240" w:lineRule="auto"/>
        <w:ind w:left="720" w:hanging="720"/>
        <w:rPr>
          <w:rFonts w:asciiTheme="majorBidi" w:hAnsiTheme="majorBidi" w:cstheme="majorBidi"/>
        </w:rPr>
      </w:pPr>
      <w:r w:rsidRPr="00A75094">
        <w:rPr>
          <w:rFonts w:asciiTheme="majorBidi" w:hAnsiTheme="majorBidi" w:cstheme="majorBidi"/>
          <w:bCs/>
          <w:lang w:val="en"/>
        </w:rPr>
        <w:t>Ouellette-Kuntz, H., Martin, L. &amp; McKenzie, K. (2016)</w:t>
      </w:r>
      <w:r w:rsidR="00A654BD" w:rsidRPr="00A75094">
        <w:rPr>
          <w:rFonts w:asciiTheme="majorBidi" w:hAnsiTheme="majorBidi" w:cstheme="majorBidi"/>
          <w:bCs/>
          <w:lang w:val="en"/>
        </w:rPr>
        <w:t xml:space="preserve">. </w:t>
      </w:r>
      <w:r w:rsidRPr="00A75094">
        <w:rPr>
          <w:rFonts w:asciiTheme="majorBidi" w:hAnsiTheme="majorBidi" w:cstheme="majorBidi"/>
          <w:lang w:val="en"/>
        </w:rPr>
        <w:t>Population Aging and Intellectual and Developmental Disabilities: Projections for Canada. Journal of Policy &amp; Practice in Intellectual Disability, 13(4), 254-260.</w:t>
      </w:r>
    </w:p>
    <w:p w14:paraId="02974AE5" w14:textId="77777777" w:rsidR="00D300B5" w:rsidRPr="00A75094" w:rsidRDefault="00D300B5" w:rsidP="00D300B5">
      <w:pPr>
        <w:spacing w:after="240" w:line="240" w:lineRule="auto"/>
        <w:ind w:left="720" w:hanging="720"/>
      </w:pPr>
      <w:r w:rsidRPr="00A75094">
        <w:t xml:space="preserve">Perry, J., </w:t>
      </w:r>
      <w:proofErr w:type="spellStart"/>
      <w:r w:rsidRPr="00A75094">
        <w:t>Felce</w:t>
      </w:r>
      <w:proofErr w:type="spellEnd"/>
      <w:r w:rsidRPr="00A75094">
        <w:t xml:space="preserve">, D., Kerr, M., Bartley, S., Tomlinson, J., &amp; </w:t>
      </w:r>
      <w:proofErr w:type="spellStart"/>
      <w:r w:rsidRPr="00A75094">
        <w:t>Felce</w:t>
      </w:r>
      <w:proofErr w:type="spellEnd"/>
      <w:r w:rsidRPr="00A75094">
        <w:t>, J. (2014). Contact with primary care: the experience of people with intellectual disabilities. Journal of Applied Research in Intellectual Disabilities, 27(3), 200-211.</w:t>
      </w:r>
    </w:p>
    <w:p w14:paraId="0120E82B" w14:textId="77777777" w:rsidR="00D300B5" w:rsidRPr="00A75094" w:rsidRDefault="00D300B5" w:rsidP="00D300B5">
      <w:pPr>
        <w:spacing w:after="240" w:line="240" w:lineRule="auto"/>
        <w:ind w:left="720" w:hanging="720"/>
      </w:pPr>
      <w:r w:rsidRPr="00A75094">
        <w:t xml:space="preserve">Popescu, G. H., &amp; </w:t>
      </w:r>
      <w:proofErr w:type="spellStart"/>
      <w:r w:rsidRPr="00A75094">
        <w:t>Predescu</w:t>
      </w:r>
      <w:proofErr w:type="spellEnd"/>
      <w:r w:rsidRPr="00A75094">
        <w:t>, V. (2016). The role of leadership in public health. American Journal of Medical Research, 3(1), 273-279.</w:t>
      </w:r>
    </w:p>
    <w:p w14:paraId="19843678" w14:textId="067F8131" w:rsidR="00FF0FC8" w:rsidRPr="00A75094" w:rsidRDefault="00FF0FC8" w:rsidP="00FF0FC8">
      <w:pPr>
        <w:spacing w:after="240" w:line="240" w:lineRule="auto"/>
        <w:ind w:left="720" w:hanging="720"/>
      </w:pPr>
      <w:r w:rsidRPr="00A75094">
        <w:t>Robertson</w:t>
      </w:r>
      <w:r w:rsidR="00A654BD" w:rsidRPr="00A75094">
        <w:t>,</w:t>
      </w:r>
      <w:r w:rsidRPr="00A75094">
        <w:t xml:space="preserve"> J., Hatton</w:t>
      </w:r>
      <w:r w:rsidR="00A654BD" w:rsidRPr="00A75094">
        <w:t>,</w:t>
      </w:r>
      <w:r w:rsidRPr="00A75094">
        <w:t xml:space="preserve"> C., Emerson</w:t>
      </w:r>
      <w:r w:rsidR="00A654BD" w:rsidRPr="00A75094">
        <w:t>,</w:t>
      </w:r>
      <w:r w:rsidRPr="00A75094">
        <w:t xml:space="preserve"> E. &amp; Baines</w:t>
      </w:r>
      <w:r w:rsidR="00A654BD" w:rsidRPr="00A75094">
        <w:t>,</w:t>
      </w:r>
      <w:r w:rsidRPr="00A75094">
        <w:t xml:space="preserve"> S. (2015)</w:t>
      </w:r>
      <w:r w:rsidR="00A654BD" w:rsidRPr="00A75094">
        <w:t xml:space="preserve">. </w:t>
      </w:r>
      <w:r w:rsidRPr="00A75094">
        <w:t xml:space="preserve"> Prevalence of epilepsy among people with intellectual disabilities: A systematic review. Seizure: European Journal of Epilepsy, 29, 46-62.</w:t>
      </w:r>
    </w:p>
    <w:p w14:paraId="7508F89C" w14:textId="2FEB9210" w:rsidR="00FF0FC8" w:rsidRPr="00A75094" w:rsidRDefault="00FF0FC8" w:rsidP="00FF0FC8">
      <w:pPr>
        <w:spacing w:after="240" w:line="240" w:lineRule="auto"/>
        <w:ind w:left="720" w:hanging="720"/>
      </w:pPr>
      <w:r w:rsidRPr="00A75094">
        <w:t>Robertson, J. &amp; Hatton, C. (2019)</w:t>
      </w:r>
      <w:r w:rsidR="00A654BD" w:rsidRPr="00A75094">
        <w:t>.</w:t>
      </w:r>
      <w:r w:rsidRPr="00A75094">
        <w:t xml:space="preserve"> Gender and premature death patter</w:t>
      </w:r>
      <w:r w:rsidR="00A654BD" w:rsidRPr="00A75094">
        <w:t>n</w:t>
      </w:r>
      <w:r w:rsidRPr="00A75094">
        <w:t xml:space="preserve">s in intellectual disabilities. A Review of Evidence. </w:t>
      </w:r>
      <w:r w:rsidR="00A654BD" w:rsidRPr="00A75094">
        <w:t>Lancaster: Centre for Disability Research</w:t>
      </w:r>
      <w:r w:rsidRPr="00A75094">
        <w:t xml:space="preserve">. </w:t>
      </w:r>
    </w:p>
    <w:p w14:paraId="666984B8" w14:textId="29D89420" w:rsidR="00FF0FC8" w:rsidRPr="00A75094" w:rsidRDefault="00FF0FC8" w:rsidP="00FF0FC8">
      <w:pPr>
        <w:spacing w:after="240" w:line="240" w:lineRule="auto"/>
        <w:ind w:left="720" w:hanging="720"/>
      </w:pPr>
      <w:proofErr w:type="spellStart"/>
      <w:r w:rsidRPr="00A75094">
        <w:t>Stankiewicz</w:t>
      </w:r>
      <w:proofErr w:type="spellEnd"/>
      <w:r w:rsidR="00A654BD" w:rsidRPr="00A75094">
        <w:t>,</w:t>
      </w:r>
      <w:r w:rsidRPr="00A75094">
        <w:t xml:space="preserve"> E., Ouellette-Kuntz</w:t>
      </w:r>
      <w:r w:rsidR="00A654BD" w:rsidRPr="00A75094">
        <w:t>,</w:t>
      </w:r>
      <w:r w:rsidRPr="00A75094">
        <w:t xml:space="preserve"> H., McIsaac</w:t>
      </w:r>
      <w:r w:rsidR="00A654BD" w:rsidRPr="00A75094">
        <w:t>,</w:t>
      </w:r>
      <w:r w:rsidRPr="00A75094">
        <w:t xml:space="preserve"> M., </w:t>
      </w:r>
      <w:proofErr w:type="spellStart"/>
      <w:r w:rsidRPr="00A75094">
        <w:t>Shooshtari</w:t>
      </w:r>
      <w:proofErr w:type="spellEnd"/>
      <w:r w:rsidR="00A654BD" w:rsidRPr="00A75094">
        <w:t>,</w:t>
      </w:r>
      <w:r w:rsidRPr="00A75094">
        <w:t xml:space="preserve"> S. &amp; Balogh</w:t>
      </w:r>
      <w:r w:rsidR="00A654BD" w:rsidRPr="00A75094">
        <w:t xml:space="preserve">, R. (2018). </w:t>
      </w:r>
      <w:r w:rsidRPr="00A75094">
        <w:t>Patterns of mortality among adults with intellectual and developmental disabilities in Ontario. Canadian Journal of Public Health.</w:t>
      </w:r>
      <w:r w:rsidR="00452788" w:rsidRPr="00A75094">
        <w:t xml:space="preserve"> 109(5-6), 866-872.</w:t>
      </w:r>
    </w:p>
    <w:p w14:paraId="307FF7FB" w14:textId="0901D52E" w:rsidR="00FF0FC8" w:rsidRPr="00A75094" w:rsidRDefault="00FF0FC8" w:rsidP="00FF0FC8">
      <w:pPr>
        <w:spacing w:after="240" w:line="240" w:lineRule="auto"/>
        <w:ind w:left="720" w:hanging="720"/>
      </w:pPr>
      <w:r w:rsidRPr="00A75094">
        <w:t>Strydom</w:t>
      </w:r>
      <w:r w:rsidR="00A654BD" w:rsidRPr="00A75094">
        <w:t>,</w:t>
      </w:r>
      <w:r w:rsidRPr="00A75094">
        <w:t xml:space="preserve"> A., Hassiotis</w:t>
      </w:r>
      <w:r w:rsidR="00A654BD" w:rsidRPr="00A75094">
        <w:t>,</w:t>
      </w:r>
      <w:r w:rsidRPr="00A75094">
        <w:t xml:space="preserve"> A., King</w:t>
      </w:r>
      <w:r w:rsidR="00A654BD" w:rsidRPr="00A75094">
        <w:t>,</w:t>
      </w:r>
      <w:r w:rsidRPr="00A75094">
        <w:t xml:space="preserve"> M. &amp; Livingston</w:t>
      </w:r>
      <w:r w:rsidR="00A654BD" w:rsidRPr="00A75094">
        <w:t>,</w:t>
      </w:r>
      <w:r w:rsidRPr="00A75094">
        <w:t xml:space="preserve"> G. (2009)</w:t>
      </w:r>
      <w:r w:rsidR="00A654BD" w:rsidRPr="00A75094">
        <w:t>.</w:t>
      </w:r>
      <w:r w:rsidRPr="00A75094">
        <w:t xml:space="preserve"> The relationship of dementia prevalence in older adults with intellectual disability (ID) to age and severity of ID. Psychological Medicine, 39, 13-21</w:t>
      </w:r>
    </w:p>
    <w:p w14:paraId="57F429A6" w14:textId="5B804DAD" w:rsidR="0052489A" w:rsidRPr="00A75094" w:rsidRDefault="00594270" w:rsidP="00DD13CE">
      <w:pPr>
        <w:spacing w:after="240" w:line="240" w:lineRule="auto"/>
        <w:ind w:left="720" w:hanging="720"/>
      </w:pPr>
      <w:proofErr w:type="spellStart"/>
      <w:r w:rsidRPr="00A75094">
        <w:t>Shogren</w:t>
      </w:r>
      <w:proofErr w:type="spellEnd"/>
      <w:r w:rsidRPr="00A75094">
        <w:t>, K.A., Burke, K.M.</w:t>
      </w:r>
      <w:r w:rsidR="00833A14" w:rsidRPr="00A75094">
        <w:t xml:space="preserve"> &amp; </w:t>
      </w:r>
      <w:proofErr w:type="spellStart"/>
      <w:r w:rsidRPr="00A75094">
        <w:t>Antosh</w:t>
      </w:r>
      <w:proofErr w:type="spellEnd"/>
      <w:r w:rsidRPr="00A75094">
        <w:t>,</w:t>
      </w:r>
      <w:r w:rsidR="00833A14" w:rsidRPr="00A75094">
        <w:t xml:space="preserve"> </w:t>
      </w:r>
      <w:r w:rsidRPr="00A75094">
        <w:t>A.A. (2018)</w:t>
      </w:r>
      <w:r w:rsidR="00A654BD" w:rsidRPr="00A75094">
        <w:t>.</w:t>
      </w:r>
      <w:r w:rsidRPr="00A75094">
        <w:t xml:space="preserve"> Impact of the self-determined learning model of instruction on self-determination and goal attainment in adolescents with intellectual disability. Journal of Disability Policy </w:t>
      </w:r>
      <w:proofErr w:type="gramStart"/>
      <w:r w:rsidRPr="00A75094">
        <w:t>Studies</w:t>
      </w:r>
      <w:r w:rsidR="00833A14" w:rsidRPr="00A75094">
        <w:t xml:space="preserve">, </w:t>
      </w:r>
      <w:r w:rsidRPr="00A75094">
        <w:t xml:space="preserve"> </w:t>
      </w:r>
      <w:r w:rsidR="00833A14" w:rsidRPr="00A75094">
        <w:t>30</w:t>
      </w:r>
      <w:proofErr w:type="gramEnd"/>
      <w:r w:rsidR="00833A14" w:rsidRPr="00A75094">
        <w:t>(1), 22-34.</w:t>
      </w:r>
    </w:p>
    <w:p w14:paraId="46DD0388" w14:textId="438CA43E" w:rsidR="0013680A" w:rsidRPr="00A75094" w:rsidRDefault="0013680A" w:rsidP="00DD13CE">
      <w:pPr>
        <w:spacing w:after="240" w:line="240" w:lineRule="auto"/>
        <w:ind w:left="720" w:hanging="720"/>
      </w:pPr>
      <w:r w:rsidRPr="00A75094">
        <w:lastRenderedPageBreak/>
        <w:t>Taggart, L. &amp; Cousins, W. (2014</w:t>
      </w:r>
      <w:r w:rsidR="00833A14" w:rsidRPr="00A75094">
        <w:t>)</w:t>
      </w:r>
      <w:r w:rsidR="00A654BD" w:rsidRPr="00A75094">
        <w:t>.</w:t>
      </w:r>
      <w:r w:rsidR="00833A14" w:rsidRPr="00A75094">
        <w:t xml:space="preserve"> Health Promotion for People with Intellectual a</w:t>
      </w:r>
      <w:r w:rsidRPr="00A75094">
        <w:t xml:space="preserve">nd Developmental Disabilities. Milton Keynes: Open University. </w:t>
      </w:r>
    </w:p>
    <w:p w14:paraId="0E9BEB19" w14:textId="77777777" w:rsidR="00C94E61" w:rsidRPr="00A75094" w:rsidRDefault="0013680A" w:rsidP="00DD13CE">
      <w:pPr>
        <w:spacing w:after="240" w:line="240" w:lineRule="auto"/>
        <w:ind w:left="720" w:hanging="720"/>
      </w:pPr>
      <w:r w:rsidRPr="00A75094">
        <w:t xml:space="preserve">Tomlinson, M., </w:t>
      </w:r>
      <w:proofErr w:type="spellStart"/>
      <w:r w:rsidRPr="00A75094">
        <w:t>Yasamy</w:t>
      </w:r>
      <w:proofErr w:type="spellEnd"/>
      <w:r w:rsidRPr="00A75094">
        <w:t>, M. T., Emerson, E., Officer, A., Richler, D., &amp; Saxena, S. (2014). Setting global research priorities for developmental disabilities, including intellectual disabilities and autism. Journal of Intellectual Disability Research, 58(12), 1121-113</w:t>
      </w:r>
      <w:r w:rsidR="00C94E61" w:rsidRPr="00A75094">
        <w:t xml:space="preserve">.  </w:t>
      </w:r>
    </w:p>
    <w:p w14:paraId="43C0F195" w14:textId="212852F7" w:rsidR="000A1D82" w:rsidRPr="00A75094" w:rsidRDefault="000A1D82" w:rsidP="00DD13CE">
      <w:pPr>
        <w:spacing w:after="240" w:line="240" w:lineRule="auto"/>
        <w:ind w:left="720" w:hanging="720"/>
      </w:pPr>
      <w:proofErr w:type="spellStart"/>
      <w:r w:rsidRPr="00A75094">
        <w:rPr>
          <w:lang w:val="en-US"/>
        </w:rPr>
        <w:t>Trollor</w:t>
      </w:r>
      <w:proofErr w:type="spellEnd"/>
      <w:r w:rsidRPr="00A75094">
        <w:rPr>
          <w:lang w:val="en-US"/>
        </w:rPr>
        <w:t xml:space="preserve">, J., </w:t>
      </w:r>
      <w:proofErr w:type="spellStart"/>
      <w:r w:rsidRPr="00A75094">
        <w:rPr>
          <w:lang w:val="en-US"/>
        </w:rPr>
        <w:t>Srasuebkul</w:t>
      </w:r>
      <w:proofErr w:type="spellEnd"/>
      <w:r w:rsidRPr="00A75094">
        <w:rPr>
          <w:lang w:val="en-US"/>
        </w:rPr>
        <w:t>, P., Xu, H.</w:t>
      </w:r>
      <w:r w:rsidR="00833A14" w:rsidRPr="00A75094">
        <w:rPr>
          <w:lang w:val="en-US"/>
        </w:rPr>
        <w:t xml:space="preserve"> &amp; </w:t>
      </w:r>
      <w:r w:rsidRPr="00A75094">
        <w:rPr>
          <w:lang w:val="en-US"/>
        </w:rPr>
        <w:t xml:space="preserve">Howlett, S. </w:t>
      </w:r>
      <w:r w:rsidR="00833A14" w:rsidRPr="00A75094">
        <w:rPr>
          <w:lang w:val="en-US"/>
        </w:rPr>
        <w:t>(</w:t>
      </w:r>
      <w:r w:rsidRPr="00A75094">
        <w:rPr>
          <w:lang w:val="en-US"/>
        </w:rPr>
        <w:t>2017</w:t>
      </w:r>
      <w:r w:rsidR="00833A14" w:rsidRPr="00A75094">
        <w:rPr>
          <w:lang w:val="en-US"/>
        </w:rPr>
        <w:t>)</w:t>
      </w:r>
      <w:r w:rsidRPr="00A75094">
        <w:rPr>
          <w:lang w:val="en-US"/>
        </w:rPr>
        <w:t>. Cause of death and potentially</w:t>
      </w:r>
      <w:r w:rsidR="00C94E61" w:rsidRPr="00A75094">
        <w:rPr>
          <w:lang w:val="en-US"/>
        </w:rPr>
        <w:t xml:space="preserve"> </w:t>
      </w:r>
      <w:r w:rsidRPr="00A75094">
        <w:rPr>
          <w:lang w:val="en-US"/>
        </w:rPr>
        <w:t>avoidable deaths in Australian adults with intellectual disability using retrospective</w:t>
      </w:r>
      <w:r w:rsidR="00C94E61" w:rsidRPr="00A75094">
        <w:rPr>
          <w:lang w:val="en-US"/>
        </w:rPr>
        <w:t xml:space="preserve"> </w:t>
      </w:r>
      <w:r w:rsidRPr="00A75094">
        <w:rPr>
          <w:lang w:val="en-US"/>
        </w:rPr>
        <w:t>linked data. BMJ Open 7</w:t>
      </w:r>
      <w:r w:rsidR="00833A14" w:rsidRPr="00A75094">
        <w:rPr>
          <w:lang w:val="en-US"/>
        </w:rPr>
        <w:t xml:space="preserve"> (1)</w:t>
      </w:r>
      <w:r w:rsidRPr="00A75094">
        <w:rPr>
          <w:lang w:val="en-US"/>
        </w:rPr>
        <w:t xml:space="preserve">, e013489. </w:t>
      </w:r>
      <w:r w:rsidR="00C94E61" w:rsidRPr="00A75094">
        <w:rPr>
          <w:lang w:val="en-US"/>
        </w:rPr>
        <w:t xml:space="preserve"> </w:t>
      </w:r>
    </w:p>
    <w:p w14:paraId="6F4D3C34" w14:textId="1DFD039A" w:rsidR="0013680A" w:rsidRPr="00A75094" w:rsidRDefault="0013680A" w:rsidP="00DD13CE">
      <w:pPr>
        <w:spacing w:after="240" w:line="240" w:lineRule="auto"/>
        <w:ind w:left="720" w:hanging="720"/>
      </w:pPr>
      <w:r w:rsidRPr="00A75094">
        <w:t>United Nations (2018) https://www.un.org/sustainabledevelopment/ (Last accessed 1</w:t>
      </w:r>
      <w:r w:rsidR="00833A14" w:rsidRPr="00A75094">
        <w:t>5</w:t>
      </w:r>
      <w:r w:rsidRPr="00A75094">
        <w:t xml:space="preserve"> </w:t>
      </w:r>
      <w:r w:rsidR="00833A14" w:rsidRPr="00A75094">
        <w:t>August</w:t>
      </w:r>
      <w:r w:rsidRPr="00A75094">
        <w:t>, 2018)</w:t>
      </w:r>
    </w:p>
    <w:p w14:paraId="010B9693" w14:textId="77777777" w:rsidR="0013680A" w:rsidRPr="00A75094" w:rsidRDefault="0013680A" w:rsidP="00DD13CE">
      <w:pPr>
        <w:spacing w:after="240" w:line="240" w:lineRule="auto"/>
        <w:ind w:left="720" w:hanging="720"/>
      </w:pPr>
      <w:r w:rsidRPr="00A75094">
        <w:t>World Health Organisation (2008</w:t>
      </w:r>
      <w:proofErr w:type="gramStart"/>
      <w:r w:rsidRPr="00A75094">
        <w:t>)  Closing</w:t>
      </w:r>
      <w:proofErr w:type="gramEnd"/>
      <w:r w:rsidRPr="00A75094">
        <w:t xml:space="preserve"> the Gap in a Generation: Health Equity through Action on the Social Determinants of Health:  Final Report of the Commission on Social Determinants of Health.  Geneva: WHO.</w:t>
      </w:r>
    </w:p>
    <w:p w14:paraId="349C264C" w14:textId="10868079" w:rsidR="0013680A" w:rsidRPr="00A75094" w:rsidRDefault="0013680A" w:rsidP="00DD13CE">
      <w:pPr>
        <w:spacing w:after="240" w:line="240" w:lineRule="auto"/>
        <w:ind w:left="720" w:hanging="720"/>
      </w:pPr>
      <w:r w:rsidRPr="00A75094">
        <w:t xml:space="preserve">World Health Organisation. (2011). World report on disability.  Geneva: WHO.   </w:t>
      </w:r>
    </w:p>
    <w:p w14:paraId="12FB4FE4" w14:textId="3BF26E68" w:rsidR="00F30B8D" w:rsidRPr="00A75094" w:rsidRDefault="00F30B8D">
      <w:pPr>
        <w:spacing w:line="240" w:lineRule="auto"/>
      </w:pPr>
      <w:r w:rsidRPr="00A75094">
        <w:br w:type="page"/>
      </w:r>
    </w:p>
    <w:p w14:paraId="5E82622C" w14:textId="77777777" w:rsidR="00F30B8D" w:rsidRPr="00A75094" w:rsidRDefault="00F30B8D" w:rsidP="0013680A">
      <w:pPr>
        <w:spacing w:after="120" w:line="240" w:lineRule="auto"/>
        <w:ind w:left="720" w:hanging="720"/>
      </w:pPr>
    </w:p>
    <w:p w14:paraId="49427E99" w14:textId="77777777" w:rsidR="00F30B8D" w:rsidRPr="00A75094" w:rsidRDefault="00F30B8D" w:rsidP="0013680A">
      <w:pPr>
        <w:spacing w:after="120" w:line="240" w:lineRule="auto"/>
        <w:ind w:left="720" w:hanging="720"/>
        <w:rPr>
          <w:noProof/>
        </w:rPr>
      </w:pPr>
    </w:p>
    <w:p w14:paraId="6576017B" w14:textId="5F7D391A" w:rsidR="0013680A" w:rsidRPr="00A75094" w:rsidRDefault="00F30B8D" w:rsidP="00DD13CE">
      <w:pPr>
        <w:spacing w:after="120" w:line="240" w:lineRule="auto"/>
        <w:ind w:left="720" w:hanging="720"/>
        <w:jc w:val="center"/>
      </w:pPr>
      <w:r w:rsidRPr="00A75094">
        <w:rPr>
          <w:noProof/>
        </w:rPr>
        <w:drawing>
          <wp:inline distT="0" distB="0" distL="0" distR="0" wp14:anchorId="19322AEE" wp14:editId="43253F82">
            <wp:extent cx="4038600" cy="3035300"/>
            <wp:effectExtent l="0" t="0" r="0" b="0"/>
            <wp:docPr id="1" name="Picture 1" descr="E:\Health Indicators Project\Final reports\Inclusive Health Systems Conceptual Framework Nov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alth Indicators Project\Final reports\Inclusive Health Systems Conceptual Framework Nov 201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121" r="11035"/>
                    <a:stretch/>
                  </pic:blipFill>
                  <pic:spPr bwMode="auto">
                    <a:xfrm>
                      <a:off x="0" y="0"/>
                      <a:ext cx="4039181" cy="3035737"/>
                    </a:xfrm>
                    <a:prstGeom prst="rect">
                      <a:avLst/>
                    </a:prstGeom>
                    <a:noFill/>
                    <a:ln>
                      <a:noFill/>
                    </a:ln>
                    <a:extLst>
                      <a:ext uri="{53640926-AAD7-44D8-BBD7-CCE9431645EC}">
                        <a14:shadowObscured xmlns:a14="http://schemas.microsoft.com/office/drawing/2010/main"/>
                      </a:ext>
                    </a:extLst>
                  </pic:spPr>
                </pic:pic>
              </a:graphicData>
            </a:graphic>
          </wp:inline>
        </w:drawing>
      </w:r>
    </w:p>
    <w:p w14:paraId="62047927" w14:textId="1C331845" w:rsidR="00F30B8D" w:rsidRPr="00A75094" w:rsidRDefault="00F30B8D" w:rsidP="00DD13CE">
      <w:pPr>
        <w:spacing w:after="120" w:line="240" w:lineRule="auto"/>
        <w:ind w:left="720" w:hanging="720"/>
        <w:jc w:val="center"/>
        <w:rPr>
          <w:b/>
        </w:rPr>
      </w:pPr>
      <w:r w:rsidRPr="00A75094">
        <w:rPr>
          <w:b/>
        </w:rPr>
        <w:t>Figure 1: A conceptual model of Inclusive Health Systems</w:t>
      </w:r>
    </w:p>
    <w:p w14:paraId="7B23C926" w14:textId="77777777" w:rsidR="00641387" w:rsidRPr="00A75094" w:rsidRDefault="00641387" w:rsidP="00641387">
      <w:pPr>
        <w:spacing w:line="240" w:lineRule="auto"/>
        <w:jc w:val="center"/>
        <w:rPr>
          <w:b/>
        </w:rPr>
      </w:pPr>
      <w:r w:rsidRPr="00A75094">
        <w:rPr>
          <w:b/>
        </w:rPr>
        <w:br w:type="page"/>
      </w:r>
      <w:r w:rsidRPr="00A75094">
        <w:rPr>
          <w:b/>
        </w:rPr>
        <w:lastRenderedPageBreak/>
        <w:t>Table 1: Characteristics of the respondents who responded completely</w:t>
      </w:r>
    </w:p>
    <w:p w14:paraId="26E8A9E5" w14:textId="337557A4" w:rsidR="00641387" w:rsidRPr="00A75094" w:rsidRDefault="00641387" w:rsidP="00641387">
      <w:pPr>
        <w:spacing w:after="120" w:line="240" w:lineRule="auto"/>
        <w:jc w:val="center"/>
        <w:rPr>
          <w:i/>
        </w:rPr>
      </w:pPr>
      <w:r w:rsidRPr="00A75094">
        <w:rPr>
          <w:i/>
        </w:rPr>
        <w:t>(N=61: Note - Missing information is</w:t>
      </w:r>
      <w:r w:rsidR="007A34C8" w:rsidRPr="00A75094">
        <w:rPr>
          <w:i/>
        </w:rPr>
        <w:t xml:space="preserve"> omitted in calculating </w:t>
      </w:r>
      <w:r w:rsidRPr="00A75094">
        <w:rPr>
          <w:i/>
        </w:rPr>
        <w:t>percentage</w:t>
      </w:r>
      <w:r w:rsidR="007A34C8" w:rsidRPr="00A75094">
        <w:rPr>
          <w:i/>
        </w:rPr>
        <w:t>s.</w:t>
      </w:r>
      <w:r w:rsidRPr="00A75094">
        <w:rPr>
          <w:i/>
        </w:rPr>
        <w:t>)</w:t>
      </w:r>
    </w:p>
    <w:tbl>
      <w:tblPr>
        <w:tblStyle w:val="PlainTable5"/>
        <w:tblW w:w="0" w:type="auto"/>
        <w:jc w:val="center"/>
        <w:tblLook w:val="04A0" w:firstRow="1" w:lastRow="0" w:firstColumn="1" w:lastColumn="0" w:noHBand="0" w:noVBand="1"/>
      </w:tblPr>
      <w:tblGrid>
        <w:gridCol w:w="3256"/>
        <w:gridCol w:w="1984"/>
        <w:gridCol w:w="1418"/>
        <w:gridCol w:w="1559"/>
      </w:tblGrid>
      <w:tr w:rsidR="00A75094" w:rsidRPr="00A75094" w14:paraId="30A71D3B" w14:textId="77777777" w:rsidTr="00111CD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56" w:type="dxa"/>
          </w:tcPr>
          <w:p w14:paraId="46CA9008" w14:textId="77777777" w:rsidR="00641387" w:rsidRPr="00A75094" w:rsidRDefault="00641387" w:rsidP="00111CD3">
            <w:pPr>
              <w:spacing w:before="60" w:after="60" w:line="240" w:lineRule="auto"/>
              <w:rPr>
                <w:rFonts w:ascii="Times New Roman" w:hAnsi="Times New Roman" w:cs="Times New Roman"/>
                <w:sz w:val="22"/>
                <w:szCs w:val="22"/>
              </w:rPr>
            </w:pPr>
          </w:p>
        </w:tc>
        <w:tc>
          <w:tcPr>
            <w:tcW w:w="1984" w:type="dxa"/>
          </w:tcPr>
          <w:p w14:paraId="64045494" w14:textId="77777777" w:rsidR="00641387" w:rsidRPr="00A75094" w:rsidRDefault="00641387" w:rsidP="00111CD3">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418" w:type="dxa"/>
          </w:tcPr>
          <w:p w14:paraId="152D8B28" w14:textId="77777777" w:rsidR="00641387" w:rsidRPr="00A75094" w:rsidRDefault="00641387" w:rsidP="00111CD3">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75094">
              <w:rPr>
                <w:rFonts w:ascii="Times New Roman" w:hAnsi="Times New Roman" w:cs="Times New Roman"/>
                <w:b/>
                <w:sz w:val="22"/>
                <w:szCs w:val="22"/>
              </w:rPr>
              <w:t>Number</w:t>
            </w:r>
          </w:p>
        </w:tc>
        <w:tc>
          <w:tcPr>
            <w:tcW w:w="1559" w:type="dxa"/>
          </w:tcPr>
          <w:p w14:paraId="0F404BC2" w14:textId="77777777" w:rsidR="00641387" w:rsidRPr="00A75094" w:rsidRDefault="00641387" w:rsidP="00111CD3">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A75094">
              <w:rPr>
                <w:rFonts w:ascii="Times New Roman" w:hAnsi="Times New Roman" w:cs="Times New Roman"/>
                <w:b/>
                <w:sz w:val="22"/>
                <w:szCs w:val="22"/>
              </w:rPr>
              <w:t>%</w:t>
            </w:r>
          </w:p>
        </w:tc>
      </w:tr>
      <w:tr w:rsidR="00A75094" w:rsidRPr="00A75094" w14:paraId="02E368A9"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16192C6A"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 xml:space="preserve">Recruited through </w:t>
            </w:r>
          </w:p>
        </w:tc>
        <w:tc>
          <w:tcPr>
            <w:tcW w:w="1984" w:type="dxa"/>
          </w:tcPr>
          <w:p w14:paraId="5EC99906"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 xml:space="preserve">Special Olympics     </w:t>
            </w:r>
          </w:p>
        </w:tc>
        <w:tc>
          <w:tcPr>
            <w:tcW w:w="1418" w:type="dxa"/>
          </w:tcPr>
          <w:p w14:paraId="7700760F"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34</w:t>
            </w:r>
          </w:p>
        </w:tc>
        <w:tc>
          <w:tcPr>
            <w:tcW w:w="1559" w:type="dxa"/>
          </w:tcPr>
          <w:p w14:paraId="67BE1974"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57%</w:t>
            </w:r>
          </w:p>
        </w:tc>
      </w:tr>
      <w:tr w:rsidR="00A75094" w:rsidRPr="00A75094" w14:paraId="5B8BD43E"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932D5FC" w14:textId="77777777" w:rsidR="00641387" w:rsidRPr="00A75094" w:rsidRDefault="00641387" w:rsidP="00111CD3">
            <w:pPr>
              <w:spacing w:before="60" w:after="60" w:line="240" w:lineRule="auto"/>
              <w:rPr>
                <w:rFonts w:ascii="Times New Roman" w:hAnsi="Times New Roman" w:cs="Times New Roman"/>
                <w:b/>
                <w:sz w:val="22"/>
                <w:szCs w:val="22"/>
              </w:rPr>
            </w:pPr>
          </w:p>
        </w:tc>
        <w:tc>
          <w:tcPr>
            <w:tcW w:w="1984" w:type="dxa"/>
          </w:tcPr>
          <w:p w14:paraId="5E482666" w14:textId="662336E1"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IASS</w:t>
            </w:r>
            <w:r w:rsidR="00126922" w:rsidRPr="00A75094">
              <w:rPr>
                <w:sz w:val="22"/>
                <w:szCs w:val="22"/>
              </w:rPr>
              <w:t>I</w:t>
            </w:r>
            <w:r w:rsidR="00B26602" w:rsidRPr="00A75094">
              <w:rPr>
                <w:sz w:val="22"/>
                <w:szCs w:val="22"/>
              </w:rPr>
              <w:t>D</w:t>
            </w:r>
            <w:r w:rsidR="00126922" w:rsidRPr="00A75094">
              <w:rPr>
                <w:sz w:val="22"/>
                <w:szCs w:val="22"/>
              </w:rPr>
              <w:t>D</w:t>
            </w:r>
            <w:r w:rsidRPr="00A75094">
              <w:rPr>
                <w:sz w:val="22"/>
                <w:szCs w:val="22"/>
              </w:rPr>
              <w:t xml:space="preserve">  </w:t>
            </w:r>
            <w:r w:rsidRPr="00A75094">
              <w:rPr>
                <w:sz w:val="22"/>
                <w:szCs w:val="22"/>
              </w:rPr>
              <w:tab/>
              <w:t xml:space="preserve">         </w:t>
            </w:r>
          </w:p>
        </w:tc>
        <w:tc>
          <w:tcPr>
            <w:tcW w:w="1418" w:type="dxa"/>
          </w:tcPr>
          <w:p w14:paraId="10F5FF95"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12</w:t>
            </w:r>
          </w:p>
        </w:tc>
        <w:tc>
          <w:tcPr>
            <w:tcW w:w="1559" w:type="dxa"/>
          </w:tcPr>
          <w:p w14:paraId="485AB984"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20%</w:t>
            </w:r>
          </w:p>
        </w:tc>
      </w:tr>
      <w:tr w:rsidR="00A75094" w:rsidRPr="00A75094" w14:paraId="3AF40032"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1E5A3FD1" w14:textId="77777777" w:rsidR="00641387" w:rsidRPr="00A75094" w:rsidRDefault="00641387" w:rsidP="00111CD3">
            <w:pPr>
              <w:spacing w:before="60" w:after="60" w:line="240" w:lineRule="auto"/>
              <w:rPr>
                <w:rFonts w:ascii="Times New Roman" w:hAnsi="Times New Roman" w:cs="Times New Roman"/>
                <w:b/>
                <w:sz w:val="22"/>
                <w:szCs w:val="22"/>
              </w:rPr>
            </w:pPr>
          </w:p>
        </w:tc>
        <w:tc>
          <w:tcPr>
            <w:tcW w:w="1984" w:type="dxa"/>
          </w:tcPr>
          <w:p w14:paraId="074F00FB"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AADMD</w:t>
            </w:r>
          </w:p>
        </w:tc>
        <w:tc>
          <w:tcPr>
            <w:tcW w:w="1418" w:type="dxa"/>
          </w:tcPr>
          <w:p w14:paraId="7CE55EAB"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13</w:t>
            </w:r>
          </w:p>
        </w:tc>
        <w:tc>
          <w:tcPr>
            <w:tcW w:w="1559" w:type="dxa"/>
          </w:tcPr>
          <w:p w14:paraId="066DBCE3"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22%</w:t>
            </w:r>
          </w:p>
        </w:tc>
      </w:tr>
      <w:tr w:rsidR="00A75094" w:rsidRPr="00A75094" w14:paraId="5EFD85CB"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DB84CB0"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 xml:space="preserve">Health professional           </w:t>
            </w:r>
          </w:p>
        </w:tc>
        <w:tc>
          <w:tcPr>
            <w:tcW w:w="1984" w:type="dxa"/>
          </w:tcPr>
          <w:p w14:paraId="6262E390"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Yes</w:t>
            </w:r>
          </w:p>
        </w:tc>
        <w:tc>
          <w:tcPr>
            <w:tcW w:w="1418" w:type="dxa"/>
          </w:tcPr>
          <w:p w14:paraId="06C0ED2C"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43</w:t>
            </w:r>
          </w:p>
        </w:tc>
        <w:tc>
          <w:tcPr>
            <w:tcW w:w="1559" w:type="dxa"/>
          </w:tcPr>
          <w:p w14:paraId="32576D01"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73%</w:t>
            </w:r>
          </w:p>
        </w:tc>
      </w:tr>
      <w:tr w:rsidR="00A75094" w:rsidRPr="00A75094" w14:paraId="20874961"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F02B30F"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ab/>
            </w:r>
            <w:r w:rsidRPr="00A75094">
              <w:rPr>
                <w:rFonts w:ascii="Times New Roman" w:hAnsi="Times New Roman" w:cs="Times New Roman"/>
                <w:b/>
                <w:sz w:val="22"/>
                <w:szCs w:val="22"/>
              </w:rPr>
              <w:tab/>
            </w:r>
            <w:r w:rsidRPr="00A75094">
              <w:rPr>
                <w:rFonts w:ascii="Times New Roman" w:hAnsi="Times New Roman" w:cs="Times New Roman"/>
                <w:b/>
                <w:sz w:val="22"/>
                <w:szCs w:val="22"/>
              </w:rPr>
              <w:tab/>
              <w:t xml:space="preserve">     </w:t>
            </w:r>
          </w:p>
        </w:tc>
        <w:tc>
          <w:tcPr>
            <w:tcW w:w="1984" w:type="dxa"/>
          </w:tcPr>
          <w:p w14:paraId="659C1905"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No</w:t>
            </w:r>
          </w:p>
        </w:tc>
        <w:tc>
          <w:tcPr>
            <w:tcW w:w="1418" w:type="dxa"/>
          </w:tcPr>
          <w:p w14:paraId="3078B51A"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16</w:t>
            </w:r>
          </w:p>
        </w:tc>
        <w:tc>
          <w:tcPr>
            <w:tcW w:w="1559" w:type="dxa"/>
          </w:tcPr>
          <w:p w14:paraId="21C86995"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27%</w:t>
            </w:r>
          </w:p>
        </w:tc>
      </w:tr>
      <w:tr w:rsidR="00A75094" w:rsidRPr="00A75094" w14:paraId="06B83CCA"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0116D653"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 xml:space="preserve">Special Olympics Involvement    </w:t>
            </w:r>
          </w:p>
        </w:tc>
        <w:tc>
          <w:tcPr>
            <w:tcW w:w="1984" w:type="dxa"/>
          </w:tcPr>
          <w:p w14:paraId="6428D796"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Yes</w:t>
            </w:r>
          </w:p>
        </w:tc>
        <w:tc>
          <w:tcPr>
            <w:tcW w:w="1418" w:type="dxa"/>
          </w:tcPr>
          <w:p w14:paraId="0DE3807F"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40</w:t>
            </w:r>
          </w:p>
        </w:tc>
        <w:tc>
          <w:tcPr>
            <w:tcW w:w="1559" w:type="dxa"/>
          </w:tcPr>
          <w:p w14:paraId="6BC52F66"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69%</w:t>
            </w:r>
          </w:p>
        </w:tc>
      </w:tr>
      <w:tr w:rsidR="00A75094" w:rsidRPr="00A75094" w14:paraId="2F83C8A4"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6500D80A"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ab/>
            </w:r>
            <w:r w:rsidRPr="00A75094">
              <w:rPr>
                <w:rFonts w:ascii="Times New Roman" w:hAnsi="Times New Roman" w:cs="Times New Roman"/>
                <w:b/>
                <w:sz w:val="22"/>
                <w:szCs w:val="22"/>
              </w:rPr>
              <w:tab/>
            </w:r>
            <w:r w:rsidRPr="00A75094">
              <w:rPr>
                <w:rFonts w:ascii="Times New Roman" w:hAnsi="Times New Roman" w:cs="Times New Roman"/>
                <w:b/>
                <w:sz w:val="22"/>
                <w:szCs w:val="22"/>
              </w:rPr>
              <w:tab/>
              <w:t xml:space="preserve">     </w:t>
            </w:r>
          </w:p>
        </w:tc>
        <w:tc>
          <w:tcPr>
            <w:tcW w:w="1984" w:type="dxa"/>
          </w:tcPr>
          <w:p w14:paraId="6C6CDC7C"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No</w:t>
            </w:r>
          </w:p>
        </w:tc>
        <w:tc>
          <w:tcPr>
            <w:tcW w:w="1418" w:type="dxa"/>
          </w:tcPr>
          <w:p w14:paraId="27536D9F"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18</w:t>
            </w:r>
          </w:p>
        </w:tc>
        <w:tc>
          <w:tcPr>
            <w:tcW w:w="1559" w:type="dxa"/>
          </w:tcPr>
          <w:p w14:paraId="46A127E1"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31%</w:t>
            </w:r>
          </w:p>
        </w:tc>
      </w:tr>
      <w:tr w:rsidR="00A75094" w:rsidRPr="00A75094" w14:paraId="3E4321BD"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DB5169D"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Gender</w:t>
            </w:r>
          </w:p>
        </w:tc>
        <w:tc>
          <w:tcPr>
            <w:tcW w:w="1984" w:type="dxa"/>
          </w:tcPr>
          <w:p w14:paraId="57317979"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 xml:space="preserve">Female     </w:t>
            </w:r>
          </w:p>
        </w:tc>
        <w:tc>
          <w:tcPr>
            <w:tcW w:w="1418" w:type="dxa"/>
          </w:tcPr>
          <w:p w14:paraId="200DFB4A"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45</w:t>
            </w:r>
          </w:p>
        </w:tc>
        <w:tc>
          <w:tcPr>
            <w:tcW w:w="1559" w:type="dxa"/>
          </w:tcPr>
          <w:p w14:paraId="536E01AD"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74%</w:t>
            </w:r>
          </w:p>
        </w:tc>
      </w:tr>
      <w:tr w:rsidR="00A75094" w:rsidRPr="00A75094" w14:paraId="66F6735F"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30722BF9" w14:textId="77777777" w:rsidR="00641387" w:rsidRPr="00A75094" w:rsidRDefault="00641387" w:rsidP="00111CD3">
            <w:pPr>
              <w:spacing w:before="60" w:after="60" w:line="240" w:lineRule="auto"/>
              <w:rPr>
                <w:rFonts w:ascii="Times New Roman" w:hAnsi="Times New Roman" w:cs="Times New Roman"/>
                <w:b/>
                <w:sz w:val="22"/>
                <w:szCs w:val="22"/>
              </w:rPr>
            </w:pPr>
          </w:p>
        </w:tc>
        <w:tc>
          <w:tcPr>
            <w:tcW w:w="1984" w:type="dxa"/>
          </w:tcPr>
          <w:p w14:paraId="270DC0E8"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 xml:space="preserve">Male   </w:t>
            </w:r>
          </w:p>
        </w:tc>
        <w:tc>
          <w:tcPr>
            <w:tcW w:w="1418" w:type="dxa"/>
          </w:tcPr>
          <w:p w14:paraId="55AE48C4"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16</w:t>
            </w:r>
          </w:p>
        </w:tc>
        <w:tc>
          <w:tcPr>
            <w:tcW w:w="1559" w:type="dxa"/>
          </w:tcPr>
          <w:p w14:paraId="1A2A61CB"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26%</w:t>
            </w:r>
          </w:p>
        </w:tc>
      </w:tr>
      <w:tr w:rsidR="00A75094" w:rsidRPr="00A75094" w14:paraId="2655F3DE"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17B5006C"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Age Group</w:t>
            </w:r>
          </w:p>
        </w:tc>
        <w:tc>
          <w:tcPr>
            <w:tcW w:w="1984" w:type="dxa"/>
          </w:tcPr>
          <w:p w14:paraId="15DDDAD8"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 xml:space="preserve">20-39     </w:t>
            </w:r>
          </w:p>
        </w:tc>
        <w:tc>
          <w:tcPr>
            <w:tcW w:w="1418" w:type="dxa"/>
          </w:tcPr>
          <w:p w14:paraId="7B215F5D"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20</w:t>
            </w:r>
          </w:p>
        </w:tc>
        <w:tc>
          <w:tcPr>
            <w:tcW w:w="1559" w:type="dxa"/>
          </w:tcPr>
          <w:p w14:paraId="4A547D41"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33%</w:t>
            </w:r>
          </w:p>
        </w:tc>
      </w:tr>
      <w:tr w:rsidR="00A75094" w:rsidRPr="00A75094" w14:paraId="430BA830"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4A79498A" w14:textId="77777777" w:rsidR="00641387" w:rsidRPr="00A75094" w:rsidRDefault="00641387" w:rsidP="00111CD3">
            <w:pPr>
              <w:spacing w:before="60" w:after="60" w:line="240" w:lineRule="auto"/>
              <w:rPr>
                <w:rFonts w:ascii="Times New Roman" w:hAnsi="Times New Roman" w:cs="Times New Roman"/>
                <w:b/>
                <w:sz w:val="22"/>
                <w:szCs w:val="22"/>
              </w:rPr>
            </w:pPr>
          </w:p>
        </w:tc>
        <w:tc>
          <w:tcPr>
            <w:tcW w:w="1984" w:type="dxa"/>
          </w:tcPr>
          <w:p w14:paraId="2A070E52"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 xml:space="preserve">40-59      </w:t>
            </w:r>
          </w:p>
        </w:tc>
        <w:tc>
          <w:tcPr>
            <w:tcW w:w="1418" w:type="dxa"/>
          </w:tcPr>
          <w:p w14:paraId="6BBD3BCC"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26</w:t>
            </w:r>
          </w:p>
        </w:tc>
        <w:tc>
          <w:tcPr>
            <w:tcW w:w="1559" w:type="dxa"/>
          </w:tcPr>
          <w:p w14:paraId="55AC0369"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42%</w:t>
            </w:r>
          </w:p>
        </w:tc>
      </w:tr>
      <w:tr w:rsidR="00A75094" w:rsidRPr="00A75094" w14:paraId="77EB874A"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3140197F" w14:textId="77777777" w:rsidR="00641387" w:rsidRPr="00A75094" w:rsidRDefault="00641387" w:rsidP="00111CD3">
            <w:pPr>
              <w:spacing w:before="60" w:after="60" w:line="240" w:lineRule="auto"/>
              <w:rPr>
                <w:rFonts w:ascii="Times New Roman" w:hAnsi="Times New Roman" w:cs="Times New Roman"/>
                <w:b/>
                <w:sz w:val="22"/>
                <w:szCs w:val="22"/>
              </w:rPr>
            </w:pPr>
          </w:p>
        </w:tc>
        <w:tc>
          <w:tcPr>
            <w:tcW w:w="1984" w:type="dxa"/>
          </w:tcPr>
          <w:p w14:paraId="031EF1BC"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 xml:space="preserve">60+          </w:t>
            </w:r>
          </w:p>
        </w:tc>
        <w:tc>
          <w:tcPr>
            <w:tcW w:w="1418" w:type="dxa"/>
          </w:tcPr>
          <w:p w14:paraId="552C6F8B"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15</w:t>
            </w:r>
          </w:p>
        </w:tc>
        <w:tc>
          <w:tcPr>
            <w:tcW w:w="1559" w:type="dxa"/>
          </w:tcPr>
          <w:p w14:paraId="24C014D2"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25%</w:t>
            </w:r>
          </w:p>
        </w:tc>
      </w:tr>
      <w:tr w:rsidR="00A75094" w:rsidRPr="00A75094" w14:paraId="510C6E28"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1B21B45"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Country</w:t>
            </w:r>
          </w:p>
        </w:tc>
        <w:tc>
          <w:tcPr>
            <w:tcW w:w="1984" w:type="dxa"/>
          </w:tcPr>
          <w:p w14:paraId="48CCE36F"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 xml:space="preserve">High income    </w:t>
            </w:r>
          </w:p>
        </w:tc>
        <w:tc>
          <w:tcPr>
            <w:tcW w:w="1418" w:type="dxa"/>
          </w:tcPr>
          <w:p w14:paraId="773DEA18"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29</w:t>
            </w:r>
          </w:p>
        </w:tc>
        <w:tc>
          <w:tcPr>
            <w:tcW w:w="1559" w:type="dxa"/>
          </w:tcPr>
          <w:p w14:paraId="1D4A9395"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48%</w:t>
            </w:r>
          </w:p>
        </w:tc>
      </w:tr>
      <w:tr w:rsidR="00A75094" w:rsidRPr="00A75094" w14:paraId="5D0C9D23"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4EAC2C1" w14:textId="77777777" w:rsidR="00641387" w:rsidRPr="00A75094" w:rsidRDefault="00641387" w:rsidP="00111CD3">
            <w:pPr>
              <w:spacing w:before="60" w:after="60" w:line="240" w:lineRule="auto"/>
              <w:rPr>
                <w:rFonts w:ascii="Times New Roman" w:hAnsi="Times New Roman" w:cs="Times New Roman"/>
                <w:b/>
                <w:sz w:val="22"/>
                <w:szCs w:val="22"/>
              </w:rPr>
            </w:pPr>
          </w:p>
        </w:tc>
        <w:tc>
          <w:tcPr>
            <w:tcW w:w="1984" w:type="dxa"/>
          </w:tcPr>
          <w:p w14:paraId="1D3E583B" w14:textId="5FBC5584" w:rsidR="00641387" w:rsidRPr="00A75094" w:rsidRDefault="00641387" w:rsidP="001D195B">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M</w:t>
            </w:r>
            <w:r w:rsidR="001D195B" w:rsidRPr="00A75094">
              <w:rPr>
                <w:sz w:val="22"/>
                <w:szCs w:val="22"/>
              </w:rPr>
              <w:t>iddle</w:t>
            </w:r>
          </w:p>
        </w:tc>
        <w:tc>
          <w:tcPr>
            <w:tcW w:w="1418" w:type="dxa"/>
          </w:tcPr>
          <w:p w14:paraId="7BCB9B68"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12</w:t>
            </w:r>
          </w:p>
        </w:tc>
        <w:tc>
          <w:tcPr>
            <w:tcW w:w="1559" w:type="dxa"/>
          </w:tcPr>
          <w:p w14:paraId="4D15EC07"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20%</w:t>
            </w:r>
          </w:p>
        </w:tc>
      </w:tr>
      <w:tr w:rsidR="00A75094" w:rsidRPr="00A75094" w14:paraId="3DF3F648"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47F52453"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ab/>
              <w:t xml:space="preserve">   </w:t>
            </w:r>
          </w:p>
        </w:tc>
        <w:tc>
          <w:tcPr>
            <w:tcW w:w="1984" w:type="dxa"/>
          </w:tcPr>
          <w:p w14:paraId="227F717A"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 xml:space="preserve">Low                     </w:t>
            </w:r>
          </w:p>
        </w:tc>
        <w:tc>
          <w:tcPr>
            <w:tcW w:w="1418" w:type="dxa"/>
          </w:tcPr>
          <w:p w14:paraId="0E310953"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16</w:t>
            </w:r>
          </w:p>
        </w:tc>
        <w:tc>
          <w:tcPr>
            <w:tcW w:w="1559" w:type="dxa"/>
          </w:tcPr>
          <w:p w14:paraId="0A3F6AE1"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27%</w:t>
            </w:r>
          </w:p>
        </w:tc>
      </w:tr>
      <w:tr w:rsidR="00A75094" w:rsidRPr="00A75094" w14:paraId="451A949A" w14:textId="77777777" w:rsidTr="00111CD3">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533BF901"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ab/>
              <w:t xml:space="preserve">      </w:t>
            </w:r>
          </w:p>
        </w:tc>
        <w:tc>
          <w:tcPr>
            <w:tcW w:w="1984" w:type="dxa"/>
          </w:tcPr>
          <w:p w14:paraId="3ECC74D4"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 xml:space="preserve">Unsure                     </w:t>
            </w:r>
          </w:p>
        </w:tc>
        <w:tc>
          <w:tcPr>
            <w:tcW w:w="1418" w:type="dxa"/>
          </w:tcPr>
          <w:p w14:paraId="44AABE36"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3</w:t>
            </w:r>
          </w:p>
        </w:tc>
        <w:tc>
          <w:tcPr>
            <w:tcW w:w="1559" w:type="dxa"/>
          </w:tcPr>
          <w:p w14:paraId="654FE53F" w14:textId="77777777" w:rsidR="00641387" w:rsidRPr="00A75094" w:rsidRDefault="00641387" w:rsidP="00111CD3">
            <w:pPr>
              <w:spacing w:before="60" w:after="6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A75094">
              <w:rPr>
                <w:sz w:val="22"/>
                <w:szCs w:val="22"/>
              </w:rPr>
              <w:t>5%</w:t>
            </w:r>
          </w:p>
        </w:tc>
      </w:tr>
      <w:tr w:rsidR="00A75094" w:rsidRPr="00A75094" w14:paraId="59A0F98D" w14:textId="77777777" w:rsidTr="00111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27C3B54F" w14:textId="77777777" w:rsidR="00641387" w:rsidRPr="00A75094" w:rsidRDefault="00641387" w:rsidP="00111CD3">
            <w:pPr>
              <w:spacing w:before="60" w:after="60" w:line="240" w:lineRule="auto"/>
              <w:rPr>
                <w:rFonts w:ascii="Times New Roman" w:hAnsi="Times New Roman" w:cs="Times New Roman"/>
                <w:b/>
                <w:sz w:val="22"/>
                <w:szCs w:val="22"/>
              </w:rPr>
            </w:pPr>
            <w:r w:rsidRPr="00A75094">
              <w:rPr>
                <w:rFonts w:ascii="Times New Roman" w:hAnsi="Times New Roman" w:cs="Times New Roman"/>
                <w:b/>
                <w:sz w:val="22"/>
                <w:szCs w:val="22"/>
              </w:rPr>
              <w:t xml:space="preserve">Length time in ID   </w:t>
            </w:r>
          </w:p>
        </w:tc>
        <w:tc>
          <w:tcPr>
            <w:tcW w:w="4961" w:type="dxa"/>
            <w:gridSpan w:val="3"/>
          </w:tcPr>
          <w:p w14:paraId="1A0F579E" w14:textId="77777777" w:rsidR="00641387" w:rsidRPr="00A75094" w:rsidRDefault="00641387" w:rsidP="00111CD3">
            <w:pPr>
              <w:spacing w:before="60" w:after="6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75094">
              <w:rPr>
                <w:sz w:val="22"/>
                <w:szCs w:val="22"/>
              </w:rPr>
              <w:t>Median  16.5 years (range 1 to 40 years</w:t>
            </w:r>
          </w:p>
        </w:tc>
      </w:tr>
    </w:tbl>
    <w:p w14:paraId="0F92760F" w14:textId="77777777" w:rsidR="00641387" w:rsidRPr="00A75094" w:rsidRDefault="00641387" w:rsidP="00641387">
      <w:pPr>
        <w:spacing w:line="240" w:lineRule="auto"/>
        <w:rPr>
          <w:i/>
          <w:sz w:val="22"/>
          <w:szCs w:val="22"/>
        </w:rPr>
      </w:pPr>
    </w:p>
    <w:p w14:paraId="0E7B70B1" w14:textId="77777777" w:rsidR="00641387" w:rsidRPr="00A75094" w:rsidRDefault="00641387">
      <w:pPr>
        <w:spacing w:line="240" w:lineRule="auto"/>
        <w:rPr>
          <w:b/>
        </w:rPr>
      </w:pPr>
    </w:p>
    <w:p w14:paraId="309EFC23" w14:textId="77777777" w:rsidR="00641387" w:rsidRPr="00A75094" w:rsidRDefault="00641387">
      <w:pPr>
        <w:spacing w:line="240" w:lineRule="auto"/>
        <w:rPr>
          <w:b/>
        </w:rPr>
      </w:pPr>
    </w:p>
    <w:p w14:paraId="5E3B94C8" w14:textId="77777777" w:rsidR="00641387" w:rsidRPr="00A75094" w:rsidRDefault="00641387">
      <w:pPr>
        <w:spacing w:line="240" w:lineRule="auto"/>
        <w:rPr>
          <w:b/>
        </w:rPr>
      </w:pPr>
      <w:r w:rsidRPr="00A75094">
        <w:rPr>
          <w:b/>
        </w:rPr>
        <w:br w:type="page"/>
      </w:r>
    </w:p>
    <w:p w14:paraId="2EC7987B" w14:textId="41F5F941" w:rsidR="00AC71AF" w:rsidRPr="00A75094" w:rsidRDefault="00AC71AF" w:rsidP="00AC71AF">
      <w:pPr>
        <w:jc w:val="center"/>
        <w:rPr>
          <w:b/>
        </w:rPr>
      </w:pPr>
      <w:r w:rsidRPr="00A75094">
        <w:rPr>
          <w:b/>
        </w:rPr>
        <w:lastRenderedPageBreak/>
        <w:t xml:space="preserve">Table </w:t>
      </w:r>
      <w:r w:rsidR="005E44B9" w:rsidRPr="00A75094">
        <w:rPr>
          <w:b/>
        </w:rPr>
        <w:t>2</w:t>
      </w:r>
      <w:r w:rsidRPr="00A75094">
        <w:rPr>
          <w:b/>
        </w:rPr>
        <w:t xml:space="preserve">:  </w:t>
      </w:r>
      <w:r w:rsidR="007E2ED4" w:rsidRPr="00A75094">
        <w:rPr>
          <w:b/>
        </w:rPr>
        <w:t>Ratings for</w:t>
      </w:r>
      <w:r w:rsidR="0060136B" w:rsidRPr="00A75094">
        <w:rPr>
          <w:b/>
        </w:rPr>
        <w:t xml:space="preserve"> strategic</w:t>
      </w:r>
      <w:r w:rsidR="007E2ED4" w:rsidRPr="00A75094">
        <w:rPr>
          <w:b/>
        </w:rPr>
        <w:t xml:space="preserve"> actions to promote </w:t>
      </w:r>
      <w:r w:rsidRPr="00A75094">
        <w:rPr>
          <w:b/>
        </w:rPr>
        <w:t xml:space="preserve">inclusive </w:t>
      </w:r>
      <w:r w:rsidR="007E2ED4" w:rsidRPr="00A75094">
        <w:rPr>
          <w:b/>
        </w:rPr>
        <w:t xml:space="preserve">health </w:t>
      </w:r>
      <w:r w:rsidRPr="00A75094">
        <w:rPr>
          <w:b/>
        </w:rPr>
        <w:t>system</w:t>
      </w:r>
    </w:p>
    <w:tbl>
      <w:tblPr>
        <w:tblStyle w:val="TableGrid5"/>
        <w:tblpPr w:leftFromText="181" w:rightFromText="181" w:vertAnchor="text" w:horzAnchor="margin" w:tblpX="-714" w:tblpY="1"/>
        <w:tblW w:w="10207" w:type="dxa"/>
        <w:tblLayout w:type="fixed"/>
        <w:tblLook w:val="04A0" w:firstRow="1" w:lastRow="0" w:firstColumn="1" w:lastColumn="0" w:noHBand="0" w:noVBand="1"/>
      </w:tblPr>
      <w:tblGrid>
        <w:gridCol w:w="6799"/>
        <w:gridCol w:w="1707"/>
        <w:gridCol w:w="1701"/>
      </w:tblGrid>
      <w:tr w:rsidR="00A75094" w:rsidRPr="00A75094" w14:paraId="04336890" w14:textId="77777777" w:rsidTr="00C226D4">
        <w:tc>
          <w:tcPr>
            <w:tcW w:w="6799" w:type="dxa"/>
            <w:shd w:val="clear" w:color="auto" w:fill="auto"/>
            <w:vAlign w:val="center"/>
          </w:tcPr>
          <w:p w14:paraId="3A318458" w14:textId="77777777" w:rsidR="00AC71AF" w:rsidRPr="00A75094" w:rsidRDefault="00C226D4" w:rsidP="00C226D4">
            <w:pPr>
              <w:pStyle w:val="ListParagraph"/>
              <w:spacing w:before="20" w:after="20"/>
              <w:jc w:val="center"/>
              <w:rPr>
                <w:b/>
                <w:sz w:val="22"/>
                <w:szCs w:val="22"/>
              </w:rPr>
            </w:pPr>
            <w:r w:rsidRPr="00A75094">
              <w:rPr>
                <w:b/>
                <w:sz w:val="22"/>
                <w:szCs w:val="22"/>
              </w:rPr>
              <w:t>Actions</w:t>
            </w:r>
          </w:p>
        </w:tc>
        <w:tc>
          <w:tcPr>
            <w:tcW w:w="1707" w:type="dxa"/>
            <w:shd w:val="clear" w:color="auto" w:fill="auto"/>
            <w:vAlign w:val="center"/>
          </w:tcPr>
          <w:p w14:paraId="18AEFFC2" w14:textId="77777777" w:rsidR="00AC71AF" w:rsidRPr="00A75094" w:rsidRDefault="00AC71AF" w:rsidP="00C226D4">
            <w:pPr>
              <w:spacing w:before="20" w:after="20" w:line="240" w:lineRule="auto"/>
              <w:jc w:val="center"/>
              <w:rPr>
                <w:b/>
                <w:sz w:val="22"/>
                <w:szCs w:val="22"/>
              </w:rPr>
            </w:pPr>
            <w:r w:rsidRPr="00A75094">
              <w:rPr>
                <w:b/>
                <w:sz w:val="22"/>
                <w:szCs w:val="22"/>
              </w:rPr>
              <w:t>Median (range) Relevance rating</w:t>
            </w:r>
          </w:p>
        </w:tc>
        <w:tc>
          <w:tcPr>
            <w:tcW w:w="1701" w:type="dxa"/>
            <w:shd w:val="clear" w:color="auto" w:fill="auto"/>
          </w:tcPr>
          <w:p w14:paraId="0C967C83" w14:textId="77777777" w:rsidR="00AC71AF" w:rsidRPr="00A75094" w:rsidRDefault="00AC71AF" w:rsidP="00C226D4">
            <w:pPr>
              <w:spacing w:before="20" w:after="20" w:line="240" w:lineRule="auto"/>
              <w:jc w:val="center"/>
              <w:rPr>
                <w:b/>
                <w:sz w:val="22"/>
                <w:szCs w:val="22"/>
              </w:rPr>
            </w:pPr>
            <w:r w:rsidRPr="00A75094">
              <w:rPr>
                <w:b/>
                <w:sz w:val="22"/>
                <w:szCs w:val="22"/>
              </w:rPr>
              <w:t xml:space="preserve">Median (range)  Feasibility rating </w:t>
            </w:r>
          </w:p>
        </w:tc>
      </w:tr>
      <w:tr w:rsidR="00A75094" w:rsidRPr="00A75094" w14:paraId="61A5625A" w14:textId="77777777" w:rsidTr="00C226D4">
        <w:trPr>
          <w:trHeight w:val="354"/>
        </w:trPr>
        <w:tc>
          <w:tcPr>
            <w:tcW w:w="6799" w:type="dxa"/>
          </w:tcPr>
          <w:p w14:paraId="433F0DEA" w14:textId="77777777" w:rsidR="00AC71AF" w:rsidRPr="00A75094" w:rsidRDefault="00AC71AF" w:rsidP="00C226D4">
            <w:pPr>
              <w:spacing w:before="20" w:after="20" w:line="240" w:lineRule="auto"/>
              <w:rPr>
                <w:sz w:val="22"/>
                <w:szCs w:val="22"/>
              </w:rPr>
            </w:pPr>
            <w:r w:rsidRPr="00A75094">
              <w:rPr>
                <w:sz w:val="22"/>
                <w:szCs w:val="22"/>
              </w:rPr>
              <w:t>Intellectual disability is a mandatory topic in the preservice training curriculum of doctors, nurses and therapists.</w:t>
            </w:r>
          </w:p>
        </w:tc>
        <w:tc>
          <w:tcPr>
            <w:tcW w:w="1707" w:type="dxa"/>
          </w:tcPr>
          <w:p w14:paraId="6505AD49" w14:textId="77777777" w:rsidR="00AC71AF" w:rsidRPr="00A75094" w:rsidRDefault="00AC71AF" w:rsidP="00C226D4">
            <w:pPr>
              <w:spacing w:before="20" w:after="20" w:line="240" w:lineRule="auto"/>
              <w:jc w:val="center"/>
              <w:rPr>
                <w:sz w:val="22"/>
                <w:szCs w:val="22"/>
              </w:rPr>
            </w:pPr>
            <w:r w:rsidRPr="00A75094">
              <w:rPr>
                <w:sz w:val="22"/>
                <w:szCs w:val="22"/>
              </w:rPr>
              <w:t>10</w:t>
            </w:r>
          </w:p>
          <w:p w14:paraId="25D5BD36" w14:textId="77777777" w:rsidR="00AC71AF" w:rsidRPr="00A75094" w:rsidRDefault="00AC71AF" w:rsidP="00C226D4">
            <w:pPr>
              <w:spacing w:before="20" w:after="20" w:line="240" w:lineRule="auto"/>
              <w:jc w:val="center"/>
              <w:rPr>
                <w:sz w:val="22"/>
                <w:szCs w:val="22"/>
              </w:rPr>
            </w:pPr>
            <w:r w:rsidRPr="00A75094">
              <w:rPr>
                <w:sz w:val="22"/>
                <w:szCs w:val="22"/>
              </w:rPr>
              <w:t>(0-10)</w:t>
            </w:r>
          </w:p>
        </w:tc>
        <w:tc>
          <w:tcPr>
            <w:tcW w:w="1701" w:type="dxa"/>
          </w:tcPr>
          <w:p w14:paraId="13C8857B" w14:textId="77777777" w:rsidR="00AC71AF" w:rsidRPr="00A75094" w:rsidRDefault="00AC71AF" w:rsidP="00C226D4">
            <w:pPr>
              <w:spacing w:before="20" w:after="20" w:line="240" w:lineRule="auto"/>
              <w:jc w:val="center"/>
              <w:rPr>
                <w:sz w:val="22"/>
                <w:szCs w:val="22"/>
              </w:rPr>
            </w:pPr>
            <w:r w:rsidRPr="00A75094">
              <w:rPr>
                <w:sz w:val="22"/>
                <w:szCs w:val="22"/>
              </w:rPr>
              <w:t>8</w:t>
            </w:r>
          </w:p>
          <w:p w14:paraId="0EB57064"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59985700" w14:textId="77777777" w:rsidTr="00C226D4">
        <w:trPr>
          <w:trHeight w:val="354"/>
        </w:trPr>
        <w:tc>
          <w:tcPr>
            <w:tcW w:w="6799" w:type="dxa"/>
          </w:tcPr>
          <w:p w14:paraId="20BAEF1D" w14:textId="77777777" w:rsidR="00AC71AF" w:rsidRPr="00A75094" w:rsidRDefault="00AC71AF" w:rsidP="00C226D4">
            <w:pPr>
              <w:spacing w:before="20" w:after="20" w:line="240" w:lineRule="auto"/>
              <w:rPr>
                <w:sz w:val="22"/>
                <w:szCs w:val="22"/>
              </w:rPr>
            </w:pPr>
            <w:r w:rsidRPr="00A75094">
              <w:rPr>
                <w:sz w:val="22"/>
                <w:szCs w:val="22"/>
              </w:rPr>
              <w:t>Practice guidelines are available for service personnel on adapting their practice to meet the needs of people with ID.</w:t>
            </w:r>
          </w:p>
        </w:tc>
        <w:tc>
          <w:tcPr>
            <w:tcW w:w="1707" w:type="dxa"/>
          </w:tcPr>
          <w:p w14:paraId="3E73EBE6" w14:textId="77777777" w:rsidR="00AC71AF" w:rsidRPr="00A75094" w:rsidRDefault="00AC71AF" w:rsidP="00C226D4">
            <w:pPr>
              <w:spacing w:before="20" w:after="20" w:line="240" w:lineRule="auto"/>
              <w:jc w:val="center"/>
              <w:rPr>
                <w:sz w:val="22"/>
                <w:szCs w:val="22"/>
              </w:rPr>
            </w:pPr>
            <w:r w:rsidRPr="00A75094">
              <w:rPr>
                <w:sz w:val="22"/>
                <w:szCs w:val="22"/>
              </w:rPr>
              <w:t>9.5</w:t>
            </w:r>
          </w:p>
          <w:p w14:paraId="002DB186" w14:textId="77777777" w:rsidR="00AC71AF" w:rsidRPr="00A75094" w:rsidRDefault="00AC71AF" w:rsidP="00C226D4">
            <w:pPr>
              <w:spacing w:before="20" w:after="20" w:line="240" w:lineRule="auto"/>
              <w:jc w:val="center"/>
              <w:rPr>
                <w:sz w:val="22"/>
                <w:szCs w:val="22"/>
              </w:rPr>
            </w:pPr>
            <w:r w:rsidRPr="00A75094">
              <w:rPr>
                <w:sz w:val="22"/>
                <w:szCs w:val="22"/>
              </w:rPr>
              <w:t>(2-10)</w:t>
            </w:r>
          </w:p>
        </w:tc>
        <w:tc>
          <w:tcPr>
            <w:tcW w:w="1701" w:type="dxa"/>
          </w:tcPr>
          <w:p w14:paraId="7400026C" w14:textId="77777777" w:rsidR="00AC71AF" w:rsidRPr="00A75094" w:rsidRDefault="00AC71AF" w:rsidP="00C226D4">
            <w:pPr>
              <w:spacing w:before="20" w:after="20" w:line="240" w:lineRule="auto"/>
              <w:jc w:val="center"/>
              <w:rPr>
                <w:sz w:val="22"/>
                <w:szCs w:val="22"/>
              </w:rPr>
            </w:pPr>
            <w:r w:rsidRPr="00A75094">
              <w:rPr>
                <w:sz w:val="22"/>
                <w:szCs w:val="22"/>
              </w:rPr>
              <w:t>7</w:t>
            </w:r>
          </w:p>
          <w:p w14:paraId="3F69D189"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548C6B97" w14:textId="77777777" w:rsidTr="00C226D4">
        <w:trPr>
          <w:trHeight w:val="354"/>
        </w:trPr>
        <w:tc>
          <w:tcPr>
            <w:tcW w:w="6799" w:type="dxa"/>
          </w:tcPr>
          <w:p w14:paraId="444E79DC" w14:textId="77777777" w:rsidR="00AC71AF" w:rsidRPr="00A75094" w:rsidRDefault="00AC71AF" w:rsidP="00C226D4">
            <w:pPr>
              <w:spacing w:before="20" w:after="20" w:line="240" w:lineRule="auto"/>
              <w:rPr>
                <w:sz w:val="22"/>
                <w:szCs w:val="22"/>
              </w:rPr>
            </w:pPr>
            <w:r w:rsidRPr="00A75094">
              <w:rPr>
                <w:sz w:val="22"/>
                <w:szCs w:val="22"/>
              </w:rPr>
              <w:t xml:space="preserve">Practical training in intellectual disability is provided for service staff who </w:t>
            </w:r>
            <w:proofErr w:type="gramStart"/>
            <w:r w:rsidRPr="00A75094">
              <w:rPr>
                <w:sz w:val="22"/>
                <w:szCs w:val="22"/>
              </w:rPr>
              <w:t>come into contact with</w:t>
            </w:r>
            <w:proofErr w:type="gramEnd"/>
            <w:r w:rsidRPr="00A75094">
              <w:rPr>
                <w:sz w:val="22"/>
                <w:szCs w:val="22"/>
              </w:rPr>
              <w:t xml:space="preserve"> people with intellectual disabilities.</w:t>
            </w:r>
          </w:p>
          <w:p w14:paraId="11A5C51E" w14:textId="533263CD" w:rsidR="00AC71AF" w:rsidRPr="00A75094" w:rsidRDefault="00AC71AF" w:rsidP="00C226D4">
            <w:pPr>
              <w:spacing w:before="20" w:after="20" w:line="240" w:lineRule="auto"/>
              <w:rPr>
                <w:i/>
                <w:sz w:val="22"/>
                <w:szCs w:val="22"/>
              </w:rPr>
            </w:pPr>
            <w:r w:rsidRPr="00A75094">
              <w:rPr>
                <w:i/>
                <w:sz w:val="22"/>
                <w:szCs w:val="22"/>
              </w:rPr>
              <w:t>(Non-SO personnel had higher median relevance ratings 10 v 8</w:t>
            </w:r>
            <w:r w:rsidR="00CD3A84" w:rsidRPr="00A75094">
              <w:rPr>
                <w:i/>
                <w:sz w:val="22"/>
                <w:szCs w:val="22"/>
              </w:rPr>
              <w:t>: p&lt;0.01</w:t>
            </w:r>
            <w:r w:rsidRPr="00A75094">
              <w:rPr>
                <w:i/>
                <w:sz w:val="22"/>
                <w:szCs w:val="22"/>
              </w:rPr>
              <w:t xml:space="preserve">) </w:t>
            </w:r>
          </w:p>
        </w:tc>
        <w:tc>
          <w:tcPr>
            <w:tcW w:w="1707" w:type="dxa"/>
          </w:tcPr>
          <w:p w14:paraId="1F87BB5C" w14:textId="77777777" w:rsidR="00AC71AF" w:rsidRPr="00A75094" w:rsidRDefault="00AC71AF" w:rsidP="00C226D4">
            <w:pPr>
              <w:spacing w:before="20" w:after="20" w:line="240" w:lineRule="auto"/>
              <w:jc w:val="center"/>
              <w:rPr>
                <w:sz w:val="22"/>
                <w:szCs w:val="22"/>
              </w:rPr>
            </w:pPr>
            <w:r w:rsidRPr="00A75094">
              <w:rPr>
                <w:sz w:val="22"/>
                <w:szCs w:val="22"/>
              </w:rPr>
              <w:t>9</w:t>
            </w:r>
          </w:p>
          <w:p w14:paraId="352B7963"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5FDC90F2" w14:textId="77777777" w:rsidR="00AC71AF" w:rsidRPr="00A75094" w:rsidRDefault="00AC71AF" w:rsidP="00C226D4">
            <w:pPr>
              <w:spacing w:before="20" w:after="20" w:line="240" w:lineRule="auto"/>
              <w:jc w:val="center"/>
              <w:rPr>
                <w:sz w:val="22"/>
                <w:szCs w:val="22"/>
              </w:rPr>
            </w:pPr>
            <w:r w:rsidRPr="00A75094">
              <w:rPr>
                <w:sz w:val="22"/>
                <w:szCs w:val="22"/>
              </w:rPr>
              <w:t>8</w:t>
            </w:r>
          </w:p>
          <w:p w14:paraId="2BB186C8"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6850598D" w14:textId="77777777" w:rsidTr="00C226D4">
        <w:trPr>
          <w:trHeight w:val="354"/>
        </w:trPr>
        <w:tc>
          <w:tcPr>
            <w:tcW w:w="6799" w:type="dxa"/>
          </w:tcPr>
          <w:p w14:paraId="2A085DE4" w14:textId="77777777" w:rsidR="00AC71AF" w:rsidRPr="00A75094" w:rsidRDefault="00AC71AF" w:rsidP="00C226D4">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 xml:space="preserve">The service system commits </w:t>
            </w:r>
            <w:proofErr w:type="gramStart"/>
            <w:r w:rsidRPr="00A75094">
              <w:rPr>
                <w:rFonts w:eastAsia="Calibri" w:cs="Calibri"/>
                <w:sz w:val="22"/>
                <w:szCs w:val="22"/>
                <w:u w:color="000000"/>
                <w:bdr w:val="nil"/>
                <w:lang w:val="en-US" w:eastAsia="zh-CN"/>
              </w:rPr>
              <w:t>to, and</w:t>
            </w:r>
            <w:proofErr w:type="gramEnd"/>
            <w:r w:rsidRPr="00A75094">
              <w:rPr>
                <w:rFonts w:eastAsia="Calibri" w:cs="Calibri"/>
                <w:sz w:val="22"/>
                <w:szCs w:val="22"/>
                <w:u w:color="000000"/>
                <w:bdr w:val="nil"/>
                <w:lang w:val="en-US" w:eastAsia="zh-CN"/>
              </w:rPr>
              <w:t xml:space="preserve"> promotes the rights of people with ID </w:t>
            </w:r>
            <w:r w:rsidRPr="00A75094">
              <w:rPr>
                <w:rFonts w:eastAsia="Calibri" w:cs="Calibri"/>
                <w:i/>
                <w:sz w:val="22"/>
                <w:szCs w:val="22"/>
                <w:u w:color="000000"/>
                <w:bdr w:val="nil"/>
                <w:lang w:val="en-US" w:eastAsia="zh-CN"/>
              </w:rPr>
              <w:t>(e.g. citing UN Conventions or national legislation).</w:t>
            </w:r>
            <w:r w:rsidRPr="00A75094">
              <w:rPr>
                <w:rFonts w:eastAsia="Calibri" w:cs="Calibri"/>
                <w:sz w:val="22"/>
                <w:szCs w:val="22"/>
                <w:u w:color="000000"/>
                <w:bdr w:val="nil"/>
                <w:lang w:val="en-US" w:eastAsia="zh-CN"/>
              </w:rPr>
              <w:t xml:space="preserve"> </w:t>
            </w:r>
          </w:p>
        </w:tc>
        <w:tc>
          <w:tcPr>
            <w:tcW w:w="1707" w:type="dxa"/>
          </w:tcPr>
          <w:p w14:paraId="1E06CC19" w14:textId="77777777" w:rsidR="00AC71AF" w:rsidRPr="00A75094" w:rsidRDefault="00AC71AF" w:rsidP="00C226D4">
            <w:pPr>
              <w:spacing w:before="20" w:after="20" w:line="240" w:lineRule="auto"/>
              <w:jc w:val="center"/>
              <w:rPr>
                <w:sz w:val="22"/>
                <w:szCs w:val="22"/>
              </w:rPr>
            </w:pPr>
            <w:r w:rsidRPr="00A75094">
              <w:rPr>
                <w:sz w:val="22"/>
                <w:szCs w:val="22"/>
              </w:rPr>
              <w:t>9</w:t>
            </w:r>
          </w:p>
          <w:p w14:paraId="05D08D83" w14:textId="77777777" w:rsidR="00AC71AF" w:rsidRPr="00A75094" w:rsidRDefault="00AC71AF" w:rsidP="00C226D4">
            <w:pPr>
              <w:spacing w:before="20" w:after="20" w:line="240" w:lineRule="auto"/>
              <w:jc w:val="center"/>
              <w:rPr>
                <w:sz w:val="22"/>
                <w:szCs w:val="22"/>
              </w:rPr>
            </w:pPr>
            <w:r w:rsidRPr="00A75094">
              <w:rPr>
                <w:sz w:val="22"/>
                <w:szCs w:val="22"/>
              </w:rPr>
              <w:t>(3-10)</w:t>
            </w:r>
          </w:p>
        </w:tc>
        <w:tc>
          <w:tcPr>
            <w:tcW w:w="1701" w:type="dxa"/>
          </w:tcPr>
          <w:p w14:paraId="2CD1976F" w14:textId="77777777" w:rsidR="00AC71AF" w:rsidRPr="00A75094" w:rsidRDefault="00AC71AF" w:rsidP="00C226D4">
            <w:pPr>
              <w:spacing w:before="20" w:after="20" w:line="240" w:lineRule="auto"/>
              <w:jc w:val="center"/>
              <w:rPr>
                <w:sz w:val="22"/>
                <w:szCs w:val="22"/>
              </w:rPr>
            </w:pPr>
            <w:r w:rsidRPr="00A75094">
              <w:rPr>
                <w:sz w:val="22"/>
                <w:szCs w:val="22"/>
              </w:rPr>
              <w:t>7</w:t>
            </w:r>
          </w:p>
          <w:p w14:paraId="7FAB43AE" w14:textId="77777777" w:rsidR="00AC71AF" w:rsidRPr="00A75094" w:rsidRDefault="00AC71AF" w:rsidP="00C226D4">
            <w:pPr>
              <w:spacing w:before="20" w:after="20" w:line="240" w:lineRule="auto"/>
              <w:jc w:val="center"/>
              <w:rPr>
                <w:sz w:val="22"/>
                <w:szCs w:val="22"/>
              </w:rPr>
            </w:pPr>
            <w:r w:rsidRPr="00A75094">
              <w:rPr>
                <w:sz w:val="22"/>
                <w:szCs w:val="22"/>
              </w:rPr>
              <w:t>(2-10)</w:t>
            </w:r>
          </w:p>
        </w:tc>
      </w:tr>
      <w:tr w:rsidR="00A75094" w:rsidRPr="00A75094" w14:paraId="5D5DD010" w14:textId="77777777" w:rsidTr="00C226D4">
        <w:trPr>
          <w:trHeight w:val="354"/>
        </w:trPr>
        <w:tc>
          <w:tcPr>
            <w:tcW w:w="6799" w:type="dxa"/>
          </w:tcPr>
          <w:p w14:paraId="6D88736D" w14:textId="77777777" w:rsidR="00AC71AF" w:rsidRPr="00A75094" w:rsidRDefault="00AC71AF" w:rsidP="00C226D4">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Policy and Practice Statements make explicit mention of people with ID (and not just those with disabilities) and describe the accommodations they propose to make to meet their needs.</w:t>
            </w:r>
          </w:p>
        </w:tc>
        <w:tc>
          <w:tcPr>
            <w:tcW w:w="1707" w:type="dxa"/>
          </w:tcPr>
          <w:p w14:paraId="26C10A72" w14:textId="77777777" w:rsidR="00AC71AF" w:rsidRPr="00A75094" w:rsidRDefault="00AC71AF" w:rsidP="00C226D4">
            <w:pPr>
              <w:spacing w:before="20" w:after="20" w:line="240" w:lineRule="auto"/>
              <w:jc w:val="center"/>
              <w:rPr>
                <w:sz w:val="22"/>
                <w:szCs w:val="22"/>
              </w:rPr>
            </w:pPr>
            <w:r w:rsidRPr="00A75094">
              <w:rPr>
                <w:sz w:val="22"/>
                <w:szCs w:val="22"/>
              </w:rPr>
              <w:t>9</w:t>
            </w:r>
          </w:p>
          <w:p w14:paraId="56BA75FA" w14:textId="77777777" w:rsidR="00AC71AF" w:rsidRPr="00A75094" w:rsidRDefault="00AC71AF" w:rsidP="00C226D4">
            <w:pPr>
              <w:spacing w:before="20" w:after="20" w:line="240" w:lineRule="auto"/>
              <w:jc w:val="center"/>
              <w:rPr>
                <w:sz w:val="22"/>
                <w:szCs w:val="22"/>
              </w:rPr>
            </w:pPr>
            <w:r w:rsidRPr="00A75094">
              <w:rPr>
                <w:sz w:val="22"/>
                <w:szCs w:val="22"/>
              </w:rPr>
              <w:t>(2-10)</w:t>
            </w:r>
          </w:p>
        </w:tc>
        <w:tc>
          <w:tcPr>
            <w:tcW w:w="1701" w:type="dxa"/>
          </w:tcPr>
          <w:p w14:paraId="4A4CEB5C" w14:textId="77777777" w:rsidR="00AC71AF" w:rsidRPr="00A75094" w:rsidRDefault="00AC71AF" w:rsidP="00C226D4">
            <w:pPr>
              <w:spacing w:before="20" w:after="20" w:line="240" w:lineRule="auto"/>
              <w:jc w:val="center"/>
              <w:rPr>
                <w:sz w:val="22"/>
                <w:szCs w:val="22"/>
              </w:rPr>
            </w:pPr>
            <w:r w:rsidRPr="00A75094">
              <w:rPr>
                <w:sz w:val="22"/>
                <w:szCs w:val="22"/>
              </w:rPr>
              <w:t>7</w:t>
            </w:r>
          </w:p>
          <w:p w14:paraId="03EE05B6" w14:textId="77777777" w:rsidR="00AC71AF" w:rsidRPr="00A75094" w:rsidRDefault="00AC71AF" w:rsidP="00C226D4">
            <w:pPr>
              <w:spacing w:before="20" w:after="20" w:line="240" w:lineRule="auto"/>
              <w:jc w:val="center"/>
              <w:rPr>
                <w:sz w:val="22"/>
                <w:szCs w:val="22"/>
              </w:rPr>
            </w:pPr>
            <w:r w:rsidRPr="00A75094">
              <w:rPr>
                <w:sz w:val="22"/>
                <w:szCs w:val="22"/>
              </w:rPr>
              <w:t>(2-10)</w:t>
            </w:r>
          </w:p>
        </w:tc>
      </w:tr>
      <w:tr w:rsidR="00A75094" w:rsidRPr="00A75094" w14:paraId="6D5C0687" w14:textId="77777777" w:rsidTr="00C226D4">
        <w:trPr>
          <w:trHeight w:val="354"/>
        </w:trPr>
        <w:tc>
          <w:tcPr>
            <w:tcW w:w="6799" w:type="dxa"/>
          </w:tcPr>
          <w:p w14:paraId="7303D172" w14:textId="77777777" w:rsidR="00AC71AF" w:rsidRPr="00A75094" w:rsidRDefault="00AC71AF" w:rsidP="00C226D4">
            <w:pPr>
              <w:spacing w:before="20" w:after="20" w:line="240" w:lineRule="auto"/>
              <w:rPr>
                <w:sz w:val="22"/>
                <w:szCs w:val="22"/>
              </w:rPr>
            </w:pPr>
            <w:r w:rsidRPr="00A75094">
              <w:rPr>
                <w:sz w:val="22"/>
                <w:szCs w:val="22"/>
              </w:rPr>
              <w:t>Feedback is sought from people with ID about their inclusion in the system and suggestions for improvements.</w:t>
            </w:r>
          </w:p>
        </w:tc>
        <w:tc>
          <w:tcPr>
            <w:tcW w:w="1707" w:type="dxa"/>
          </w:tcPr>
          <w:p w14:paraId="7487083C" w14:textId="77777777" w:rsidR="00AC71AF" w:rsidRPr="00A75094" w:rsidRDefault="00AC71AF" w:rsidP="00C226D4">
            <w:pPr>
              <w:spacing w:before="20" w:after="20" w:line="240" w:lineRule="auto"/>
              <w:jc w:val="center"/>
              <w:rPr>
                <w:sz w:val="22"/>
                <w:szCs w:val="22"/>
              </w:rPr>
            </w:pPr>
            <w:r w:rsidRPr="00A75094">
              <w:rPr>
                <w:sz w:val="22"/>
                <w:szCs w:val="22"/>
              </w:rPr>
              <w:t>9</w:t>
            </w:r>
          </w:p>
          <w:p w14:paraId="7B53CF84"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594D068B" w14:textId="77777777" w:rsidR="00AC71AF" w:rsidRPr="00A75094" w:rsidRDefault="00AC71AF" w:rsidP="00C226D4">
            <w:pPr>
              <w:spacing w:before="20" w:after="20" w:line="240" w:lineRule="auto"/>
              <w:jc w:val="center"/>
              <w:rPr>
                <w:sz w:val="22"/>
                <w:szCs w:val="22"/>
              </w:rPr>
            </w:pPr>
            <w:r w:rsidRPr="00A75094">
              <w:rPr>
                <w:sz w:val="22"/>
                <w:szCs w:val="22"/>
              </w:rPr>
              <w:t>7</w:t>
            </w:r>
          </w:p>
          <w:p w14:paraId="7B00EB9E"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11384429" w14:textId="77777777" w:rsidTr="00C226D4">
        <w:trPr>
          <w:trHeight w:val="354"/>
        </w:trPr>
        <w:tc>
          <w:tcPr>
            <w:tcW w:w="6799" w:type="dxa"/>
          </w:tcPr>
          <w:p w14:paraId="7E736C3D" w14:textId="77777777" w:rsidR="00AC71AF" w:rsidRPr="00A75094" w:rsidRDefault="00AC71AF" w:rsidP="00C226D4">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Awareness training in intellectual disability is made available to all staff who have personal contact with people with ID (e.g. administrative staff).</w:t>
            </w:r>
          </w:p>
        </w:tc>
        <w:tc>
          <w:tcPr>
            <w:tcW w:w="1707" w:type="dxa"/>
          </w:tcPr>
          <w:p w14:paraId="2D0C6276" w14:textId="77777777" w:rsidR="00AC71AF" w:rsidRPr="00A75094" w:rsidRDefault="00AC71AF" w:rsidP="00C226D4">
            <w:pPr>
              <w:spacing w:before="20" w:after="20" w:line="240" w:lineRule="auto"/>
              <w:jc w:val="center"/>
              <w:rPr>
                <w:sz w:val="22"/>
                <w:szCs w:val="22"/>
              </w:rPr>
            </w:pPr>
            <w:r w:rsidRPr="00A75094">
              <w:rPr>
                <w:sz w:val="22"/>
                <w:szCs w:val="22"/>
              </w:rPr>
              <w:t>9</w:t>
            </w:r>
          </w:p>
          <w:p w14:paraId="4F2A1DE9"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1DCA53B4" w14:textId="77777777" w:rsidR="00AC71AF" w:rsidRPr="00A75094" w:rsidRDefault="00AC71AF" w:rsidP="00C226D4">
            <w:pPr>
              <w:spacing w:before="20" w:after="20" w:line="240" w:lineRule="auto"/>
              <w:jc w:val="center"/>
              <w:rPr>
                <w:sz w:val="22"/>
                <w:szCs w:val="22"/>
              </w:rPr>
            </w:pPr>
            <w:r w:rsidRPr="00A75094">
              <w:rPr>
                <w:sz w:val="22"/>
                <w:szCs w:val="22"/>
              </w:rPr>
              <w:t>7</w:t>
            </w:r>
          </w:p>
          <w:p w14:paraId="75F9F4FB"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0581F58E" w14:textId="77777777" w:rsidTr="00C226D4">
        <w:trPr>
          <w:trHeight w:val="354"/>
        </w:trPr>
        <w:tc>
          <w:tcPr>
            <w:tcW w:w="6799" w:type="dxa"/>
          </w:tcPr>
          <w:p w14:paraId="369B9FDA" w14:textId="77777777" w:rsidR="00AC71AF" w:rsidRPr="00A75094" w:rsidRDefault="00AC71AF" w:rsidP="00C226D4">
            <w:pPr>
              <w:spacing w:before="20" w:after="20" w:line="240" w:lineRule="auto"/>
              <w:rPr>
                <w:sz w:val="22"/>
                <w:szCs w:val="22"/>
              </w:rPr>
            </w:pPr>
            <w:r w:rsidRPr="00A75094">
              <w:rPr>
                <w:sz w:val="22"/>
                <w:szCs w:val="22"/>
              </w:rPr>
              <w:t>People with ID are involved as co-trainers for service staff.</w:t>
            </w:r>
          </w:p>
          <w:p w14:paraId="0B504890" w14:textId="0D6B5B89" w:rsidR="00AC71AF" w:rsidRPr="00A75094" w:rsidRDefault="00AC71AF" w:rsidP="00CD3A84">
            <w:pPr>
              <w:spacing w:before="20" w:after="20" w:line="240" w:lineRule="auto"/>
              <w:rPr>
                <w:sz w:val="22"/>
                <w:szCs w:val="22"/>
              </w:rPr>
            </w:pPr>
            <w:r w:rsidRPr="00A75094">
              <w:rPr>
                <w:i/>
                <w:sz w:val="22"/>
                <w:szCs w:val="22"/>
              </w:rPr>
              <w:t>(Non-SO personnel had higher median relevance ratings 10 v 7.5</w:t>
            </w:r>
            <w:r w:rsidR="00CD3A84" w:rsidRPr="00A75094">
              <w:rPr>
                <w:i/>
                <w:sz w:val="22"/>
                <w:szCs w:val="22"/>
              </w:rPr>
              <w:t>: p&lt;0.01)</w:t>
            </w:r>
          </w:p>
        </w:tc>
        <w:tc>
          <w:tcPr>
            <w:tcW w:w="1707" w:type="dxa"/>
          </w:tcPr>
          <w:p w14:paraId="21FC720A" w14:textId="77777777" w:rsidR="00AC71AF" w:rsidRPr="00A75094" w:rsidRDefault="00AC71AF" w:rsidP="00C226D4">
            <w:pPr>
              <w:spacing w:before="20" w:after="20" w:line="240" w:lineRule="auto"/>
              <w:jc w:val="center"/>
              <w:rPr>
                <w:sz w:val="22"/>
                <w:szCs w:val="22"/>
              </w:rPr>
            </w:pPr>
            <w:r w:rsidRPr="00A75094">
              <w:rPr>
                <w:sz w:val="22"/>
                <w:szCs w:val="22"/>
              </w:rPr>
              <w:t>9</w:t>
            </w:r>
          </w:p>
          <w:p w14:paraId="6CAFA62C"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2986DD32" w14:textId="77777777" w:rsidR="00AC71AF" w:rsidRPr="00A75094" w:rsidRDefault="00AC71AF" w:rsidP="00C226D4">
            <w:pPr>
              <w:spacing w:before="20" w:after="20" w:line="240" w:lineRule="auto"/>
              <w:jc w:val="center"/>
              <w:rPr>
                <w:sz w:val="22"/>
                <w:szCs w:val="22"/>
              </w:rPr>
            </w:pPr>
            <w:r w:rsidRPr="00A75094">
              <w:rPr>
                <w:sz w:val="22"/>
                <w:szCs w:val="22"/>
              </w:rPr>
              <w:t>7</w:t>
            </w:r>
          </w:p>
          <w:p w14:paraId="35E0A0B4"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31C15843" w14:textId="77777777" w:rsidTr="00C226D4">
        <w:trPr>
          <w:trHeight w:val="354"/>
        </w:trPr>
        <w:tc>
          <w:tcPr>
            <w:tcW w:w="6799" w:type="dxa"/>
          </w:tcPr>
          <w:p w14:paraId="65B60C18" w14:textId="77777777" w:rsidR="00AC71AF" w:rsidRPr="00A75094" w:rsidRDefault="00AC71AF" w:rsidP="00C226D4">
            <w:pPr>
              <w:spacing w:before="20" w:after="20" w:line="240" w:lineRule="auto"/>
              <w:rPr>
                <w:sz w:val="22"/>
                <w:szCs w:val="22"/>
              </w:rPr>
            </w:pPr>
            <w:r w:rsidRPr="00A75094">
              <w:rPr>
                <w:sz w:val="22"/>
                <w:szCs w:val="22"/>
              </w:rPr>
              <w:t xml:space="preserve">People with ID are actively supported in making decisions: for </w:t>
            </w:r>
            <w:proofErr w:type="gramStart"/>
            <w:r w:rsidRPr="00A75094">
              <w:rPr>
                <w:sz w:val="22"/>
                <w:szCs w:val="22"/>
              </w:rPr>
              <w:t>example</w:t>
            </w:r>
            <w:proofErr w:type="gramEnd"/>
            <w:r w:rsidRPr="00A75094">
              <w:rPr>
                <w:sz w:val="22"/>
                <w:szCs w:val="22"/>
              </w:rPr>
              <w:t xml:space="preserve"> consenting to treatments</w:t>
            </w:r>
          </w:p>
          <w:p w14:paraId="13FAE7D0" w14:textId="29A4165E" w:rsidR="00AC71AF" w:rsidRPr="00A75094" w:rsidRDefault="00AC71AF" w:rsidP="00C226D4">
            <w:pPr>
              <w:spacing w:before="20" w:after="20" w:line="240" w:lineRule="auto"/>
              <w:rPr>
                <w:i/>
                <w:sz w:val="22"/>
                <w:szCs w:val="22"/>
              </w:rPr>
            </w:pPr>
            <w:r w:rsidRPr="00A75094">
              <w:rPr>
                <w:i/>
                <w:sz w:val="22"/>
                <w:szCs w:val="22"/>
              </w:rPr>
              <w:t>(Non-SO personnel had higher median relevance ratings 10 v 8</w:t>
            </w:r>
            <w:r w:rsidR="00CD3A84" w:rsidRPr="00A75094">
              <w:rPr>
                <w:i/>
                <w:sz w:val="22"/>
                <w:szCs w:val="22"/>
              </w:rPr>
              <w:t>: p&lt;0.01</w:t>
            </w:r>
            <w:r w:rsidRPr="00A75094">
              <w:rPr>
                <w:i/>
                <w:sz w:val="22"/>
                <w:szCs w:val="22"/>
              </w:rPr>
              <w:t>)</w:t>
            </w:r>
          </w:p>
          <w:p w14:paraId="1B9BCA0A" w14:textId="498D82E9" w:rsidR="00AC71AF" w:rsidRPr="00A75094" w:rsidRDefault="00AC71AF" w:rsidP="00CD3A84">
            <w:pPr>
              <w:spacing w:before="20" w:after="20" w:line="240" w:lineRule="auto"/>
              <w:rPr>
                <w:sz w:val="22"/>
                <w:szCs w:val="22"/>
              </w:rPr>
            </w:pPr>
            <w:r w:rsidRPr="00A75094">
              <w:rPr>
                <w:i/>
                <w:sz w:val="22"/>
                <w:szCs w:val="22"/>
              </w:rPr>
              <w:t>Respondents in High Income had higher median relevance ratings than those in M</w:t>
            </w:r>
            <w:r w:rsidR="00CD3A84" w:rsidRPr="00A75094">
              <w:rPr>
                <w:i/>
                <w:sz w:val="22"/>
                <w:szCs w:val="22"/>
              </w:rPr>
              <w:t xml:space="preserve">iddle </w:t>
            </w:r>
            <w:r w:rsidRPr="00A75094">
              <w:rPr>
                <w:i/>
                <w:sz w:val="22"/>
                <w:szCs w:val="22"/>
              </w:rPr>
              <w:t>&amp; Low income countries (10 v 8</w:t>
            </w:r>
            <w:r w:rsidR="00CD3A84" w:rsidRPr="00A75094">
              <w:rPr>
                <w:i/>
                <w:sz w:val="22"/>
                <w:szCs w:val="22"/>
              </w:rPr>
              <w:t>: p&lt;0.01</w:t>
            </w:r>
            <w:r w:rsidRPr="00A75094">
              <w:rPr>
                <w:i/>
                <w:sz w:val="22"/>
                <w:szCs w:val="22"/>
              </w:rPr>
              <w:t>).</w:t>
            </w:r>
          </w:p>
        </w:tc>
        <w:tc>
          <w:tcPr>
            <w:tcW w:w="1707" w:type="dxa"/>
          </w:tcPr>
          <w:p w14:paraId="42A2B34E" w14:textId="77777777" w:rsidR="00AC71AF" w:rsidRPr="00A75094" w:rsidRDefault="00AC71AF" w:rsidP="00C226D4">
            <w:pPr>
              <w:spacing w:before="20" w:after="20" w:line="240" w:lineRule="auto"/>
              <w:jc w:val="center"/>
              <w:rPr>
                <w:sz w:val="22"/>
                <w:szCs w:val="22"/>
              </w:rPr>
            </w:pPr>
            <w:r w:rsidRPr="00A75094">
              <w:rPr>
                <w:sz w:val="22"/>
                <w:szCs w:val="22"/>
              </w:rPr>
              <w:t>9</w:t>
            </w:r>
          </w:p>
          <w:p w14:paraId="76C590B9"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144DFDCC" w14:textId="77777777" w:rsidR="00AC71AF" w:rsidRPr="00A75094" w:rsidRDefault="00AC71AF" w:rsidP="00C226D4">
            <w:pPr>
              <w:spacing w:before="20" w:after="20" w:line="240" w:lineRule="auto"/>
              <w:jc w:val="center"/>
              <w:rPr>
                <w:sz w:val="22"/>
                <w:szCs w:val="22"/>
              </w:rPr>
            </w:pPr>
            <w:r w:rsidRPr="00A75094">
              <w:rPr>
                <w:sz w:val="22"/>
                <w:szCs w:val="22"/>
              </w:rPr>
              <w:t>7</w:t>
            </w:r>
          </w:p>
          <w:p w14:paraId="0F0E46DD"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0EFD7743" w14:textId="77777777" w:rsidTr="00C226D4">
        <w:trPr>
          <w:trHeight w:val="354"/>
        </w:trPr>
        <w:tc>
          <w:tcPr>
            <w:tcW w:w="6799" w:type="dxa"/>
          </w:tcPr>
          <w:p w14:paraId="6163E338" w14:textId="77777777" w:rsidR="00AC71AF" w:rsidRPr="00A75094" w:rsidRDefault="00AC71AF" w:rsidP="00C226D4">
            <w:pPr>
              <w:spacing w:before="20" w:after="20" w:line="240" w:lineRule="auto"/>
              <w:rPr>
                <w:sz w:val="22"/>
                <w:szCs w:val="22"/>
              </w:rPr>
            </w:pPr>
            <w:r w:rsidRPr="00A75094">
              <w:rPr>
                <w:sz w:val="22"/>
                <w:szCs w:val="22"/>
              </w:rPr>
              <w:t>Reviews are used to examine unexpected deaths in people with ID as a means of improving the quality of supports and health care provided to people with ID.</w:t>
            </w:r>
          </w:p>
          <w:p w14:paraId="5010D63A" w14:textId="77777777" w:rsidR="00AC71AF" w:rsidRPr="00A75094" w:rsidRDefault="00AC71AF" w:rsidP="00C226D4">
            <w:pPr>
              <w:spacing w:before="20" w:after="20" w:line="240" w:lineRule="auto"/>
              <w:rPr>
                <w:sz w:val="22"/>
                <w:szCs w:val="22"/>
              </w:rPr>
            </w:pPr>
            <w:r w:rsidRPr="00A75094">
              <w:rPr>
                <w:i/>
                <w:sz w:val="22"/>
                <w:szCs w:val="22"/>
              </w:rPr>
              <w:t>(Non-SO personnel had higher median relevance ratings 10 v 8)</w:t>
            </w:r>
          </w:p>
        </w:tc>
        <w:tc>
          <w:tcPr>
            <w:tcW w:w="1707" w:type="dxa"/>
          </w:tcPr>
          <w:p w14:paraId="30F744B7" w14:textId="77777777" w:rsidR="00AC71AF" w:rsidRPr="00A75094" w:rsidRDefault="00AC71AF" w:rsidP="00C226D4">
            <w:pPr>
              <w:spacing w:before="20" w:after="20" w:line="240" w:lineRule="auto"/>
              <w:jc w:val="center"/>
              <w:rPr>
                <w:sz w:val="22"/>
                <w:szCs w:val="22"/>
              </w:rPr>
            </w:pPr>
            <w:r w:rsidRPr="00A75094">
              <w:rPr>
                <w:sz w:val="22"/>
                <w:szCs w:val="22"/>
              </w:rPr>
              <w:t>9</w:t>
            </w:r>
          </w:p>
          <w:p w14:paraId="1913EB90"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2C40A6F1" w14:textId="77777777" w:rsidR="00AC71AF" w:rsidRPr="00A75094" w:rsidRDefault="00AC71AF" w:rsidP="00C226D4">
            <w:pPr>
              <w:spacing w:before="20" w:after="20" w:line="240" w:lineRule="auto"/>
              <w:jc w:val="center"/>
              <w:rPr>
                <w:sz w:val="22"/>
                <w:szCs w:val="22"/>
              </w:rPr>
            </w:pPr>
            <w:r w:rsidRPr="00A75094">
              <w:rPr>
                <w:sz w:val="22"/>
                <w:szCs w:val="22"/>
              </w:rPr>
              <w:t>7</w:t>
            </w:r>
          </w:p>
          <w:p w14:paraId="475124CC"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7261E50E" w14:textId="77777777" w:rsidTr="00C226D4">
        <w:trPr>
          <w:trHeight w:val="354"/>
        </w:trPr>
        <w:tc>
          <w:tcPr>
            <w:tcW w:w="6799" w:type="dxa"/>
          </w:tcPr>
          <w:p w14:paraId="2CD4EDF4" w14:textId="77777777" w:rsidR="00AC71AF" w:rsidRPr="00A75094" w:rsidRDefault="00AC71AF" w:rsidP="00C226D4">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There are system targets to improve the health of people with intellectual disability.</w:t>
            </w:r>
          </w:p>
        </w:tc>
        <w:tc>
          <w:tcPr>
            <w:tcW w:w="1707" w:type="dxa"/>
          </w:tcPr>
          <w:p w14:paraId="7FB96E59" w14:textId="77777777" w:rsidR="00AC71AF" w:rsidRPr="00A75094" w:rsidRDefault="00AC71AF" w:rsidP="00C226D4">
            <w:pPr>
              <w:spacing w:before="20" w:after="20" w:line="240" w:lineRule="auto"/>
              <w:jc w:val="center"/>
              <w:rPr>
                <w:sz w:val="22"/>
                <w:szCs w:val="22"/>
              </w:rPr>
            </w:pPr>
            <w:r w:rsidRPr="00A75094">
              <w:rPr>
                <w:sz w:val="22"/>
                <w:szCs w:val="22"/>
              </w:rPr>
              <w:t>9</w:t>
            </w:r>
          </w:p>
          <w:p w14:paraId="07CB3BD4" w14:textId="77777777" w:rsidR="00AC71AF" w:rsidRPr="00A75094" w:rsidRDefault="00AC71AF" w:rsidP="00C226D4">
            <w:pPr>
              <w:spacing w:before="20" w:after="20" w:line="240" w:lineRule="auto"/>
              <w:jc w:val="center"/>
              <w:rPr>
                <w:sz w:val="22"/>
                <w:szCs w:val="22"/>
              </w:rPr>
            </w:pPr>
            <w:r w:rsidRPr="00A75094">
              <w:rPr>
                <w:sz w:val="22"/>
                <w:szCs w:val="22"/>
              </w:rPr>
              <w:t>(0-10)</w:t>
            </w:r>
          </w:p>
        </w:tc>
        <w:tc>
          <w:tcPr>
            <w:tcW w:w="1701" w:type="dxa"/>
          </w:tcPr>
          <w:p w14:paraId="1AC2F249" w14:textId="77777777" w:rsidR="00AC71AF" w:rsidRPr="00A75094" w:rsidRDefault="00AC71AF" w:rsidP="00C226D4">
            <w:pPr>
              <w:spacing w:before="20" w:after="20" w:line="240" w:lineRule="auto"/>
              <w:jc w:val="center"/>
              <w:rPr>
                <w:sz w:val="22"/>
                <w:szCs w:val="22"/>
              </w:rPr>
            </w:pPr>
            <w:r w:rsidRPr="00A75094">
              <w:rPr>
                <w:sz w:val="22"/>
                <w:szCs w:val="22"/>
              </w:rPr>
              <w:t>7</w:t>
            </w:r>
          </w:p>
          <w:p w14:paraId="43D58BD3"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26FFED8E" w14:textId="77777777" w:rsidTr="00C226D4">
        <w:trPr>
          <w:trHeight w:val="354"/>
        </w:trPr>
        <w:tc>
          <w:tcPr>
            <w:tcW w:w="6799" w:type="dxa"/>
          </w:tcPr>
          <w:p w14:paraId="309D4E43" w14:textId="77777777" w:rsidR="00AC71AF" w:rsidRPr="00A75094" w:rsidRDefault="00AC71AF" w:rsidP="00C226D4">
            <w:pPr>
              <w:spacing w:before="20" w:after="20" w:line="240" w:lineRule="auto"/>
              <w:rPr>
                <w:sz w:val="22"/>
                <w:szCs w:val="22"/>
              </w:rPr>
            </w:pPr>
            <w:r w:rsidRPr="00A75094">
              <w:rPr>
                <w:sz w:val="22"/>
                <w:szCs w:val="22"/>
              </w:rPr>
              <w:t>Easy-read information leaflets/DVDs are available on local health services and include details on how the needs of people with ID will be met.</w:t>
            </w:r>
          </w:p>
        </w:tc>
        <w:tc>
          <w:tcPr>
            <w:tcW w:w="1707" w:type="dxa"/>
          </w:tcPr>
          <w:p w14:paraId="1DD023B4" w14:textId="77777777" w:rsidR="00AC71AF" w:rsidRPr="00A75094" w:rsidRDefault="00AC71AF" w:rsidP="00C226D4">
            <w:pPr>
              <w:spacing w:before="20" w:after="20" w:line="240" w:lineRule="auto"/>
              <w:jc w:val="center"/>
              <w:rPr>
                <w:sz w:val="22"/>
                <w:szCs w:val="22"/>
              </w:rPr>
            </w:pPr>
            <w:r w:rsidRPr="00A75094">
              <w:rPr>
                <w:sz w:val="22"/>
                <w:szCs w:val="22"/>
              </w:rPr>
              <w:t>9</w:t>
            </w:r>
          </w:p>
          <w:p w14:paraId="54F66F2E" w14:textId="77777777" w:rsidR="00AC71AF" w:rsidRPr="00A75094" w:rsidRDefault="00AC71AF" w:rsidP="00C226D4">
            <w:pPr>
              <w:spacing w:before="20" w:after="20" w:line="240" w:lineRule="auto"/>
              <w:jc w:val="center"/>
              <w:rPr>
                <w:sz w:val="22"/>
                <w:szCs w:val="22"/>
              </w:rPr>
            </w:pPr>
            <w:r w:rsidRPr="00A75094">
              <w:rPr>
                <w:sz w:val="22"/>
                <w:szCs w:val="22"/>
              </w:rPr>
              <w:t>(1-10)</w:t>
            </w:r>
          </w:p>
        </w:tc>
        <w:tc>
          <w:tcPr>
            <w:tcW w:w="1701" w:type="dxa"/>
          </w:tcPr>
          <w:p w14:paraId="0D1419CC" w14:textId="77777777" w:rsidR="00AC71AF" w:rsidRPr="00A75094" w:rsidRDefault="00AC71AF" w:rsidP="00C226D4">
            <w:pPr>
              <w:spacing w:before="20" w:after="20" w:line="240" w:lineRule="auto"/>
              <w:jc w:val="center"/>
              <w:rPr>
                <w:sz w:val="22"/>
                <w:szCs w:val="22"/>
              </w:rPr>
            </w:pPr>
            <w:r w:rsidRPr="00A75094">
              <w:rPr>
                <w:sz w:val="22"/>
                <w:szCs w:val="22"/>
              </w:rPr>
              <w:t>7</w:t>
            </w:r>
          </w:p>
          <w:p w14:paraId="572E51AB" w14:textId="77777777" w:rsidR="00AC71AF" w:rsidRPr="00A75094" w:rsidRDefault="00AC71AF" w:rsidP="00C226D4">
            <w:pPr>
              <w:spacing w:before="20" w:after="20" w:line="240" w:lineRule="auto"/>
              <w:jc w:val="center"/>
              <w:rPr>
                <w:sz w:val="22"/>
                <w:szCs w:val="22"/>
              </w:rPr>
            </w:pPr>
            <w:r w:rsidRPr="00A75094">
              <w:rPr>
                <w:sz w:val="22"/>
                <w:szCs w:val="22"/>
              </w:rPr>
              <w:t>(1-10)</w:t>
            </w:r>
          </w:p>
        </w:tc>
      </w:tr>
      <w:tr w:rsidR="00A75094" w:rsidRPr="00A75094" w14:paraId="3B6883DD" w14:textId="77777777" w:rsidTr="00C226D4">
        <w:trPr>
          <w:trHeight w:val="354"/>
        </w:trPr>
        <w:tc>
          <w:tcPr>
            <w:tcW w:w="6799" w:type="dxa"/>
          </w:tcPr>
          <w:p w14:paraId="434931A9" w14:textId="77777777" w:rsidR="007E2ED4" w:rsidRPr="00A75094" w:rsidRDefault="007E2ED4" w:rsidP="00C226D4">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Partnerships and alliances are established between Government, NGO’s and ID agencies based around mutual respect with the aim of improving access to services.</w:t>
            </w:r>
          </w:p>
        </w:tc>
        <w:tc>
          <w:tcPr>
            <w:tcW w:w="1707" w:type="dxa"/>
          </w:tcPr>
          <w:p w14:paraId="6A02E866" w14:textId="77777777" w:rsidR="007E2ED4" w:rsidRPr="00A75094" w:rsidRDefault="007E2ED4" w:rsidP="00C226D4">
            <w:pPr>
              <w:spacing w:before="20" w:after="20" w:line="240" w:lineRule="auto"/>
              <w:jc w:val="center"/>
              <w:rPr>
                <w:sz w:val="22"/>
                <w:szCs w:val="22"/>
              </w:rPr>
            </w:pPr>
            <w:r w:rsidRPr="00A75094">
              <w:rPr>
                <w:sz w:val="22"/>
                <w:szCs w:val="22"/>
              </w:rPr>
              <w:t>9</w:t>
            </w:r>
          </w:p>
          <w:p w14:paraId="0C9A8040" w14:textId="77777777" w:rsidR="007E2ED4" w:rsidRPr="00A75094" w:rsidRDefault="007E2ED4" w:rsidP="00C226D4">
            <w:pPr>
              <w:spacing w:before="20" w:after="20" w:line="240" w:lineRule="auto"/>
              <w:jc w:val="center"/>
              <w:rPr>
                <w:sz w:val="22"/>
                <w:szCs w:val="22"/>
              </w:rPr>
            </w:pPr>
            <w:r w:rsidRPr="00A75094">
              <w:rPr>
                <w:sz w:val="22"/>
                <w:szCs w:val="22"/>
              </w:rPr>
              <w:t>(3-10)</w:t>
            </w:r>
          </w:p>
        </w:tc>
        <w:tc>
          <w:tcPr>
            <w:tcW w:w="1701" w:type="dxa"/>
          </w:tcPr>
          <w:p w14:paraId="1E36E002" w14:textId="77777777" w:rsidR="007E2ED4" w:rsidRPr="00A75094" w:rsidRDefault="007E2ED4" w:rsidP="00C226D4">
            <w:pPr>
              <w:spacing w:before="20" w:after="20" w:line="240" w:lineRule="auto"/>
              <w:jc w:val="center"/>
              <w:rPr>
                <w:sz w:val="22"/>
                <w:szCs w:val="22"/>
              </w:rPr>
            </w:pPr>
            <w:r w:rsidRPr="00A75094">
              <w:rPr>
                <w:sz w:val="22"/>
                <w:szCs w:val="22"/>
              </w:rPr>
              <w:t>6</w:t>
            </w:r>
          </w:p>
          <w:p w14:paraId="3A3C6E84" w14:textId="77777777" w:rsidR="007E2ED4" w:rsidRPr="00A75094" w:rsidRDefault="007E2ED4" w:rsidP="00C226D4">
            <w:pPr>
              <w:spacing w:before="20" w:after="20" w:line="240" w:lineRule="auto"/>
              <w:jc w:val="center"/>
              <w:rPr>
                <w:sz w:val="22"/>
                <w:szCs w:val="22"/>
              </w:rPr>
            </w:pPr>
            <w:r w:rsidRPr="00A75094">
              <w:rPr>
                <w:sz w:val="22"/>
                <w:szCs w:val="22"/>
              </w:rPr>
              <w:t>(1-10)</w:t>
            </w:r>
          </w:p>
        </w:tc>
      </w:tr>
      <w:tr w:rsidR="00A75094" w:rsidRPr="00A75094" w14:paraId="314621FC" w14:textId="77777777" w:rsidTr="00C226D4">
        <w:trPr>
          <w:trHeight w:val="354"/>
        </w:trPr>
        <w:tc>
          <w:tcPr>
            <w:tcW w:w="6799" w:type="dxa"/>
          </w:tcPr>
          <w:p w14:paraId="33977AD2" w14:textId="77777777" w:rsidR="007E2ED4" w:rsidRPr="00A75094" w:rsidRDefault="007E2ED4" w:rsidP="00C226D4">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 xml:space="preserve">The system actively seeks out people with intellectual disability to participate in health promotion/health prevention activities. </w:t>
            </w:r>
          </w:p>
        </w:tc>
        <w:tc>
          <w:tcPr>
            <w:tcW w:w="1707" w:type="dxa"/>
          </w:tcPr>
          <w:p w14:paraId="554F9358" w14:textId="77777777" w:rsidR="007E2ED4" w:rsidRPr="00A75094" w:rsidRDefault="007E2ED4" w:rsidP="00C226D4">
            <w:pPr>
              <w:spacing w:before="20" w:after="20" w:line="240" w:lineRule="auto"/>
              <w:jc w:val="center"/>
              <w:rPr>
                <w:sz w:val="22"/>
                <w:szCs w:val="22"/>
              </w:rPr>
            </w:pPr>
            <w:r w:rsidRPr="00A75094">
              <w:rPr>
                <w:sz w:val="22"/>
                <w:szCs w:val="22"/>
              </w:rPr>
              <w:t>9</w:t>
            </w:r>
          </w:p>
          <w:p w14:paraId="68D474A0" w14:textId="77777777" w:rsidR="007E2ED4" w:rsidRPr="00A75094" w:rsidRDefault="007E2ED4" w:rsidP="00C226D4">
            <w:pPr>
              <w:spacing w:before="20" w:after="20" w:line="240" w:lineRule="auto"/>
              <w:jc w:val="center"/>
              <w:rPr>
                <w:sz w:val="22"/>
                <w:szCs w:val="22"/>
              </w:rPr>
            </w:pPr>
            <w:r w:rsidRPr="00A75094">
              <w:rPr>
                <w:sz w:val="22"/>
                <w:szCs w:val="22"/>
              </w:rPr>
              <w:t>(1-10)</w:t>
            </w:r>
          </w:p>
        </w:tc>
        <w:tc>
          <w:tcPr>
            <w:tcW w:w="1701" w:type="dxa"/>
          </w:tcPr>
          <w:p w14:paraId="398B2047" w14:textId="77777777" w:rsidR="007E2ED4" w:rsidRPr="00A75094" w:rsidRDefault="007E2ED4" w:rsidP="00C226D4">
            <w:pPr>
              <w:spacing w:before="20" w:after="20" w:line="240" w:lineRule="auto"/>
              <w:jc w:val="center"/>
              <w:rPr>
                <w:sz w:val="22"/>
                <w:szCs w:val="22"/>
              </w:rPr>
            </w:pPr>
            <w:r w:rsidRPr="00A75094">
              <w:rPr>
                <w:sz w:val="22"/>
                <w:szCs w:val="22"/>
              </w:rPr>
              <w:t>6</w:t>
            </w:r>
          </w:p>
          <w:p w14:paraId="29620AD4" w14:textId="77777777" w:rsidR="007E2ED4" w:rsidRPr="00A75094" w:rsidRDefault="007E2ED4" w:rsidP="00C226D4">
            <w:pPr>
              <w:spacing w:before="20" w:after="20" w:line="240" w:lineRule="auto"/>
              <w:jc w:val="center"/>
              <w:rPr>
                <w:sz w:val="22"/>
                <w:szCs w:val="22"/>
              </w:rPr>
            </w:pPr>
            <w:r w:rsidRPr="00A75094">
              <w:rPr>
                <w:sz w:val="22"/>
                <w:szCs w:val="22"/>
              </w:rPr>
              <w:t>(1-10)</w:t>
            </w:r>
          </w:p>
        </w:tc>
      </w:tr>
      <w:tr w:rsidR="00A75094" w:rsidRPr="00A75094" w14:paraId="30C30DFF" w14:textId="77777777" w:rsidTr="00C226D4">
        <w:trPr>
          <w:trHeight w:val="354"/>
        </w:trPr>
        <w:tc>
          <w:tcPr>
            <w:tcW w:w="6799" w:type="dxa"/>
          </w:tcPr>
          <w:p w14:paraId="6A929883" w14:textId="77777777" w:rsidR="007E2ED4" w:rsidRPr="00A75094" w:rsidRDefault="007E2ED4" w:rsidP="00C226D4">
            <w:pPr>
              <w:spacing w:before="20" w:after="20" w:line="240" w:lineRule="auto"/>
              <w:rPr>
                <w:sz w:val="22"/>
                <w:szCs w:val="22"/>
              </w:rPr>
            </w:pPr>
            <w:r w:rsidRPr="00A75094">
              <w:rPr>
                <w:sz w:val="22"/>
                <w:szCs w:val="22"/>
              </w:rPr>
              <w:t>Health personnel (doctors and dentists) are re-</w:t>
            </w:r>
            <w:proofErr w:type="spellStart"/>
            <w:r w:rsidRPr="00A75094">
              <w:rPr>
                <w:sz w:val="22"/>
                <w:szCs w:val="22"/>
              </w:rPr>
              <w:t>imbursed</w:t>
            </w:r>
            <w:proofErr w:type="spellEnd"/>
            <w:r w:rsidRPr="00A75094">
              <w:rPr>
                <w:sz w:val="22"/>
                <w:szCs w:val="22"/>
              </w:rPr>
              <w:t xml:space="preserve"> for the extra time involved in assessing and treating people with ID.</w:t>
            </w:r>
          </w:p>
        </w:tc>
        <w:tc>
          <w:tcPr>
            <w:tcW w:w="1707" w:type="dxa"/>
          </w:tcPr>
          <w:p w14:paraId="14F1BCDF" w14:textId="77777777" w:rsidR="007E2ED4" w:rsidRPr="00A75094" w:rsidRDefault="007E2ED4" w:rsidP="00C226D4">
            <w:pPr>
              <w:spacing w:before="20" w:after="20" w:line="240" w:lineRule="auto"/>
              <w:jc w:val="center"/>
              <w:rPr>
                <w:sz w:val="22"/>
                <w:szCs w:val="22"/>
              </w:rPr>
            </w:pPr>
            <w:r w:rsidRPr="00A75094">
              <w:rPr>
                <w:sz w:val="22"/>
                <w:szCs w:val="22"/>
              </w:rPr>
              <w:t>9</w:t>
            </w:r>
          </w:p>
          <w:p w14:paraId="18E78457" w14:textId="77777777" w:rsidR="007E2ED4" w:rsidRPr="00A75094" w:rsidRDefault="007E2ED4" w:rsidP="00C226D4">
            <w:pPr>
              <w:spacing w:before="20" w:after="20" w:line="240" w:lineRule="auto"/>
              <w:jc w:val="center"/>
              <w:rPr>
                <w:sz w:val="22"/>
                <w:szCs w:val="22"/>
              </w:rPr>
            </w:pPr>
            <w:r w:rsidRPr="00A75094">
              <w:rPr>
                <w:sz w:val="22"/>
                <w:szCs w:val="22"/>
              </w:rPr>
              <w:t>(1-10)</w:t>
            </w:r>
          </w:p>
        </w:tc>
        <w:tc>
          <w:tcPr>
            <w:tcW w:w="1701" w:type="dxa"/>
          </w:tcPr>
          <w:p w14:paraId="04CCC278" w14:textId="77777777" w:rsidR="007E2ED4" w:rsidRPr="00A75094" w:rsidRDefault="007E2ED4" w:rsidP="00C226D4">
            <w:pPr>
              <w:spacing w:before="20" w:after="20" w:line="240" w:lineRule="auto"/>
              <w:jc w:val="center"/>
              <w:rPr>
                <w:sz w:val="22"/>
                <w:szCs w:val="22"/>
              </w:rPr>
            </w:pPr>
            <w:r w:rsidRPr="00A75094">
              <w:rPr>
                <w:sz w:val="22"/>
                <w:szCs w:val="22"/>
              </w:rPr>
              <w:t>6</w:t>
            </w:r>
          </w:p>
          <w:p w14:paraId="3E4D264C" w14:textId="77777777" w:rsidR="007E2ED4" w:rsidRPr="00A75094" w:rsidRDefault="007E2ED4" w:rsidP="00C226D4">
            <w:pPr>
              <w:spacing w:before="20" w:after="20" w:line="240" w:lineRule="auto"/>
              <w:jc w:val="center"/>
              <w:rPr>
                <w:sz w:val="22"/>
                <w:szCs w:val="22"/>
              </w:rPr>
            </w:pPr>
            <w:r w:rsidRPr="00A75094">
              <w:rPr>
                <w:sz w:val="22"/>
                <w:szCs w:val="22"/>
              </w:rPr>
              <w:t>(1-10)</w:t>
            </w:r>
          </w:p>
        </w:tc>
      </w:tr>
      <w:tr w:rsidR="00A75094" w:rsidRPr="00A75094" w14:paraId="57AFFB99" w14:textId="77777777" w:rsidTr="00C226D4">
        <w:trPr>
          <w:trHeight w:val="354"/>
        </w:trPr>
        <w:tc>
          <w:tcPr>
            <w:tcW w:w="6799" w:type="dxa"/>
          </w:tcPr>
          <w:p w14:paraId="45FCC80D" w14:textId="77777777" w:rsidR="007E2ED4" w:rsidRPr="00A75094" w:rsidRDefault="007E2ED4" w:rsidP="00C226D4">
            <w:pPr>
              <w:spacing w:before="20" w:after="20" w:line="240" w:lineRule="auto"/>
              <w:rPr>
                <w:sz w:val="22"/>
                <w:szCs w:val="22"/>
              </w:rPr>
            </w:pPr>
            <w:r w:rsidRPr="00A75094">
              <w:rPr>
                <w:sz w:val="22"/>
                <w:szCs w:val="22"/>
              </w:rPr>
              <w:t>Easy-read information leaflets/DVDs are available on keeping healthy.</w:t>
            </w:r>
          </w:p>
        </w:tc>
        <w:tc>
          <w:tcPr>
            <w:tcW w:w="1707" w:type="dxa"/>
          </w:tcPr>
          <w:p w14:paraId="0D938174" w14:textId="77777777" w:rsidR="007E2ED4" w:rsidRPr="00A75094" w:rsidRDefault="007E2ED4" w:rsidP="00C226D4">
            <w:pPr>
              <w:spacing w:before="20" w:after="20" w:line="240" w:lineRule="auto"/>
              <w:jc w:val="center"/>
              <w:rPr>
                <w:sz w:val="22"/>
                <w:szCs w:val="22"/>
              </w:rPr>
            </w:pPr>
            <w:r w:rsidRPr="00A75094">
              <w:rPr>
                <w:sz w:val="22"/>
                <w:szCs w:val="22"/>
              </w:rPr>
              <w:t>8</w:t>
            </w:r>
          </w:p>
          <w:p w14:paraId="6ED9F3BD" w14:textId="77777777" w:rsidR="007E2ED4" w:rsidRPr="00A75094" w:rsidRDefault="007E2ED4" w:rsidP="00C226D4">
            <w:pPr>
              <w:spacing w:before="20" w:after="20" w:line="240" w:lineRule="auto"/>
              <w:jc w:val="center"/>
              <w:rPr>
                <w:sz w:val="22"/>
                <w:szCs w:val="22"/>
              </w:rPr>
            </w:pPr>
            <w:r w:rsidRPr="00A75094">
              <w:rPr>
                <w:sz w:val="22"/>
                <w:szCs w:val="22"/>
              </w:rPr>
              <w:t>(1-10)</w:t>
            </w:r>
          </w:p>
        </w:tc>
        <w:tc>
          <w:tcPr>
            <w:tcW w:w="1701" w:type="dxa"/>
          </w:tcPr>
          <w:p w14:paraId="3A688722" w14:textId="77777777" w:rsidR="007E2ED4" w:rsidRPr="00A75094" w:rsidRDefault="007E2ED4" w:rsidP="00C226D4">
            <w:pPr>
              <w:spacing w:before="20" w:after="20" w:line="240" w:lineRule="auto"/>
              <w:jc w:val="center"/>
              <w:rPr>
                <w:sz w:val="22"/>
                <w:szCs w:val="22"/>
              </w:rPr>
            </w:pPr>
            <w:r w:rsidRPr="00A75094">
              <w:rPr>
                <w:sz w:val="22"/>
                <w:szCs w:val="22"/>
              </w:rPr>
              <w:t>8</w:t>
            </w:r>
          </w:p>
          <w:p w14:paraId="5714E55D" w14:textId="77777777" w:rsidR="007E2ED4" w:rsidRPr="00A75094" w:rsidRDefault="007E2ED4" w:rsidP="00C226D4">
            <w:pPr>
              <w:spacing w:before="20" w:after="20" w:line="240" w:lineRule="auto"/>
              <w:jc w:val="center"/>
              <w:rPr>
                <w:sz w:val="22"/>
                <w:szCs w:val="22"/>
              </w:rPr>
            </w:pPr>
            <w:r w:rsidRPr="00A75094">
              <w:rPr>
                <w:sz w:val="22"/>
                <w:szCs w:val="22"/>
              </w:rPr>
              <w:t>(1-10)</w:t>
            </w:r>
          </w:p>
        </w:tc>
      </w:tr>
      <w:tr w:rsidR="00A75094" w:rsidRPr="00A75094" w14:paraId="2CD243F4" w14:textId="77777777" w:rsidTr="00111CD3">
        <w:trPr>
          <w:trHeight w:val="354"/>
        </w:trPr>
        <w:tc>
          <w:tcPr>
            <w:tcW w:w="6799" w:type="dxa"/>
          </w:tcPr>
          <w:p w14:paraId="1553FC1E" w14:textId="77777777" w:rsidR="00852013" w:rsidRPr="00A75094" w:rsidRDefault="00852013" w:rsidP="00852013">
            <w:pPr>
              <w:spacing w:before="20" w:after="20" w:line="240" w:lineRule="auto"/>
              <w:rPr>
                <w:sz w:val="22"/>
                <w:szCs w:val="22"/>
              </w:rPr>
            </w:pPr>
            <w:r w:rsidRPr="00A75094">
              <w:rPr>
                <w:sz w:val="22"/>
                <w:szCs w:val="22"/>
              </w:rPr>
              <w:lastRenderedPageBreak/>
              <w:t xml:space="preserve">Personnel with ID experience are employed in the service system as advisers to other staff who </w:t>
            </w:r>
            <w:proofErr w:type="gramStart"/>
            <w:r w:rsidRPr="00A75094">
              <w:rPr>
                <w:sz w:val="22"/>
                <w:szCs w:val="22"/>
              </w:rPr>
              <w:t>come into contact with</w:t>
            </w:r>
            <w:proofErr w:type="gramEnd"/>
            <w:r w:rsidRPr="00A75094">
              <w:rPr>
                <w:sz w:val="22"/>
                <w:szCs w:val="22"/>
              </w:rPr>
              <w:t xml:space="preserve"> people with intellectual disabilities.</w:t>
            </w:r>
          </w:p>
        </w:tc>
        <w:tc>
          <w:tcPr>
            <w:tcW w:w="1707" w:type="dxa"/>
          </w:tcPr>
          <w:p w14:paraId="51FBD514" w14:textId="77777777" w:rsidR="00852013" w:rsidRPr="00A75094" w:rsidRDefault="00852013" w:rsidP="00852013">
            <w:pPr>
              <w:spacing w:before="20" w:after="20" w:line="240" w:lineRule="auto"/>
              <w:jc w:val="center"/>
              <w:rPr>
                <w:sz w:val="22"/>
                <w:szCs w:val="22"/>
              </w:rPr>
            </w:pPr>
            <w:r w:rsidRPr="00A75094">
              <w:rPr>
                <w:sz w:val="22"/>
                <w:szCs w:val="22"/>
              </w:rPr>
              <w:t>8</w:t>
            </w:r>
          </w:p>
          <w:p w14:paraId="452A335C" w14:textId="77777777" w:rsidR="00852013" w:rsidRPr="00A75094" w:rsidRDefault="00852013" w:rsidP="00852013">
            <w:pPr>
              <w:spacing w:before="20" w:after="20" w:line="240" w:lineRule="auto"/>
              <w:jc w:val="center"/>
              <w:rPr>
                <w:sz w:val="22"/>
                <w:szCs w:val="22"/>
              </w:rPr>
            </w:pPr>
            <w:r w:rsidRPr="00A75094">
              <w:rPr>
                <w:sz w:val="22"/>
                <w:szCs w:val="22"/>
              </w:rPr>
              <w:t>(1-10)</w:t>
            </w:r>
          </w:p>
        </w:tc>
        <w:tc>
          <w:tcPr>
            <w:tcW w:w="1701" w:type="dxa"/>
          </w:tcPr>
          <w:p w14:paraId="7F013B1E" w14:textId="77777777" w:rsidR="00852013" w:rsidRPr="00A75094" w:rsidRDefault="00852013" w:rsidP="00852013">
            <w:pPr>
              <w:spacing w:before="20" w:after="20" w:line="240" w:lineRule="auto"/>
              <w:jc w:val="center"/>
              <w:rPr>
                <w:sz w:val="22"/>
                <w:szCs w:val="22"/>
              </w:rPr>
            </w:pPr>
            <w:r w:rsidRPr="00A75094">
              <w:rPr>
                <w:sz w:val="22"/>
                <w:szCs w:val="22"/>
              </w:rPr>
              <w:t>7</w:t>
            </w:r>
          </w:p>
          <w:p w14:paraId="6D45E0E9" w14:textId="77777777" w:rsidR="00852013" w:rsidRPr="00A75094" w:rsidRDefault="00852013" w:rsidP="00852013">
            <w:pPr>
              <w:spacing w:before="20" w:after="20" w:line="240" w:lineRule="auto"/>
              <w:jc w:val="center"/>
              <w:rPr>
                <w:sz w:val="22"/>
                <w:szCs w:val="22"/>
              </w:rPr>
            </w:pPr>
            <w:r w:rsidRPr="00A75094">
              <w:rPr>
                <w:sz w:val="22"/>
                <w:szCs w:val="22"/>
              </w:rPr>
              <w:t>(1-10)</w:t>
            </w:r>
          </w:p>
        </w:tc>
      </w:tr>
      <w:tr w:rsidR="00A75094" w:rsidRPr="00A75094" w14:paraId="44DADC22" w14:textId="77777777" w:rsidTr="00111CD3">
        <w:trPr>
          <w:trHeight w:val="354"/>
        </w:trPr>
        <w:tc>
          <w:tcPr>
            <w:tcW w:w="6799" w:type="dxa"/>
          </w:tcPr>
          <w:p w14:paraId="1985C47B" w14:textId="77777777" w:rsidR="00852013" w:rsidRPr="00A75094" w:rsidRDefault="00852013" w:rsidP="00852013">
            <w:pPr>
              <w:pBdr>
                <w:top w:val="nil"/>
                <w:left w:val="nil"/>
                <w:bottom w:val="nil"/>
                <w:right w:val="nil"/>
                <w:between w:val="nil"/>
                <w:bar w:val="nil"/>
              </w:pBdr>
              <w:spacing w:before="20" w:after="20" w:line="240" w:lineRule="auto"/>
              <w:rPr>
                <w:rFonts w:eastAsia="Calibri" w:cs="Calibri"/>
                <w:sz w:val="22"/>
                <w:szCs w:val="22"/>
                <w:u w:color="000000"/>
                <w:bdr w:val="nil"/>
                <w:lang w:val="en-US" w:eastAsia="zh-CN"/>
              </w:rPr>
            </w:pPr>
            <w:r w:rsidRPr="00A75094">
              <w:rPr>
                <w:rFonts w:eastAsia="Calibri" w:cs="Calibri"/>
                <w:sz w:val="22"/>
                <w:szCs w:val="22"/>
                <w:u w:color="000000"/>
                <w:bdr w:val="nil"/>
                <w:lang w:val="en-US" w:eastAsia="zh-CN"/>
              </w:rPr>
              <w:t>Processes are in place (e.g. surveys) to monitor changes in staff attitudes towards the inclusion of people with ID and proposals sought from staff as to how inclusion could be improved.</w:t>
            </w:r>
          </w:p>
        </w:tc>
        <w:tc>
          <w:tcPr>
            <w:tcW w:w="1707" w:type="dxa"/>
          </w:tcPr>
          <w:p w14:paraId="3BCF582F" w14:textId="77777777" w:rsidR="00852013" w:rsidRPr="00A75094" w:rsidRDefault="00852013" w:rsidP="00852013">
            <w:pPr>
              <w:spacing w:before="20" w:after="20" w:line="240" w:lineRule="auto"/>
              <w:jc w:val="center"/>
              <w:rPr>
                <w:sz w:val="22"/>
                <w:szCs w:val="22"/>
              </w:rPr>
            </w:pPr>
            <w:r w:rsidRPr="00A75094">
              <w:rPr>
                <w:sz w:val="22"/>
                <w:szCs w:val="22"/>
              </w:rPr>
              <w:t>8</w:t>
            </w:r>
          </w:p>
          <w:p w14:paraId="1C76D114" w14:textId="77777777" w:rsidR="00852013" w:rsidRPr="00A75094" w:rsidRDefault="00852013" w:rsidP="00852013">
            <w:pPr>
              <w:spacing w:before="20" w:after="20" w:line="240" w:lineRule="auto"/>
              <w:jc w:val="center"/>
              <w:rPr>
                <w:sz w:val="22"/>
                <w:szCs w:val="22"/>
              </w:rPr>
            </w:pPr>
            <w:r w:rsidRPr="00A75094">
              <w:rPr>
                <w:sz w:val="22"/>
                <w:szCs w:val="22"/>
              </w:rPr>
              <w:t>(1-10)</w:t>
            </w:r>
          </w:p>
        </w:tc>
        <w:tc>
          <w:tcPr>
            <w:tcW w:w="1701" w:type="dxa"/>
          </w:tcPr>
          <w:p w14:paraId="153FA31E" w14:textId="77777777" w:rsidR="00852013" w:rsidRPr="00A75094" w:rsidRDefault="00852013" w:rsidP="00852013">
            <w:pPr>
              <w:spacing w:before="20" w:after="20" w:line="240" w:lineRule="auto"/>
              <w:jc w:val="center"/>
              <w:rPr>
                <w:sz w:val="22"/>
                <w:szCs w:val="22"/>
              </w:rPr>
            </w:pPr>
            <w:r w:rsidRPr="00A75094">
              <w:rPr>
                <w:sz w:val="22"/>
                <w:szCs w:val="22"/>
              </w:rPr>
              <w:t>6</w:t>
            </w:r>
          </w:p>
          <w:p w14:paraId="456167E0" w14:textId="77777777" w:rsidR="00852013" w:rsidRPr="00A75094" w:rsidRDefault="00852013" w:rsidP="00852013">
            <w:pPr>
              <w:spacing w:before="20" w:after="20" w:line="240" w:lineRule="auto"/>
              <w:jc w:val="center"/>
              <w:rPr>
                <w:sz w:val="22"/>
                <w:szCs w:val="22"/>
              </w:rPr>
            </w:pPr>
            <w:r w:rsidRPr="00A75094">
              <w:rPr>
                <w:sz w:val="22"/>
                <w:szCs w:val="22"/>
              </w:rPr>
              <w:t>(1-10)</w:t>
            </w:r>
          </w:p>
        </w:tc>
      </w:tr>
      <w:tr w:rsidR="00A75094" w:rsidRPr="00A75094" w14:paraId="4D38EFE5" w14:textId="77777777" w:rsidTr="00C226D4">
        <w:trPr>
          <w:trHeight w:val="354"/>
        </w:trPr>
        <w:tc>
          <w:tcPr>
            <w:tcW w:w="6799" w:type="dxa"/>
          </w:tcPr>
          <w:p w14:paraId="1B3BE370" w14:textId="77777777" w:rsidR="00ED3F67" w:rsidRPr="00A75094" w:rsidRDefault="00ED3F67" w:rsidP="00C226D4">
            <w:pPr>
              <w:spacing w:before="20" w:after="20" w:line="240" w:lineRule="auto"/>
              <w:rPr>
                <w:sz w:val="22"/>
                <w:szCs w:val="22"/>
              </w:rPr>
            </w:pPr>
            <w:r w:rsidRPr="00A75094">
              <w:rPr>
                <w:sz w:val="22"/>
                <w:szCs w:val="22"/>
              </w:rPr>
              <w:t>Politicians and other leaders/opinion formers promote the inclusion of people with ID in society.</w:t>
            </w:r>
          </w:p>
        </w:tc>
        <w:tc>
          <w:tcPr>
            <w:tcW w:w="1707" w:type="dxa"/>
          </w:tcPr>
          <w:p w14:paraId="6391066B" w14:textId="77777777" w:rsidR="00ED3F67" w:rsidRPr="00A75094" w:rsidRDefault="00ED3F67" w:rsidP="00C226D4">
            <w:pPr>
              <w:spacing w:before="20" w:after="20" w:line="240" w:lineRule="auto"/>
              <w:jc w:val="center"/>
              <w:rPr>
                <w:sz w:val="22"/>
                <w:szCs w:val="22"/>
              </w:rPr>
            </w:pPr>
            <w:r w:rsidRPr="00A75094">
              <w:rPr>
                <w:sz w:val="22"/>
                <w:szCs w:val="22"/>
              </w:rPr>
              <w:t>8</w:t>
            </w:r>
          </w:p>
          <w:p w14:paraId="4DB022B1" w14:textId="77777777" w:rsidR="00ED3F67" w:rsidRPr="00A75094" w:rsidRDefault="00ED3F67" w:rsidP="00C226D4">
            <w:pPr>
              <w:spacing w:before="20" w:after="20" w:line="240" w:lineRule="auto"/>
              <w:jc w:val="center"/>
              <w:rPr>
                <w:sz w:val="22"/>
                <w:szCs w:val="22"/>
              </w:rPr>
            </w:pPr>
            <w:r w:rsidRPr="00A75094">
              <w:rPr>
                <w:sz w:val="22"/>
                <w:szCs w:val="22"/>
              </w:rPr>
              <w:t>(0-10)</w:t>
            </w:r>
          </w:p>
        </w:tc>
        <w:tc>
          <w:tcPr>
            <w:tcW w:w="1701" w:type="dxa"/>
          </w:tcPr>
          <w:p w14:paraId="792FC8BF" w14:textId="77777777" w:rsidR="00ED3F67" w:rsidRPr="00A75094" w:rsidRDefault="00ED3F67" w:rsidP="00C226D4">
            <w:pPr>
              <w:spacing w:before="20" w:after="20" w:line="240" w:lineRule="auto"/>
              <w:jc w:val="center"/>
              <w:rPr>
                <w:sz w:val="22"/>
                <w:szCs w:val="22"/>
              </w:rPr>
            </w:pPr>
            <w:r w:rsidRPr="00A75094">
              <w:rPr>
                <w:sz w:val="22"/>
                <w:szCs w:val="22"/>
              </w:rPr>
              <w:t>6</w:t>
            </w:r>
          </w:p>
          <w:p w14:paraId="39354F88" w14:textId="77777777" w:rsidR="00ED3F67" w:rsidRPr="00A75094" w:rsidRDefault="00ED3F67" w:rsidP="00C226D4">
            <w:pPr>
              <w:spacing w:before="20" w:after="20" w:line="240" w:lineRule="auto"/>
              <w:jc w:val="center"/>
              <w:rPr>
                <w:sz w:val="22"/>
                <w:szCs w:val="22"/>
              </w:rPr>
            </w:pPr>
            <w:r w:rsidRPr="00A75094">
              <w:rPr>
                <w:sz w:val="22"/>
                <w:szCs w:val="22"/>
              </w:rPr>
              <w:t>(1-10)</w:t>
            </w:r>
          </w:p>
        </w:tc>
      </w:tr>
    </w:tbl>
    <w:p w14:paraId="5554B957" w14:textId="77777777" w:rsidR="00EF0856" w:rsidRPr="00A75094" w:rsidRDefault="00EF0856" w:rsidP="00EF0856">
      <w:pPr>
        <w:spacing w:line="240" w:lineRule="auto"/>
        <w:rPr>
          <w:b/>
        </w:rPr>
      </w:pPr>
    </w:p>
    <w:p w14:paraId="0803C3BD" w14:textId="77777777" w:rsidR="00D777AB" w:rsidRPr="00A75094" w:rsidRDefault="00D777AB">
      <w:pPr>
        <w:spacing w:line="240" w:lineRule="auto"/>
        <w:rPr>
          <w:b/>
        </w:rPr>
      </w:pPr>
      <w:r w:rsidRPr="00A75094">
        <w:rPr>
          <w:b/>
        </w:rPr>
        <w:br w:type="page"/>
      </w:r>
    </w:p>
    <w:p w14:paraId="2E57293B" w14:textId="76A3E136" w:rsidR="00EF0856" w:rsidRPr="00A75094" w:rsidRDefault="00EF0856" w:rsidP="00EF0856">
      <w:pPr>
        <w:spacing w:line="240" w:lineRule="auto"/>
        <w:rPr>
          <w:b/>
        </w:rPr>
      </w:pPr>
      <w:r w:rsidRPr="00A75094">
        <w:rPr>
          <w:b/>
        </w:rPr>
        <w:lastRenderedPageBreak/>
        <w:t xml:space="preserve">Table 3:  Ratings for Indicators of Health Disparities </w:t>
      </w:r>
    </w:p>
    <w:tbl>
      <w:tblPr>
        <w:tblStyle w:val="TableGrid8"/>
        <w:tblpPr w:leftFromText="180" w:rightFromText="180" w:vertAnchor="page" w:horzAnchor="margin" w:tblpXSpec="center" w:tblpY="2001"/>
        <w:tblW w:w="10060" w:type="dxa"/>
        <w:tblLayout w:type="fixed"/>
        <w:tblLook w:val="04A0" w:firstRow="1" w:lastRow="0" w:firstColumn="1" w:lastColumn="0" w:noHBand="0" w:noVBand="1"/>
      </w:tblPr>
      <w:tblGrid>
        <w:gridCol w:w="6658"/>
        <w:gridCol w:w="1842"/>
        <w:gridCol w:w="1560"/>
      </w:tblGrid>
      <w:tr w:rsidR="00A75094" w:rsidRPr="00A75094" w14:paraId="0C1DB615" w14:textId="77777777" w:rsidTr="00D777AB">
        <w:trPr>
          <w:trHeight w:val="354"/>
        </w:trPr>
        <w:tc>
          <w:tcPr>
            <w:tcW w:w="6658" w:type="dxa"/>
            <w:shd w:val="clear" w:color="auto" w:fill="auto"/>
          </w:tcPr>
          <w:p w14:paraId="209D56A0" w14:textId="77777777" w:rsidR="00D777AB" w:rsidRPr="00A75094" w:rsidRDefault="00D777AB" w:rsidP="00D777AB">
            <w:pPr>
              <w:spacing w:before="40" w:after="40" w:line="240" w:lineRule="auto"/>
              <w:jc w:val="center"/>
              <w:rPr>
                <w:b/>
                <w:sz w:val="20"/>
                <w:szCs w:val="20"/>
              </w:rPr>
            </w:pPr>
            <w:r w:rsidRPr="00A75094">
              <w:rPr>
                <w:b/>
                <w:sz w:val="20"/>
                <w:szCs w:val="20"/>
              </w:rPr>
              <w:t>Possible indicator</w:t>
            </w:r>
          </w:p>
        </w:tc>
        <w:tc>
          <w:tcPr>
            <w:tcW w:w="1842" w:type="dxa"/>
            <w:shd w:val="clear" w:color="auto" w:fill="auto"/>
          </w:tcPr>
          <w:p w14:paraId="4F10FC89" w14:textId="77777777" w:rsidR="00D777AB" w:rsidRPr="00A75094" w:rsidRDefault="00D777AB" w:rsidP="00D777AB">
            <w:pPr>
              <w:spacing w:before="40" w:after="40" w:line="240" w:lineRule="auto"/>
              <w:jc w:val="center"/>
              <w:rPr>
                <w:b/>
                <w:sz w:val="20"/>
                <w:szCs w:val="20"/>
              </w:rPr>
            </w:pPr>
            <w:r w:rsidRPr="00A75094">
              <w:rPr>
                <w:b/>
                <w:sz w:val="20"/>
                <w:szCs w:val="20"/>
              </w:rPr>
              <w:t>Median (range) Relevance rating</w:t>
            </w:r>
          </w:p>
        </w:tc>
        <w:tc>
          <w:tcPr>
            <w:tcW w:w="1560" w:type="dxa"/>
            <w:shd w:val="clear" w:color="auto" w:fill="auto"/>
          </w:tcPr>
          <w:p w14:paraId="59B4E763" w14:textId="77777777" w:rsidR="00D777AB" w:rsidRPr="00A75094" w:rsidRDefault="00D777AB" w:rsidP="00D777AB">
            <w:pPr>
              <w:spacing w:before="40" w:after="40" w:line="240" w:lineRule="auto"/>
              <w:jc w:val="center"/>
              <w:rPr>
                <w:b/>
                <w:sz w:val="20"/>
                <w:szCs w:val="20"/>
              </w:rPr>
            </w:pPr>
            <w:r w:rsidRPr="00A75094">
              <w:rPr>
                <w:b/>
                <w:sz w:val="20"/>
                <w:szCs w:val="20"/>
              </w:rPr>
              <w:t>Median (range)  Feasibility rating</w:t>
            </w:r>
          </w:p>
        </w:tc>
      </w:tr>
      <w:tr w:rsidR="00A75094" w:rsidRPr="00A75094" w14:paraId="02520EDE" w14:textId="77777777" w:rsidTr="00D777AB">
        <w:trPr>
          <w:trHeight w:val="354"/>
        </w:trPr>
        <w:tc>
          <w:tcPr>
            <w:tcW w:w="6658" w:type="dxa"/>
          </w:tcPr>
          <w:p w14:paraId="6ADEF36E" w14:textId="77777777" w:rsidR="00D777AB" w:rsidRPr="00A75094" w:rsidRDefault="00D777AB" w:rsidP="00D777AB">
            <w:pPr>
              <w:spacing w:before="40" w:after="40" w:line="240" w:lineRule="auto"/>
              <w:rPr>
                <w:sz w:val="22"/>
                <w:szCs w:val="22"/>
              </w:rPr>
            </w:pPr>
            <w:r w:rsidRPr="00A75094">
              <w:rPr>
                <w:sz w:val="22"/>
                <w:szCs w:val="22"/>
              </w:rPr>
              <w:t>People with ID are identified in the databases of the (service) population.  (e.g. in national population datasets)</w:t>
            </w:r>
          </w:p>
        </w:tc>
        <w:tc>
          <w:tcPr>
            <w:tcW w:w="1842" w:type="dxa"/>
          </w:tcPr>
          <w:p w14:paraId="062DBED2" w14:textId="77777777" w:rsidR="00D777AB" w:rsidRPr="00A75094" w:rsidRDefault="00D777AB" w:rsidP="00D777AB">
            <w:pPr>
              <w:spacing w:before="40" w:after="40" w:line="240" w:lineRule="auto"/>
              <w:jc w:val="center"/>
              <w:rPr>
                <w:sz w:val="22"/>
                <w:szCs w:val="22"/>
              </w:rPr>
            </w:pPr>
            <w:r w:rsidRPr="00A75094">
              <w:rPr>
                <w:sz w:val="22"/>
                <w:szCs w:val="22"/>
              </w:rPr>
              <w:t>9.5</w:t>
            </w:r>
          </w:p>
          <w:p w14:paraId="23FE3B82"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6B3DAD0F" w14:textId="77777777" w:rsidR="00D777AB" w:rsidRPr="00A75094" w:rsidRDefault="00D777AB" w:rsidP="00D777AB">
            <w:pPr>
              <w:spacing w:before="40" w:after="40" w:line="240" w:lineRule="auto"/>
              <w:jc w:val="center"/>
              <w:rPr>
                <w:sz w:val="22"/>
                <w:szCs w:val="22"/>
              </w:rPr>
            </w:pPr>
            <w:r w:rsidRPr="00A75094">
              <w:rPr>
                <w:sz w:val="22"/>
                <w:szCs w:val="22"/>
              </w:rPr>
              <w:t>6</w:t>
            </w:r>
          </w:p>
          <w:p w14:paraId="3825198D"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6E6BC595" w14:textId="77777777" w:rsidTr="00D777AB">
        <w:trPr>
          <w:trHeight w:val="354"/>
        </w:trPr>
        <w:tc>
          <w:tcPr>
            <w:tcW w:w="6658" w:type="dxa"/>
          </w:tcPr>
          <w:p w14:paraId="2111098E" w14:textId="77777777" w:rsidR="00D777AB" w:rsidRPr="00A75094" w:rsidRDefault="00D777AB" w:rsidP="00D777AB">
            <w:pPr>
              <w:spacing w:before="40" w:after="40" w:line="240" w:lineRule="auto"/>
              <w:rPr>
                <w:sz w:val="22"/>
                <w:szCs w:val="22"/>
              </w:rPr>
            </w:pPr>
            <w:r w:rsidRPr="00A75094">
              <w:rPr>
                <w:sz w:val="22"/>
                <w:szCs w:val="22"/>
              </w:rPr>
              <w:t>Mortality rates are tracked and reported publicly for people with ID compared to the General population.   Changes over time are reported.</w:t>
            </w:r>
          </w:p>
        </w:tc>
        <w:tc>
          <w:tcPr>
            <w:tcW w:w="1842" w:type="dxa"/>
          </w:tcPr>
          <w:p w14:paraId="25A85B31" w14:textId="77777777" w:rsidR="00D777AB" w:rsidRPr="00A75094" w:rsidRDefault="00D777AB" w:rsidP="00D777AB">
            <w:pPr>
              <w:spacing w:before="40" w:after="40" w:line="240" w:lineRule="auto"/>
              <w:jc w:val="center"/>
              <w:rPr>
                <w:sz w:val="22"/>
                <w:szCs w:val="22"/>
              </w:rPr>
            </w:pPr>
            <w:r w:rsidRPr="00A75094">
              <w:rPr>
                <w:sz w:val="22"/>
                <w:szCs w:val="22"/>
              </w:rPr>
              <w:t>9</w:t>
            </w:r>
          </w:p>
          <w:p w14:paraId="46BF1FAC"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2D2EDE28" w14:textId="77777777" w:rsidR="00D777AB" w:rsidRPr="00A75094" w:rsidRDefault="00D777AB" w:rsidP="00D777AB">
            <w:pPr>
              <w:spacing w:before="40" w:after="40" w:line="240" w:lineRule="auto"/>
              <w:jc w:val="center"/>
              <w:rPr>
                <w:sz w:val="22"/>
                <w:szCs w:val="22"/>
              </w:rPr>
            </w:pPr>
            <w:r w:rsidRPr="00A75094">
              <w:rPr>
                <w:sz w:val="22"/>
                <w:szCs w:val="22"/>
              </w:rPr>
              <w:t>7</w:t>
            </w:r>
          </w:p>
          <w:p w14:paraId="7A0D61BF"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4F547EB9" w14:textId="77777777" w:rsidTr="00D777AB">
        <w:trPr>
          <w:trHeight w:val="354"/>
        </w:trPr>
        <w:tc>
          <w:tcPr>
            <w:tcW w:w="6658" w:type="dxa"/>
          </w:tcPr>
          <w:p w14:paraId="3787E63B" w14:textId="77777777" w:rsidR="00D777AB" w:rsidRPr="00A75094" w:rsidRDefault="00D777AB" w:rsidP="00D777AB">
            <w:pPr>
              <w:spacing w:before="40" w:after="40" w:line="240" w:lineRule="auto"/>
              <w:rPr>
                <w:sz w:val="22"/>
                <w:szCs w:val="22"/>
              </w:rPr>
            </w:pPr>
            <w:r w:rsidRPr="00A75094">
              <w:rPr>
                <w:sz w:val="22"/>
                <w:szCs w:val="22"/>
              </w:rPr>
              <w:t>The life expectancy of people with ID is compared to that of the general population.  Changes over time are reported.</w:t>
            </w:r>
          </w:p>
        </w:tc>
        <w:tc>
          <w:tcPr>
            <w:tcW w:w="1842" w:type="dxa"/>
          </w:tcPr>
          <w:p w14:paraId="73983E12" w14:textId="77777777" w:rsidR="00D777AB" w:rsidRPr="00A75094" w:rsidRDefault="00D777AB" w:rsidP="00D777AB">
            <w:pPr>
              <w:spacing w:before="40" w:after="40" w:line="240" w:lineRule="auto"/>
              <w:jc w:val="center"/>
              <w:rPr>
                <w:sz w:val="22"/>
                <w:szCs w:val="22"/>
              </w:rPr>
            </w:pPr>
            <w:r w:rsidRPr="00A75094">
              <w:rPr>
                <w:sz w:val="22"/>
                <w:szCs w:val="22"/>
              </w:rPr>
              <w:t>9</w:t>
            </w:r>
          </w:p>
          <w:p w14:paraId="3292342C"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2DE84ABC" w14:textId="77777777" w:rsidR="00D777AB" w:rsidRPr="00A75094" w:rsidRDefault="00D777AB" w:rsidP="00D777AB">
            <w:pPr>
              <w:spacing w:before="40" w:after="40" w:line="240" w:lineRule="auto"/>
              <w:jc w:val="center"/>
              <w:rPr>
                <w:sz w:val="22"/>
                <w:szCs w:val="22"/>
              </w:rPr>
            </w:pPr>
            <w:r w:rsidRPr="00A75094">
              <w:rPr>
                <w:sz w:val="22"/>
                <w:szCs w:val="22"/>
              </w:rPr>
              <w:t>7</w:t>
            </w:r>
          </w:p>
          <w:p w14:paraId="4387E477"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26853C53" w14:textId="77777777" w:rsidTr="00D777AB">
        <w:trPr>
          <w:trHeight w:val="354"/>
        </w:trPr>
        <w:tc>
          <w:tcPr>
            <w:tcW w:w="6658" w:type="dxa"/>
          </w:tcPr>
          <w:p w14:paraId="778E62B5" w14:textId="77777777" w:rsidR="00D777AB" w:rsidRPr="00A75094" w:rsidRDefault="00D777AB" w:rsidP="00D777AB">
            <w:pPr>
              <w:spacing w:before="40" w:after="40" w:line="240" w:lineRule="auto"/>
              <w:rPr>
                <w:sz w:val="22"/>
                <w:szCs w:val="22"/>
              </w:rPr>
            </w:pPr>
            <w:r w:rsidRPr="00A75094">
              <w:rPr>
                <w:sz w:val="22"/>
                <w:szCs w:val="22"/>
              </w:rPr>
              <w:t>The use of services by people with ID can be compared to people who are non-disabled and /or people with other forms of disability.</w:t>
            </w:r>
          </w:p>
        </w:tc>
        <w:tc>
          <w:tcPr>
            <w:tcW w:w="1842" w:type="dxa"/>
          </w:tcPr>
          <w:p w14:paraId="2C6DC25A" w14:textId="77777777" w:rsidR="00D777AB" w:rsidRPr="00A75094" w:rsidRDefault="00D777AB" w:rsidP="00D777AB">
            <w:pPr>
              <w:spacing w:before="40" w:after="40" w:line="240" w:lineRule="auto"/>
              <w:jc w:val="center"/>
              <w:rPr>
                <w:sz w:val="22"/>
                <w:szCs w:val="22"/>
              </w:rPr>
            </w:pPr>
            <w:r w:rsidRPr="00A75094">
              <w:rPr>
                <w:sz w:val="22"/>
                <w:szCs w:val="22"/>
              </w:rPr>
              <w:t>9</w:t>
            </w:r>
          </w:p>
          <w:p w14:paraId="09C5AF45"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7FE1A2DC" w14:textId="77777777" w:rsidR="00D777AB" w:rsidRPr="00A75094" w:rsidRDefault="00D777AB" w:rsidP="00D777AB">
            <w:pPr>
              <w:spacing w:before="40" w:after="40" w:line="240" w:lineRule="auto"/>
              <w:jc w:val="center"/>
              <w:rPr>
                <w:sz w:val="22"/>
                <w:szCs w:val="22"/>
              </w:rPr>
            </w:pPr>
            <w:r w:rsidRPr="00A75094">
              <w:rPr>
                <w:sz w:val="22"/>
                <w:szCs w:val="22"/>
              </w:rPr>
              <w:t>6</w:t>
            </w:r>
          </w:p>
          <w:p w14:paraId="0E31C5FD"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0F079CA5" w14:textId="77777777" w:rsidTr="00D777AB">
        <w:trPr>
          <w:trHeight w:val="354"/>
        </w:trPr>
        <w:tc>
          <w:tcPr>
            <w:tcW w:w="6658" w:type="dxa"/>
          </w:tcPr>
          <w:p w14:paraId="60680595" w14:textId="77777777" w:rsidR="00D777AB" w:rsidRPr="00A75094" w:rsidRDefault="00D777AB" w:rsidP="00D777AB">
            <w:pPr>
              <w:spacing w:before="40" w:after="40" w:line="240" w:lineRule="auto"/>
              <w:rPr>
                <w:sz w:val="22"/>
                <w:szCs w:val="22"/>
              </w:rPr>
            </w:pPr>
            <w:r w:rsidRPr="00A75094">
              <w:rPr>
                <w:sz w:val="22"/>
                <w:szCs w:val="22"/>
              </w:rPr>
              <w:t>Immunisation rates for people with ID are compared to general population.  Changes over time are reported.</w:t>
            </w:r>
          </w:p>
        </w:tc>
        <w:tc>
          <w:tcPr>
            <w:tcW w:w="1842" w:type="dxa"/>
          </w:tcPr>
          <w:p w14:paraId="11AAFF45" w14:textId="77777777" w:rsidR="00D777AB" w:rsidRPr="00A75094" w:rsidRDefault="00D777AB" w:rsidP="00D777AB">
            <w:pPr>
              <w:spacing w:before="40" w:after="40" w:line="240" w:lineRule="auto"/>
              <w:jc w:val="center"/>
              <w:rPr>
                <w:sz w:val="22"/>
                <w:szCs w:val="22"/>
              </w:rPr>
            </w:pPr>
            <w:r w:rsidRPr="00A75094">
              <w:rPr>
                <w:sz w:val="22"/>
                <w:szCs w:val="22"/>
              </w:rPr>
              <w:t>9</w:t>
            </w:r>
          </w:p>
          <w:p w14:paraId="680FC13F"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3F757D28" w14:textId="77777777" w:rsidR="00D777AB" w:rsidRPr="00A75094" w:rsidRDefault="00D777AB" w:rsidP="00D777AB">
            <w:pPr>
              <w:spacing w:before="40" w:after="40" w:line="240" w:lineRule="auto"/>
              <w:jc w:val="center"/>
              <w:rPr>
                <w:sz w:val="22"/>
                <w:szCs w:val="22"/>
              </w:rPr>
            </w:pPr>
            <w:r w:rsidRPr="00A75094">
              <w:rPr>
                <w:sz w:val="22"/>
                <w:szCs w:val="22"/>
              </w:rPr>
              <w:t>6</w:t>
            </w:r>
          </w:p>
          <w:p w14:paraId="194F3742"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33DB8A74" w14:textId="77777777" w:rsidTr="00D777AB">
        <w:trPr>
          <w:trHeight w:val="354"/>
        </w:trPr>
        <w:tc>
          <w:tcPr>
            <w:tcW w:w="6658" w:type="dxa"/>
          </w:tcPr>
          <w:p w14:paraId="32112C3A" w14:textId="77777777" w:rsidR="00D777AB" w:rsidRPr="00A75094" w:rsidRDefault="00D777AB" w:rsidP="00D777AB">
            <w:pPr>
              <w:spacing w:before="40" w:after="40" w:line="240" w:lineRule="auto"/>
              <w:rPr>
                <w:sz w:val="22"/>
                <w:szCs w:val="22"/>
              </w:rPr>
            </w:pPr>
            <w:r w:rsidRPr="00A75094">
              <w:rPr>
                <w:sz w:val="22"/>
                <w:szCs w:val="22"/>
              </w:rPr>
              <w:t>Uptake of national screening programs by people with ID can be compared to general population.  Changes over time are reported.</w:t>
            </w:r>
          </w:p>
        </w:tc>
        <w:tc>
          <w:tcPr>
            <w:tcW w:w="1842" w:type="dxa"/>
          </w:tcPr>
          <w:p w14:paraId="57DA6F15" w14:textId="77777777" w:rsidR="00D777AB" w:rsidRPr="00A75094" w:rsidRDefault="00D777AB" w:rsidP="00D777AB">
            <w:pPr>
              <w:spacing w:before="40" w:after="40" w:line="240" w:lineRule="auto"/>
              <w:jc w:val="center"/>
              <w:rPr>
                <w:sz w:val="22"/>
                <w:szCs w:val="22"/>
              </w:rPr>
            </w:pPr>
            <w:r w:rsidRPr="00A75094">
              <w:rPr>
                <w:sz w:val="22"/>
                <w:szCs w:val="22"/>
              </w:rPr>
              <w:t>9</w:t>
            </w:r>
          </w:p>
          <w:p w14:paraId="71E45370"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5F61F595" w14:textId="77777777" w:rsidR="00D777AB" w:rsidRPr="00A75094" w:rsidRDefault="00D777AB" w:rsidP="00D777AB">
            <w:pPr>
              <w:spacing w:before="40" w:after="40" w:line="240" w:lineRule="auto"/>
              <w:jc w:val="center"/>
              <w:rPr>
                <w:sz w:val="22"/>
                <w:szCs w:val="22"/>
              </w:rPr>
            </w:pPr>
            <w:r w:rsidRPr="00A75094">
              <w:rPr>
                <w:sz w:val="22"/>
                <w:szCs w:val="22"/>
              </w:rPr>
              <w:t>6</w:t>
            </w:r>
          </w:p>
          <w:p w14:paraId="4C1745BF"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15F2E860" w14:textId="77777777" w:rsidTr="00D777AB">
        <w:trPr>
          <w:trHeight w:val="354"/>
        </w:trPr>
        <w:tc>
          <w:tcPr>
            <w:tcW w:w="6658" w:type="dxa"/>
          </w:tcPr>
          <w:p w14:paraId="085B445C" w14:textId="77777777" w:rsidR="00D777AB" w:rsidRPr="00A75094" w:rsidRDefault="00D777AB" w:rsidP="00D777AB">
            <w:pPr>
              <w:spacing w:before="40" w:after="40" w:line="240" w:lineRule="auto"/>
              <w:rPr>
                <w:sz w:val="22"/>
                <w:szCs w:val="22"/>
              </w:rPr>
            </w:pPr>
            <w:r w:rsidRPr="00A75094">
              <w:rPr>
                <w:sz w:val="22"/>
                <w:szCs w:val="22"/>
              </w:rPr>
              <w:t>The health behaviours of people with ID can be compared to people who are non-disabled and /or people with other forms of disability. Changes over time are reported.</w:t>
            </w:r>
          </w:p>
        </w:tc>
        <w:tc>
          <w:tcPr>
            <w:tcW w:w="1842" w:type="dxa"/>
          </w:tcPr>
          <w:p w14:paraId="305A2416" w14:textId="77777777" w:rsidR="00D777AB" w:rsidRPr="00A75094" w:rsidRDefault="00D777AB" w:rsidP="00D777AB">
            <w:pPr>
              <w:spacing w:before="40" w:after="40" w:line="240" w:lineRule="auto"/>
              <w:jc w:val="center"/>
              <w:rPr>
                <w:sz w:val="22"/>
                <w:szCs w:val="22"/>
              </w:rPr>
            </w:pPr>
            <w:r w:rsidRPr="00A75094">
              <w:rPr>
                <w:sz w:val="22"/>
                <w:szCs w:val="22"/>
              </w:rPr>
              <w:t>9</w:t>
            </w:r>
          </w:p>
          <w:p w14:paraId="0D272F58"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33500428" w14:textId="77777777" w:rsidR="00D777AB" w:rsidRPr="00A75094" w:rsidRDefault="00D777AB" w:rsidP="00D777AB">
            <w:pPr>
              <w:spacing w:before="40" w:after="40" w:line="240" w:lineRule="auto"/>
              <w:jc w:val="center"/>
              <w:rPr>
                <w:sz w:val="22"/>
                <w:szCs w:val="22"/>
              </w:rPr>
            </w:pPr>
            <w:r w:rsidRPr="00A75094">
              <w:rPr>
                <w:sz w:val="22"/>
                <w:szCs w:val="22"/>
              </w:rPr>
              <w:t>6</w:t>
            </w:r>
          </w:p>
          <w:p w14:paraId="1FBC4D6C"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114F3720" w14:textId="77777777" w:rsidTr="00D777AB">
        <w:trPr>
          <w:trHeight w:val="354"/>
        </w:trPr>
        <w:tc>
          <w:tcPr>
            <w:tcW w:w="6658" w:type="dxa"/>
          </w:tcPr>
          <w:p w14:paraId="22C970EF" w14:textId="77777777" w:rsidR="00D777AB" w:rsidRPr="00A75094" w:rsidRDefault="00D777AB" w:rsidP="00D777AB">
            <w:pPr>
              <w:spacing w:before="40" w:after="40" w:line="240" w:lineRule="auto"/>
              <w:rPr>
                <w:sz w:val="22"/>
                <w:szCs w:val="22"/>
              </w:rPr>
            </w:pPr>
            <w:r w:rsidRPr="00A75094">
              <w:rPr>
                <w:sz w:val="22"/>
                <w:szCs w:val="22"/>
              </w:rPr>
              <w:t>Prescribing and medication usage of persons with ID is compared to general population.   Changes over time are reported.</w:t>
            </w:r>
          </w:p>
        </w:tc>
        <w:tc>
          <w:tcPr>
            <w:tcW w:w="1842" w:type="dxa"/>
          </w:tcPr>
          <w:p w14:paraId="24FE544C" w14:textId="77777777" w:rsidR="00D777AB" w:rsidRPr="00A75094" w:rsidRDefault="00D777AB" w:rsidP="00D777AB">
            <w:pPr>
              <w:spacing w:before="40" w:after="40" w:line="240" w:lineRule="auto"/>
              <w:jc w:val="center"/>
              <w:rPr>
                <w:sz w:val="22"/>
                <w:szCs w:val="22"/>
              </w:rPr>
            </w:pPr>
            <w:r w:rsidRPr="00A75094">
              <w:rPr>
                <w:sz w:val="22"/>
                <w:szCs w:val="22"/>
              </w:rPr>
              <w:t>9</w:t>
            </w:r>
          </w:p>
          <w:p w14:paraId="4BF4A86C"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03EE15A6" w14:textId="77777777" w:rsidR="00D777AB" w:rsidRPr="00A75094" w:rsidRDefault="00D777AB" w:rsidP="00D777AB">
            <w:pPr>
              <w:spacing w:before="40" w:after="40" w:line="240" w:lineRule="auto"/>
              <w:jc w:val="center"/>
              <w:rPr>
                <w:sz w:val="22"/>
                <w:szCs w:val="22"/>
              </w:rPr>
            </w:pPr>
            <w:r w:rsidRPr="00A75094">
              <w:rPr>
                <w:sz w:val="22"/>
                <w:szCs w:val="22"/>
              </w:rPr>
              <w:t>6</w:t>
            </w:r>
          </w:p>
          <w:p w14:paraId="5FC12FAF"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4FE94B0A" w14:textId="77777777" w:rsidTr="00D777AB">
        <w:trPr>
          <w:trHeight w:val="354"/>
        </w:trPr>
        <w:tc>
          <w:tcPr>
            <w:tcW w:w="6658" w:type="dxa"/>
          </w:tcPr>
          <w:p w14:paraId="27028558" w14:textId="77777777" w:rsidR="00D777AB" w:rsidRPr="00A75094" w:rsidRDefault="00D777AB" w:rsidP="00D777AB">
            <w:pPr>
              <w:spacing w:before="40" w:after="40" w:line="240" w:lineRule="auto"/>
              <w:rPr>
                <w:sz w:val="22"/>
                <w:szCs w:val="22"/>
              </w:rPr>
            </w:pPr>
            <w:r w:rsidRPr="00A75094">
              <w:rPr>
                <w:sz w:val="22"/>
                <w:szCs w:val="22"/>
              </w:rPr>
              <w:t>The illness and impairments experienced by people with ID can be compared to people who are non-disabled and /or people with other forms of disability. Changes over time are reported.</w:t>
            </w:r>
          </w:p>
        </w:tc>
        <w:tc>
          <w:tcPr>
            <w:tcW w:w="1842" w:type="dxa"/>
          </w:tcPr>
          <w:p w14:paraId="26C235B8" w14:textId="77777777" w:rsidR="00D777AB" w:rsidRPr="00A75094" w:rsidRDefault="00D777AB" w:rsidP="00D777AB">
            <w:pPr>
              <w:spacing w:before="40" w:after="40" w:line="240" w:lineRule="auto"/>
              <w:jc w:val="center"/>
              <w:rPr>
                <w:sz w:val="22"/>
                <w:szCs w:val="22"/>
              </w:rPr>
            </w:pPr>
            <w:r w:rsidRPr="00A75094">
              <w:rPr>
                <w:sz w:val="22"/>
                <w:szCs w:val="22"/>
              </w:rPr>
              <w:t>9</w:t>
            </w:r>
          </w:p>
          <w:p w14:paraId="0393A8E4"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52C2EC86" w14:textId="77777777" w:rsidR="00D777AB" w:rsidRPr="00A75094" w:rsidRDefault="00D777AB" w:rsidP="00D777AB">
            <w:pPr>
              <w:spacing w:before="40" w:after="40" w:line="240" w:lineRule="auto"/>
              <w:jc w:val="center"/>
              <w:rPr>
                <w:sz w:val="22"/>
                <w:szCs w:val="22"/>
              </w:rPr>
            </w:pPr>
            <w:r w:rsidRPr="00A75094">
              <w:rPr>
                <w:sz w:val="22"/>
                <w:szCs w:val="22"/>
              </w:rPr>
              <w:t>5</w:t>
            </w:r>
          </w:p>
          <w:p w14:paraId="1AF8A547" w14:textId="77777777" w:rsidR="00D777AB" w:rsidRPr="00A75094" w:rsidRDefault="00D777AB" w:rsidP="00D777AB">
            <w:pPr>
              <w:spacing w:before="40" w:after="40" w:line="240" w:lineRule="auto"/>
              <w:jc w:val="center"/>
            </w:pPr>
            <w:r w:rsidRPr="00A75094">
              <w:rPr>
                <w:sz w:val="22"/>
                <w:szCs w:val="22"/>
              </w:rPr>
              <w:t>(1-10)</w:t>
            </w:r>
          </w:p>
        </w:tc>
      </w:tr>
      <w:tr w:rsidR="00A75094" w:rsidRPr="00A75094" w14:paraId="59A144DD" w14:textId="77777777" w:rsidTr="00D777AB">
        <w:trPr>
          <w:trHeight w:val="354"/>
        </w:trPr>
        <w:tc>
          <w:tcPr>
            <w:tcW w:w="6658" w:type="dxa"/>
          </w:tcPr>
          <w:p w14:paraId="43F0ABF4" w14:textId="77777777" w:rsidR="00D777AB" w:rsidRPr="00A75094" w:rsidRDefault="00D777AB" w:rsidP="00D777AB">
            <w:pPr>
              <w:spacing w:before="40" w:after="40" w:line="240" w:lineRule="auto"/>
              <w:rPr>
                <w:sz w:val="22"/>
                <w:szCs w:val="22"/>
              </w:rPr>
            </w:pPr>
            <w:r w:rsidRPr="00A75094">
              <w:rPr>
                <w:sz w:val="22"/>
                <w:szCs w:val="22"/>
              </w:rPr>
              <w:t>A common identifier is available for each person with ID to enable data linkage across different datasets within systems or across systems.</w:t>
            </w:r>
          </w:p>
        </w:tc>
        <w:tc>
          <w:tcPr>
            <w:tcW w:w="1842" w:type="dxa"/>
          </w:tcPr>
          <w:p w14:paraId="03018A02" w14:textId="77777777" w:rsidR="00D777AB" w:rsidRPr="00A75094" w:rsidRDefault="00D777AB" w:rsidP="00D777AB">
            <w:pPr>
              <w:spacing w:before="40" w:after="40" w:line="240" w:lineRule="auto"/>
              <w:jc w:val="center"/>
              <w:rPr>
                <w:sz w:val="22"/>
                <w:szCs w:val="22"/>
              </w:rPr>
            </w:pPr>
            <w:r w:rsidRPr="00A75094">
              <w:rPr>
                <w:sz w:val="22"/>
                <w:szCs w:val="22"/>
              </w:rPr>
              <w:t>9</w:t>
            </w:r>
          </w:p>
          <w:p w14:paraId="6D182473"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523B32AF" w14:textId="77777777" w:rsidR="00D777AB" w:rsidRPr="00A75094" w:rsidRDefault="00D777AB" w:rsidP="00D777AB">
            <w:pPr>
              <w:spacing w:before="40" w:after="40" w:line="240" w:lineRule="auto"/>
              <w:jc w:val="center"/>
              <w:rPr>
                <w:sz w:val="22"/>
                <w:szCs w:val="22"/>
              </w:rPr>
            </w:pPr>
            <w:r w:rsidRPr="00A75094">
              <w:rPr>
                <w:sz w:val="22"/>
                <w:szCs w:val="22"/>
              </w:rPr>
              <w:t>5</w:t>
            </w:r>
          </w:p>
          <w:p w14:paraId="44144B80" w14:textId="77777777" w:rsidR="00D777AB" w:rsidRPr="00A75094" w:rsidRDefault="00D777AB" w:rsidP="00D777AB">
            <w:pPr>
              <w:spacing w:before="40" w:after="40" w:line="240" w:lineRule="auto"/>
              <w:jc w:val="center"/>
            </w:pPr>
            <w:r w:rsidRPr="00A75094">
              <w:rPr>
                <w:sz w:val="22"/>
                <w:szCs w:val="22"/>
              </w:rPr>
              <w:t>(0-10)</w:t>
            </w:r>
          </w:p>
        </w:tc>
      </w:tr>
      <w:tr w:rsidR="00A75094" w:rsidRPr="00A75094" w14:paraId="6B565488" w14:textId="77777777" w:rsidTr="00D777AB">
        <w:trPr>
          <w:trHeight w:val="354"/>
        </w:trPr>
        <w:tc>
          <w:tcPr>
            <w:tcW w:w="6658" w:type="dxa"/>
          </w:tcPr>
          <w:p w14:paraId="1ADBCA8C" w14:textId="77777777" w:rsidR="00D777AB" w:rsidRPr="00A75094" w:rsidRDefault="00D777AB" w:rsidP="00D777AB">
            <w:pPr>
              <w:spacing w:before="40" w:after="40" w:line="240" w:lineRule="auto"/>
              <w:rPr>
                <w:sz w:val="22"/>
                <w:szCs w:val="22"/>
              </w:rPr>
            </w:pPr>
            <w:r w:rsidRPr="00A75094">
              <w:rPr>
                <w:sz w:val="22"/>
                <w:szCs w:val="22"/>
              </w:rPr>
              <w:t>The living conditions of people with ID can be compared to people who are non-disabled and /or people with other forms of disability.  Changes over time are reported.</w:t>
            </w:r>
          </w:p>
        </w:tc>
        <w:tc>
          <w:tcPr>
            <w:tcW w:w="1842" w:type="dxa"/>
          </w:tcPr>
          <w:p w14:paraId="7CF624CA" w14:textId="77777777" w:rsidR="00D777AB" w:rsidRPr="00A75094" w:rsidRDefault="00D777AB" w:rsidP="00D777AB">
            <w:pPr>
              <w:spacing w:before="40" w:after="40" w:line="240" w:lineRule="auto"/>
              <w:jc w:val="center"/>
              <w:rPr>
                <w:sz w:val="22"/>
                <w:szCs w:val="22"/>
              </w:rPr>
            </w:pPr>
            <w:r w:rsidRPr="00A75094">
              <w:rPr>
                <w:sz w:val="22"/>
                <w:szCs w:val="22"/>
              </w:rPr>
              <w:t>8</w:t>
            </w:r>
          </w:p>
          <w:p w14:paraId="09EE419D" w14:textId="77777777" w:rsidR="00D777AB" w:rsidRPr="00A75094" w:rsidRDefault="00D777AB" w:rsidP="00D777AB">
            <w:pPr>
              <w:spacing w:before="40" w:after="40" w:line="240" w:lineRule="auto"/>
              <w:jc w:val="center"/>
            </w:pPr>
            <w:r w:rsidRPr="00A75094">
              <w:rPr>
                <w:sz w:val="22"/>
                <w:szCs w:val="22"/>
              </w:rPr>
              <w:t>(1-10)</w:t>
            </w:r>
          </w:p>
        </w:tc>
        <w:tc>
          <w:tcPr>
            <w:tcW w:w="1560" w:type="dxa"/>
          </w:tcPr>
          <w:p w14:paraId="1457CAA0" w14:textId="77777777" w:rsidR="00D777AB" w:rsidRPr="00A75094" w:rsidRDefault="00D777AB" w:rsidP="00D777AB">
            <w:pPr>
              <w:spacing w:before="40" w:after="40" w:line="240" w:lineRule="auto"/>
              <w:jc w:val="center"/>
              <w:rPr>
                <w:sz w:val="22"/>
                <w:szCs w:val="22"/>
              </w:rPr>
            </w:pPr>
            <w:r w:rsidRPr="00A75094">
              <w:rPr>
                <w:sz w:val="22"/>
                <w:szCs w:val="22"/>
              </w:rPr>
              <w:t>5</w:t>
            </w:r>
          </w:p>
          <w:p w14:paraId="07052482" w14:textId="77777777" w:rsidR="00D777AB" w:rsidRPr="00A75094" w:rsidRDefault="00D777AB" w:rsidP="00D777AB">
            <w:pPr>
              <w:spacing w:before="40" w:after="40" w:line="240" w:lineRule="auto"/>
              <w:jc w:val="center"/>
            </w:pPr>
            <w:r w:rsidRPr="00A75094">
              <w:rPr>
                <w:sz w:val="22"/>
                <w:szCs w:val="22"/>
              </w:rPr>
              <w:t>(1-10)</w:t>
            </w:r>
          </w:p>
        </w:tc>
      </w:tr>
    </w:tbl>
    <w:p w14:paraId="60D5821D" w14:textId="77777777" w:rsidR="00B03D82" w:rsidRPr="00A75094" w:rsidRDefault="00B03D82" w:rsidP="00AC71AF">
      <w:pPr>
        <w:rPr>
          <w:b/>
        </w:rPr>
      </w:pPr>
    </w:p>
    <w:p w14:paraId="79ED8FE3" w14:textId="77777777" w:rsidR="00741DB4" w:rsidRPr="00A75094" w:rsidRDefault="00741DB4" w:rsidP="0014123E">
      <w:pPr>
        <w:pStyle w:val="Paragraph"/>
        <w:rPr>
          <w:b/>
        </w:rPr>
      </w:pPr>
    </w:p>
    <w:sectPr w:rsidR="00741DB4" w:rsidRPr="00A75094" w:rsidSect="009351C0">
      <w:footerReference w:type="default" r:id="rId12"/>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E8E5" w14:textId="77777777" w:rsidR="00013D88" w:rsidRDefault="00013D88" w:rsidP="00741DB4">
      <w:pPr>
        <w:spacing w:line="240" w:lineRule="auto"/>
      </w:pPr>
      <w:r>
        <w:separator/>
      </w:r>
    </w:p>
  </w:endnote>
  <w:endnote w:type="continuationSeparator" w:id="0">
    <w:p w14:paraId="1249C64C" w14:textId="77777777" w:rsidR="00013D88" w:rsidRDefault="00013D88" w:rsidP="00741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4902" w14:textId="7404C884" w:rsidR="00BB64B6" w:rsidRDefault="00BB64B6">
    <w:pPr>
      <w:pStyle w:val="Footer"/>
      <w:jc w:val="right"/>
    </w:pPr>
    <w:r>
      <w:fldChar w:fldCharType="begin"/>
    </w:r>
    <w:r>
      <w:instrText xml:space="preserve"> PAGE   \* MERGEFORMAT </w:instrText>
    </w:r>
    <w:r>
      <w:fldChar w:fldCharType="separate"/>
    </w:r>
    <w:r w:rsidR="00B26602">
      <w:rPr>
        <w:noProof/>
      </w:rPr>
      <w:t>22</w:t>
    </w:r>
    <w:r>
      <w:fldChar w:fldCharType="end"/>
    </w:r>
  </w:p>
  <w:p w14:paraId="01CFA580" w14:textId="77777777" w:rsidR="00BB64B6" w:rsidRDefault="00BB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1769" w14:textId="77777777" w:rsidR="00013D88" w:rsidRDefault="00013D88" w:rsidP="00741DB4">
      <w:pPr>
        <w:spacing w:line="240" w:lineRule="auto"/>
      </w:pPr>
      <w:r>
        <w:separator/>
      </w:r>
    </w:p>
  </w:footnote>
  <w:footnote w:type="continuationSeparator" w:id="0">
    <w:p w14:paraId="5439E144" w14:textId="77777777" w:rsidR="00013D88" w:rsidRDefault="00013D88" w:rsidP="00741D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8EEE13A"/>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Arial"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Arial"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Arial"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singleLevel"/>
    <w:tmpl w:val="B1FECAFE"/>
    <w:lvl w:ilvl="0">
      <w:start w:val="1"/>
      <w:numFmt w:val="decimal"/>
      <w:lvlText w:val="%1."/>
      <w:lvlJc w:val="left"/>
      <w:pPr>
        <w:tabs>
          <w:tab w:val="left" w:pos="1492"/>
        </w:tabs>
        <w:ind w:left="1492" w:hanging="360"/>
      </w:pPr>
    </w:lvl>
  </w:abstractNum>
  <w:abstractNum w:abstractNumId="2" w15:restartNumberingAfterBreak="0">
    <w:nsid w:val="00000003"/>
    <w:multiLevelType w:val="singleLevel"/>
    <w:tmpl w:val="7C74E2DA"/>
    <w:lvl w:ilvl="0">
      <w:start w:val="1"/>
      <w:numFmt w:val="decimal"/>
      <w:lvlText w:val="%1."/>
      <w:lvlJc w:val="left"/>
      <w:pPr>
        <w:tabs>
          <w:tab w:val="left" w:pos="1209"/>
        </w:tabs>
        <w:ind w:left="1209" w:hanging="360"/>
      </w:pPr>
    </w:lvl>
  </w:abstractNum>
  <w:abstractNum w:abstractNumId="3" w15:restartNumberingAfterBreak="0">
    <w:nsid w:val="00000004"/>
    <w:multiLevelType w:val="singleLevel"/>
    <w:tmpl w:val="E8F228EA"/>
    <w:lvl w:ilvl="0">
      <w:start w:val="1"/>
      <w:numFmt w:val="decimal"/>
      <w:lvlText w:val="%1."/>
      <w:lvlJc w:val="left"/>
      <w:pPr>
        <w:tabs>
          <w:tab w:val="left" w:pos="926"/>
        </w:tabs>
        <w:ind w:left="926" w:hanging="360"/>
      </w:pPr>
    </w:lvl>
  </w:abstractNum>
  <w:abstractNum w:abstractNumId="4" w15:restartNumberingAfterBreak="0">
    <w:nsid w:val="00000005"/>
    <w:multiLevelType w:val="singleLevel"/>
    <w:tmpl w:val="A274B1E8"/>
    <w:lvl w:ilvl="0">
      <w:start w:val="1"/>
      <w:numFmt w:val="decimal"/>
      <w:lvlText w:val="%1."/>
      <w:lvlJc w:val="left"/>
      <w:pPr>
        <w:tabs>
          <w:tab w:val="left" w:pos="643"/>
        </w:tabs>
        <w:ind w:left="643" w:hanging="360"/>
      </w:pPr>
    </w:lvl>
  </w:abstractNum>
  <w:abstractNum w:abstractNumId="5" w15:restartNumberingAfterBreak="0">
    <w:nsid w:val="00000006"/>
    <w:multiLevelType w:val="singleLevel"/>
    <w:tmpl w:val="C472E25E"/>
    <w:lvl w:ilvl="0">
      <w:start w:val="1"/>
      <w:numFmt w:val="decimal"/>
      <w:lvlText w:val="%1."/>
      <w:lvlJc w:val="left"/>
      <w:pPr>
        <w:tabs>
          <w:tab w:val="left" w:pos="360"/>
        </w:tabs>
        <w:ind w:left="360" w:hanging="360"/>
      </w:pPr>
    </w:lvl>
  </w:abstractNum>
  <w:abstractNum w:abstractNumId="6" w15:restartNumberingAfterBreak="0">
    <w:nsid w:val="00000007"/>
    <w:multiLevelType w:val="singleLevel"/>
    <w:tmpl w:val="D2442F12"/>
    <w:lvl w:ilvl="0">
      <w:start w:val="1"/>
      <w:numFmt w:val="bullet"/>
      <w:lvlText w:val=""/>
      <w:lvlJc w:val="left"/>
      <w:pPr>
        <w:tabs>
          <w:tab w:val="left" w:pos="1492"/>
        </w:tabs>
        <w:ind w:left="1492" w:hanging="360"/>
      </w:pPr>
      <w:rPr>
        <w:rFonts w:ascii="Symbol" w:hAnsi="Symbol" w:hint="default"/>
      </w:rPr>
    </w:lvl>
  </w:abstractNum>
  <w:abstractNum w:abstractNumId="7" w15:restartNumberingAfterBreak="0">
    <w:nsid w:val="00000008"/>
    <w:multiLevelType w:val="singleLevel"/>
    <w:tmpl w:val="594C1B5A"/>
    <w:lvl w:ilvl="0">
      <w:start w:val="1"/>
      <w:numFmt w:val="bullet"/>
      <w:lvlText w:val=""/>
      <w:lvlJc w:val="left"/>
      <w:pPr>
        <w:tabs>
          <w:tab w:val="left" w:pos="926"/>
        </w:tabs>
        <w:ind w:left="926" w:hanging="360"/>
      </w:pPr>
      <w:rPr>
        <w:rFonts w:ascii="Symbol" w:hAnsi="Symbol" w:hint="default"/>
      </w:rPr>
    </w:lvl>
  </w:abstractNum>
  <w:abstractNum w:abstractNumId="8" w15:restartNumberingAfterBreak="0">
    <w:nsid w:val="00000009"/>
    <w:multiLevelType w:val="singleLevel"/>
    <w:tmpl w:val="79147BCA"/>
    <w:lvl w:ilvl="0">
      <w:start w:val="1"/>
      <w:numFmt w:val="bullet"/>
      <w:lvlText w:val=""/>
      <w:lvlJc w:val="left"/>
      <w:pPr>
        <w:tabs>
          <w:tab w:val="left" w:pos="1209"/>
        </w:tabs>
        <w:ind w:left="1209" w:hanging="360"/>
      </w:pPr>
      <w:rPr>
        <w:rFonts w:ascii="Symbol" w:hAnsi="Symbol" w:hint="default"/>
      </w:rPr>
    </w:lvl>
  </w:abstractNum>
  <w:abstractNum w:abstractNumId="9" w15:restartNumberingAfterBreak="0">
    <w:nsid w:val="0000000A"/>
    <w:multiLevelType w:val="singleLevel"/>
    <w:tmpl w:val="5DC819AE"/>
    <w:lvl w:ilvl="0">
      <w:start w:val="1"/>
      <w:numFmt w:val="bullet"/>
      <w:lvlText w:val=""/>
      <w:lvlJc w:val="left"/>
      <w:pPr>
        <w:tabs>
          <w:tab w:val="left" w:pos="360"/>
        </w:tabs>
        <w:ind w:left="360" w:hanging="360"/>
      </w:pPr>
      <w:rPr>
        <w:rFonts w:ascii="Symbol" w:hAnsi="Symbol" w:hint="default"/>
      </w:rPr>
    </w:lvl>
  </w:abstractNum>
  <w:abstractNum w:abstractNumId="10" w15:restartNumberingAfterBreak="0">
    <w:nsid w:val="0000000B"/>
    <w:multiLevelType w:val="singleLevel"/>
    <w:tmpl w:val="34C6DA04"/>
    <w:lvl w:ilvl="0">
      <w:start w:val="1"/>
      <w:numFmt w:val="bullet"/>
      <w:lvlText w:val=""/>
      <w:lvlJc w:val="left"/>
      <w:pPr>
        <w:tabs>
          <w:tab w:val="left" w:pos="643"/>
        </w:tabs>
        <w:ind w:left="643" w:hanging="360"/>
      </w:pPr>
      <w:rPr>
        <w:rFonts w:ascii="Symbol" w:hAnsi="Symbol" w:hint="default"/>
      </w:rPr>
    </w:lvl>
  </w:abstractNum>
  <w:abstractNum w:abstractNumId="11" w15:restartNumberingAfterBreak="0">
    <w:nsid w:val="0000000C"/>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D"/>
    <w:multiLevelType w:val="hybridMultilevel"/>
    <w:tmpl w:val="6C3010A4"/>
    <w:lvl w:ilvl="0" w:tplc="0456C424">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000000E"/>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0F"/>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000010"/>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0000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0000012"/>
    <w:multiLevelType w:val="multilevel"/>
    <w:tmpl w:val="B0D42628"/>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8" w15:restartNumberingAfterBreak="0">
    <w:nsid w:val="0000001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0000014"/>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0000015"/>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0000016"/>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0000017"/>
    <w:multiLevelType w:val="hybridMultilevel"/>
    <w:tmpl w:val="27E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0000019"/>
    <w:multiLevelType w:val="hybridMultilevel"/>
    <w:tmpl w:val="1B3C2146"/>
    <w:lvl w:ilvl="0" w:tplc="6672C070">
      <w:start w:val="8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000001A"/>
    <w:multiLevelType w:val="hybridMultilevel"/>
    <w:tmpl w:val="EFDC6B7A"/>
    <w:lvl w:ilvl="0" w:tplc="08090001">
      <w:start w:val="8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0BF06D16"/>
    <w:lvl w:ilvl="0" w:tplc="198A335A">
      <w:start w:val="89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87DEB9B6"/>
    <w:lvl w:ilvl="0" w:tplc="198A335A">
      <w:start w:val="89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CBB6379"/>
    <w:multiLevelType w:val="hybridMultilevel"/>
    <w:tmpl w:val="B7C2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713850"/>
    <w:multiLevelType w:val="hybridMultilevel"/>
    <w:tmpl w:val="0E9A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6E1C10"/>
    <w:multiLevelType w:val="hybridMultilevel"/>
    <w:tmpl w:val="869C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D44FB"/>
    <w:multiLevelType w:val="hybridMultilevel"/>
    <w:tmpl w:val="1686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AA14F4"/>
    <w:multiLevelType w:val="hybridMultilevel"/>
    <w:tmpl w:val="E976D66C"/>
    <w:lvl w:ilvl="0" w:tplc="0CDA7214">
      <w:start w:val="1"/>
      <w:numFmt w:val="decimal"/>
      <w:lvlText w:val="(%1)"/>
      <w:lvlJc w:val="left"/>
      <w:pPr>
        <w:tabs>
          <w:tab w:val="left" w:pos="720"/>
        </w:tabs>
        <w:ind w:left="720" w:hanging="360"/>
      </w:pPr>
      <w:rPr>
        <w:rFonts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33" w15:restartNumberingAfterBreak="0">
    <w:nsid w:val="5CD9472B"/>
    <w:multiLevelType w:val="multilevel"/>
    <w:tmpl w:val="0BF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90BBE"/>
    <w:multiLevelType w:val="hybridMultilevel"/>
    <w:tmpl w:val="2F86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3"/>
  </w:num>
  <w:num w:numId="17">
    <w:abstractNumId w:val="12"/>
  </w:num>
  <w:num w:numId="18">
    <w:abstractNumId w:val="14"/>
  </w:num>
  <w:num w:numId="19">
    <w:abstractNumId w:val="15"/>
  </w:num>
  <w:num w:numId="20">
    <w:abstractNumId w:val="16"/>
  </w:num>
  <w:num w:numId="21">
    <w:abstractNumId w:val="17"/>
  </w:num>
  <w:num w:numId="22">
    <w:abstractNumId w:val="12"/>
  </w:num>
  <w:num w:numId="23">
    <w:abstractNumId w:val="12"/>
  </w:num>
  <w:num w:numId="24">
    <w:abstractNumId w:val="12"/>
  </w:num>
  <w:num w:numId="25">
    <w:abstractNumId w:val="12"/>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7"/>
  </w:num>
  <w:num w:numId="33">
    <w:abstractNumId w:val="26"/>
  </w:num>
  <w:num w:numId="34">
    <w:abstractNumId w:val="25"/>
  </w:num>
  <w:num w:numId="35">
    <w:abstractNumId w:val="24"/>
  </w:num>
  <w:num w:numId="36">
    <w:abstractNumId w:val="33"/>
  </w:num>
  <w:num w:numId="37">
    <w:abstractNumId w:val="29"/>
  </w:num>
  <w:num w:numId="38">
    <w:abstractNumId w:val="30"/>
  </w:num>
  <w:num w:numId="39">
    <w:abstractNumId w:val="28"/>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B4"/>
    <w:rsid w:val="000041D8"/>
    <w:rsid w:val="00013D88"/>
    <w:rsid w:val="00015EF7"/>
    <w:rsid w:val="000172A8"/>
    <w:rsid w:val="00025BC3"/>
    <w:rsid w:val="00043202"/>
    <w:rsid w:val="000459BA"/>
    <w:rsid w:val="00050091"/>
    <w:rsid w:val="00064EEE"/>
    <w:rsid w:val="00070B36"/>
    <w:rsid w:val="00072E63"/>
    <w:rsid w:val="000739BF"/>
    <w:rsid w:val="000769C7"/>
    <w:rsid w:val="000855A4"/>
    <w:rsid w:val="00086F1F"/>
    <w:rsid w:val="000906A7"/>
    <w:rsid w:val="0009218B"/>
    <w:rsid w:val="00095DAA"/>
    <w:rsid w:val="00097380"/>
    <w:rsid w:val="000A1D82"/>
    <w:rsid w:val="000A21FE"/>
    <w:rsid w:val="000A3F50"/>
    <w:rsid w:val="000C3E1E"/>
    <w:rsid w:val="000C71D8"/>
    <w:rsid w:val="000D0D72"/>
    <w:rsid w:val="000D2779"/>
    <w:rsid w:val="000D348D"/>
    <w:rsid w:val="000E4EB1"/>
    <w:rsid w:val="000F20E9"/>
    <w:rsid w:val="001003A9"/>
    <w:rsid w:val="00100D52"/>
    <w:rsid w:val="00111CD3"/>
    <w:rsid w:val="00115645"/>
    <w:rsid w:val="00124003"/>
    <w:rsid w:val="00126922"/>
    <w:rsid w:val="00130414"/>
    <w:rsid w:val="001307E3"/>
    <w:rsid w:val="00135025"/>
    <w:rsid w:val="0013680A"/>
    <w:rsid w:val="0014123E"/>
    <w:rsid w:val="00144BC4"/>
    <w:rsid w:val="001458AD"/>
    <w:rsid w:val="001467B1"/>
    <w:rsid w:val="00150C07"/>
    <w:rsid w:val="00153BA4"/>
    <w:rsid w:val="001742CF"/>
    <w:rsid w:val="0017724F"/>
    <w:rsid w:val="00184A44"/>
    <w:rsid w:val="001861F7"/>
    <w:rsid w:val="001A3EF0"/>
    <w:rsid w:val="001C2B5C"/>
    <w:rsid w:val="001C2DAF"/>
    <w:rsid w:val="001C6DAC"/>
    <w:rsid w:val="001C7649"/>
    <w:rsid w:val="001D195B"/>
    <w:rsid w:val="001D465A"/>
    <w:rsid w:val="001D5BB8"/>
    <w:rsid w:val="001D5F2B"/>
    <w:rsid w:val="001E5D8F"/>
    <w:rsid w:val="001F160E"/>
    <w:rsid w:val="001F1CDD"/>
    <w:rsid w:val="001F4AD2"/>
    <w:rsid w:val="00207F4C"/>
    <w:rsid w:val="00212386"/>
    <w:rsid w:val="002125FC"/>
    <w:rsid w:val="00217CA5"/>
    <w:rsid w:val="00217D24"/>
    <w:rsid w:val="002213AF"/>
    <w:rsid w:val="00227CC3"/>
    <w:rsid w:val="002364FF"/>
    <w:rsid w:val="00241111"/>
    <w:rsid w:val="002424D2"/>
    <w:rsid w:val="00252AD1"/>
    <w:rsid w:val="002568C8"/>
    <w:rsid w:val="0026227A"/>
    <w:rsid w:val="00280A77"/>
    <w:rsid w:val="00282B31"/>
    <w:rsid w:val="00285680"/>
    <w:rsid w:val="002927E3"/>
    <w:rsid w:val="002A339F"/>
    <w:rsid w:val="002B4217"/>
    <w:rsid w:val="002B545C"/>
    <w:rsid w:val="002C377F"/>
    <w:rsid w:val="002E28DA"/>
    <w:rsid w:val="002E4BB5"/>
    <w:rsid w:val="002F7876"/>
    <w:rsid w:val="0030003A"/>
    <w:rsid w:val="00304E43"/>
    <w:rsid w:val="003158A6"/>
    <w:rsid w:val="00317333"/>
    <w:rsid w:val="00323707"/>
    <w:rsid w:val="00326C8A"/>
    <w:rsid w:val="00340268"/>
    <w:rsid w:val="003429FE"/>
    <w:rsid w:val="003436B5"/>
    <w:rsid w:val="00347E5B"/>
    <w:rsid w:val="00380673"/>
    <w:rsid w:val="00384CE7"/>
    <w:rsid w:val="00390C62"/>
    <w:rsid w:val="00393094"/>
    <w:rsid w:val="00396DBE"/>
    <w:rsid w:val="003A4839"/>
    <w:rsid w:val="003B21D1"/>
    <w:rsid w:val="003B4B33"/>
    <w:rsid w:val="003C045C"/>
    <w:rsid w:val="003C23E1"/>
    <w:rsid w:val="003C48D4"/>
    <w:rsid w:val="003D0317"/>
    <w:rsid w:val="003D7E0A"/>
    <w:rsid w:val="003E0EC9"/>
    <w:rsid w:val="003F1B05"/>
    <w:rsid w:val="004100F5"/>
    <w:rsid w:val="00411475"/>
    <w:rsid w:val="004174E7"/>
    <w:rsid w:val="00417CEE"/>
    <w:rsid w:val="00434474"/>
    <w:rsid w:val="0044020E"/>
    <w:rsid w:val="00445DD8"/>
    <w:rsid w:val="00446196"/>
    <w:rsid w:val="00452788"/>
    <w:rsid w:val="0046675F"/>
    <w:rsid w:val="00476F52"/>
    <w:rsid w:val="00477F16"/>
    <w:rsid w:val="004830DA"/>
    <w:rsid w:val="00483A18"/>
    <w:rsid w:val="004A57BE"/>
    <w:rsid w:val="004C0B5A"/>
    <w:rsid w:val="004C3B79"/>
    <w:rsid w:val="004E29E0"/>
    <w:rsid w:val="004E3E4D"/>
    <w:rsid w:val="004E5751"/>
    <w:rsid w:val="004F2053"/>
    <w:rsid w:val="005012CF"/>
    <w:rsid w:val="00505AE6"/>
    <w:rsid w:val="00507BE5"/>
    <w:rsid w:val="00510C8E"/>
    <w:rsid w:val="0052489A"/>
    <w:rsid w:val="00554A21"/>
    <w:rsid w:val="005710A8"/>
    <w:rsid w:val="00573131"/>
    <w:rsid w:val="005772F8"/>
    <w:rsid w:val="00590950"/>
    <w:rsid w:val="00594270"/>
    <w:rsid w:val="005A37E1"/>
    <w:rsid w:val="005A5200"/>
    <w:rsid w:val="005A7236"/>
    <w:rsid w:val="005A78DD"/>
    <w:rsid w:val="005C2373"/>
    <w:rsid w:val="005C261E"/>
    <w:rsid w:val="005C6CC0"/>
    <w:rsid w:val="005D7132"/>
    <w:rsid w:val="005E44B9"/>
    <w:rsid w:val="005F4DF0"/>
    <w:rsid w:val="00601209"/>
    <w:rsid w:val="0060136B"/>
    <w:rsid w:val="00603BDB"/>
    <w:rsid w:val="00614BC2"/>
    <w:rsid w:val="0061699E"/>
    <w:rsid w:val="006222A7"/>
    <w:rsid w:val="00630DB2"/>
    <w:rsid w:val="006342F6"/>
    <w:rsid w:val="00641387"/>
    <w:rsid w:val="00641E0E"/>
    <w:rsid w:val="00647319"/>
    <w:rsid w:val="006566E1"/>
    <w:rsid w:val="006679B0"/>
    <w:rsid w:val="00696444"/>
    <w:rsid w:val="006A0586"/>
    <w:rsid w:val="006A3DE0"/>
    <w:rsid w:val="006B3913"/>
    <w:rsid w:val="006B6B78"/>
    <w:rsid w:val="006C6DBE"/>
    <w:rsid w:val="006D4673"/>
    <w:rsid w:val="006E32E2"/>
    <w:rsid w:val="006E726E"/>
    <w:rsid w:val="006F00E8"/>
    <w:rsid w:val="006F494B"/>
    <w:rsid w:val="00700600"/>
    <w:rsid w:val="00705D1B"/>
    <w:rsid w:val="007137B0"/>
    <w:rsid w:val="00714D89"/>
    <w:rsid w:val="00714E33"/>
    <w:rsid w:val="007210F1"/>
    <w:rsid w:val="00734BD7"/>
    <w:rsid w:val="00741DB4"/>
    <w:rsid w:val="00742F5D"/>
    <w:rsid w:val="00754C48"/>
    <w:rsid w:val="007617F0"/>
    <w:rsid w:val="0076397B"/>
    <w:rsid w:val="007658A3"/>
    <w:rsid w:val="007726AA"/>
    <w:rsid w:val="00790C32"/>
    <w:rsid w:val="0079508B"/>
    <w:rsid w:val="007A34C8"/>
    <w:rsid w:val="007A5852"/>
    <w:rsid w:val="007C1AB2"/>
    <w:rsid w:val="007C34FD"/>
    <w:rsid w:val="007D08BD"/>
    <w:rsid w:val="007D1009"/>
    <w:rsid w:val="007D4A98"/>
    <w:rsid w:val="007E12B9"/>
    <w:rsid w:val="007E2ED4"/>
    <w:rsid w:val="007F5F72"/>
    <w:rsid w:val="008215D2"/>
    <w:rsid w:val="00825A1A"/>
    <w:rsid w:val="00831BE7"/>
    <w:rsid w:val="008325A7"/>
    <w:rsid w:val="00833A14"/>
    <w:rsid w:val="00841E56"/>
    <w:rsid w:val="00850923"/>
    <w:rsid w:val="00852013"/>
    <w:rsid w:val="00856F96"/>
    <w:rsid w:val="008601CB"/>
    <w:rsid w:val="008630BF"/>
    <w:rsid w:val="008664C2"/>
    <w:rsid w:val="0087222F"/>
    <w:rsid w:val="00881639"/>
    <w:rsid w:val="00881B49"/>
    <w:rsid w:val="00882B21"/>
    <w:rsid w:val="008834B6"/>
    <w:rsid w:val="00883C66"/>
    <w:rsid w:val="0088459C"/>
    <w:rsid w:val="008863A0"/>
    <w:rsid w:val="00893A56"/>
    <w:rsid w:val="008A19EB"/>
    <w:rsid w:val="008B5950"/>
    <w:rsid w:val="008C5E38"/>
    <w:rsid w:val="008D5677"/>
    <w:rsid w:val="008D6B11"/>
    <w:rsid w:val="008F2E60"/>
    <w:rsid w:val="00900400"/>
    <w:rsid w:val="00902EA3"/>
    <w:rsid w:val="00903685"/>
    <w:rsid w:val="00904949"/>
    <w:rsid w:val="00911675"/>
    <w:rsid w:val="009140C1"/>
    <w:rsid w:val="00915F2A"/>
    <w:rsid w:val="009233E3"/>
    <w:rsid w:val="00933C31"/>
    <w:rsid w:val="009351C0"/>
    <w:rsid w:val="0093772B"/>
    <w:rsid w:val="00942981"/>
    <w:rsid w:val="0094650E"/>
    <w:rsid w:val="00947E55"/>
    <w:rsid w:val="00962FF3"/>
    <w:rsid w:val="00976E98"/>
    <w:rsid w:val="0098004A"/>
    <w:rsid w:val="00980ADA"/>
    <w:rsid w:val="00985772"/>
    <w:rsid w:val="00993D8A"/>
    <w:rsid w:val="009A0483"/>
    <w:rsid w:val="009B7CB9"/>
    <w:rsid w:val="009B7E6F"/>
    <w:rsid w:val="009D1B21"/>
    <w:rsid w:val="009E2907"/>
    <w:rsid w:val="009E5748"/>
    <w:rsid w:val="009F56B4"/>
    <w:rsid w:val="009F5FC8"/>
    <w:rsid w:val="009F67CE"/>
    <w:rsid w:val="00A13A6F"/>
    <w:rsid w:val="00A14040"/>
    <w:rsid w:val="00A16B63"/>
    <w:rsid w:val="00A247B3"/>
    <w:rsid w:val="00A43C9F"/>
    <w:rsid w:val="00A47283"/>
    <w:rsid w:val="00A63EE8"/>
    <w:rsid w:val="00A64554"/>
    <w:rsid w:val="00A654BD"/>
    <w:rsid w:val="00A67D90"/>
    <w:rsid w:val="00A70AB1"/>
    <w:rsid w:val="00A7312D"/>
    <w:rsid w:val="00A75094"/>
    <w:rsid w:val="00A80EF3"/>
    <w:rsid w:val="00A811F6"/>
    <w:rsid w:val="00A83961"/>
    <w:rsid w:val="00A849D0"/>
    <w:rsid w:val="00A8692F"/>
    <w:rsid w:val="00A9529B"/>
    <w:rsid w:val="00A9704D"/>
    <w:rsid w:val="00AA2816"/>
    <w:rsid w:val="00AB4AE1"/>
    <w:rsid w:val="00AB6118"/>
    <w:rsid w:val="00AC0D0D"/>
    <w:rsid w:val="00AC3C1F"/>
    <w:rsid w:val="00AC659A"/>
    <w:rsid w:val="00AC71AF"/>
    <w:rsid w:val="00AD3B5C"/>
    <w:rsid w:val="00AD7372"/>
    <w:rsid w:val="00AE2FFA"/>
    <w:rsid w:val="00AE4CFA"/>
    <w:rsid w:val="00B03D82"/>
    <w:rsid w:val="00B11881"/>
    <w:rsid w:val="00B119DB"/>
    <w:rsid w:val="00B11C24"/>
    <w:rsid w:val="00B17C15"/>
    <w:rsid w:val="00B21F84"/>
    <w:rsid w:val="00B224E4"/>
    <w:rsid w:val="00B26602"/>
    <w:rsid w:val="00B27071"/>
    <w:rsid w:val="00B37967"/>
    <w:rsid w:val="00B50E75"/>
    <w:rsid w:val="00B53524"/>
    <w:rsid w:val="00B5723A"/>
    <w:rsid w:val="00B57763"/>
    <w:rsid w:val="00B710AC"/>
    <w:rsid w:val="00B75D31"/>
    <w:rsid w:val="00B85829"/>
    <w:rsid w:val="00B91849"/>
    <w:rsid w:val="00BA0FCB"/>
    <w:rsid w:val="00BA1816"/>
    <w:rsid w:val="00BA1AB5"/>
    <w:rsid w:val="00BB133C"/>
    <w:rsid w:val="00BB6034"/>
    <w:rsid w:val="00BB64B6"/>
    <w:rsid w:val="00BC01CE"/>
    <w:rsid w:val="00BD192B"/>
    <w:rsid w:val="00BD757B"/>
    <w:rsid w:val="00BE1916"/>
    <w:rsid w:val="00BE5CEF"/>
    <w:rsid w:val="00BE6E1A"/>
    <w:rsid w:val="00BE786B"/>
    <w:rsid w:val="00BF0AA7"/>
    <w:rsid w:val="00C00EDE"/>
    <w:rsid w:val="00C03C86"/>
    <w:rsid w:val="00C04AE9"/>
    <w:rsid w:val="00C10445"/>
    <w:rsid w:val="00C150A2"/>
    <w:rsid w:val="00C226D4"/>
    <w:rsid w:val="00C22B47"/>
    <w:rsid w:val="00C27274"/>
    <w:rsid w:val="00C27DE5"/>
    <w:rsid w:val="00C347B6"/>
    <w:rsid w:val="00C36564"/>
    <w:rsid w:val="00C37DD2"/>
    <w:rsid w:val="00C43F7D"/>
    <w:rsid w:val="00C52A96"/>
    <w:rsid w:val="00C73DC5"/>
    <w:rsid w:val="00C77C03"/>
    <w:rsid w:val="00C91525"/>
    <w:rsid w:val="00C9476D"/>
    <w:rsid w:val="00C94E61"/>
    <w:rsid w:val="00CA1DEA"/>
    <w:rsid w:val="00CB4B4D"/>
    <w:rsid w:val="00CB757F"/>
    <w:rsid w:val="00CC0193"/>
    <w:rsid w:val="00CD344F"/>
    <w:rsid w:val="00CD3A84"/>
    <w:rsid w:val="00CE18F2"/>
    <w:rsid w:val="00CE1C49"/>
    <w:rsid w:val="00CE3CFF"/>
    <w:rsid w:val="00CE72FB"/>
    <w:rsid w:val="00CF2C05"/>
    <w:rsid w:val="00D044A9"/>
    <w:rsid w:val="00D20079"/>
    <w:rsid w:val="00D223DA"/>
    <w:rsid w:val="00D246A5"/>
    <w:rsid w:val="00D265AF"/>
    <w:rsid w:val="00D300B5"/>
    <w:rsid w:val="00D30F15"/>
    <w:rsid w:val="00D3159A"/>
    <w:rsid w:val="00D463C9"/>
    <w:rsid w:val="00D61374"/>
    <w:rsid w:val="00D652F0"/>
    <w:rsid w:val="00D70C97"/>
    <w:rsid w:val="00D73463"/>
    <w:rsid w:val="00D74017"/>
    <w:rsid w:val="00D75A7A"/>
    <w:rsid w:val="00D76F84"/>
    <w:rsid w:val="00D777AB"/>
    <w:rsid w:val="00D82860"/>
    <w:rsid w:val="00D91C3C"/>
    <w:rsid w:val="00D923B7"/>
    <w:rsid w:val="00D93857"/>
    <w:rsid w:val="00DB2327"/>
    <w:rsid w:val="00DB5FD4"/>
    <w:rsid w:val="00DD13CE"/>
    <w:rsid w:val="00DE4CDE"/>
    <w:rsid w:val="00DE5B7A"/>
    <w:rsid w:val="00DF64C6"/>
    <w:rsid w:val="00E0151B"/>
    <w:rsid w:val="00E110A8"/>
    <w:rsid w:val="00E26B10"/>
    <w:rsid w:val="00E303C2"/>
    <w:rsid w:val="00E34372"/>
    <w:rsid w:val="00E4034F"/>
    <w:rsid w:val="00E6474D"/>
    <w:rsid w:val="00E658B4"/>
    <w:rsid w:val="00E73E32"/>
    <w:rsid w:val="00E80C82"/>
    <w:rsid w:val="00E855E1"/>
    <w:rsid w:val="00E928DC"/>
    <w:rsid w:val="00E97FB3"/>
    <w:rsid w:val="00EA3AE8"/>
    <w:rsid w:val="00EA5E43"/>
    <w:rsid w:val="00EB18F2"/>
    <w:rsid w:val="00EB2033"/>
    <w:rsid w:val="00EC084C"/>
    <w:rsid w:val="00ED3D90"/>
    <w:rsid w:val="00ED3F67"/>
    <w:rsid w:val="00ED402E"/>
    <w:rsid w:val="00ED42D5"/>
    <w:rsid w:val="00EE13C7"/>
    <w:rsid w:val="00EF0856"/>
    <w:rsid w:val="00EF3944"/>
    <w:rsid w:val="00EF4CA3"/>
    <w:rsid w:val="00EF5B82"/>
    <w:rsid w:val="00F0447D"/>
    <w:rsid w:val="00F06DC4"/>
    <w:rsid w:val="00F1091C"/>
    <w:rsid w:val="00F13F20"/>
    <w:rsid w:val="00F17DC1"/>
    <w:rsid w:val="00F23AFD"/>
    <w:rsid w:val="00F30B8D"/>
    <w:rsid w:val="00F35DDE"/>
    <w:rsid w:val="00F52508"/>
    <w:rsid w:val="00F528AB"/>
    <w:rsid w:val="00F5789A"/>
    <w:rsid w:val="00F72F39"/>
    <w:rsid w:val="00F739EA"/>
    <w:rsid w:val="00F74184"/>
    <w:rsid w:val="00F9727B"/>
    <w:rsid w:val="00FA086C"/>
    <w:rsid w:val="00FA519A"/>
    <w:rsid w:val="00FB2568"/>
    <w:rsid w:val="00FB2CA1"/>
    <w:rsid w:val="00FC5473"/>
    <w:rsid w:val="00FC689E"/>
    <w:rsid w:val="00FF00F3"/>
    <w:rsid w:val="00FF0415"/>
    <w:rsid w:val="00FF0FC8"/>
    <w:rsid w:val="00FF7458"/>
    <w:rsid w:val="00FF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A7C"/>
  <w15:docId w15:val="{63254A34-C2BE-4C3B-A5C8-E530C0A5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1DB4"/>
    <w:pPr>
      <w:spacing w:line="480" w:lineRule="auto"/>
    </w:pPr>
    <w:rPr>
      <w:sz w:val="24"/>
      <w:szCs w:val="24"/>
    </w:rPr>
  </w:style>
  <w:style w:type="paragraph" w:styleId="Heading1">
    <w:name w:val="heading 1"/>
    <w:basedOn w:val="Normal"/>
    <w:next w:val="Paragraph"/>
    <w:link w:val="Heading1Char"/>
    <w:qFormat/>
    <w:rsid w:val="00741DB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41DB4"/>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41DB4"/>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41DB4"/>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741DB4"/>
    <w:pPr>
      <w:spacing w:after="120" w:line="360" w:lineRule="auto"/>
    </w:pPr>
    <w:rPr>
      <w:b/>
      <w:sz w:val="28"/>
    </w:rPr>
  </w:style>
  <w:style w:type="paragraph" w:customStyle="1" w:styleId="Authornames">
    <w:name w:val="Author names"/>
    <w:basedOn w:val="Normal"/>
    <w:next w:val="Normal"/>
    <w:qFormat/>
    <w:rsid w:val="00741DB4"/>
    <w:pPr>
      <w:spacing w:before="240" w:line="360" w:lineRule="auto"/>
    </w:pPr>
    <w:rPr>
      <w:sz w:val="28"/>
    </w:rPr>
  </w:style>
  <w:style w:type="paragraph" w:customStyle="1" w:styleId="Affiliation">
    <w:name w:val="Affiliation"/>
    <w:basedOn w:val="Normal"/>
    <w:qFormat/>
    <w:rsid w:val="00741DB4"/>
    <w:pPr>
      <w:spacing w:before="240" w:line="360" w:lineRule="auto"/>
    </w:pPr>
    <w:rPr>
      <w:i/>
    </w:rPr>
  </w:style>
  <w:style w:type="paragraph" w:customStyle="1" w:styleId="Receiveddates">
    <w:name w:val="Received dates"/>
    <w:basedOn w:val="Affiliation"/>
    <w:next w:val="Normal"/>
    <w:qFormat/>
    <w:rsid w:val="00741DB4"/>
  </w:style>
  <w:style w:type="paragraph" w:customStyle="1" w:styleId="Abstract">
    <w:name w:val="Abstract"/>
    <w:basedOn w:val="Normal"/>
    <w:next w:val="Keywords"/>
    <w:qFormat/>
    <w:rsid w:val="00741DB4"/>
    <w:pPr>
      <w:spacing w:before="360" w:after="300" w:line="360" w:lineRule="auto"/>
      <w:ind w:left="720" w:right="567"/>
      <w:contextualSpacing/>
    </w:pPr>
    <w:rPr>
      <w:sz w:val="22"/>
    </w:rPr>
  </w:style>
  <w:style w:type="paragraph" w:customStyle="1" w:styleId="Keywords">
    <w:name w:val="Keywords"/>
    <w:basedOn w:val="Normal"/>
    <w:next w:val="Paragraph"/>
    <w:qFormat/>
    <w:rsid w:val="00741DB4"/>
    <w:pPr>
      <w:spacing w:before="240" w:after="240" w:line="360" w:lineRule="auto"/>
      <w:ind w:left="720" w:right="567"/>
    </w:pPr>
    <w:rPr>
      <w:sz w:val="22"/>
    </w:rPr>
  </w:style>
  <w:style w:type="paragraph" w:customStyle="1" w:styleId="Correspondencedetails">
    <w:name w:val="Correspondence details"/>
    <w:basedOn w:val="Normal"/>
    <w:qFormat/>
    <w:rsid w:val="00741DB4"/>
    <w:pPr>
      <w:spacing w:before="240" w:line="360" w:lineRule="auto"/>
    </w:pPr>
  </w:style>
  <w:style w:type="paragraph" w:customStyle="1" w:styleId="Displayedquotation">
    <w:name w:val="Displayed quotation"/>
    <w:basedOn w:val="Normal"/>
    <w:qFormat/>
    <w:rsid w:val="00741DB4"/>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41DB4"/>
    <w:pPr>
      <w:widowControl/>
      <w:numPr>
        <w:numId w:val="1"/>
      </w:numPr>
      <w:spacing w:after="240"/>
      <w:contextualSpacing/>
    </w:pPr>
  </w:style>
  <w:style w:type="paragraph" w:customStyle="1" w:styleId="Displayedequation">
    <w:name w:val="Displayed equation"/>
    <w:basedOn w:val="Normal"/>
    <w:next w:val="Paragraph"/>
    <w:qFormat/>
    <w:rsid w:val="00741DB4"/>
    <w:pPr>
      <w:tabs>
        <w:tab w:val="center" w:pos="4253"/>
        <w:tab w:val="right" w:pos="8222"/>
      </w:tabs>
      <w:spacing w:before="240" w:after="240"/>
      <w:jc w:val="center"/>
    </w:pPr>
  </w:style>
  <w:style w:type="paragraph" w:customStyle="1" w:styleId="Acknowledgements">
    <w:name w:val="Acknowledgements"/>
    <w:basedOn w:val="Normal"/>
    <w:next w:val="Normal"/>
    <w:qFormat/>
    <w:rsid w:val="00741DB4"/>
    <w:pPr>
      <w:spacing w:before="120" w:line="360" w:lineRule="auto"/>
    </w:pPr>
    <w:rPr>
      <w:sz w:val="22"/>
    </w:rPr>
  </w:style>
  <w:style w:type="paragraph" w:customStyle="1" w:styleId="Tabletitle">
    <w:name w:val="Table title"/>
    <w:basedOn w:val="Normal"/>
    <w:next w:val="Normal"/>
    <w:qFormat/>
    <w:rsid w:val="00741DB4"/>
    <w:pPr>
      <w:spacing w:before="240" w:line="360" w:lineRule="auto"/>
    </w:pPr>
  </w:style>
  <w:style w:type="paragraph" w:customStyle="1" w:styleId="Figurecaption">
    <w:name w:val="Figure caption"/>
    <w:basedOn w:val="Normal"/>
    <w:next w:val="Normal"/>
    <w:qFormat/>
    <w:rsid w:val="00741DB4"/>
    <w:pPr>
      <w:spacing w:before="240" w:line="360" w:lineRule="auto"/>
    </w:pPr>
  </w:style>
  <w:style w:type="paragraph" w:customStyle="1" w:styleId="Footnotes">
    <w:name w:val="Footnotes"/>
    <w:basedOn w:val="Normal"/>
    <w:qFormat/>
    <w:rsid w:val="00741DB4"/>
    <w:pPr>
      <w:spacing w:before="120" w:line="360" w:lineRule="auto"/>
      <w:ind w:left="482" w:hanging="482"/>
      <w:contextualSpacing/>
    </w:pPr>
    <w:rPr>
      <w:sz w:val="22"/>
    </w:rPr>
  </w:style>
  <w:style w:type="paragraph" w:customStyle="1" w:styleId="Notesoncontributors">
    <w:name w:val="Notes on contributors"/>
    <w:basedOn w:val="Normal"/>
    <w:qFormat/>
    <w:rsid w:val="00741DB4"/>
    <w:pPr>
      <w:spacing w:before="240" w:line="360" w:lineRule="auto"/>
    </w:pPr>
    <w:rPr>
      <w:sz w:val="22"/>
    </w:rPr>
  </w:style>
  <w:style w:type="paragraph" w:customStyle="1" w:styleId="Normalparagraphstyle">
    <w:name w:val="Normal paragraph style"/>
    <w:basedOn w:val="Normal"/>
    <w:next w:val="Normal"/>
    <w:rsid w:val="00741DB4"/>
  </w:style>
  <w:style w:type="paragraph" w:customStyle="1" w:styleId="Paragraph">
    <w:name w:val="Paragraph"/>
    <w:basedOn w:val="Normal"/>
    <w:next w:val="Newparagraph"/>
    <w:qFormat/>
    <w:rsid w:val="00741DB4"/>
    <w:pPr>
      <w:widowControl w:val="0"/>
      <w:spacing w:before="240"/>
    </w:pPr>
  </w:style>
  <w:style w:type="paragraph" w:customStyle="1" w:styleId="Newparagraph">
    <w:name w:val="New paragraph"/>
    <w:basedOn w:val="Normal"/>
    <w:qFormat/>
    <w:rsid w:val="00741DB4"/>
    <w:pPr>
      <w:ind w:firstLine="720"/>
    </w:pPr>
  </w:style>
  <w:style w:type="paragraph" w:styleId="NormalIndent">
    <w:name w:val="Normal Indent"/>
    <w:basedOn w:val="Normal"/>
    <w:rsid w:val="00741DB4"/>
    <w:pPr>
      <w:ind w:left="720"/>
    </w:pPr>
  </w:style>
  <w:style w:type="paragraph" w:customStyle="1" w:styleId="References">
    <w:name w:val="References"/>
    <w:basedOn w:val="Normal"/>
    <w:qFormat/>
    <w:rsid w:val="00741DB4"/>
    <w:pPr>
      <w:spacing w:before="120" w:line="360" w:lineRule="auto"/>
      <w:ind w:left="720" w:hanging="720"/>
      <w:contextualSpacing/>
    </w:pPr>
  </w:style>
  <w:style w:type="paragraph" w:customStyle="1" w:styleId="Subjectcodes">
    <w:name w:val="Subject codes"/>
    <w:basedOn w:val="Keywords"/>
    <w:next w:val="Paragraph"/>
    <w:qFormat/>
    <w:rsid w:val="00741DB4"/>
  </w:style>
  <w:style w:type="character" w:customStyle="1" w:styleId="Heading2Char">
    <w:name w:val="Heading 2 Char"/>
    <w:basedOn w:val="DefaultParagraphFont"/>
    <w:link w:val="Heading2"/>
    <w:rsid w:val="00741DB4"/>
    <w:rPr>
      <w:rFonts w:cs="Arial"/>
      <w:b/>
      <w:bCs/>
      <w:i/>
      <w:iCs/>
      <w:sz w:val="24"/>
      <w:szCs w:val="28"/>
    </w:rPr>
  </w:style>
  <w:style w:type="character" w:customStyle="1" w:styleId="Heading1Char">
    <w:name w:val="Heading 1 Char"/>
    <w:basedOn w:val="DefaultParagraphFont"/>
    <w:link w:val="Heading1"/>
    <w:rsid w:val="00741DB4"/>
    <w:rPr>
      <w:rFonts w:cs="Arial"/>
      <w:b/>
      <w:bCs/>
      <w:kern w:val="32"/>
      <w:sz w:val="24"/>
      <w:szCs w:val="32"/>
    </w:rPr>
  </w:style>
  <w:style w:type="character" w:customStyle="1" w:styleId="Heading3Char">
    <w:name w:val="Heading 3 Char"/>
    <w:basedOn w:val="DefaultParagraphFont"/>
    <w:link w:val="Heading3"/>
    <w:rsid w:val="00741DB4"/>
    <w:rPr>
      <w:rFonts w:eastAsia="Times New Roman" w:cs="Arial"/>
      <w:bCs/>
      <w:i/>
      <w:sz w:val="24"/>
      <w:szCs w:val="26"/>
      <w:lang w:eastAsia="en-GB"/>
    </w:rPr>
  </w:style>
  <w:style w:type="paragraph" w:customStyle="1" w:styleId="Bulletedlist">
    <w:name w:val="Bulleted list"/>
    <w:basedOn w:val="Paragraph"/>
    <w:next w:val="Paragraph"/>
    <w:qFormat/>
    <w:rsid w:val="00741DB4"/>
    <w:pPr>
      <w:widowControl/>
      <w:numPr>
        <w:numId w:val="2"/>
      </w:numPr>
      <w:spacing w:after="240"/>
      <w:contextualSpacing/>
    </w:pPr>
  </w:style>
  <w:style w:type="paragraph" w:styleId="FootnoteText">
    <w:name w:val="footnote text"/>
    <w:basedOn w:val="Normal"/>
    <w:link w:val="FootnoteTextChar"/>
    <w:rsid w:val="00741DB4"/>
    <w:pPr>
      <w:ind w:left="284" w:hanging="284"/>
    </w:pPr>
    <w:rPr>
      <w:sz w:val="22"/>
      <w:szCs w:val="20"/>
    </w:rPr>
  </w:style>
  <w:style w:type="character" w:customStyle="1" w:styleId="FootnoteTextChar">
    <w:name w:val="Footnote Text Char"/>
    <w:basedOn w:val="DefaultParagraphFont"/>
    <w:link w:val="FootnoteText"/>
    <w:rsid w:val="00741DB4"/>
    <w:rPr>
      <w:sz w:val="22"/>
    </w:rPr>
  </w:style>
  <w:style w:type="character" w:styleId="FootnoteReference">
    <w:name w:val="footnote reference"/>
    <w:basedOn w:val="DefaultParagraphFont"/>
    <w:rsid w:val="00741DB4"/>
    <w:rPr>
      <w:vertAlign w:val="superscript"/>
    </w:rPr>
  </w:style>
  <w:style w:type="paragraph" w:styleId="EndnoteText">
    <w:name w:val="endnote text"/>
    <w:basedOn w:val="Normal"/>
    <w:link w:val="EndnoteTextChar"/>
    <w:rsid w:val="00741DB4"/>
    <w:pPr>
      <w:ind w:left="284" w:hanging="284"/>
    </w:pPr>
    <w:rPr>
      <w:sz w:val="22"/>
      <w:szCs w:val="20"/>
    </w:rPr>
  </w:style>
  <w:style w:type="character" w:customStyle="1" w:styleId="EndnoteTextChar">
    <w:name w:val="Endnote Text Char"/>
    <w:basedOn w:val="DefaultParagraphFont"/>
    <w:link w:val="EndnoteText"/>
    <w:rsid w:val="00741DB4"/>
    <w:rPr>
      <w:sz w:val="22"/>
    </w:rPr>
  </w:style>
  <w:style w:type="character" w:styleId="EndnoteReference">
    <w:name w:val="endnote reference"/>
    <w:basedOn w:val="DefaultParagraphFont"/>
    <w:rsid w:val="00741DB4"/>
    <w:rPr>
      <w:vertAlign w:val="superscript"/>
    </w:rPr>
  </w:style>
  <w:style w:type="character" w:customStyle="1" w:styleId="Heading4Char">
    <w:name w:val="Heading 4 Char"/>
    <w:basedOn w:val="DefaultParagraphFont"/>
    <w:link w:val="Heading4"/>
    <w:rsid w:val="00741DB4"/>
    <w:rPr>
      <w:bCs/>
      <w:sz w:val="24"/>
      <w:szCs w:val="28"/>
    </w:rPr>
  </w:style>
  <w:style w:type="paragraph" w:styleId="Header">
    <w:name w:val="header"/>
    <w:basedOn w:val="Normal"/>
    <w:link w:val="HeaderChar"/>
    <w:rsid w:val="00741DB4"/>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741DB4"/>
    <w:rPr>
      <w:rFonts w:eastAsia="Times New Roman"/>
      <w:sz w:val="24"/>
      <w:szCs w:val="24"/>
      <w:lang w:eastAsia="en-GB"/>
    </w:rPr>
  </w:style>
  <w:style w:type="paragraph" w:styleId="Footer">
    <w:name w:val="footer"/>
    <w:basedOn w:val="Normal"/>
    <w:link w:val="FooterChar"/>
    <w:uiPriority w:val="99"/>
    <w:rsid w:val="00741DB4"/>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741DB4"/>
    <w:rPr>
      <w:sz w:val="24"/>
      <w:szCs w:val="24"/>
    </w:rPr>
  </w:style>
  <w:style w:type="paragraph" w:customStyle="1" w:styleId="Heading4Paragraph">
    <w:name w:val="Heading 4 + Paragraph"/>
    <w:basedOn w:val="Paragraph"/>
    <w:next w:val="Newparagraph"/>
    <w:qFormat/>
    <w:rsid w:val="00741DB4"/>
    <w:pPr>
      <w:widowControl/>
      <w:spacing w:before="360"/>
    </w:pPr>
  </w:style>
  <w:style w:type="paragraph" w:styleId="ListParagraph">
    <w:name w:val="List Paragraph"/>
    <w:basedOn w:val="Normal"/>
    <w:uiPriority w:val="34"/>
    <w:qFormat/>
    <w:rsid w:val="00741DB4"/>
    <w:pPr>
      <w:spacing w:after="120" w:line="240" w:lineRule="auto"/>
      <w:ind w:left="720"/>
      <w:contextualSpacing/>
    </w:pPr>
    <w:rPr>
      <w:rFonts w:asciiTheme="minorHAnsi" w:hAnsiTheme="minorHAnsi"/>
      <w:lang w:eastAsia="en-US"/>
    </w:rPr>
  </w:style>
  <w:style w:type="paragraph" w:customStyle="1" w:styleId="Default">
    <w:name w:val="Default"/>
    <w:rsid w:val="00741DB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41D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741DB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41DB4"/>
    <w:rPr>
      <w:rFonts w:ascii="Tahoma" w:hAnsi="Tahoma" w:cs="Tahoma"/>
      <w:sz w:val="16"/>
      <w:szCs w:val="16"/>
    </w:rPr>
  </w:style>
  <w:style w:type="character" w:customStyle="1" w:styleId="apple-converted-space">
    <w:name w:val="apple-converted-space"/>
    <w:basedOn w:val="DefaultParagraphFont"/>
    <w:rsid w:val="00831BE7"/>
  </w:style>
  <w:style w:type="character" w:styleId="CommentReference">
    <w:name w:val="annotation reference"/>
    <w:basedOn w:val="DefaultParagraphFont"/>
    <w:uiPriority w:val="99"/>
    <w:semiHidden/>
    <w:unhideWhenUsed/>
    <w:rsid w:val="000A21FE"/>
    <w:rPr>
      <w:sz w:val="16"/>
      <w:szCs w:val="16"/>
    </w:rPr>
  </w:style>
  <w:style w:type="paragraph" w:styleId="CommentText">
    <w:name w:val="annotation text"/>
    <w:basedOn w:val="Normal"/>
    <w:link w:val="CommentTextChar"/>
    <w:uiPriority w:val="99"/>
    <w:semiHidden/>
    <w:unhideWhenUsed/>
    <w:rsid w:val="000A21FE"/>
    <w:pPr>
      <w:spacing w:line="240" w:lineRule="auto"/>
    </w:pPr>
    <w:rPr>
      <w:sz w:val="20"/>
      <w:szCs w:val="20"/>
    </w:rPr>
  </w:style>
  <w:style w:type="character" w:customStyle="1" w:styleId="CommentTextChar">
    <w:name w:val="Comment Text Char"/>
    <w:basedOn w:val="DefaultParagraphFont"/>
    <w:link w:val="CommentText"/>
    <w:uiPriority w:val="99"/>
    <w:semiHidden/>
    <w:rsid w:val="000A21FE"/>
  </w:style>
  <w:style w:type="paragraph" w:styleId="CommentSubject">
    <w:name w:val="annotation subject"/>
    <w:basedOn w:val="CommentText"/>
    <w:next w:val="CommentText"/>
    <w:link w:val="CommentSubjectChar"/>
    <w:uiPriority w:val="99"/>
    <w:semiHidden/>
    <w:unhideWhenUsed/>
    <w:rsid w:val="000A21FE"/>
    <w:rPr>
      <w:b/>
      <w:bCs/>
    </w:rPr>
  </w:style>
  <w:style w:type="character" w:customStyle="1" w:styleId="CommentSubjectChar">
    <w:name w:val="Comment Subject Char"/>
    <w:basedOn w:val="CommentTextChar"/>
    <w:link w:val="CommentSubject"/>
    <w:uiPriority w:val="99"/>
    <w:semiHidden/>
    <w:rsid w:val="000A21FE"/>
    <w:rPr>
      <w:b/>
      <w:bCs/>
    </w:rPr>
  </w:style>
  <w:style w:type="character" w:styleId="Hyperlink">
    <w:name w:val="Hyperlink"/>
    <w:basedOn w:val="DefaultParagraphFont"/>
    <w:uiPriority w:val="99"/>
    <w:unhideWhenUsed/>
    <w:rsid w:val="00D246A5"/>
    <w:rPr>
      <w:color w:val="0000FF" w:themeColor="hyperlink"/>
      <w:u w:val="single"/>
    </w:rPr>
  </w:style>
  <w:style w:type="table" w:styleId="PlainTable5">
    <w:name w:val="Plain Table 5"/>
    <w:basedOn w:val="TableNormal"/>
    <w:uiPriority w:val="45"/>
    <w:rsid w:val="00EE13C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5">
    <w:name w:val="Table Grid5"/>
    <w:basedOn w:val="TableNormal"/>
    <w:next w:val="TableGrid"/>
    <w:uiPriority w:val="39"/>
    <w:rsid w:val="00AC7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C7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03D8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7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9325">
      <w:bodyDiv w:val="1"/>
      <w:marLeft w:val="0"/>
      <w:marRight w:val="0"/>
      <w:marTop w:val="0"/>
      <w:marBottom w:val="0"/>
      <w:divBdr>
        <w:top w:val="none" w:sz="0" w:space="0" w:color="auto"/>
        <w:left w:val="none" w:sz="0" w:space="0" w:color="auto"/>
        <w:bottom w:val="none" w:sz="0" w:space="0" w:color="auto"/>
        <w:right w:val="none" w:sz="0" w:space="0" w:color="auto"/>
      </w:divBdr>
    </w:div>
    <w:div w:id="464471511">
      <w:bodyDiv w:val="1"/>
      <w:marLeft w:val="0"/>
      <w:marRight w:val="0"/>
      <w:marTop w:val="0"/>
      <w:marBottom w:val="0"/>
      <w:divBdr>
        <w:top w:val="none" w:sz="0" w:space="0" w:color="auto"/>
        <w:left w:val="none" w:sz="0" w:space="0" w:color="auto"/>
        <w:bottom w:val="none" w:sz="0" w:space="0" w:color="auto"/>
        <w:right w:val="none" w:sz="0" w:space="0" w:color="auto"/>
      </w:divBdr>
    </w:div>
    <w:div w:id="554388802">
      <w:bodyDiv w:val="1"/>
      <w:marLeft w:val="0"/>
      <w:marRight w:val="0"/>
      <w:marTop w:val="0"/>
      <w:marBottom w:val="0"/>
      <w:divBdr>
        <w:top w:val="none" w:sz="0" w:space="0" w:color="auto"/>
        <w:left w:val="none" w:sz="0" w:space="0" w:color="auto"/>
        <w:bottom w:val="none" w:sz="0" w:space="0" w:color="auto"/>
        <w:right w:val="none" w:sz="0" w:space="0" w:color="auto"/>
      </w:divBdr>
      <w:divsChild>
        <w:div w:id="1669022302">
          <w:marLeft w:val="0"/>
          <w:marRight w:val="0"/>
          <w:marTop w:val="0"/>
          <w:marBottom w:val="120"/>
          <w:divBdr>
            <w:top w:val="none" w:sz="0" w:space="0" w:color="auto"/>
            <w:left w:val="none" w:sz="0" w:space="0" w:color="auto"/>
            <w:bottom w:val="none" w:sz="0" w:space="0" w:color="auto"/>
            <w:right w:val="none" w:sz="0" w:space="0" w:color="auto"/>
          </w:divBdr>
        </w:div>
      </w:divsChild>
    </w:div>
    <w:div w:id="969290279">
      <w:bodyDiv w:val="1"/>
      <w:marLeft w:val="0"/>
      <w:marRight w:val="0"/>
      <w:marTop w:val="0"/>
      <w:marBottom w:val="0"/>
      <w:divBdr>
        <w:top w:val="none" w:sz="0" w:space="0" w:color="auto"/>
        <w:left w:val="none" w:sz="0" w:space="0" w:color="auto"/>
        <w:bottom w:val="none" w:sz="0" w:space="0" w:color="auto"/>
        <w:right w:val="none" w:sz="0" w:space="0" w:color="auto"/>
      </w:divBdr>
    </w:div>
    <w:div w:id="144920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ualreport.specialolympics.org/reach-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dx.doi.org/10.5888/pcd14.160503" TargetMode="External"/><Relationship Id="rId4" Type="http://schemas.openxmlformats.org/officeDocument/2006/relationships/settings" Target="settings.xml"/><Relationship Id="rId9" Type="http://schemas.openxmlformats.org/officeDocument/2006/relationships/hyperlink" Target="https://www.specialolympics.org/our-work/inclusive-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EC7C-F755-4C81-A916-4EE5251E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6965</Words>
  <Characters>39705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Ulster university</Company>
  <LinksUpToDate>false</LinksUpToDate>
  <CharactersWithSpaces>46577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ROY MC CONKEY</dc:creator>
  <cp:lastModifiedBy>McConkey, Roy</cp:lastModifiedBy>
  <cp:revision>2</cp:revision>
  <cp:lastPrinted>2019-08-19T14:34:00Z</cp:lastPrinted>
  <dcterms:created xsi:type="dcterms:W3CDTF">2020-04-18T07:59:00Z</dcterms:created>
  <dcterms:modified xsi:type="dcterms:W3CDTF">2020-04-18T07:59:00Z</dcterms:modified>
</cp:coreProperties>
</file>