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FD5B5B" w14:textId="71CB3517" w:rsidR="00D8434E" w:rsidRPr="003B42A7" w:rsidRDefault="00D8434E" w:rsidP="006115CA">
      <w:pPr>
        <w:spacing w:line="360" w:lineRule="auto"/>
        <w:rPr>
          <w:b/>
        </w:rPr>
      </w:pPr>
      <w:r w:rsidRPr="003B42A7">
        <w:rPr>
          <w:b/>
        </w:rPr>
        <w:t>Hydrogel-forming microneedle arrays as a therapeutic option for transdermal esketamine delivery</w:t>
      </w:r>
    </w:p>
    <w:p w14:paraId="0438F967" w14:textId="45EA8203" w:rsidR="00D24D61" w:rsidRPr="003B42A7" w:rsidRDefault="00D24D61" w:rsidP="002A216E">
      <w:pPr>
        <w:spacing w:line="360" w:lineRule="auto"/>
      </w:pPr>
      <w:r w:rsidRPr="003B42A7">
        <w:t>Aaron J. Courtenay</w:t>
      </w:r>
      <w:r w:rsidR="0073263F" w:rsidRPr="003B42A7">
        <w:rPr>
          <w:rFonts w:eastAsia="Times New Roman" w:cs="Times New Roman"/>
          <w:szCs w:val="24"/>
          <w:vertAlign w:val="superscript"/>
          <w:lang w:eastAsia="en-GB"/>
        </w:rPr>
        <w:t>1</w:t>
      </w:r>
      <w:r w:rsidR="00C8456E" w:rsidRPr="003B42A7">
        <w:rPr>
          <w:rFonts w:eastAsia="Times New Roman" w:cs="Times New Roman"/>
          <w:szCs w:val="24"/>
          <w:vertAlign w:val="superscript"/>
          <w:lang w:eastAsia="en-GB"/>
        </w:rPr>
        <w:t>,2</w:t>
      </w:r>
      <w:r w:rsidRPr="003B42A7">
        <w:t>, Emma McAlister</w:t>
      </w:r>
      <w:r w:rsidR="0073263F" w:rsidRPr="003B42A7">
        <w:rPr>
          <w:rFonts w:eastAsia="Times New Roman" w:cs="Times New Roman"/>
          <w:szCs w:val="24"/>
          <w:vertAlign w:val="superscript"/>
          <w:lang w:eastAsia="en-GB"/>
        </w:rPr>
        <w:t>1</w:t>
      </w:r>
      <w:r w:rsidRPr="003B42A7">
        <w:t>, Maelíosa T.C. McCrudden</w:t>
      </w:r>
      <w:r w:rsidR="0073263F" w:rsidRPr="003B42A7">
        <w:rPr>
          <w:rFonts w:eastAsia="Times New Roman" w:cs="Times New Roman"/>
          <w:szCs w:val="24"/>
          <w:vertAlign w:val="superscript"/>
          <w:lang w:eastAsia="en-GB"/>
        </w:rPr>
        <w:t>1</w:t>
      </w:r>
      <w:r w:rsidRPr="003B42A7">
        <w:t xml:space="preserve">, </w:t>
      </w:r>
      <w:proofErr w:type="spellStart"/>
      <w:r w:rsidRPr="003B42A7">
        <w:t>Lalit</w:t>
      </w:r>
      <w:proofErr w:type="spellEnd"/>
      <w:r w:rsidRPr="003B42A7">
        <w:t xml:space="preserve"> Vora</w:t>
      </w:r>
      <w:r w:rsidR="0073263F" w:rsidRPr="003B42A7">
        <w:rPr>
          <w:rFonts w:eastAsia="Times New Roman" w:cs="Times New Roman"/>
          <w:szCs w:val="24"/>
          <w:vertAlign w:val="superscript"/>
          <w:lang w:eastAsia="en-GB"/>
        </w:rPr>
        <w:t>1</w:t>
      </w:r>
      <w:r w:rsidR="004329A7" w:rsidRPr="003B42A7">
        <w:t xml:space="preserve">, </w:t>
      </w:r>
      <w:proofErr w:type="spellStart"/>
      <w:r w:rsidR="00802513" w:rsidRPr="003B42A7">
        <w:t>Lilach</w:t>
      </w:r>
      <w:proofErr w:type="spellEnd"/>
      <w:r w:rsidR="00802513" w:rsidRPr="003B42A7">
        <w:t xml:space="preserve"> Steiner</w:t>
      </w:r>
      <w:r w:rsidR="00C8456E" w:rsidRPr="003B42A7">
        <w:rPr>
          <w:vertAlign w:val="superscript"/>
        </w:rPr>
        <w:t>3</w:t>
      </w:r>
      <w:r w:rsidR="00802513" w:rsidRPr="003B42A7">
        <w:t xml:space="preserve">, </w:t>
      </w:r>
      <w:proofErr w:type="spellStart"/>
      <w:r w:rsidR="00802513" w:rsidRPr="003B42A7">
        <w:t>Galit</w:t>
      </w:r>
      <w:proofErr w:type="spellEnd"/>
      <w:r w:rsidR="00802513" w:rsidRPr="003B42A7">
        <w:t xml:space="preserve"> Lev</w:t>
      </w:r>
      <w:r w:rsidR="002A216E" w:rsidRPr="003B42A7">
        <w:t>i</w:t>
      </w:r>
      <w:r w:rsidR="00802513" w:rsidRPr="003B42A7">
        <w:t>n</w:t>
      </w:r>
      <w:r w:rsidR="00C8456E" w:rsidRPr="003B42A7">
        <w:rPr>
          <w:rFonts w:eastAsia="Times New Roman" w:cs="Times New Roman"/>
          <w:szCs w:val="24"/>
          <w:vertAlign w:val="superscript"/>
          <w:lang w:eastAsia="en-GB"/>
        </w:rPr>
        <w:t>3</w:t>
      </w:r>
      <w:r w:rsidR="00802513" w:rsidRPr="003B42A7">
        <w:t xml:space="preserve">, </w:t>
      </w:r>
      <w:proofErr w:type="spellStart"/>
      <w:r w:rsidR="00802513" w:rsidRPr="003B42A7">
        <w:t>Etgar</w:t>
      </w:r>
      <w:proofErr w:type="spellEnd"/>
      <w:r w:rsidR="00802513" w:rsidRPr="003B42A7">
        <w:t xml:space="preserve"> Levy-Nissenbaum</w:t>
      </w:r>
      <w:r w:rsidR="00C8456E" w:rsidRPr="003B42A7">
        <w:rPr>
          <w:rFonts w:eastAsia="Times New Roman" w:cs="Times New Roman"/>
          <w:szCs w:val="24"/>
          <w:vertAlign w:val="superscript"/>
          <w:lang w:eastAsia="en-GB"/>
        </w:rPr>
        <w:t>3</w:t>
      </w:r>
      <w:r w:rsidR="00802513" w:rsidRPr="003B42A7">
        <w:t xml:space="preserve">, </w:t>
      </w:r>
      <w:r w:rsidR="002A216E" w:rsidRPr="003B42A7">
        <w:rPr>
          <w:rFonts w:eastAsia="Times New Roman"/>
        </w:rPr>
        <w:t>Nava Shterman</w:t>
      </w:r>
      <w:r w:rsidR="002A216E" w:rsidRPr="003B42A7">
        <w:rPr>
          <w:rFonts w:eastAsia="Times New Roman"/>
          <w:vertAlign w:val="superscript"/>
        </w:rPr>
        <w:t>3</w:t>
      </w:r>
      <w:r w:rsidR="002A216E" w:rsidRPr="003B42A7">
        <w:t xml:space="preserve">, </w:t>
      </w:r>
      <w:r w:rsidR="004329A7" w:rsidRPr="003B42A7">
        <w:t>Mary-Carmel Kearney</w:t>
      </w:r>
      <w:r w:rsidR="0073263F" w:rsidRPr="003B42A7">
        <w:rPr>
          <w:rFonts w:eastAsia="Times New Roman" w:cs="Times New Roman"/>
          <w:szCs w:val="24"/>
          <w:vertAlign w:val="superscript"/>
          <w:lang w:eastAsia="en-GB"/>
        </w:rPr>
        <w:t>1</w:t>
      </w:r>
      <w:r w:rsidR="00C8456E" w:rsidRPr="003B42A7">
        <w:t>, Helen O. McCarthy</w:t>
      </w:r>
      <w:r w:rsidR="00C8456E" w:rsidRPr="003B42A7">
        <w:rPr>
          <w:vertAlign w:val="superscript"/>
        </w:rPr>
        <w:t>1</w:t>
      </w:r>
      <w:r w:rsidR="00C8456E" w:rsidRPr="003B42A7">
        <w:t xml:space="preserve"> </w:t>
      </w:r>
      <w:r w:rsidR="004329A7" w:rsidRPr="003B42A7">
        <w:t xml:space="preserve">and </w:t>
      </w:r>
      <w:r w:rsidRPr="003B42A7">
        <w:t>Ryan F. Donnelly</w:t>
      </w:r>
      <w:r w:rsidR="0073263F" w:rsidRPr="003B42A7">
        <w:rPr>
          <w:rFonts w:eastAsia="Times New Roman" w:cs="Times New Roman"/>
          <w:szCs w:val="24"/>
          <w:vertAlign w:val="superscript"/>
          <w:lang w:eastAsia="en-GB"/>
        </w:rPr>
        <w:t>1</w:t>
      </w:r>
      <w:r w:rsidRPr="003B42A7">
        <w:t>*.</w:t>
      </w:r>
    </w:p>
    <w:p w14:paraId="18C49C64" w14:textId="77777777" w:rsidR="007228F9" w:rsidRPr="003B42A7" w:rsidRDefault="007228F9" w:rsidP="006115CA">
      <w:pPr>
        <w:spacing w:line="360" w:lineRule="auto"/>
        <w:jc w:val="both"/>
        <w:rPr>
          <w:rFonts w:eastAsia="Times New Roman" w:cs="Times New Roman"/>
          <w:szCs w:val="24"/>
          <w:lang w:eastAsia="en-GB"/>
        </w:rPr>
      </w:pPr>
    </w:p>
    <w:p w14:paraId="49B0761A" w14:textId="67BECADC" w:rsidR="007228F9" w:rsidRPr="003B42A7" w:rsidRDefault="00802513" w:rsidP="006115CA">
      <w:pPr>
        <w:spacing w:line="360" w:lineRule="auto"/>
        <w:jc w:val="both"/>
        <w:rPr>
          <w:rFonts w:eastAsia="Times New Roman" w:cs="Times New Roman"/>
          <w:szCs w:val="24"/>
          <w:lang w:eastAsia="en-GB"/>
        </w:rPr>
      </w:pPr>
      <w:r w:rsidRPr="003B42A7">
        <w:rPr>
          <w:rFonts w:eastAsia="Times New Roman" w:cs="Times New Roman"/>
          <w:szCs w:val="24"/>
          <w:vertAlign w:val="superscript"/>
          <w:lang w:eastAsia="en-GB"/>
        </w:rPr>
        <w:t>1</w:t>
      </w:r>
      <w:r w:rsidR="00C8456E" w:rsidRPr="003B42A7">
        <w:rPr>
          <w:rFonts w:eastAsia="Times New Roman" w:cs="Times New Roman"/>
          <w:szCs w:val="24"/>
          <w:vertAlign w:val="superscript"/>
          <w:lang w:eastAsia="en-GB"/>
        </w:rPr>
        <w:t xml:space="preserve"> </w:t>
      </w:r>
      <w:r w:rsidR="007228F9" w:rsidRPr="003B42A7">
        <w:rPr>
          <w:rFonts w:eastAsia="Times New Roman" w:cs="Times New Roman"/>
          <w:szCs w:val="24"/>
          <w:lang w:eastAsia="en-GB"/>
        </w:rPr>
        <w:t>School of Pharmacy, Queen’s University Belfast, 97 Lisburn Road, Belfast BT9 7BL, United Kingdom.</w:t>
      </w:r>
    </w:p>
    <w:p w14:paraId="668C68FA" w14:textId="36AE3972" w:rsidR="00C8456E" w:rsidRPr="003B42A7" w:rsidRDefault="00C8456E" w:rsidP="006115CA">
      <w:pPr>
        <w:spacing w:line="360" w:lineRule="auto"/>
        <w:jc w:val="both"/>
        <w:rPr>
          <w:rFonts w:eastAsia="Times New Roman" w:cs="Times New Roman"/>
          <w:szCs w:val="24"/>
          <w:lang w:eastAsia="en-GB"/>
        </w:rPr>
      </w:pPr>
      <w:r w:rsidRPr="003B42A7">
        <w:rPr>
          <w:rFonts w:eastAsia="Times New Roman" w:cs="Times New Roman"/>
          <w:szCs w:val="24"/>
          <w:vertAlign w:val="superscript"/>
          <w:lang w:eastAsia="en-GB"/>
        </w:rPr>
        <w:t xml:space="preserve">2 </w:t>
      </w:r>
      <w:r w:rsidRPr="003B42A7">
        <w:rPr>
          <w:rFonts w:eastAsia="Times New Roman" w:cs="Times New Roman"/>
          <w:szCs w:val="24"/>
          <w:lang w:eastAsia="en-GB"/>
        </w:rPr>
        <w:t xml:space="preserve">School of Pharmacy and Pharmaceutical Sciences, Ulster University, </w:t>
      </w:r>
      <w:proofErr w:type="spellStart"/>
      <w:r w:rsidRPr="003B42A7">
        <w:rPr>
          <w:rFonts w:eastAsia="Times New Roman" w:cs="Times New Roman"/>
          <w:szCs w:val="24"/>
          <w:lang w:eastAsia="en-GB"/>
        </w:rPr>
        <w:t>Cromore</w:t>
      </w:r>
      <w:proofErr w:type="spellEnd"/>
      <w:r w:rsidRPr="003B42A7">
        <w:rPr>
          <w:rFonts w:eastAsia="Times New Roman" w:cs="Times New Roman"/>
          <w:szCs w:val="24"/>
          <w:lang w:eastAsia="en-GB"/>
        </w:rPr>
        <w:t xml:space="preserve"> Road, Coleraine, BT52 1SA, United Kingdom</w:t>
      </w:r>
    </w:p>
    <w:p w14:paraId="611503E1" w14:textId="2DA32342" w:rsidR="00802513" w:rsidRPr="003B42A7" w:rsidRDefault="00C8456E" w:rsidP="006115CA">
      <w:pPr>
        <w:spacing w:line="360" w:lineRule="auto"/>
        <w:jc w:val="both"/>
        <w:rPr>
          <w:rFonts w:eastAsia="Times New Roman" w:cs="Times New Roman"/>
          <w:szCs w:val="24"/>
          <w:vertAlign w:val="superscript"/>
          <w:lang w:eastAsia="en-GB"/>
        </w:rPr>
      </w:pPr>
      <w:r w:rsidRPr="003B42A7">
        <w:rPr>
          <w:rFonts w:eastAsia="Times New Roman" w:cs="Times New Roman"/>
          <w:szCs w:val="24"/>
          <w:vertAlign w:val="superscript"/>
          <w:lang w:eastAsia="en-GB"/>
        </w:rPr>
        <w:t>3</w:t>
      </w:r>
      <w:r w:rsidR="00802513" w:rsidRPr="003B42A7">
        <w:rPr>
          <w:rFonts w:eastAsia="Times New Roman" w:cs="Times New Roman"/>
          <w:szCs w:val="24"/>
          <w:lang w:eastAsia="en-GB"/>
        </w:rPr>
        <w:t xml:space="preserve"> TEVA Pharmaceuticals, </w:t>
      </w:r>
      <w:r w:rsidR="0073263F" w:rsidRPr="003B42A7">
        <w:rPr>
          <w:rFonts w:eastAsia="Times New Roman" w:cs="Times New Roman"/>
          <w:szCs w:val="24"/>
          <w:lang w:eastAsia="en-GB"/>
        </w:rPr>
        <w:t xml:space="preserve">Basel Street 5, Petah Tikvah, </w:t>
      </w:r>
      <w:r w:rsidR="00802513" w:rsidRPr="003B42A7">
        <w:rPr>
          <w:rFonts w:eastAsia="Times New Roman" w:cs="Times New Roman"/>
          <w:szCs w:val="24"/>
          <w:lang w:eastAsia="en-GB"/>
        </w:rPr>
        <w:t>Netanya Area</w:t>
      </w:r>
      <w:r w:rsidR="0073263F" w:rsidRPr="003B42A7">
        <w:rPr>
          <w:rFonts w:eastAsia="Times New Roman" w:cs="Times New Roman"/>
          <w:szCs w:val="24"/>
          <w:lang w:eastAsia="en-GB"/>
        </w:rPr>
        <w:t>,</w:t>
      </w:r>
      <w:r w:rsidR="00802513" w:rsidRPr="003B42A7">
        <w:rPr>
          <w:rFonts w:eastAsia="Times New Roman" w:cs="Times New Roman"/>
          <w:szCs w:val="24"/>
          <w:lang w:eastAsia="en-GB"/>
        </w:rPr>
        <w:t xml:space="preserve"> Israel</w:t>
      </w:r>
    </w:p>
    <w:p w14:paraId="11AFB21E" w14:textId="62E804C4" w:rsidR="007228F9" w:rsidRPr="003B42A7" w:rsidRDefault="007228F9" w:rsidP="006115CA">
      <w:pPr>
        <w:spacing w:line="360" w:lineRule="auto"/>
        <w:jc w:val="both"/>
        <w:rPr>
          <w:rFonts w:cs="Times New Roman"/>
          <w:szCs w:val="24"/>
          <w:lang w:eastAsia="en-GB"/>
        </w:rPr>
      </w:pPr>
    </w:p>
    <w:p w14:paraId="7A0BBC66" w14:textId="2F479628" w:rsidR="00802513" w:rsidRPr="003B42A7" w:rsidRDefault="00802513" w:rsidP="006115CA">
      <w:pPr>
        <w:spacing w:line="360" w:lineRule="auto"/>
        <w:jc w:val="both"/>
        <w:rPr>
          <w:rFonts w:cs="Times New Roman"/>
          <w:szCs w:val="24"/>
          <w:lang w:eastAsia="en-GB"/>
        </w:rPr>
      </w:pPr>
    </w:p>
    <w:p w14:paraId="6858552B" w14:textId="1FC84E41" w:rsidR="00802513" w:rsidRPr="003B42A7" w:rsidRDefault="00802513" w:rsidP="006115CA">
      <w:pPr>
        <w:spacing w:line="360" w:lineRule="auto"/>
        <w:jc w:val="both"/>
        <w:rPr>
          <w:rFonts w:cs="Times New Roman"/>
          <w:szCs w:val="24"/>
          <w:lang w:eastAsia="en-GB"/>
        </w:rPr>
      </w:pPr>
    </w:p>
    <w:p w14:paraId="17A32B93" w14:textId="77777777" w:rsidR="00802513" w:rsidRPr="003B42A7" w:rsidRDefault="00802513" w:rsidP="006115CA">
      <w:pPr>
        <w:spacing w:line="360" w:lineRule="auto"/>
        <w:jc w:val="both"/>
        <w:rPr>
          <w:rFonts w:cs="Times New Roman"/>
          <w:szCs w:val="24"/>
          <w:lang w:eastAsia="en-GB"/>
        </w:rPr>
      </w:pPr>
    </w:p>
    <w:p w14:paraId="1C50E73E" w14:textId="77777777" w:rsidR="003969C6" w:rsidRPr="003B42A7" w:rsidRDefault="00A95DA8" w:rsidP="006115CA">
      <w:pPr>
        <w:spacing w:line="360" w:lineRule="auto"/>
        <w:jc w:val="both"/>
        <w:rPr>
          <w:rFonts w:cs="Times New Roman"/>
          <w:color w:val="000000"/>
          <w:szCs w:val="24"/>
          <w:lang w:eastAsia="en-GB"/>
        </w:rPr>
      </w:pPr>
      <w:r w:rsidRPr="003B42A7">
        <w:rPr>
          <w:rFonts w:cs="Times New Roman"/>
          <w:szCs w:val="24"/>
          <w:lang w:eastAsia="en-GB"/>
        </w:rPr>
        <w:t>*</w:t>
      </w:r>
      <w:r w:rsidRPr="003B42A7">
        <w:rPr>
          <w:rFonts w:cs="Times New Roman"/>
          <w:color w:val="000000"/>
          <w:szCs w:val="24"/>
        </w:rPr>
        <w:t xml:space="preserve"> </w:t>
      </w:r>
      <w:r w:rsidR="003969C6" w:rsidRPr="003B42A7">
        <w:rPr>
          <w:rFonts w:cs="Times New Roman"/>
          <w:color w:val="000000"/>
          <w:szCs w:val="24"/>
          <w:lang w:eastAsia="en-GB"/>
        </w:rPr>
        <w:t>Corresponding author</w:t>
      </w:r>
      <w:r w:rsidRPr="003B42A7">
        <w:rPr>
          <w:rFonts w:cs="Times New Roman"/>
          <w:color w:val="000000"/>
          <w:szCs w:val="24"/>
          <w:lang w:eastAsia="en-GB"/>
        </w:rPr>
        <w:t xml:space="preserve">: </w:t>
      </w:r>
    </w:p>
    <w:p w14:paraId="66C3EDCB" w14:textId="77777777" w:rsidR="003969C6" w:rsidRPr="003B42A7" w:rsidRDefault="00A95DA8" w:rsidP="006115CA">
      <w:pPr>
        <w:spacing w:line="360" w:lineRule="auto"/>
        <w:jc w:val="both"/>
        <w:rPr>
          <w:rFonts w:cs="Times New Roman"/>
          <w:color w:val="000000"/>
          <w:szCs w:val="24"/>
          <w:lang w:eastAsia="en-GB"/>
        </w:rPr>
      </w:pPr>
      <w:r w:rsidRPr="003B42A7">
        <w:rPr>
          <w:rFonts w:cs="Times New Roman"/>
          <w:szCs w:val="24"/>
          <w:lang w:eastAsia="en-GB"/>
        </w:rPr>
        <w:t>Cha</w:t>
      </w:r>
      <w:r w:rsidR="003969C6" w:rsidRPr="003B42A7">
        <w:rPr>
          <w:rFonts w:cs="Times New Roman"/>
          <w:szCs w:val="24"/>
          <w:lang w:eastAsia="en-GB"/>
        </w:rPr>
        <w:t>ir in Pharmaceutical Technology</w:t>
      </w:r>
    </w:p>
    <w:p w14:paraId="05866E66" w14:textId="77777777" w:rsidR="003969C6" w:rsidRPr="003B42A7" w:rsidRDefault="003969C6" w:rsidP="006115CA">
      <w:pPr>
        <w:spacing w:line="360" w:lineRule="auto"/>
        <w:jc w:val="both"/>
        <w:rPr>
          <w:rFonts w:cs="Times New Roman"/>
          <w:szCs w:val="24"/>
          <w:lang w:eastAsia="en-GB"/>
        </w:rPr>
      </w:pPr>
      <w:r w:rsidRPr="003B42A7">
        <w:rPr>
          <w:rFonts w:cs="Times New Roman"/>
          <w:szCs w:val="24"/>
          <w:lang w:eastAsia="en-GB"/>
        </w:rPr>
        <w:t xml:space="preserve"> School of Pharmacy</w:t>
      </w:r>
    </w:p>
    <w:p w14:paraId="1145F6E1" w14:textId="77777777" w:rsidR="003969C6" w:rsidRPr="003B42A7" w:rsidRDefault="003969C6" w:rsidP="006115CA">
      <w:pPr>
        <w:spacing w:line="360" w:lineRule="auto"/>
        <w:jc w:val="both"/>
        <w:rPr>
          <w:rFonts w:cs="Times New Roman"/>
          <w:szCs w:val="24"/>
          <w:lang w:eastAsia="en-GB"/>
        </w:rPr>
      </w:pPr>
      <w:r w:rsidRPr="003B42A7">
        <w:rPr>
          <w:rFonts w:cs="Times New Roman"/>
          <w:szCs w:val="24"/>
          <w:lang w:eastAsia="en-GB"/>
        </w:rPr>
        <w:t xml:space="preserve"> Queen’s University Belfast</w:t>
      </w:r>
    </w:p>
    <w:p w14:paraId="441CD594" w14:textId="77777777" w:rsidR="003969C6" w:rsidRPr="003B42A7" w:rsidRDefault="00A95DA8" w:rsidP="006115CA">
      <w:pPr>
        <w:spacing w:line="360" w:lineRule="auto"/>
        <w:jc w:val="both"/>
        <w:rPr>
          <w:rFonts w:cs="Times New Roman"/>
          <w:szCs w:val="24"/>
          <w:lang w:eastAsia="en-GB"/>
        </w:rPr>
      </w:pPr>
      <w:r w:rsidRPr="003B42A7">
        <w:rPr>
          <w:rFonts w:cs="Times New Roman"/>
          <w:szCs w:val="24"/>
          <w:lang w:eastAsia="en-GB"/>
        </w:rPr>
        <w:t xml:space="preserve"> </w:t>
      </w:r>
      <w:r w:rsidR="003969C6" w:rsidRPr="003B42A7">
        <w:rPr>
          <w:rFonts w:cs="Times New Roman"/>
          <w:szCs w:val="24"/>
          <w:lang w:eastAsia="en-GB"/>
        </w:rPr>
        <w:t>97 Lisburn Road</w:t>
      </w:r>
    </w:p>
    <w:p w14:paraId="213A5F51" w14:textId="77777777" w:rsidR="003969C6" w:rsidRPr="003B42A7" w:rsidRDefault="00A95DA8" w:rsidP="006115CA">
      <w:pPr>
        <w:spacing w:line="360" w:lineRule="auto"/>
        <w:jc w:val="both"/>
        <w:rPr>
          <w:rFonts w:cs="Times New Roman"/>
          <w:szCs w:val="24"/>
          <w:lang w:eastAsia="en-GB"/>
        </w:rPr>
      </w:pPr>
      <w:r w:rsidRPr="003B42A7">
        <w:rPr>
          <w:rFonts w:cs="Times New Roman"/>
          <w:szCs w:val="24"/>
          <w:lang w:eastAsia="en-GB"/>
        </w:rPr>
        <w:t xml:space="preserve"> Belfast </w:t>
      </w:r>
    </w:p>
    <w:p w14:paraId="57676404" w14:textId="77777777" w:rsidR="003969C6" w:rsidRPr="003B42A7" w:rsidRDefault="003969C6" w:rsidP="006115CA">
      <w:pPr>
        <w:spacing w:line="360" w:lineRule="auto"/>
        <w:jc w:val="both"/>
        <w:rPr>
          <w:rFonts w:cs="Times New Roman"/>
          <w:szCs w:val="24"/>
          <w:lang w:eastAsia="en-GB"/>
        </w:rPr>
      </w:pPr>
      <w:r w:rsidRPr="003B42A7">
        <w:rPr>
          <w:rFonts w:cs="Times New Roman"/>
          <w:szCs w:val="24"/>
          <w:lang w:eastAsia="en-GB"/>
        </w:rPr>
        <w:t>BT9 7BL</w:t>
      </w:r>
    </w:p>
    <w:p w14:paraId="3474D322" w14:textId="77777777" w:rsidR="003969C6" w:rsidRPr="003B42A7" w:rsidRDefault="00A95DA8" w:rsidP="006115CA">
      <w:pPr>
        <w:spacing w:line="360" w:lineRule="auto"/>
        <w:jc w:val="both"/>
        <w:rPr>
          <w:rFonts w:cs="Times New Roman"/>
          <w:szCs w:val="24"/>
          <w:lang w:eastAsia="en-GB"/>
        </w:rPr>
      </w:pPr>
      <w:r w:rsidRPr="003B42A7">
        <w:rPr>
          <w:rFonts w:cs="Times New Roman"/>
          <w:szCs w:val="24"/>
          <w:lang w:eastAsia="en-GB"/>
        </w:rPr>
        <w:t>United K</w:t>
      </w:r>
      <w:r w:rsidR="003969C6" w:rsidRPr="003B42A7">
        <w:rPr>
          <w:rFonts w:cs="Times New Roman"/>
          <w:szCs w:val="24"/>
          <w:lang w:eastAsia="en-GB"/>
        </w:rPr>
        <w:t>ingdom</w:t>
      </w:r>
    </w:p>
    <w:p w14:paraId="00D4857D" w14:textId="77777777" w:rsidR="003969C6" w:rsidRPr="003B42A7" w:rsidRDefault="003969C6" w:rsidP="006115CA">
      <w:pPr>
        <w:spacing w:line="360" w:lineRule="auto"/>
        <w:jc w:val="both"/>
        <w:rPr>
          <w:rFonts w:cs="Times New Roman"/>
          <w:szCs w:val="24"/>
          <w:lang w:eastAsia="en-GB"/>
        </w:rPr>
      </w:pPr>
      <w:r w:rsidRPr="003B42A7">
        <w:rPr>
          <w:rFonts w:cs="Times New Roman"/>
          <w:szCs w:val="24"/>
          <w:lang w:eastAsia="en-GB"/>
        </w:rPr>
        <w:t>Tel.: +44 28 90 972 251</w:t>
      </w:r>
    </w:p>
    <w:p w14:paraId="7411C07C" w14:textId="77777777" w:rsidR="003969C6" w:rsidRPr="003B42A7" w:rsidRDefault="003969C6" w:rsidP="006115CA">
      <w:pPr>
        <w:spacing w:line="360" w:lineRule="auto"/>
        <w:jc w:val="both"/>
        <w:rPr>
          <w:rFonts w:cs="Times New Roman"/>
          <w:szCs w:val="24"/>
          <w:lang w:eastAsia="en-GB"/>
        </w:rPr>
      </w:pPr>
      <w:r w:rsidRPr="003B42A7">
        <w:rPr>
          <w:rFonts w:cs="Times New Roman"/>
          <w:szCs w:val="24"/>
          <w:lang w:eastAsia="en-GB"/>
        </w:rPr>
        <w:t>Fax: +44 28 90 247 794</w:t>
      </w:r>
    </w:p>
    <w:p w14:paraId="1DFF27C5" w14:textId="69D44F7C" w:rsidR="007228F9" w:rsidRPr="003B42A7" w:rsidRDefault="003969C6" w:rsidP="006115CA">
      <w:pPr>
        <w:spacing w:line="360" w:lineRule="auto"/>
        <w:jc w:val="both"/>
        <w:rPr>
          <w:rFonts w:cs="Times New Roman"/>
          <w:szCs w:val="24"/>
          <w:lang w:eastAsia="en-GB"/>
        </w:rPr>
      </w:pPr>
      <w:r w:rsidRPr="003B42A7">
        <w:rPr>
          <w:rFonts w:cs="Times New Roman"/>
          <w:szCs w:val="24"/>
          <w:lang w:eastAsia="en-GB"/>
        </w:rPr>
        <w:t>E-mail: r.donnelly@qub.ac.uk</w:t>
      </w:r>
      <w:r w:rsidR="007228F9" w:rsidRPr="003B42A7">
        <w:rPr>
          <w:rFonts w:cs="Times New Roman"/>
          <w:szCs w:val="24"/>
          <w:lang w:eastAsia="en-GB"/>
        </w:rPr>
        <w:br w:type="page"/>
      </w:r>
    </w:p>
    <w:p w14:paraId="60A580BD" w14:textId="77777777" w:rsidR="00B6043F" w:rsidRPr="003B42A7" w:rsidRDefault="00B6043F" w:rsidP="006115CA">
      <w:pPr>
        <w:spacing w:line="360" w:lineRule="auto"/>
        <w:rPr>
          <w:b/>
        </w:rPr>
      </w:pPr>
      <w:r w:rsidRPr="003B42A7">
        <w:rPr>
          <w:b/>
        </w:rPr>
        <w:lastRenderedPageBreak/>
        <w:t>Abstract</w:t>
      </w:r>
    </w:p>
    <w:p w14:paraId="4848BA23" w14:textId="3E56F8BE" w:rsidR="00661B53" w:rsidRPr="003B42A7" w:rsidRDefault="00661B53" w:rsidP="006115CA">
      <w:pPr>
        <w:spacing w:line="360" w:lineRule="auto"/>
        <w:jc w:val="both"/>
        <w:rPr>
          <w:color w:val="000000" w:themeColor="text1"/>
        </w:rPr>
      </w:pPr>
      <w:r w:rsidRPr="003B42A7">
        <w:rPr>
          <w:color w:val="000000" w:themeColor="text1"/>
        </w:rPr>
        <w:t>Treatment resistant depression is</w:t>
      </w:r>
      <w:r w:rsidR="004329A7" w:rsidRPr="003B42A7">
        <w:rPr>
          <w:color w:val="000000" w:themeColor="text1"/>
        </w:rPr>
        <w:t>,</w:t>
      </w:r>
      <w:r w:rsidRPr="003B42A7">
        <w:rPr>
          <w:color w:val="000000" w:themeColor="text1"/>
        </w:rPr>
        <w:t xml:space="preserve"> by definition</w:t>
      </w:r>
      <w:r w:rsidR="004329A7" w:rsidRPr="003B42A7">
        <w:rPr>
          <w:color w:val="000000" w:themeColor="text1"/>
        </w:rPr>
        <w:t>,</w:t>
      </w:r>
      <w:r w:rsidRPr="003B42A7">
        <w:rPr>
          <w:color w:val="000000" w:themeColor="text1"/>
        </w:rPr>
        <w:t xml:space="preserve"> difficult to treat using standard therapeutic interventions. Recently, esketamine has been shown as a viable rescue treatment option in patients in depressive crisis states. However, IV administration is associated with a number of drawbacks and advanced delivery platforms could provide an alternative parenteral route of </w:t>
      </w:r>
      <w:r w:rsidR="009105FC" w:rsidRPr="003B42A7">
        <w:rPr>
          <w:color w:val="000000" w:themeColor="text1"/>
        </w:rPr>
        <w:t xml:space="preserve">esketamine </w:t>
      </w:r>
      <w:r w:rsidRPr="003B42A7">
        <w:rPr>
          <w:color w:val="000000" w:themeColor="text1"/>
        </w:rPr>
        <w:t>dosing in patients. Hydrogel-forming microneedle arrays facilitate transdermal delivery of dru</w:t>
      </w:r>
      <w:r w:rsidR="004329A7" w:rsidRPr="003B42A7">
        <w:rPr>
          <w:color w:val="000000" w:themeColor="text1"/>
        </w:rPr>
        <w:t>gs by</w:t>
      </w:r>
      <w:r w:rsidRPr="003B42A7">
        <w:rPr>
          <w:color w:val="000000" w:themeColor="text1"/>
        </w:rPr>
        <w:t xml:space="preserve"> penetrat</w:t>
      </w:r>
      <w:r w:rsidR="004329A7" w:rsidRPr="003B42A7">
        <w:rPr>
          <w:color w:val="000000" w:themeColor="text1"/>
        </w:rPr>
        <w:t>ing</w:t>
      </w:r>
      <w:r w:rsidRPr="003B42A7">
        <w:rPr>
          <w:color w:val="000000" w:themeColor="text1"/>
        </w:rPr>
        <w:t xml:space="preserve"> the outer layer of the skins surface, absorb</w:t>
      </w:r>
      <w:r w:rsidR="004329A7" w:rsidRPr="003B42A7">
        <w:rPr>
          <w:color w:val="000000" w:themeColor="text1"/>
        </w:rPr>
        <w:t>ing</w:t>
      </w:r>
      <w:r w:rsidRPr="003B42A7">
        <w:rPr>
          <w:color w:val="000000" w:themeColor="text1"/>
        </w:rPr>
        <w:t xml:space="preserve"> interstitial skin fluid and swell</w:t>
      </w:r>
      <w:r w:rsidR="004329A7" w:rsidRPr="003B42A7">
        <w:rPr>
          <w:color w:val="000000" w:themeColor="text1"/>
        </w:rPr>
        <w:t>ing. This</w:t>
      </w:r>
      <w:r w:rsidRPr="003B42A7">
        <w:rPr>
          <w:color w:val="000000" w:themeColor="text1"/>
        </w:rPr>
        <w:t xml:space="preserve"> subsequently facilitat</w:t>
      </w:r>
      <w:r w:rsidR="004329A7" w:rsidRPr="003B42A7">
        <w:rPr>
          <w:color w:val="000000" w:themeColor="text1"/>
        </w:rPr>
        <w:t>es</w:t>
      </w:r>
      <w:r w:rsidRPr="003B42A7">
        <w:rPr>
          <w:color w:val="000000" w:themeColor="text1"/>
        </w:rPr>
        <w:t xml:space="preserve"> permeation of medicines into the dermal microcirculation. This paper outlines the </w:t>
      </w:r>
      <w:r w:rsidRPr="003B42A7">
        <w:rPr>
          <w:i/>
          <w:color w:val="000000" w:themeColor="text1"/>
        </w:rPr>
        <w:t>in vitro</w:t>
      </w:r>
      <w:r w:rsidRPr="003B42A7">
        <w:rPr>
          <w:color w:val="000000" w:themeColor="text1"/>
        </w:rPr>
        <w:t xml:space="preserve"> formulation development for hydrogel-forming microneedle arrays containing </w:t>
      </w:r>
      <w:r w:rsidR="009105FC" w:rsidRPr="003B42A7">
        <w:rPr>
          <w:color w:val="000000" w:themeColor="text1"/>
        </w:rPr>
        <w:t>esketamine</w:t>
      </w:r>
      <w:r w:rsidRPr="003B42A7">
        <w:rPr>
          <w:color w:val="000000" w:themeColor="text1"/>
        </w:rPr>
        <w:t xml:space="preserve">. Analytical methods for the detection and quantitation of </w:t>
      </w:r>
      <w:r w:rsidR="009105FC" w:rsidRPr="003B42A7">
        <w:rPr>
          <w:color w:val="000000" w:themeColor="text1"/>
        </w:rPr>
        <w:t>esketamine</w:t>
      </w:r>
      <w:r w:rsidRPr="003B42A7">
        <w:rPr>
          <w:color w:val="000000" w:themeColor="text1"/>
        </w:rPr>
        <w:t xml:space="preserve"> were developed and validated according to International Conference on Harmonisation standards. Hydrogel-forming microneedle arrays were fully characterised for their mechanical strength and skin insertion properties. Furthermore, a series of </w:t>
      </w:r>
      <w:r w:rsidR="009105FC" w:rsidRPr="003B42A7">
        <w:rPr>
          <w:color w:val="000000" w:themeColor="text1"/>
        </w:rPr>
        <w:t xml:space="preserve">esketamine </w:t>
      </w:r>
      <w:r w:rsidRPr="003B42A7">
        <w:rPr>
          <w:color w:val="000000" w:themeColor="text1"/>
        </w:rPr>
        <w:t>containing polymeric films and lyophilised reservoirs were assessed as drug reservoir candidates. Dissolution testing and content drug recovery was carried out, followed by permeation</w:t>
      </w:r>
      <w:r w:rsidR="00794D24" w:rsidRPr="003B42A7">
        <w:rPr>
          <w:color w:val="000000" w:themeColor="text1"/>
        </w:rPr>
        <w:t xml:space="preserve"> studies using 350 µm</w:t>
      </w:r>
      <w:r w:rsidRPr="003B42A7">
        <w:rPr>
          <w:color w:val="000000" w:themeColor="text1"/>
        </w:rPr>
        <w:t xml:space="preserve"> thick neonatal porcine skin in modified Franz cell apparatus. Lead reservoir candidates were selected based on measured physicochemical properties and brought forward for testing in female Sprague-Dawley rats. Plasma samples were analysed using reverse phase </w:t>
      </w:r>
      <w:r w:rsidR="009105FC" w:rsidRPr="003B42A7">
        <w:rPr>
          <w:color w:val="000000" w:themeColor="text1"/>
        </w:rPr>
        <w:t>high performance liquid chromatography</w:t>
      </w:r>
      <w:r w:rsidRPr="003B42A7">
        <w:rPr>
          <w:color w:val="000000" w:themeColor="text1"/>
        </w:rPr>
        <w:t xml:space="preserve"> for </w:t>
      </w:r>
      <w:r w:rsidR="009105FC" w:rsidRPr="003B42A7">
        <w:rPr>
          <w:color w:val="000000" w:themeColor="text1"/>
        </w:rPr>
        <w:t>esketamine</w:t>
      </w:r>
      <w:r w:rsidRPr="003B42A7">
        <w:rPr>
          <w:color w:val="000000" w:themeColor="text1"/>
        </w:rPr>
        <w:t xml:space="preserve">. Both polymeric film and lyophilised reservoirs candidate patches achieved </w:t>
      </w:r>
      <w:r w:rsidR="009105FC" w:rsidRPr="003B42A7">
        <w:rPr>
          <w:color w:val="000000" w:themeColor="text1"/>
        </w:rPr>
        <w:t>esketamine</w:t>
      </w:r>
      <w:r w:rsidRPr="003B42A7">
        <w:rPr>
          <w:color w:val="000000" w:themeColor="text1"/>
        </w:rPr>
        <w:t xml:space="preserve"> plasma concentrations higher than the target concentration of </w:t>
      </w:r>
      <w:r w:rsidR="00DD13E4" w:rsidRPr="003B42A7">
        <w:rPr>
          <w:color w:val="000000" w:themeColor="text1"/>
        </w:rPr>
        <w:t>0.</w:t>
      </w:r>
      <w:r w:rsidRPr="003B42A7">
        <w:rPr>
          <w:color w:val="000000" w:themeColor="text1"/>
        </w:rPr>
        <w:t xml:space="preserve">15 </w:t>
      </w:r>
      <w:r w:rsidR="00DD13E4" w:rsidRPr="003B42A7">
        <w:rPr>
          <w:color w:val="000000" w:themeColor="text1"/>
        </w:rPr>
        <w:t>–</w:t>
      </w:r>
      <w:r w:rsidRPr="003B42A7">
        <w:rPr>
          <w:color w:val="000000" w:themeColor="text1"/>
        </w:rPr>
        <w:t xml:space="preserve"> </w:t>
      </w:r>
      <w:r w:rsidR="00DD13E4" w:rsidRPr="003B42A7">
        <w:rPr>
          <w:color w:val="000000" w:themeColor="text1"/>
        </w:rPr>
        <w:t>0.3</w:t>
      </w:r>
      <w:r w:rsidRPr="003B42A7">
        <w:rPr>
          <w:color w:val="000000" w:themeColor="text1"/>
        </w:rPr>
        <w:t xml:space="preserve"> </w:t>
      </w:r>
      <w:r w:rsidR="00DD13E4" w:rsidRPr="003B42A7">
        <w:rPr>
          <w:rFonts w:cs="Times New Roman"/>
          <w:color w:val="000000" w:themeColor="text1"/>
        </w:rPr>
        <w:t>µ</w:t>
      </w:r>
      <w:r w:rsidRPr="003B42A7">
        <w:rPr>
          <w:color w:val="000000" w:themeColor="text1"/>
        </w:rPr>
        <w:t>g/ml over 24 h.</w:t>
      </w:r>
      <w:r w:rsidR="0023092C" w:rsidRPr="003B42A7">
        <w:rPr>
          <w:color w:val="000000" w:themeColor="text1"/>
        </w:rPr>
        <w:t xml:space="preserve"> Mean plasma concentrations in rats, 24 h post-application of microneedle patches with drug reservoir F3 and LW3,</w:t>
      </w:r>
      <w:r w:rsidRPr="003B42A7">
        <w:rPr>
          <w:color w:val="000000" w:themeColor="text1"/>
        </w:rPr>
        <w:t xml:space="preserve"> </w:t>
      </w:r>
      <w:r w:rsidR="0023092C" w:rsidRPr="003B42A7">
        <w:rPr>
          <w:color w:val="000000" w:themeColor="text1"/>
        </w:rPr>
        <w:t>were</w:t>
      </w:r>
      <w:r w:rsidR="00836688" w:rsidRPr="003B42A7">
        <w:rPr>
          <w:color w:val="000000" w:themeColor="text1"/>
          <w:lang w:val="en-US"/>
        </w:rPr>
        <w:t xml:space="preserve"> 0.260 </w:t>
      </w:r>
      <w:r w:rsidR="00836688" w:rsidRPr="003B42A7">
        <w:rPr>
          <w:rFonts w:cs="Times New Roman"/>
          <w:color w:val="000000" w:themeColor="text1"/>
        </w:rPr>
        <w:t>µ</w:t>
      </w:r>
      <w:r w:rsidR="00836688" w:rsidRPr="003B42A7">
        <w:rPr>
          <w:color w:val="000000" w:themeColor="text1"/>
          <w:lang w:val="en-US"/>
        </w:rPr>
        <w:t xml:space="preserve">g/ml </w:t>
      </w:r>
      <w:r w:rsidR="00836688" w:rsidRPr="003B42A7">
        <w:rPr>
          <w:color w:val="000000" w:themeColor="text1"/>
        </w:rPr>
        <w:t xml:space="preserve">and 0.498 </w:t>
      </w:r>
      <w:r w:rsidR="00836688" w:rsidRPr="003B42A7">
        <w:rPr>
          <w:rFonts w:cs="Times New Roman"/>
          <w:color w:val="000000" w:themeColor="text1"/>
        </w:rPr>
        <w:t>µ</w:t>
      </w:r>
      <w:r w:rsidR="00836688" w:rsidRPr="003B42A7">
        <w:rPr>
          <w:color w:val="000000" w:themeColor="text1"/>
        </w:rPr>
        <w:t>g/ml, respectively. T</w:t>
      </w:r>
      <w:r w:rsidRPr="003B42A7">
        <w:rPr>
          <w:color w:val="000000" w:themeColor="text1"/>
        </w:rPr>
        <w:t xml:space="preserve">his developmental study highlights the potential success of hydrogel-forming microneedle arrays as a transdermal drug delivery platform for ESK and supports moving to </w:t>
      </w:r>
      <w:r w:rsidRPr="003B42A7">
        <w:rPr>
          <w:i/>
          <w:color w:val="000000" w:themeColor="text1"/>
        </w:rPr>
        <w:t>in vivo</w:t>
      </w:r>
      <w:r w:rsidRPr="003B42A7">
        <w:rPr>
          <w:color w:val="000000" w:themeColor="text1"/>
        </w:rPr>
        <w:t xml:space="preserve"> tests in a larger animal model.</w:t>
      </w:r>
    </w:p>
    <w:p w14:paraId="2919A4A3" w14:textId="77777777" w:rsidR="00661B53" w:rsidRPr="003B42A7" w:rsidRDefault="00661B53" w:rsidP="006115CA">
      <w:pPr>
        <w:spacing w:line="360" w:lineRule="auto"/>
        <w:jc w:val="both"/>
        <w:rPr>
          <w:color w:val="000000" w:themeColor="text1"/>
        </w:rPr>
      </w:pPr>
    </w:p>
    <w:p w14:paraId="57CDC579" w14:textId="77777777" w:rsidR="00661B53" w:rsidRPr="003B42A7" w:rsidRDefault="00661B53" w:rsidP="006115CA">
      <w:pPr>
        <w:spacing w:line="360" w:lineRule="auto"/>
        <w:jc w:val="both"/>
        <w:rPr>
          <w:color w:val="000000" w:themeColor="text1"/>
        </w:rPr>
      </w:pPr>
    </w:p>
    <w:p w14:paraId="6769C05A" w14:textId="77777777" w:rsidR="00661B53" w:rsidRPr="003B42A7" w:rsidRDefault="00661B53" w:rsidP="006115CA">
      <w:pPr>
        <w:spacing w:line="360" w:lineRule="auto"/>
        <w:jc w:val="both"/>
        <w:rPr>
          <w:color w:val="000000" w:themeColor="text1"/>
        </w:rPr>
      </w:pPr>
    </w:p>
    <w:p w14:paraId="5F05387A" w14:textId="77777777" w:rsidR="00661B53" w:rsidRPr="003B42A7" w:rsidRDefault="00661B53" w:rsidP="006115CA">
      <w:pPr>
        <w:spacing w:line="360" w:lineRule="auto"/>
        <w:jc w:val="both"/>
        <w:rPr>
          <w:color w:val="000000" w:themeColor="text1"/>
        </w:rPr>
      </w:pPr>
    </w:p>
    <w:p w14:paraId="66547CDB" w14:textId="77777777" w:rsidR="00B6043F" w:rsidRPr="003B42A7" w:rsidRDefault="00661B53" w:rsidP="006115CA">
      <w:pPr>
        <w:spacing w:line="360" w:lineRule="auto"/>
        <w:jc w:val="both"/>
        <w:rPr>
          <w:b/>
        </w:rPr>
      </w:pPr>
      <w:r w:rsidRPr="003B42A7">
        <w:rPr>
          <w:color w:val="000000" w:themeColor="text1"/>
        </w:rPr>
        <w:t>Keywords: Microneedle</w:t>
      </w:r>
      <w:r w:rsidR="00794D24" w:rsidRPr="003B42A7">
        <w:rPr>
          <w:color w:val="000000" w:themeColor="text1"/>
        </w:rPr>
        <w:t xml:space="preserve"> array</w:t>
      </w:r>
      <w:r w:rsidRPr="003B42A7">
        <w:rPr>
          <w:color w:val="000000" w:themeColor="text1"/>
        </w:rPr>
        <w:t xml:space="preserve">, esketamine, </w:t>
      </w:r>
      <w:r w:rsidRPr="003B42A7">
        <w:rPr>
          <w:i/>
          <w:color w:val="000000" w:themeColor="text1"/>
        </w:rPr>
        <w:t>in vivo</w:t>
      </w:r>
      <w:r w:rsidRPr="003B42A7">
        <w:rPr>
          <w:color w:val="000000" w:themeColor="text1"/>
        </w:rPr>
        <w:t>, treatment resistant depression</w:t>
      </w:r>
      <w:r w:rsidR="00B6043F" w:rsidRPr="003B42A7">
        <w:rPr>
          <w:b/>
        </w:rPr>
        <w:br w:type="page"/>
      </w:r>
    </w:p>
    <w:p w14:paraId="5246C3E9" w14:textId="77777777" w:rsidR="00BC6A16" w:rsidRPr="003B42A7" w:rsidRDefault="00BC6A16" w:rsidP="00F456D2">
      <w:pPr>
        <w:pStyle w:val="Heading1"/>
      </w:pPr>
      <w:r w:rsidRPr="003B42A7">
        <w:lastRenderedPageBreak/>
        <w:t>Introduction</w:t>
      </w:r>
    </w:p>
    <w:p w14:paraId="7FD6A020" w14:textId="1D89FE76" w:rsidR="00D95429" w:rsidRPr="003B42A7" w:rsidRDefault="004329A7" w:rsidP="006115CA">
      <w:pPr>
        <w:spacing w:line="360" w:lineRule="auto"/>
        <w:jc w:val="both"/>
        <w:rPr>
          <w:color w:val="000000" w:themeColor="text1"/>
          <w:szCs w:val="24"/>
        </w:rPr>
      </w:pPr>
      <w:r w:rsidRPr="003B42A7">
        <w:rPr>
          <w:color w:val="000000" w:themeColor="text1"/>
          <w:szCs w:val="24"/>
        </w:rPr>
        <w:t>Treatment resistant depression (TRD) affects 2.7 million people in the UK, accounting for between 10-30% of people suffering with depression.</w:t>
      </w:r>
      <w:r w:rsidR="00EE2272" w:rsidRPr="003B42A7">
        <w:rPr>
          <w:color w:val="000000" w:themeColor="text1"/>
          <w:szCs w:val="24"/>
        </w:rPr>
        <w:t xml:space="preserve"> [1]</w:t>
      </w:r>
      <w:r w:rsidRPr="003B42A7">
        <w:rPr>
          <w:color w:val="000000" w:themeColor="text1"/>
          <w:szCs w:val="24"/>
        </w:rPr>
        <w:t xml:space="preserve"> A recent report by NICE outlined that many patients with TRD have often tried up to 12 antidepressant drugs over 10 years before being referred to specialists. NICE have since updated their</w:t>
      </w:r>
      <w:r w:rsidR="00FC78B0" w:rsidRPr="003B42A7">
        <w:rPr>
          <w:color w:val="000000" w:themeColor="text1"/>
          <w:szCs w:val="24"/>
        </w:rPr>
        <w:t xml:space="preserve"> guidance stating all patients who have not responded to two antidepressants should be referred to specialists for treatment </w:t>
      </w:r>
      <w:r w:rsidR="00FC78B0" w:rsidRPr="003B42A7">
        <w:rPr>
          <w:color w:val="FF0000"/>
          <w:szCs w:val="24"/>
        </w:rPr>
        <w:t xml:space="preserve">[1]. </w:t>
      </w:r>
      <w:r w:rsidR="00FC78B0" w:rsidRPr="003B42A7">
        <w:rPr>
          <w:color w:val="000000" w:themeColor="text1"/>
          <w:szCs w:val="24"/>
        </w:rPr>
        <w:t xml:space="preserve">Since 1996 it has been known that ketamine and some of its derivatives have an almost immediate effect on TRD with patient’s symptoms improved within hours and the effects lasting for several days </w:t>
      </w:r>
      <w:r w:rsidR="00FC78B0" w:rsidRPr="003B42A7">
        <w:rPr>
          <w:color w:val="FF0000"/>
          <w:szCs w:val="24"/>
        </w:rPr>
        <w:t xml:space="preserve">[2]. </w:t>
      </w:r>
      <w:r w:rsidR="00D95429" w:rsidRPr="003B42A7">
        <w:rPr>
          <w:color w:val="000000" w:themeColor="text1"/>
          <w:szCs w:val="24"/>
        </w:rPr>
        <w:t>Esketamine (ESK) is an anaesthetic agent that has shown rapid antidepressant effects in a number of small clinical studies</w:t>
      </w:r>
      <w:r w:rsidR="001806D5" w:rsidRPr="003B42A7">
        <w:rPr>
          <w:color w:val="000000" w:themeColor="text1"/>
          <w:szCs w:val="24"/>
        </w:rPr>
        <w:t xml:space="preserve"> however there has been much debate over the true clinical effectiveness</w:t>
      </w:r>
      <w:r w:rsidR="00A65209" w:rsidRPr="003B42A7">
        <w:rPr>
          <w:color w:val="000000" w:themeColor="text1"/>
          <w:szCs w:val="24"/>
        </w:rPr>
        <w:t xml:space="preserve"> in TRD [3]. </w:t>
      </w:r>
      <w:r w:rsidR="00D95429" w:rsidRPr="003B42A7">
        <w:rPr>
          <w:color w:val="000000" w:themeColor="text1"/>
          <w:szCs w:val="24"/>
        </w:rPr>
        <w:t xml:space="preserve">It has been shown to exhibit greater binding affinity to the N-methyl-D-aspartate (NMDA) receptor than R-ketamine. This increased affinity has recently been exploited by researchers for its therapeutic applications in </w:t>
      </w:r>
      <w:r w:rsidR="00FC78B0" w:rsidRPr="003B42A7">
        <w:rPr>
          <w:color w:val="000000" w:themeColor="text1"/>
          <w:szCs w:val="24"/>
        </w:rPr>
        <w:t>TRD</w:t>
      </w:r>
      <w:r w:rsidR="00D95429" w:rsidRPr="003B42A7">
        <w:rPr>
          <w:color w:val="FF0000"/>
          <w:szCs w:val="24"/>
        </w:rPr>
        <w:t xml:space="preserve">. </w:t>
      </w:r>
      <w:r w:rsidR="00D95429" w:rsidRPr="003B42A7">
        <w:rPr>
          <w:color w:val="000000" w:themeColor="text1"/>
          <w:szCs w:val="24"/>
        </w:rPr>
        <w:t xml:space="preserve">ESK is currently available as intravenous (IV) and intramuscular (IM) injections for human use. Although parenteral injectable drug delivery strategies provide rapid dose delivery they are subject to a number of significant drawbacks. The need for trained personnel to deliver the dose, the use of hypodermic needle and subsequent need for sharps disposal all contribute to increased cost of treatment and potential harm to patients. Similarly, use of hypodermic needles potentiates the risk of blood borne infections and so the development of alternative drug delivery strategies constitutes a current unmet clinical need. </w:t>
      </w:r>
      <w:r w:rsidR="00FC78B0" w:rsidRPr="003B42A7">
        <w:rPr>
          <w:color w:val="000000" w:themeColor="text1"/>
          <w:szCs w:val="24"/>
        </w:rPr>
        <w:t xml:space="preserve">In March 2019, the FDA approved </w:t>
      </w:r>
      <w:proofErr w:type="spellStart"/>
      <w:r w:rsidR="00FC78B0" w:rsidRPr="003B42A7">
        <w:rPr>
          <w:color w:val="000000" w:themeColor="text1"/>
          <w:szCs w:val="24"/>
        </w:rPr>
        <w:t>Spravato</w:t>
      </w:r>
      <w:proofErr w:type="spellEnd"/>
      <w:r w:rsidR="00FC78B0" w:rsidRPr="003B42A7">
        <w:rPr>
          <w:color w:val="000000" w:themeColor="text1"/>
          <w:szCs w:val="24"/>
        </w:rPr>
        <w:t xml:space="preserve"> by Janssen, an intranasal ESK spray for TRD after a</w:t>
      </w:r>
      <w:r w:rsidR="003C2AA2" w:rsidRPr="003B42A7">
        <w:rPr>
          <w:color w:val="000000" w:themeColor="text1"/>
          <w:szCs w:val="24"/>
        </w:rPr>
        <w:t xml:space="preserve"> four-week</w:t>
      </w:r>
      <w:r w:rsidR="00FC78B0" w:rsidRPr="003B42A7">
        <w:rPr>
          <w:color w:val="000000" w:themeColor="text1"/>
          <w:szCs w:val="24"/>
        </w:rPr>
        <w:t xml:space="preserve"> clinical study showed patient improvement compared with placebo, and oral antidepressants [</w:t>
      </w:r>
      <w:r w:rsidR="00156DE1" w:rsidRPr="003B42A7">
        <w:rPr>
          <w:color w:val="FF0000"/>
          <w:szCs w:val="24"/>
        </w:rPr>
        <w:t>4</w:t>
      </w:r>
      <w:r w:rsidR="00FC78B0" w:rsidRPr="003B42A7">
        <w:rPr>
          <w:color w:val="000000" w:themeColor="text1"/>
          <w:szCs w:val="24"/>
        </w:rPr>
        <w:t>]. Although this is a positive step towards developing new formulations for TRD, to ensure all suitable patients can benefit from ESK treatment it is important that alternative routes of delivery are considered.</w:t>
      </w:r>
    </w:p>
    <w:p w14:paraId="67C9EDB3" w14:textId="55B60BBF" w:rsidR="00D95429" w:rsidRPr="003B42A7" w:rsidRDefault="00D95429" w:rsidP="00D82465">
      <w:pPr>
        <w:spacing w:line="360" w:lineRule="auto"/>
        <w:jc w:val="both"/>
        <w:rPr>
          <w:rFonts w:cs="Times New Roman"/>
          <w:color w:val="000000" w:themeColor="text1"/>
          <w:szCs w:val="24"/>
        </w:rPr>
      </w:pPr>
      <w:r w:rsidRPr="003B42A7">
        <w:rPr>
          <w:color w:val="000000" w:themeColor="text1"/>
          <w:szCs w:val="24"/>
        </w:rPr>
        <w:t xml:space="preserve">Hydrogel-forming microneedle (MN) arrays have been shown to facilitate transdermal delivery of a range of small molecule drugs and </w:t>
      </w:r>
      <w:proofErr w:type="spellStart"/>
      <w:r w:rsidRPr="003B42A7">
        <w:rPr>
          <w:color w:val="000000" w:themeColor="text1"/>
          <w:szCs w:val="24"/>
        </w:rPr>
        <w:t>biotherpaeutic</w:t>
      </w:r>
      <w:proofErr w:type="spellEnd"/>
      <w:r w:rsidRPr="003B42A7">
        <w:rPr>
          <w:color w:val="000000" w:themeColor="text1"/>
          <w:szCs w:val="24"/>
        </w:rPr>
        <w:t xml:space="preserve"> agents [</w:t>
      </w:r>
      <w:r w:rsidR="00156DE1" w:rsidRPr="003B42A7">
        <w:rPr>
          <w:color w:val="FF0000"/>
          <w:szCs w:val="24"/>
        </w:rPr>
        <w:t>5-7</w:t>
      </w:r>
      <w:r w:rsidRPr="003B42A7">
        <w:rPr>
          <w:color w:val="000000" w:themeColor="text1"/>
          <w:szCs w:val="24"/>
        </w:rPr>
        <w:t>]</w:t>
      </w:r>
      <w:r w:rsidR="003D2E99" w:rsidRPr="003B42A7">
        <w:rPr>
          <w:color w:val="000000" w:themeColor="text1"/>
          <w:szCs w:val="24"/>
        </w:rPr>
        <w:t>. The use of</w:t>
      </w:r>
      <w:r w:rsidRPr="003B42A7">
        <w:rPr>
          <w:rFonts w:cs="Times New Roman"/>
          <w:color w:val="000000" w:themeColor="text1"/>
          <w:szCs w:val="24"/>
        </w:rPr>
        <w:t xml:space="preserve"> MN arrays proposes </w:t>
      </w:r>
      <w:r w:rsidR="003D2E99" w:rsidRPr="003B42A7">
        <w:rPr>
          <w:rFonts w:cs="Times New Roman"/>
          <w:color w:val="000000" w:themeColor="text1"/>
          <w:szCs w:val="24"/>
        </w:rPr>
        <w:t xml:space="preserve">a number of </w:t>
      </w:r>
      <w:r w:rsidRPr="003B42A7">
        <w:rPr>
          <w:rFonts w:cs="Times New Roman"/>
          <w:color w:val="000000" w:themeColor="text1"/>
          <w:szCs w:val="24"/>
        </w:rPr>
        <w:t xml:space="preserve">improvements for </w:t>
      </w:r>
      <w:r w:rsidR="003D2E99" w:rsidRPr="003B42A7">
        <w:rPr>
          <w:rFonts w:cs="Times New Roman"/>
          <w:color w:val="000000" w:themeColor="text1"/>
          <w:szCs w:val="24"/>
        </w:rPr>
        <w:t xml:space="preserve">ESK delivery that could be useful in </w:t>
      </w:r>
      <w:r w:rsidRPr="003B42A7">
        <w:rPr>
          <w:rFonts w:cs="Times New Roman"/>
          <w:color w:val="000000" w:themeColor="text1"/>
          <w:szCs w:val="24"/>
        </w:rPr>
        <w:t xml:space="preserve">TRD. The proposed MN transdermal delivery technology offers a novel approach for enabling continuous delivery of ESK (without pain). Transdermal delivery of the drug </w:t>
      </w:r>
      <w:r w:rsidR="003D2E99" w:rsidRPr="003B42A7">
        <w:rPr>
          <w:rFonts w:cs="Times New Roman"/>
          <w:color w:val="000000" w:themeColor="text1"/>
          <w:szCs w:val="24"/>
        </w:rPr>
        <w:t>promoted</w:t>
      </w:r>
      <w:r w:rsidRPr="003B42A7">
        <w:rPr>
          <w:rFonts w:cs="Times New Roman"/>
          <w:color w:val="000000" w:themeColor="text1"/>
          <w:szCs w:val="24"/>
        </w:rPr>
        <w:t xml:space="preserve"> by intradermal administration using MN</w:t>
      </w:r>
      <w:r w:rsidR="003D2E99" w:rsidRPr="003B42A7">
        <w:rPr>
          <w:rFonts w:cs="Times New Roman"/>
          <w:color w:val="000000" w:themeColor="text1"/>
          <w:szCs w:val="24"/>
        </w:rPr>
        <w:t>s</w:t>
      </w:r>
      <w:r w:rsidRPr="003B42A7">
        <w:rPr>
          <w:rFonts w:cs="Times New Roman"/>
          <w:color w:val="000000" w:themeColor="text1"/>
          <w:szCs w:val="24"/>
        </w:rPr>
        <w:t xml:space="preserve">. </w:t>
      </w:r>
      <w:r w:rsidR="00675264" w:rsidRPr="003B42A7">
        <w:rPr>
          <w:rFonts w:cs="Times New Roman"/>
          <w:color w:val="000000" w:themeColor="text1"/>
          <w:szCs w:val="24"/>
        </w:rPr>
        <w:t xml:space="preserve">ESK is an example of a BCS Class 1 drug with high solubility and high </w:t>
      </w:r>
      <w:r w:rsidR="00D82465" w:rsidRPr="003B42A7">
        <w:rPr>
          <w:rFonts w:cs="Times New Roman"/>
          <w:color w:val="000000" w:themeColor="text1"/>
          <w:szCs w:val="24"/>
        </w:rPr>
        <w:t>permeability</w:t>
      </w:r>
      <w:r w:rsidR="00675264" w:rsidRPr="003B42A7">
        <w:rPr>
          <w:rFonts w:cs="Times New Roman"/>
          <w:color w:val="000000" w:themeColor="text1"/>
          <w:szCs w:val="24"/>
        </w:rPr>
        <w:t xml:space="preserve">, making it a suitable candidate for hydrogel-forming and dissolving MN technologies. </w:t>
      </w:r>
      <w:r w:rsidRPr="003B42A7">
        <w:rPr>
          <w:rFonts w:cs="Times New Roman"/>
          <w:color w:val="000000" w:themeColor="text1"/>
          <w:szCs w:val="24"/>
        </w:rPr>
        <w:t>The developed system aim</w:t>
      </w:r>
      <w:r w:rsidR="003D2E99" w:rsidRPr="003B42A7">
        <w:rPr>
          <w:rFonts w:cs="Times New Roman"/>
          <w:color w:val="000000" w:themeColor="text1"/>
          <w:szCs w:val="24"/>
        </w:rPr>
        <w:t>s</w:t>
      </w:r>
      <w:r w:rsidRPr="003B42A7">
        <w:rPr>
          <w:rFonts w:cs="Times New Roman"/>
          <w:color w:val="000000" w:themeColor="text1"/>
          <w:szCs w:val="24"/>
        </w:rPr>
        <w:t xml:space="preserve"> to maintain constant plasma levels that will improve </w:t>
      </w:r>
      <w:r w:rsidRPr="003B42A7">
        <w:rPr>
          <w:rFonts w:cs="Times New Roman"/>
          <w:color w:val="000000" w:themeColor="text1"/>
          <w:szCs w:val="24"/>
        </w:rPr>
        <w:lastRenderedPageBreak/>
        <w:t>efficacy and compliance for patients. As a parent</w:t>
      </w:r>
      <w:r w:rsidR="003C2AA2" w:rsidRPr="003B42A7">
        <w:rPr>
          <w:rFonts w:cs="Times New Roman"/>
          <w:color w:val="000000" w:themeColor="text1"/>
          <w:szCs w:val="24"/>
        </w:rPr>
        <w:t>er</w:t>
      </w:r>
      <w:r w:rsidRPr="003B42A7">
        <w:rPr>
          <w:rFonts w:cs="Times New Roman"/>
          <w:color w:val="000000" w:themeColor="text1"/>
          <w:szCs w:val="24"/>
        </w:rPr>
        <w:t>al route of administration</w:t>
      </w:r>
      <w:r w:rsidR="00365BE7" w:rsidRPr="003B42A7">
        <w:rPr>
          <w:rFonts w:cs="Times New Roman"/>
          <w:color w:val="000000" w:themeColor="text1"/>
          <w:szCs w:val="24"/>
        </w:rPr>
        <w:t>, bypassing hepatic first pass, reduced metabolism</w:t>
      </w:r>
      <w:r w:rsidRPr="003B42A7">
        <w:rPr>
          <w:rFonts w:cs="Times New Roman"/>
          <w:color w:val="000000" w:themeColor="text1"/>
          <w:szCs w:val="24"/>
        </w:rPr>
        <w:t xml:space="preserve"> </w:t>
      </w:r>
      <w:r w:rsidR="00365BE7" w:rsidRPr="003B42A7">
        <w:rPr>
          <w:rFonts w:cs="Times New Roman"/>
          <w:color w:val="000000" w:themeColor="text1"/>
          <w:szCs w:val="24"/>
        </w:rPr>
        <w:t xml:space="preserve">may also be expected. </w:t>
      </w:r>
    </w:p>
    <w:p w14:paraId="48B0D274" w14:textId="1BEB71E5" w:rsidR="000E294B" w:rsidRPr="003B42A7" w:rsidRDefault="003D2E99" w:rsidP="006115CA">
      <w:pPr>
        <w:spacing w:line="360" w:lineRule="auto"/>
        <w:jc w:val="both"/>
        <w:rPr>
          <w:color w:val="000000" w:themeColor="text1"/>
          <w:szCs w:val="24"/>
        </w:rPr>
      </w:pPr>
      <w:r w:rsidRPr="003B42A7">
        <w:rPr>
          <w:color w:val="000000" w:themeColor="text1"/>
          <w:szCs w:val="24"/>
        </w:rPr>
        <w:t>Traditional s</w:t>
      </w:r>
      <w:r w:rsidR="00D95429" w:rsidRPr="003B42A7">
        <w:rPr>
          <w:color w:val="000000" w:themeColor="text1"/>
          <w:szCs w:val="24"/>
        </w:rPr>
        <w:t xml:space="preserve">oluble MN arrays or biodegradable MN arrays refer to those made from dissolving or degradable polymers. Following penetration of the </w:t>
      </w:r>
      <w:r w:rsidR="00D95429" w:rsidRPr="003B42A7">
        <w:rPr>
          <w:i/>
          <w:color w:val="000000" w:themeColor="text1"/>
          <w:szCs w:val="24"/>
        </w:rPr>
        <w:t>stratum corneum</w:t>
      </w:r>
      <w:r w:rsidR="00D95429" w:rsidRPr="003B42A7">
        <w:rPr>
          <w:color w:val="000000" w:themeColor="text1"/>
          <w:szCs w:val="24"/>
        </w:rPr>
        <w:t xml:space="preserve"> (</w:t>
      </w:r>
      <w:r w:rsidR="00D95429" w:rsidRPr="003B42A7">
        <w:rPr>
          <w:i/>
          <w:color w:val="000000" w:themeColor="text1"/>
          <w:szCs w:val="24"/>
        </w:rPr>
        <w:t>SC),</w:t>
      </w:r>
      <w:r w:rsidR="00D95429" w:rsidRPr="003B42A7">
        <w:rPr>
          <w:color w:val="000000" w:themeColor="text1"/>
          <w:szCs w:val="24"/>
        </w:rPr>
        <w:t xml:space="preserve"> the MN arrays containing drug compounds dissolve or degrade </w:t>
      </w:r>
      <w:r w:rsidR="00EE2272" w:rsidRPr="003B42A7">
        <w:rPr>
          <w:color w:val="000000" w:themeColor="text1"/>
          <w:szCs w:val="24"/>
        </w:rPr>
        <w:t>within</w:t>
      </w:r>
      <w:r w:rsidR="00D95429" w:rsidRPr="003B42A7">
        <w:rPr>
          <w:color w:val="000000" w:themeColor="text1"/>
          <w:szCs w:val="24"/>
        </w:rPr>
        <w:t xml:space="preserve"> the interstitial fluid held within the dermal microcirculation. The resulting dissolution facilitates drug release. Each of these MN array designs by-pass the </w:t>
      </w:r>
      <w:r w:rsidR="00D95429" w:rsidRPr="003B42A7">
        <w:rPr>
          <w:i/>
          <w:color w:val="000000" w:themeColor="text1"/>
          <w:szCs w:val="24"/>
        </w:rPr>
        <w:t>SC</w:t>
      </w:r>
      <w:r w:rsidR="00D95429" w:rsidRPr="003B42A7">
        <w:rPr>
          <w:color w:val="000000" w:themeColor="text1"/>
          <w:szCs w:val="24"/>
        </w:rPr>
        <w:t xml:space="preserve"> and facilitate delivery of drugs into the dermal microcirculation</w:t>
      </w:r>
      <w:r w:rsidR="003C2AA2" w:rsidRPr="003B42A7">
        <w:rPr>
          <w:color w:val="000000" w:themeColor="text1"/>
          <w:szCs w:val="24"/>
        </w:rPr>
        <w:t>. However</w:t>
      </w:r>
      <w:r w:rsidR="008D2C3F" w:rsidRPr="003B42A7">
        <w:rPr>
          <w:color w:val="000000" w:themeColor="text1"/>
          <w:szCs w:val="24"/>
        </w:rPr>
        <w:t>,</w:t>
      </w:r>
      <w:r w:rsidR="003C2AA2" w:rsidRPr="003B42A7">
        <w:rPr>
          <w:color w:val="000000" w:themeColor="text1"/>
          <w:szCs w:val="24"/>
        </w:rPr>
        <w:t xml:space="preserve"> they are limited by o</w:t>
      </w:r>
      <w:r w:rsidR="00D95429" w:rsidRPr="003B42A7">
        <w:rPr>
          <w:color w:val="000000" w:themeColor="text1"/>
          <w:szCs w:val="24"/>
        </w:rPr>
        <w:t xml:space="preserve">nly being able to deliver </w:t>
      </w:r>
      <w:r w:rsidR="003C2AA2" w:rsidRPr="003B42A7">
        <w:rPr>
          <w:color w:val="000000" w:themeColor="text1"/>
          <w:szCs w:val="24"/>
        </w:rPr>
        <w:t>relatively</w:t>
      </w:r>
      <w:r w:rsidR="00D95429" w:rsidRPr="003B42A7">
        <w:rPr>
          <w:color w:val="000000" w:themeColor="text1"/>
          <w:szCs w:val="24"/>
        </w:rPr>
        <w:t xml:space="preserve"> low doses, often of high potency compounds. The most recent addition to MN technology are hydrogel-forming MN arrays, which are fabricated from polymeric materials that have been crosslinked. The MN arrays pierce the </w:t>
      </w:r>
      <w:r w:rsidR="00D95429" w:rsidRPr="003B42A7">
        <w:rPr>
          <w:i/>
          <w:color w:val="000000" w:themeColor="text1"/>
          <w:szCs w:val="24"/>
        </w:rPr>
        <w:t>SC</w:t>
      </w:r>
      <w:r w:rsidR="00D95429" w:rsidRPr="003B42A7">
        <w:rPr>
          <w:color w:val="000000" w:themeColor="text1"/>
          <w:szCs w:val="24"/>
        </w:rPr>
        <w:t xml:space="preserve"> and draw up interstitial fluid, causing the polymeric matrix to swell. Molecular diffusion of drug substances through the swollen matrix allows for delivery of therapeutic agents into the dermal tissue</w:t>
      </w:r>
      <w:r w:rsidR="003F14CE" w:rsidRPr="003B42A7">
        <w:rPr>
          <w:color w:val="000000" w:themeColor="text1"/>
          <w:szCs w:val="24"/>
        </w:rPr>
        <w:t xml:space="preserve"> (</w:t>
      </w:r>
      <w:r w:rsidR="003F14CE" w:rsidRPr="003B42A7">
        <w:rPr>
          <w:color w:val="FF0000"/>
          <w:szCs w:val="24"/>
        </w:rPr>
        <w:t>Figure 1</w:t>
      </w:r>
      <w:r w:rsidR="003F14CE" w:rsidRPr="003B42A7">
        <w:rPr>
          <w:color w:val="000000" w:themeColor="text1"/>
          <w:szCs w:val="24"/>
        </w:rPr>
        <w:t>)</w:t>
      </w:r>
      <w:r w:rsidR="00D95429" w:rsidRPr="003B42A7">
        <w:rPr>
          <w:color w:val="000000" w:themeColor="text1"/>
          <w:szCs w:val="24"/>
        </w:rPr>
        <w:t>. Hydrogel-forming MN arrays contain no drug and, as such, are therefore not limited by the quantity of drug that can be loaded into the needles or onto the needle surfaces. Instead drugs can be loaded into an accompanying reservoir, for example a polymeric film, directly compressed tablet or lyophilised reservoir</w:t>
      </w:r>
      <w:r w:rsidRPr="003B42A7">
        <w:rPr>
          <w:color w:val="000000" w:themeColor="text1"/>
          <w:szCs w:val="24"/>
        </w:rPr>
        <w:t xml:space="preserve"> [</w:t>
      </w:r>
      <w:r w:rsidR="00156DE1" w:rsidRPr="003B42A7">
        <w:rPr>
          <w:color w:val="FF0000"/>
          <w:szCs w:val="24"/>
        </w:rPr>
        <w:t>6</w:t>
      </w:r>
      <w:r w:rsidRPr="003B42A7">
        <w:rPr>
          <w:color w:val="000000" w:themeColor="text1"/>
          <w:szCs w:val="24"/>
        </w:rPr>
        <w:t>]</w:t>
      </w:r>
      <w:r w:rsidR="00D95429" w:rsidRPr="003B42A7">
        <w:rPr>
          <w:color w:val="000000" w:themeColor="text1"/>
          <w:szCs w:val="24"/>
        </w:rPr>
        <w:t xml:space="preserve">. This </w:t>
      </w:r>
      <w:r w:rsidR="00A30785" w:rsidRPr="003B42A7">
        <w:rPr>
          <w:color w:val="000000" w:themeColor="text1"/>
          <w:szCs w:val="24"/>
        </w:rPr>
        <w:t xml:space="preserve">greatly </w:t>
      </w:r>
      <w:r w:rsidR="00D95429" w:rsidRPr="003B42A7">
        <w:rPr>
          <w:color w:val="000000" w:themeColor="text1"/>
          <w:szCs w:val="24"/>
        </w:rPr>
        <w:t>increases the amount of drug that can permeate through the MN array and into the skin.</w:t>
      </w:r>
    </w:p>
    <w:p w14:paraId="22841F45" w14:textId="77777777" w:rsidR="000E294B" w:rsidRPr="003B42A7" w:rsidRDefault="000E294B">
      <w:pPr>
        <w:rPr>
          <w:color w:val="000000" w:themeColor="text1"/>
          <w:szCs w:val="24"/>
        </w:rPr>
      </w:pPr>
      <w:r w:rsidRPr="003B42A7">
        <w:rPr>
          <w:color w:val="000000" w:themeColor="text1"/>
          <w:szCs w:val="24"/>
        </w:rPr>
        <w:br w:type="page"/>
      </w:r>
      <w:bookmarkStart w:id="0" w:name="_GoBack"/>
      <w:bookmarkEnd w:id="0"/>
    </w:p>
    <w:p w14:paraId="76D05C5A" w14:textId="327D2E71" w:rsidR="00D95429" w:rsidRPr="003B42A7" w:rsidRDefault="000E294B" w:rsidP="006115CA">
      <w:pPr>
        <w:spacing w:line="360" w:lineRule="auto"/>
        <w:jc w:val="both"/>
        <w:rPr>
          <w:color w:val="000000" w:themeColor="text1"/>
          <w:szCs w:val="24"/>
        </w:rPr>
      </w:pPr>
      <w:r w:rsidRPr="003B42A7">
        <w:rPr>
          <w:noProof/>
          <w:color w:val="000000" w:themeColor="text1"/>
          <w:szCs w:val="24"/>
          <w:lang w:eastAsia="en-GB"/>
        </w:rPr>
        <w:lastRenderedPageBreak/>
        <w:drawing>
          <wp:anchor distT="0" distB="0" distL="114300" distR="114300" simplePos="0" relativeHeight="251661824" behindDoc="1" locked="0" layoutInCell="1" allowOverlap="1" wp14:anchorId="48DEDF8C" wp14:editId="6670A67A">
            <wp:simplePos x="0" y="0"/>
            <wp:positionH relativeFrom="column">
              <wp:posOffset>724251</wp:posOffset>
            </wp:positionH>
            <wp:positionV relativeFrom="paragraph">
              <wp:posOffset>0</wp:posOffset>
            </wp:positionV>
            <wp:extent cx="4319905" cy="3214370"/>
            <wp:effectExtent l="0" t="0" r="4445" b="5080"/>
            <wp:wrapTight wrapText="bothSides">
              <wp:wrapPolygon edited="0">
                <wp:start x="0" y="0"/>
                <wp:lineTo x="0" y="21506"/>
                <wp:lineTo x="21527" y="2150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a1200.jpg"/>
                    <pic:cNvPicPr/>
                  </pic:nvPicPr>
                  <pic:blipFill rotWithShape="1">
                    <a:blip r:embed="rId8">
                      <a:extLst>
                        <a:ext uri="{28A0092B-C50C-407E-A947-70E740481C1C}">
                          <a14:useLocalDpi xmlns:a14="http://schemas.microsoft.com/office/drawing/2010/main" val="0"/>
                        </a:ext>
                      </a:extLst>
                    </a:blip>
                    <a:srcRect t="2779" b="7921"/>
                    <a:stretch/>
                  </pic:blipFill>
                  <pic:spPr bwMode="auto">
                    <a:xfrm>
                      <a:off x="0" y="0"/>
                      <a:ext cx="4319905" cy="3214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E9174" w14:textId="04CE3021" w:rsidR="00A3343D" w:rsidRPr="003B42A7" w:rsidRDefault="00A3343D" w:rsidP="006115CA">
      <w:pPr>
        <w:spacing w:line="360" w:lineRule="auto"/>
        <w:jc w:val="both"/>
        <w:rPr>
          <w:noProof/>
          <w:color w:val="000000" w:themeColor="text1"/>
          <w:szCs w:val="24"/>
          <w:lang w:eastAsia="en-GB"/>
        </w:rPr>
      </w:pPr>
    </w:p>
    <w:p w14:paraId="54E9B6AF" w14:textId="77777777" w:rsidR="003B208E" w:rsidRPr="003B42A7" w:rsidRDefault="003B208E" w:rsidP="00A3343D">
      <w:pPr>
        <w:rPr>
          <w:rFonts w:cs="Times New Roman"/>
          <w:b/>
          <w:sz w:val="20"/>
          <w:szCs w:val="20"/>
        </w:rPr>
      </w:pPr>
    </w:p>
    <w:p w14:paraId="613299EF" w14:textId="77777777" w:rsidR="003B208E" w:rsidRPr="003B42A7" w:rsidRDefault="003B208E" w:rsidP="00A3343D">
      <w:pPr>
        <w:rPr>
          <w:rFonts w:cs="Times New Roman"/>
          <w:b/>
          <w:sz w:val="20"/>
          <w:szCs w:val="20"/>
        </w:rPr>
      </w:pPr>
    </w:p>
    <w:p w14:paraId="4ACB601D" w14:textId="77777777" w:rsidR="003B208E" w:rsidRPr="003B42A7" w:rsidRDefault="003B208E" w:rsidP="00A3343D">
      <w:pPr>
        <w:rPr>
          <w:rFonts w:cs="Times New Roman"/>
          <w:b/>
          <w:sz w:val="20"/>
          <w:szCs w:val="20"/>
        </w:rPr>
      </w:pPr>
    </w:p>
    <w:p w14:paraId="613C4201" w14:textId="77777777" w:rsidR="003B208E" w:rsidRPr="003B42A7" w:rsidRDefault="003B208E" w:rsidP="00A3343D">
      <w:pPr>
        <w:rPr>
          <w:rFonts w:cs="Times New Roman"/>
          <w:b/>
          <w:sz w:val="20"/>
          <w:szCs w:val="20"/>
        </w:rPr>
      </w:pPr>
    </w:p>
    <w:p w14:paraId="373FA9FC" w14:textId="77777777" w:rsidR="003B208E" w:rsidRPr="003B42A7" w:rsidRDefault="003B208E" w:rsidP="00A3343D">
      <w:pPr>
        <w:rPr>
          <w:rFonts w:cs="Times New Roman"/>
          <w:b/>
          <w:sz w:val="20"/>
          <w:szCs w:val="20"/>
        </w:rPr>
      </w:pPr>
    </w:p>
    <w:p w14:paraId="463B3EF7" w14:textId="339C397C" w:rsidR="003B208E" w:rsidRPr="003B42A7" w:rsidRDefault="003B208E" w:rsidP="00A3343D">
      <w:pPr>
        <w:rPr>
          <w:rFonts w:cs="Times New Roman"/>
          <w:b/>
          <w:sz w:val="20"/>
          <w:szCs w:val="20"/>
        </w:rPr>
      </w:pPr>
    </w:p>
    <w:p w14:paraId="438C1100" w14:textId="77777777" w:rsidR="003B208E" w:rsidRPr="003B42A7" w:rsidRDefault="003B208E" w:rsidP="00A3343D">
      <w:pPr>
        <w:rPr>
          <w:rFonts w:cs="Times New Roman"/>
          <w:b/>
          <w:sz w:val="20"/>
          <w:szCs w:val="20"/>
        </w:rPr>
      </w:pPr>
    </w:p>
    <w:p w14:paraId="10516FB4" w14:textId="77777777" w:rsidR="003B208E" w:rsidRPr="003B42A7" w:rsidRDefault="003B208E" w:rsidP="00A3343D">
      <w:pPr>
        <w:rPr>
          <w:rFonts w:cs="Times New Roman"/>
          <w:b/>
          <w:sz w:val="20"/>
          <w:szCs w:val="20"/>
        </w:rPr>
      </w:pPr>
    </w:p>
    <w:p w14:paraId="2760DE55" w14:textId="77777777" w:rsidR="003B208E" w:rsidRPr="003B42A7" w:rsidRDefault="003B208E" w:rsidP="00A3343D">
      <w:pPr>
        <w:rPr>
          <w:rFonts w:cs="Times New Roman"/>
          <w:b/>
          <w:sz w:val="20"/>
          <w:szCs w:val="20"/>
        </w:rPr>
      </w:pPr>
    </w:p>
    <w:p w14:paraId="2E065645" w14:textId="77777777" w:rsidR="003B208E" w:rsidRPr="003B42A7" w:rsidRDefault="003B208E" w:rsidP="00A3343D">
      <w:pPr>
        <w:rPr>
          <w:rFonts w:cs="Times New Roman"/>
          <w:b/>
          <w:sz w:val="20"/>
          <w:szCs w:val="20"/>
        </w:rPr>
      </w:pPr>
    </w:p>
    <w:p w14:paraId="2FC88DBA" w14:textId="77777777" w:rsidR="003B208E" w:rsidRPr="003B42A7" w:rsidRDefault="003B208E" w:rsidP="00A3343D">
      <w:pPr>
        <w:rPr>
          <w:rFonts w:cs="Times New Roman"/>
          <w:b/>
          <w:sz w:val="20"/>
          <w:szCs w:val="20"/>
        </w:rPr>
      </w:pPr>
    </w:p>
    <w:p w14:paraId="77DCE08C" w14:textId="076B6D23" w:rsidR="00A3343D" w:rsidRPr="003B42A7" w:rsidRDefault="00A3343D" w:rsidP="00A3343D">
      <w:pPr>
        <w:rPr>
          <w:rFonts w:cs="Times New Roman"/>
          <w:sz w:val="20"/>
          <w:szCs w:val="20"/>
        </w:rPr>
      </w:pPr>
      <w:r w:rsidRPr="003B42A7">
        <w:rPr>
          <w:rFonts w:cs="Times New Roman"/>
          <w:b/>
          <w:sz w:val="20"/>
          <w:szCs w:val="20"/>
        </w:rPr>
        <w:t>Figure 1</w:t>
      </w:r>
      <w:r w:rsidRPr="003B42A7">
        <w:rPr>
          <w:rFonts w:cs="Times New Roman"/>
          <w:sz w:val="20"/>
          <w:szCs w:val="20"/>
        </w:rPr>
        <w:t>. Schematic representation of the mechanism of action of a ESK-containing MN patch. ESK-containing MN patches consist of hydrogel-forming MN arrays and ESK-containing reservoir. Hydrogel-forming MN arrays take up skin interstitial fluid, inducing diffusion of ESK from an ESK-containing reservoir through the swollen micro-projections.</w:t>
      </w:r>
    </w:p>
    <w:p w14:paraId="3F468127" w14:textId="77777777" w:rsidR="000E294B" w:rsidRPr="003B42A7" w:rsidRDefault="000E294B" w:rsidP="00A3343D">
      <w:pPr>
        <w:rPr>
          <w:rFonts w:cs="Times New Roman"/>
          <w:sz w:val="20"/>
          <w:szCs w:val="20"/>
        </w:rPr>
      </w:pPr>
    </w:p>
    <w:p w14:paraId="42869198" w14:textId="07EAF8C5" w:rsidR="00827CC4" w:rsidRPr="003B42A7" w:rsidRDefault="003D2E99" w:rsidP="006115CA">
      <w:pPr>
        <w:pStyle w:val="NoSpacing"/>
        <w:spacing w:line="360" w:lineRule="auto"/>
        <w:jc w:val="both"/>
        <w:rPr>
          <w:rFonts w:cs="Times New Roman"/>
          <w:color w:val="000000" w:themeColor="text1"/>
          <w:szCs w:val="24"/>
        </w:rPr>
      </w:pPr>
      <w:r w:rsidRPr="003B42A7">
        <w:rPr>
          <w:rFonts w:cs="Times New Roman"/>
          <w:color w:val="000000" w:themeColor="text1"/>
          <w:szCs w:val="24"/>
        </w:rPr>
        <w:t>This study outlines the design and characterisation of hydrogel-forming MN, with particular focus on</w:t>
      </w:r>
      <w:r w:rsidR="00A30785" w:rsidRPr="003B42A7">
        <w:rPr>
          <w:rFonts w:cs="Times New Roman"/>
          <w:color w:val="000000" w:themeColor="text1"/>
          <w:szCs w:val="24"/>
        </w:rPr>
        <w:t xml:space="preserve"> novel</w:t>
      </w:r>
      <w:r w:rsidRPr="003B42A7">
        <w:rPr>
          <w:rFonts w:cs="Times New Roman"/>
          <w:color w:val="000000" w:themeColor="text1"/>
          <w:szCs w:val="24"/>
        </w:rPr>
        <w:t xml:space="preserve"> ESK</w:t>
      </w:r>
      <w:r w:rsidR="0087496D" w:rsidRPr="003B42A7">
        <w:rPr>
          <w:rFonts w:cs="Times New Roman"/>
          <w:color w:val="000000" w:themeColor="text1"/>
          <w:szCs w:val="24"/>
        </w:rPr>
        <w:t>-</w:t>
      </w:r>
      <w:r w:rsidRPr="003B42A7">
        <w:rPr>
          <w:rFonts w:cs="Times New Roman"/>
          <w:color w:val="000000" w:themeColor="text1"/>
          <w:szCs w:val="24"/>
        </w:rPr>
        <w:t>containing drug reservoir candidates</w:t>
      </w:r>
      <w:r w:rsidR="0087496D" w:rsidRPr="003B42A7">
        <w:rPr>
          <w:rFonts w:cs="Times New Roman"/>
          <w:color w:val="000000" w:themeColor="text1"/>
          <w:szCs w:val="24"/>
        </w:rPr>
        <w:t>,</w:t>
      </w:r>
      <w:r w:rsidRPr="003B42A7">
        <w:rPr>
          <w:rFonts w:cs="Times New Roman"/>
          <w:color w:val="000000" w:themeColor="text1"/>
          <w:szCs w:val="24"/>
        </w:rPr>
        <w:t xml:space="preserve"> such as</w:t>
      </w:r>
      <w:r w:rsidR="0087496D" w:rsidRPr="003B42A7">
        <w:rPr>
          <w:rFonts w:cs="Times New Roman"/>
          <w:color w:val="000000" w:themeColor="text1"/>
          <w:szCs w:val="24"/>
        </w:rPr>
        <w:t>:</w:t>
      </w:r>
      <w:r w:rsidRPr="003B42A7">
        <w:rPr>
          <w:rFonts w:cs="Times New Roman"/>
          <w:color w:val="000000" w:themeColor="text1"/>
          <w:szCs w:val="24"/>
        </w:rPr>
        <w:t xml:space="preserve"> thin film polymeric formulations and lyophilised reservoirs. A suitable reverse phase </w:t>
      </w:r>
      <w:r w:rsidR="00A30785" w:rsidRPr="003B42A7">
        <w:rPr>
          <w:rFonts w:cs="Times New Roman"/>
          <w:color w:val="000000" w:themeColor="text1"/>
          <w:szCs w:val="24"/>
        </w:rPr>
        <w:t>high performance liquid chromatography (</w:t>
      </w:r>
      <w:r w:rsidR="009A1C26" w:rsidRPr="003B42A7">
        <w:rPr>
          <w:rFonts w:cs="Times New Roman"/>
          <w:color w:val="000000" w:themeColor="text1"/>
          <w:szCs w:val="24"/>
        </w:rPr>
        <w:t>RP-</w:t>
      </w:r>
      <w:r w:rsidRPr="003B42A7">
        <w:rPr>
          <w:rFonts w:cs="Times New Roman"/>
          <w:color w:val="000000" w:themeColor="text1"/>
          <w:szCs w:val="24"/>
        </w:rPr>
        <w:t>HPL</w:t>
      </w:r>
      <w:r w:rsidR="0087496D" w:rsidRPr="003B42A7">
        <w:rPr>
          <w:rFonts w:cs="Times New Roman"/>
          <w:color w:val="000000" w:themeColor="text1"/>
          <w:szCs w:val="24"/>
        </w:rPr>
        <w:t>C</w:t>
      </w:r>
      <w:r w:rsidR="00A30785" w:rsidRPr="003B42A7">
        <w:rPr>
          <w:rFonts w:cs="Times New Roman"/>
          <w:color w:val="000000" w:themeColor="text1"/>
          <w:szCs w:val="24"/>
        </w:rPr>
        <w:t>)</w:t>
      </w:r>
      <w:r w:rsidRPr="003B42A7">
        <w:rPr>
          <w:rFonts w:cs="Times New Roman"/>
          <w:color w:val="000000" w:themeColor="text1"/>
          <w:szCs w:val="24"/>
        </w:rPr>
        <w:t xml:space="preserve"> method for separation and detection of ESK from </w:t>
      </w:r>
      <w:r w:rsidRPr="003B42A7">
        <w:rPr>
          <w:rFonts w:cs="Times New Roman"/>
          <w:i/>
          <w:color w:val="000000" w:themeColor="text1"/>
          <w:szCs w:val="24"/>
        </w:rPr>
        <w:t>in vitro</w:t>
      </w:r>
      <w:r w:rsidRPr="003B42A7">
        <w:rPr>
          <w:rFonts w:cs="Times New Roman"/>
          <w:color w:val="000000" w:themeColor="text1"/>
          <w:szCs w:val="24"/>
        </w:rPr>
        <w:t xml:space="preserve"> and </w:t>
      </w:r>
      <w:r w:rsidRPr="003B42A7">
        <w:rPr>
          <w:rFonts w:cs="Times New Roman"/>
          <w:i/>
          <w:color w:val="000000" w:themeColor="text1"/>
          <w:szCs w:val="24"/>
        </w:rPr>
        <w:t xml:space="preserve">in vivo </w:t>
      </w:r>
      <w:r w:rsidRPr="003B42A7">
        <w:rPr>
          <w:rFonts w:cs="Times New Roman"/>
          <w:color w:val="000000" w:themeColor="text1"/>
          <w:szCs w:val="24"/>
        </w:rPr>
        <w:t xml:space="preserve">plasma samples was developed and validated </w:t>
      </w:r>
      <w:r w:rsidR="0087496D" w:rsidRPr="003B42A7">
        <w:rPr>
          <w:rFonts w:cs="Times New Roman"/>
          <w:color w:val="000000" w:themeColor="text1"/>
          <w:szCs w:val="24"/>
        </w:rPr>
        <w:t xml:space="preserve">according </w:t>
      </w:r>
      <w:r w:rsidRPr="003B42A7">
        <w:rPr>
          <w:rFonts w:cs="Times New Roman"/>
          <w:color w:val="000000" w:themeColor="text1"/>
          <w:szCs w:val="24"/>
        </w:rPr>
        <w:t>to I</w:t>
      </w:r>
      <w:r w:rsidR="0087496D" w:rsidRPr="003B42A7">
        <w:rPr>
          <w:rFonts w:cs="Times New Roman"/>
          <w:color w:val="000000" w:themeColor="text1"/>
          <w:szCs w:val="24"/>
        </w:rPr>
        <w:t xml:space="preserve">nternational </w:t>
      </w:r>
      <w:r w:rsidRPr="003B42A7">
        <w:rPr>
          <w:rFonts w:cs="Times New Roman"/>
          <w:color w:val="000000" w:themeColor="text1"/>
          <w:szCs w:val="24"/>
        </w:rPr>
        <w:t>C</w:t>
      </w:r>
      <w:r w:rsidR="0087496D" w:rsidRPr="003B42A7">
        <w:rPr>
          <w:rFonts w:cs="Times New Roman"/>
          <w:color w:val="000000" w:themeColor="text1"/>
          <w:szCs w:val="24"/>
        </w:rPr>
        <w:t xml:space="preserve">onference on </w:t>
      </w:r>
      <w:r w:rsidRPr="003B42A7">
        <w:rPr>
          <w:rFonts w:cs="Times New Roman"/>
          <w:color w:val="000000" w:themeColor="text1"/>
          <w:szCs w:val="24"/>
        </w:rPr>
        <w:t>H</w:t>
      </w:r>
      <w:r w:rsidR="0087496D" w:rsidRPr="003B42A7">
        <w:rPr>
          <w:rFonts w:cs="Times New Roman"/>
          <w:color w:val="000000" w:themeColor="text1"/>
          <w:szCs w:val="24"/>
        </w:rPr>
        <w:t>armonisation (ICH)</w:t>
      </w:r>
      <w:r w:rsidRPr="003B42A7">
        <w:rPr>
          <w:rFonts w:cs="Times New Roman"/>
          <w:color w:val="000000" w:themeColor="text1"/>
          <w:szCs w:val="24"/>
        </w:rPr>
        <w:t xml:space="preserve"> standards</w:t>
      </w:r>
      <w:r w:rsidR="0087496D" w:rsidRPr="003B42A7">
        <w:rPr>
          <w:rFonts w:cs="Times New Roman"/>
          <w:color w:val="000000" w:themeColor="text1"/>
          <w:szCs w:val="24"/>
        </w:rPr>
        <w:t xml:space="preserve"> and guidance</w:t>
      </w:r>
      <w:r w:rsidRPr="003B42A7">
        <w:rPr>
          <w:rFonts w:cs="Times New Roman"/>
          <w:color w:val="000000" w:themeColor="text1"/>
          <w:szCs w:val="24"/>
        </w:rPr>
        <w:t xml:space="preserve">. </w:t>
      </w:r>
      <w:r w:rsidR="0087496D" w:rsidRPr="003B42A7">
        <w:rPr>
          <w:rFonts w:cs="Times New Roman"/>
          <w:color w:val="000000" w:themeColor="text1"/>
          <w:szCs w:val="24"/>
        </w:rPr>
        <w:t xml:space="preserve">Initial stability studies of ESK in solution and in candidate formulations are reported, and </w:t>
      </w:r>
      <w:r w:rsidR="0087496D" w:rsidRPr="003B42A7">
        <w:rPr>
          <w:rFonts w:cs="Times New Roman"/>
          <w:i/>
          <w:color w:val="000000" w:themeColor="text1"/>
          <w:szCs w:val="24"/>
        </w:rPr>
        <w:t>in vitro</w:t>
      </w:r>
      <w:r w:rsidR="0087496D" w:rsidRPr="003B42A7">
        <w:rPr>
          <w:rFonts w:cs="Times New Roman"/>
          <w:color w:val="000000" w:themeColor="text1"/>
          <w:szCs w:val="24"/>
        </w:rPr>
        <w:t xml:space="preserve"> permeation assessment is carried out using Franz diffusion cell apparatus. Based on the therapeutic concentration of ESK in patients, the aim was to deliver 30-100 mg of ESK over 24 h </w:t>
      </w:r>
      <w:r w:rsidR="0087496D" w:rsidRPr="003B42A7">
        <w:rPr>
          <w:rFonts w:cs="Times New Roman"/>
          <w:i/>
          <w:color w:val="000000" w:themeColor="text1"/>
          <w:szCs w:val="24"/>
        </w:rPr>
        <w:t>in vitro</w:t>
      </w:r>
      <w:r w:rsidR="0087496D" w:rsidRPr="003B42A7">
        <w:rPr>
          <w:rFonts w:cs="Times New Roman"/>
          <w:color w:val="000000" w:themeColor="text1"/>
          <w:szCs w:val="24"/>
        </w:rPr>
        <w:t xml:space="preserve"> using Franz Diffusion cell apparatus. Le</w:t>
      </w:r>
      <w:r w:rsidR="00A30785" w:rsidRPr="003B42A7">
        <w:rPr>
          <w:rFonts w:cs="Times New Roman"/>
          <w:color w:val="000000" w:themeColor="text1"/>
          <w:szCs w:val="24"/>
        </w:rPr>
        <w:t>a</w:t>
      </w:r>
      <w:r w:rsidR="0087496D" w:rsidRPr="003B42A7">
        <w:rPr>
          <w:rFonts w:cs="Times New Roman"/>
          <w:color w:val="000000" w:themeColor="text1"/>
          <w:szCs w:val="24"/>
        </w:rPr>
        <w:t xml:space="preserve">d candidate ESK-containing reservoirs were selected based on physicochemical analysis and brought forward for testing </w:t>
      </w:r>
      <w:r w:rsidR="0087496D" w:rsidRPr="003B42A7">
        <w:rPr>
          <w:rFonts w:cs="Times New Roman"/>
          <w:i/>
          <w:color w:val="000000" w:themeColor="text1"/>
          <w:szCs w:val="24"/>
        </w:rPr>
        <w:t>in vivo</w:t>
      </w:r>
      <w:r w:rsidR="0087496D" w:rsidRPr="003B42A7">
        <w:rPr>
          <w:rFonts w:cs="Times New Roman"/>
          <w:color w:val="000000" w:themeColor="text1"/>
          <w:szCs w:val="24"/>
        </w:rPr>
        <w:t xml:space="preserve">, in Sprague-Dawley rats. The authors aimed to achieve sustained therapeutic levels of </w:t>
      </w:r>
      <w:r w:rsidR="00836688" w:rsidRPr="003B42A7">
        <w:rPr>
          <w:rFonts w:cs="Times New Roman"/>
          <w:color w:val="000000" w:themeColor="text1"/>
          <w:szCs w:val="24"/>
        </w:rPr>
        <w:t>0.</w:t>
      </w:r>
      <w:r w:rsidR="0087496D" w:rsidRPr="003B42A7">
        <w:rPr>
          <w:rFonts w:cs="Times New Roman"/>
          <w:color w:val="000000" w:themeColor="text1"/>
          <w:szCs w:val="24"/>
        </w:rPr>
        <w:t>15</w:t>
      </w:r>
      <w:r w:rsidR="00836688" w:rsidRPr="003B42A7">
        <w:rPr>
          <w:rFonts w:cs="Times New Roman"/>
          <w:color w:val="000000" w:themeColor="text1"/>
          <w:szCs w:val="24"/>
        </w:rPr>
        <w:t xml:space="preserve"> </w:t>
      </w:r>
      <w:r w:rsidR="0087496D" w:rsidRPr="003B42A7">
        <w:rPr>
          <w:rFonts w:cs="Times New Roman"/>
          <w:color w:val="000000" w:themeColor="text1"/>
          <w:szCs w:val="24"/>
        </w:rPr>
        <w:t>-</w:t>
      </w:r>
      <w:r w:rsidR="00836688" w:rsidRPr="003B42A7">
        <w:rPr>
          <w:rFonts w:cs="Times New Roman"/>
          <w:color w:val="000000" w:themeColor="text1"/>
          <w:szCs w:val="24"/>
        </w:rPr>
        <w:t xml:space="preserve"> 0.</w:t>
      </w:r>
      <w:r w:rsidR="0087496D" w:rsidRPr="003B42A7">
        <w:rPr>
          <w:rFonts w:cs="Times New Roman"/>
          <w:color w:val="000000" w:themeColor="text1"/>
          <w:szCs w:val="24"/>
        </w:rPr>
        <w:t xml:space="preserve">3 </w:t>
      </w:r>
      <w:r w:rsidR="00836688" w:rsidRPr="003B42A7">
        <w:rPr>
          <w:rFonts w:cs="Times New Roman"/>
          <w:color w:val="000000" w:themeColor="text1"/>
        </w:rPr>
        <w:t>µ</w:t>
      </w:r>
      <w:r w:rsidR="0087496D" w:rsidRPr="003B42A7">
        <w:rPr>
          <w:rFonts w:cs="Times New Roman"/>
          <w:color w:val="000000" w:themeColor="text1"/>
          <w:szCs w:val="24"/>
        </w:rPr>
        <w:t xml:space="preserve">g/ml in plasma </w:t>
      </w:r>
      <w:r w:rsidR="00160EB0" w:rsidRPr="003B42A7">
        <w:rPr>
          <w:rFonts w:cs="Times New Roman"/>
          <w:color w:val="000000" w:themeColor="text1"/>
          <w:szCs w:val="24"/>
        </w:rPr>
        <w:t>over 24 h</w:t>
      </w:r>
      <w:r w:rsidR="0087496D" w:rsidRPr="003B42A7">
        <w:rPr>
          <w:rFonts w:cs="Times New Roman"/>
          <w:color w:val="000000" w:themeColor="text1"/>
          <w:szCs w:val="24"/>
        </w:rPr>
        <w:t xml:space="preserve"> using ESK-containing drug reservoirs in combination with hydrogel forming MNs in this </w:t>
      </w:r>
      <w:r w:rsidR="0087496D" w:rsidRPr="003B42A7">
        <w:rPr>
          <w:rFonts w:cs="Times New Roman"/>
          <w:i/>
          <w:color w:val="000000" w:themeColor="text1"/>
          <w:szCs w:val="24"/>
        </w:rPr>
        <w:t>in vivo</w:t>
      </w:r>
      <w:r w:rsidR="0087496D" w:rsidRPr="003B42A7">
        <w:rPr>
          <w:rFonts w:cs="Times New Roman"/>
          <w:color w:val="000000" w:themeColor="text1"/>
          <w:szCs w:val="24"/>
        </w:rPr>
        <w:t xml:space="preserve"> feasibility study.</w:t>
      </w:r>
      <w:r w:rsidR="00991B0A" w:rsidRPr="003B42A7">
        <w:rPr>
          <w:rFonts w:cs="Times New Roman"/>
          <w:szCs w:val="24"/>
          <w:u w:val="single"/>
        </w:rPr>
        <w:br w:type="page"/>
      </w:r>
    </w:p>
    <w:p w14:paraId="3F8C4BCF" w14:textId="77777777" w:rsidR="00445FA7" w:rsidRPr="003B42A7" w:rsidRDefault="007F1F24" w:rsidP="00F456D2">
      <w:pPr>
        <w:pStyle w:val="Heading1"/>
      </w:pPr>
      <w:r w:rsidRPr="003B42A7">
        <w:lastRenderedPageBreak/>
        <w:t>Materials and Methods</w:t>
      </w:r>
    </w:p>
    <w:p w14:paraId="04452B01" w14:textId="77777777" w:rsidR="007F1F24" w:rsidRPr="003B42A7" w:rsidRDefault="00445FA7" w:rsidP="00F456D2">
      <w:pPr>
        <w:pStyle w:val="Heading2"/>
      </w:pPr>
      <w:r w:rsidRPr="003B42A7">
        <w:t>M</w:t>
      </w:r>
      <w:r w:rsidR="005D7738" w:rsidRPr="003B42A7">
        <w:t>aterials</w:t>
      </w:r>
    </w:p>
    <w:p w14:paraId="6C8F80EE" w14:textId="1ACCC975" w:rsidR="00CA0CDF" w:rsidRPr="003B42A7" w:rsidRDefault="00CA0CDF" w:rsidP="00B666DD">
      <w:pPr>
        <w:spacing w:line="360" w:lineRule="auto"/>
        <w:jc w:val="both"/>
      </w:pPr>
      <w:r w:rsidRPr="003B42A7">
        <w:t xml:space="preserve">ESK, in the form of ESK hydrochloride (HCl) was purchased from </w:t>
      </w:r>
      <w:r w:rsidR="00B666DD" w:rsidRPr="003B42A7">
        <w:t xml:space="preserve">CU </w:t>
      </w:r>
      <w:proofErr w:type="spellStart"/>
      <w:r w:rsidR="00B666DD" w:rsidRPr="003B42A7">
        <w:t>Chemie</w:t>
      </w:r>
      <w:proofErr w:type="spellEnd"/>
      <w:r w:rsidR="00B666DD" w:rsidRPr="003B42A7">
        <w:t xml:space="preserve"> </w:t>
      </w:r>
      <w:r w:rsidRPr="003B42A7">
        <w:t>Uetikon</w:t>
      </w:r>
      <w:r w:rsidR="00B666DD" w:rsidRPr="003B42A7">
        <w:t xml:space="preserve">, Switzerland. </w:t>
      </w:r>
      <w:proofErr w:type="spellStart"/>
      <w:r w:rsidR="00B666DD" w:rsidRPr="003B42A7">
        <w:t>Cryogel</w:t>
      </w:r>
      <w:proofErr w:type="spellEnd"/>
      <w:r w:rsidR="00B666DD" w:rsidRPr="003B42A7">
        <w:t xml:space="preserve"> SG3 purchased from PB </w:t>
      </w:r>
      <w:proofErr w:type="spellStart"/>
      <w:r w:rsidR="00B666DD" w:rsidRPr="003B42A7">
        <w:t>Gelatins</w:t>
      </w:r>
      <w:proofErr w:type="spellEnd"/>
      <w:r w:rsidR="00B666DD" w:rsidRPr="003B42A7">
        <w:t xml:space="preserve">, Pontypridd, UK. </w:t>
      </w:r>
      <w:proofErr w:type="spellStart"/>
      <w:r w:rsidR="00B666DD" w:rsidRPr="003B42A7">
        <w:t>Pearlitol</w:t>
      </w:r>
      <w:proofErr w:type="spellEnd"/>
      <w:r w:rsidR="00B666DD" w:rsidRPr="003B42A7">
        <w:t xml:space="preserve">, 50 C-Mannitol was purchased from </w:t>
      </w:r>
      <w:proofErr w:type="spellStart"/>
      <w:r w:rsidR="00B666DD" w:rsidRPr="003B42A7">
        <w:t>Roquette</w:t>
      </w:r>
      <w:proofErr w:type="spellEnd"/>
      <w:r w:rsidR="00B666DD" w:rsidRPr="003B42A7">
        <w:t xml:space="preserve">, </w:t>
      </w:r>
      <w:proofErr w:type="spellStart"/>
      <w:r w:rsidR="00B666DD" w:rsidRPr="003B42A7">
        <w:t>Lestrem</w:t>
      </w:r>
      <w:proofErr w:type="spellEnd"/>
      <w:r w:rsidR="00B666DD" w:rsidRPr="003B42A7">
        <w:t xml:space="preserve">, France. Sucrose was purchased from Sigma-Aldrich, Dorset, U.K. Sodium chloride (NaCl) was purchased from Sigma-Aldrich, </w:t>
      </w:r>
      <w:proofErr w:type="spellStart"/>
      <w:r w:rsidR="00B666DD" w:rsidRPr="003B42A7">
        <w:t>Steinheim</w:t>
      </w:r>
      <w:proofErr w:type="spellEnd"/>
      <w:r w:rsidR="00B666DD" w:rsidRPr="003B42A7">
        <w:t>, Germany. Sodium carbonate (Na</w:t>
      </w:r>
      <w:r w:rsidR="00B666DD" w:rsidRPr="003B42A7">
        <w:rPr>
          <w:vertAlign w:val="subscript"/>
        </w:rPr>
        <w:t>2</w:t>
      </w:r>
      <w:r w:rsidR="00B666DD" w:rsidRPr="003B42A7">
        <w:t>CO</w:t>
      </w:r>
      <w:r w:rsidR="00B666DD" w:rsidRPr="003B42A7">
        <w:rPr>
          <w:vertAlign w:val="subscript"/>
        </w:rPr>
        <w:t>3</w:t>
      </w:r>
      <w:r w:rsidR="00B666DD" w:rsidRPr="003B42A7">
        <w:t>)</w:t>
      </w:r>
      <w:r w:rsidR="00E82022" w:rsidRPr="003B42A7">
        <w:t xml:space="preserve"> and </w:t>
      </w:r>
      <w:proofErr w:type="spellStart"/>
      <w:r w:rsidR="00E82022" w:rsidRPr="003B42A7">
        <w:rPr>
          <w:lang w:val="en-US"/>
        </w:rPr>
        <w:t>Perchloroacetic</w:t>
      </w:r>
      <w:proofErr w:type="spellEnd"/>
      <w:r w:rsidR="00E82022" w:rsidRPr="003B42A7">
        <w:rPr>
          <w:lang w:val="en-US"/>
        </w:rPr>
        <w:t xml:space="preserve"> acid</w:t>
      </w:r>
      <w:r w:rsidR="00B666DD" w:rsidRPr="003B42A7">
        <w:t xml:space="preserve"> w</w:t>
      </w:r>
      <w:r w:rsidR="00E82022" w:rsidRPr="003B42A7">
        <w:t>ere</w:t>
      </w:r>
      <w:r w:rsidR="00B666DD" w:rsidRPr="003B42A7">
        <w:t xml:space="preserve"> purchased from Sigma-Aldrich, </w:t>
      </w:r>
      <w:proofErr w:type="spellStart"/>
      <w:r w:rsidR="00B666DD" w:rsidRPr="003B42A7">
        <w:t>Steinheim</w:t>
      </w:r>
      <w:proofErr w:type="spellEnd"/>
      <w:r w:rsidR="00B666DD" w:rsidRPr="003B42A7">
        <w:t xml:space="preserve">, Germany. Gantrez S-97 was gifted by Ashland Pharmaceutical, Kidderminster, UK. </w:t>
      </w:r>
      <w:proofErr w:type="gramStart"/>
      <w:r w:rsidR="00B666DD" w:rsidRPr="003B42A7">
        <w:t>Poly(</w:t>
      </w:r>
      <w:proofErr w:type="gramEnd"/>
      <w:r w:rsidR="00B666DD" w:rsidRPr="003B42A7">
        <w:t xml:space="preserve">vinyl alcohol) (PVA) MW 9000–10000 Da and Tri(propylene glycol) methyl ether (TPME) </w:t>
      </w:r>
      <w:r w:rsidR="00E82022" w:rsidRPr="003B42A7">
        <w:t>were</w:t>
      </w:r>
      <w:r w:rsidR="00B666DD" w:rsidRPr="003B42A7">
        <w:t xml:space="preserve"> purchased from Sigma-Aldrich, </w:t>
      </w:r>
      <w:proofErr w:type="spellStart"/>
      <w:r w:rsidR="00B666DD" w:rsidRPr="003B42A7">
        <w:t>Steinheim</w:t>
      </w:r>
      <w:proofErr w:type="spellEnd"/>
      <w:r w:rsidR="00B666DD" w:rsidRPr="003B42A7">
        <w:t xml:space="preserve">, Germany. Nair Gentle hair removal cream was purchased from Nair Co., London, U.K. Electric hair clippers were bought from </w:t>
      </w:r>
      <w:proofErr w:type="spellStart"/>
      <w:r w:rsidR="00B666DD" w:rsidRPr="003B42A7">
        <w:t>Remmington</w:t>
      </w:r>
      <w:proofErr w:type="spellEnd"/>
      <w:r w:rsidR="00B666DD" w:rsidRPr="003B42A7">
        <w:t xml:space="preserve"> Co., London, U.K. Franz cell apparatus was purchased from Crown Glass Co. Sommerville, New Jersey, USA. Cyanoacrylate glue was purchased from Loctite Dublin, Ireland. </w:t>
      </w:r>
      <w:proofErr w:type="spellStart"/>
      <w:r w:rsidR="00B666DD" w:rsidRPr="003B42A7">
        <w:t>SpeedMixer</w:t>
      </w:r>
      <w:proofErr w:type="spellEnd"/>
      <w:r w:rsidR="00B666DD" w:rsidRPr="003B42A7">
        <w:t xml:space="preserve">, DAC 150 FVZ-K, was purchased from Synergy Devices Ltd., U.K. </w:t>
      </w:r>
      <w:proofErr w:type="spellStart"/>
      <w:r w:rsidR="00B666DD" w:rsidRPr="003B42A7">
        <w:t>Virtis</w:t>
      </w:r>
      <w:proofErr w:type="spellEnd"/>
      <w:r w:rsidR="00B666DD" w:rsidRPr="003B42A7">
        <w:t xml:space="preserve"> Advantage Benchtop Freeze- Drier System was purchased from SP Scientific, Warminster PA, USA. The patch occlusive (</w:t>
      </w:r>
      <w:proofErr w:type="spellStart"/>
      <w:r w:rsidR="00B666DD" w:rsidRPr="003B42A7">
        <w:t>Scotchpak</w:t>
      </w:r>
      <w:proofErr w:type="spellEnd"/>
      <w:r w:rsidR="00B666DD" w:rsidRPr="003B42A7">
        <w:t xml:space="preserve"> 9523) was purchased from 3M </w:t>
      </w:r>
      <w:proofErr w:type="spellStart"/>
      <w:r w:rsidR="00B666DD" w:rsidRPr="003B42A7">
        <w:t>Carrickmines</w:t>
      </w:r>
      <w:proofErr w:type="spellEnd"/>
      <w:r w:rsidR="00B666DD" w:rsidRPr="003B42A7">
        <w:t>, Ireland. The occlusive layer was fixed to the MN patch using an adhesive (</w:t>
      </w:r>
      <w:proofErr w:type="spellStart"/>
      <w:r w:rsidR="00B666DD" w:rsidRPr="003B42A7">
        <w:t>DuroTak</w:t>
      </w:r>
      <w:proofErr w:type="spellEnd"/>
      <w:r w:rsidR="00B666DD" w:rsidRPr="003B42A7">
        <w:t xml:space="preserve"> 87–2100), which was purchased from National Starch and Chemical Company, Bridgewater, New Jersey, USA.</w:t>
      </w:r>
      <w:r w:rsidRPr="003B42A7">
        <w:t xml:space="preserve"> </w:t>
      </w:r>
    </w:p>
    <w:p w14:paraId="585213CF" w14:textId="77777777" w:rsidR="00CA0CDF" w:rsidRPr="003B42A7" w:rsidRDefault="00CA0CDF" w:rsidP="006115CA">
      <w:pPr>
        <w:spacing w:line="360" w:lineRule="auto"/>
      </w:pPr>
    </w:p>
    <w:p w14:paraId="5FCED506" w14:textId="77777777" w:rsidR="0046672C" w:rsidRPr="003B42A7" w:rsidRDefault="0046672C" w:rsidP="00F456D2">
      <w:pPr>
        <w:pStyle w:val="Heading2"/>
      </w:pPr>
      <w:r w:rsidRPr="003B42A7">
        <w:t>Formulation</w:t>
      </w:r>
      <w:r w:rsidR="00CA0CDF" w:rsidRPr="003B42A7">
        <w:t xml:space="preserve"> </w:t>
      </w:r>
      <w:r w:rsidRPr="003B42A7">
        <w:t>of hydrogel-forming MN arrays</w:t>
      </w:r>
    </w:p>
    <w:p w14:paraId="1CCF2571" w14:textId="6A19B23A" w:rsidR="00CA0CDF" w:rsidRPr="003B42A7" w:rsidRDefault="00CA0CDF" w:rsidP="006115CA">
      <w:pPr>
        <w:widowControl w:val="0"/>
        <w:autoSpaceDE w:val="0"/>
        <w:autoSpaceDN w:val="0"/>
        <w:adjustRightInd w:val="0"/>
        <w:spacing w:line="360" w:lineRule="auto"/>
        <w:jc w:val="both"/>
        <w:rPr>
          <w:rFonts w:cs="Times New Roman"/>
          <w:color w:val="000000" w:themeColor="text1"/>
        </w:rPr>
      </w:pPr>
      <w:r w:rsidRPr="003B42A7">
        <w:rPr>
          <w:color w:val="000000" w:themeColor="text1"/>
        </w:rPr>
        <w:t xml:space="preserve">Hydrogel-forming </w:t>
      </w:r>
      <w:r w:rsidRPr="003B42A7">
        <w:rPr>
          <w:rFonts w:cs="Times New Roman"/>
          <w:color w:val="000000" w:themeColor="text1"/>
        </w:rPr>
        <w:t xml:space="preserve">MN arrays were prepared using laser-engineered silicone micromoulds manufactured, as described previously </w:t>
      </w:r>
      <w:r w:rsidR="00D56C30" w:rsidRPr="003B42A7">
        <w:rPr>
          <w:rFonts w:cs="Times New Roman"/>
          <w:color w:val="000000" w:themeColor="text1"/>
        </w:rPr>
        <w:t xml:space="preserve">[8]. </w:t>
      </w:r>
      <w:r w:rsidRPr="003B42A7">
        <w:rPr>
          <w:rFonts w:cs="Times New Roman"/>
          <w:color w:val="000000" w:themeColor="text1"/>
        </w:rPr>
        <w:t xml:space="preserve">The MN arrays were comprised of 121 needles (11 x 11) having a needle height of 600 </w:t>
      </w:r>
      <w:proofErr w:type="spellStart"/>
      <w:r w:rsidRPr="003B42A7">
        <w:rPr>
          <w:rFonts w:cs="Times New Roman"/>
          <w:color w:val="000000" w:themeColor="text1"/>
        </w:rPr>
        <w:t>μm</w:t>
      </w:r>
      <w:proofErr w:type="spellEnd"/>
      <w:r w:rsidRPr="003B42A7">
        <w:rPr>
          <w:rFonts w:cs="Times New Roman"/>
          <w:color w:val="000000" w:themeColor="text1"/>
        </w:rPr>
        <w:t xml:space="preserve">, base width of 300 </w:t>
      </w:r>
      <w:proofErr w:type="spellStart"/>
      <w:r w:rsidRPr="003B42A7">
        <w:rPr>
          <w:rFonts w:cs="Times New Roman"/>
          <w:color w:val="000000" w:themeColor="text1"/>
        </w:rPr>
        <w:t>μm</w:t>
      </w:r>
      <w:proofErr w:type="spellEnd"/>
      <w:r w:rsidRPr="003B42A7">
        <w:rPr>
          <w:rFonts w:cs="Times New Roman"/>
          <w:color w:val="000000" w:themeColor="text1"/>
        </w:rPr>
        <w:t xml:space="preserve"> and a base interspacing of 150 </w:t>
      </w:r>
      <w:proofErr w:type="spellStart"/>
      <w:r w:rsidRPr="003B42A7">
        <w:rPr>
          <w:rFonts w:cs="Times New Roman"/>
          <w:color w:val="000000" w:themeColor="text1"/>
        </w:rPr>
        <w:t>μm</w:t>
      </w:r>
      <w:proofErr w:type="spellEnd"/>
      <w:r w:rsidRPr="003B42A7">
        <w:rPr>
          <w:rFonts w:cs="Times New Roman"/>
          <w:color w:val="000000" w:themeColor="text1"/>
        </w:rPr>
        <w:t xml:space="preserve">. The needles were conical shaped and each array had an approximate </w:t>
      </w:r>
      <w:r w:rsidR="00945B4D" w:rsidRPr="003B42A7">
        <w:rPr>
          <w:rFonts w:cs="Times New Roman"/>
          <w:color w:val="000000" w:themeColor="text1"/>
        </w:rPr>
        <w:t xml:space="preserve">base </w:t>
      </w:r>
      <w:r w:rsidRPr="003B42A7">
        <w:rPr>
          <w:rFonts w:cs="Times New Roman"/>
          <w:color w:val="000000" w:themeColor="text1"/>
        </w:rPr>
        <w:t>area of 0.5 cm</w:t>
      </w:r>
      <w:r w:rsidRPr="003B42A7">
        <w:rPr>
          <w:rFonts w:cs="Times New Roman"/>
          <w:color w:val="000000" w:themeColor="text1"/>
          <w:vertAlign w:val="superscript"/>
        </w:rPr>
        <w:t>2</w:t>
      </w:r>
      <w:r w:rsidRPr="003B42A7">
        <w:rPr>
          <w:rFonts w:cs="Times New Roman"/>
          <w:color w:val="000000" w:themeColor="text1"/>
        </w:rPr>
        <w:t>. Hydrogel-forming MN arrays, containing no drug themselves were made from aqueous blends of 20% w/w Gantrez</w:t>
      </w:r>
      <w:r w:rsidRPr="003B42A7">
        <w:rPr>
          <w:rFonts w:cs="Times New Roman"/>
          <w:color w:val="000000" w:themeColor="text1"/>
          <w:vertAlign w:val="superscript"/>
        </w:rPr>
        <w:t>®</w:t>
      </w:r>
      <w:r w:rsidRPr="003B42A7">
        <w:rPr>
          <w:rFonts w:cs="Times New Roman"/>
          <w:color w:val="000000" w:themeColor="text1"/>
        </w:rPr>
        <w:t xml:space="preserve"> S-97, 7.5% w/w PEG 10,000 and 3% w/w anhydrous sodium carbonate. Following this, 0.5 g of the aqueous blend was poured into the moulds, centrifuged at 3000</w:t>
      </w:r>
      <w:r w:rsidR="000028D4" w:rsidRPr="003B42A7">
        <w:rPr>
          <w:rFonts w:cs="Times New Roman"/>
          <w:color w:val="000000" w:themeColor="text1"/>
        </w:rPr>
        <w:t xml:space="preserve"> repetitions per minute</w:t>
      </w:r>
      <w:r w:rsidRPr="003B42A7">
        <w:rPr>
          <w:rFonts w:cs="Times New Roman"/>
          <w:color w:val="000000" w:themeColor="text1"/>
        </w:rPr>
        <w:t xml:space="preserve"> </w:t>
      </w:r>
      <w:r w:rsidR="000028D4" w:rsidRPr="003B42A7">
        <w:rPr>
          <w:rFonts w:cs="Times New Roman"/>
          <w:color w:val="000000" w:themeColor="text1"/>
        </w:rPr>
        <w:t>(</w:t>
      </w:r>
      <w:r w:rsidRPr="003B42A7">
        <w:rPr>
          <w:rFonts w:cs="Times New Roman"/>
          <w:color w:val="000000" w:themeColor="text1"/>
        </w:rPr>
        <w:t>rpm</w:t>
      </w:r>
      <w:r w:rsidR="000028D4" w:rsidRPr="003B42A7">
        <w:rPr>
          <w:rFonts w:cs="Times New Roman"/>
          <w:color w:val="000000" w:themeColor="text1"/>
        </w:rPr>
        <w:t>)</w:t>
      </w:r>
      <w:r w:rsidRPr="003B42A7">
        <w:rPr>
          <w:rFonts w:cs="Times New Roman"/>
          <w:color w:val="000000" w:themeColor="text1"/>
        </w:rPr>
        <w:t xml:space="preserve"> for 15 min and dried at room temperature for 48 h. Subsequently, the moulds, containing the aqueous blend, were heated at 80°C for 24 h, facilitating a cross-linking esterification reaction between the carboxylic acid groups of the Gantrez</w:t>
      </w:r>
      <w:r w:rsidRPr="003B42A7">
        <w:rPr>
          <w:rFonts w:cs="Times New Roman"/>
          <w:color w:val="000000" w:themeColor="text1"/>
          <w:vertAlign w:val="superscript"/>
        </w:rPr>
        <w:t>®</w:t>
      </w:r>
      <w:r w:rsidRPr="003B42A7">
        <w:rPr>
          <w:rFonts w:cs="Times New Roman"/>
          <w:color w:val="000000" w:themeColor="text1"/>
        </w:rPr>
        <w:t xml:space="preserve"> S-97 and the hydroxyl functional groups of the PEG 10,000 </w:t>
      </w:r>
      <w:r w:rsidR="00D56C30" w:rsidRPr="003B42A7">
        <w:rPr>
          <w:rFonts w:cs="Times New Roman"/>
          <w:color w:val="000000" w:themeColor="text1"/>
        </w:rPr>
        <w:t xml:space="preserve">[9] </w:t>
      </w:r>
      <w:r w:rsidRPr="003B42A7">
        <w:rPr>
          <w:rFonts w:cs="Times New Roman"/>
          <w:color w:val="000000" w:themeColor="text1"/>
        </w:rPr>
        <w:t xml:space="preserve">(. Upon cooling, the hydrogel-forming MN </w:t>
      </w:r>
      <w:r w:rsidRPr="003B42A7">
        <w:rPr>
          <w:rFonts w:cs="Times New Roman"/>
          <w:color w:val="000000" w:themeColor="text1"/>
        </w:rPr>
        <w:lastRenderedPageBreak/>
        <w:t>arrays were removed from the moulds. The hydrogel-forming MN array sidewalls were removed by use of a heated scalpel blade.</w:t>
      </w:r>
      <w:r w:rsidRPr="003B42A7">
        <w:rPr>
          <w:color w:val="000000" w:themeColor="text1"/>
        </w:rPr>
        <w:t xml:space="preserve"> </w:t>
      </w:r>
    </w:p>
    <w:p w14:paraId="51DC26DB" w14:textId="77777777" w:rsidR="001262CA" w:rsidRPr="003B42A7" w:rsidRDefault="001262CA" w:rsidP="006115CA">
      <w:pPr>
        <w:spacing w:line="360" w:lineRule="auto"/>
        <w:rPr>
          <w:sz w:val="16"/>
          <w:szCs w:val="16"/>
        </w:rPr>
      </w:pPr>
    </w:p>
    <w:p w14:paraId="05CB925A" w14:textId="77777777" w:rsidR="00CA0CDF" w:rsidRPr="003B42A7" w:rsidRDefault="001262CA" w:rsidP="00F456D2">
      <w:pPr>
        <w:pStyle w:val="Heading2"/>
      </w:pPr>
      <w:r w:rsidRPr="003B42A7">
        <w:t>Characterisation of hydrogel-forming MN arrays</w:t>
      </w:r>
    </w:p>
    <w:p w14:paraId="6DBA44A9" w14:textId="3F1D3ADE" w:rsidR="00D740B6" w:rsidRPr="003B42A7" w:rsidRDefault="00D740B6" w:rsidP="006115CA">
      <w:pPr>
        <w:widowControl w:val="0"/>
        <w:autoSpaceDE w:val="0"/>
        <w:autoSpaceDN w:val="0"/>
        <w:adjustRightInd w:val="0"/>
        <w:spacing w:line="360" w:lineRule="auto"/>
        <w:jc w:val="both"/>
        <w:rPr>
          <w:rFonts w:cs="Times New Roman"/>
          <w:szCs w:val="24"/>
        </w:rPr>
      </w:pPr>
      <w:r w:rsidRPr="003B42A7">
        <w:rPr>
          <w:color w:val="000000" w:themeColor="text1"/>
        </w:rPr>
        <w:t>Parafilm</w:t>
      </w:r>
      <w:r w:rsidR="000028D4" w:rsidRPr="003B42A7">
        <w:rPr>
          <w:color w:val="000000" w:themeColor="text1"/>
        </w:rPr>
        <w:t xml:space="preserve"> M</w:t>
      </w:r>
      <w:r w:rsidRPr="003B42A7">
        <w:rPr>
          <w:i/>
          <w:color w:val="000000" w:themeColor="text1"/>
          <w:vertAlign w:val="superscript"/>
        </w:rPr>
        <w:t>®</w:t>
      </w:r>
      <w:r w:rsidRPr="003B42A7">
        <w:rPr>
          <w:color w:val="000000" w:themeColor="text1"/>
        </w:rPr>
        <w:t xml:space="preserve"> was used as a model membrane to assess the insertion properties of hydrogel-forming MN arrays into the skin, as described</w:t>
      </w:r>
      <w:r w:rsidR="00D56C30" w:rsidRPr="003B42A7">
        <w:rPr>
          <w:color w:val="000000" w:themeColor="text1"/>
        </w:rPr>
        <w:t xml:space="preserve"> [10]</w:t>
      </w:r>
      <w:r w:rsidRPr="003B42A7">
        <w:rPr>
          <w:color w:val="000000" w:themeColor="text1"/>
        </w:rPr>
        <w:t>. Briefly, one sheet of Parafilm</w:t>
      </w:r>
      <w:r w:rsidR="000028D4" w:rsidRPr="003B42A7">
        <w:rPr>
          <w:color w:val="000000" w:themeColor="text1"/>
        </w:rPr>
        <w:t xml:space="preserve"> M</w:t>
      </w:r>
      <w:r w:rsidRPr="003B42A7">
        <w:rPr>
          <w:i/>
          <w:color w:val="000000" w:themeColor="text1"/>
          <w:vertAlign w:val="superscript"/>
        </w:rPr>
        <w:t>®</w:t>
      </w:r>
      <w:r w:rsidR="000028D4" w:rsidRPr="003B42A7">
        <w:rPr>
          <w:color w:val="000000" w:themeColor="text1"/>
        </w:rPr>
        <w:t xml:space="preserve"> </w:t>
      </w:r>
      <w:r w:rsidRPr="003B42A7">
        <w:rPr>
          <w:color w:val="000000" w:themeColor="text1"/>
        </w:rPr>
        <w:t>was carefully folded such that it formed 8 layers, approximately 1 mm thick. This was then laid onto a poly(ethylene) sheet for support. H</w:t>
      </w:r>
      <w:r w:rsidRPr="003B42A7">
        <w:rPr>
          <w:rFonts w:cs="Times New Roman"/>
          <w:szCs w:val="24"/>
        </w:rPr>
        <w:t>ydrogel-forming MN arrays were applied perpendicularly into an eight laye</w:t>
      </w:r>
      <w:r w:rsidR="000028D4" w:rsidRPr="003B42A7">
        <w:rPr>
          <w:rFonts w:cs="Times New Roman"/>
          <w:szCs w:val="24"/>
        </w:rPr>
        <w:t>r film of Parafilm M</w:t>
      </w:r>
      <w:r w:rsidR="000028D4" w:rsidRPr="003B42A7">
        <w:rPr>
          <w:rFonts w:cs="Times New Roman"/>
          <w:szCs w:val="24"/>
          <w:vertAlign w:val="superscript"/>
        </w:rPr>
        <w:t>®</w:t>
      </w:r>
      <w:r w:rsidR="000028D4" w:rsidRPr="003B42A7">
        <w:rPr>
          <w:rFonts w:cs="Times New Roman"/>
          <w:szCs w:val="24"/>
        </w:rPr>
        <w:t xml:space="preserve"> </w:t>
      </w:r>
      <w:r w:rsidRPr="003B42A7">
        <w:rPr>
          <w:rFonts w:cs="Times New Roman"/>
          <w:szCs w:val="24"/>
        </w:rPr>
        <w:t xml:space="preserve">(approximate thickness 1 mm) using a </w:t>
      </w:r>
      <w:proofErr w:type="spellStart"/>
      <w:r w:rsidRPr="003B42A7">
        <w:rPr>
          <w:rFonts w:cs="Times New Roman"/>
          <w:szCs w:val="24"/>
        </w:rPr>
        <w:t>TA.</w:t>
      </w:r>
      <w:proofErr w:type="gramStart"/>
      <w:r w:rsidRPr="003B42A7">
        <w:rPr>
          <w:rFonts w:cs="Times New Roman"/>
          <w:szCs w:val="24"/>
        </w:rPr>
        <w:t>XT.Plus</w:t>
      </w:r>
      <w:proofErr w:type="spellEnd"/>
      <w:proofErr w:type="gramEnd"/>
      <w:r w:rsidRPr="003B42A7">
        <w:rPr>
          <w:rFonts w:cs="Times New Roman"/>
          <w:szCs w:val="24"/>
        </w:rPr>
        <w:t xml:space="preserve"> Texture Analyser. In compression mode, the Texture Analyser was programmed to lower at a test speed of 1.19 mm/s and at a force of 32 N for 30 s. After 30 s, the probe was moved upward at a post-test speed of 10.0 mm/s. Texture analyser MN array insertion was compared to manual MN array insertion. </w:t>
      </w:r>
      <w:r w:rsidRPr="003B42A7">
        <w:rPr>
          <w:color w:val="000000" w:themeColor="text1"/>
        </w:rPr>
        <w:t xml:space="preserve">Manual insertion studies were conducted by applying thumb pressure to the hydrogel-forming MN array for 30 s into </w:t>
      </w:r>
      <w:r w:rsidRPr="003B42A7">
        <w:rPr>
          <w:rFonts w:cs="Times New Roman"/>
          <w:szCs w:val="24"/>
        </w:rPr>
        <w:t>Parafilm M</w:t>
      </w:r>
      <w:r w:rsidRPr="003B42A7">
        <w:rPr>
          <w:rFonts w:cs="Times New Roman"/>
          <w:szCs w:val="24"/>
          <w:vertAlign w:val="superscript"/>
        </w:rPr>
        <w:t xml:space="preserve">® </w:t>
      </w:r>
      <w:r w:rsidRPr="003B42A7">
        <w:rPr>
          <w:rFonts w:cs="Times New Roman"/>
          <w:szCs w:val="24"/>
        </w:rPr>
        <w:t>(prepared as previously described). After 30 s, in both cases, hydrogel-forming MN arrays were removed carefully from the Parafilm M</w:t>
      </w:r>
      <w:r w:rsidRPr="003B42A7">
        <w:rPr>
          <w:rFonts w:cs="Times New Roman"/>
          <w:szCs w:val="24"/>
          <w:vertAlign w:val="superscript"/>
        </w:rPr>
        <w:t>®</w:t>
      </w:r>
      <w:r w:rsidRPr="003B42A7">
        <w:rPr>
          <w:rFonts w:cs="Times New Roman"/>
          <w:szCs w:val="24"/>
        </w:rPr>
        <w:t>, the layers of Parafilm M</w:t>
      </w:r>
      <w:r w:rsidRPr="003B42A7">
        <w:rPr>
          <w:rFonts w:cs="Times New Roman"/>
          <w:szCs w:val="24"/>
          <w:vertAlign w:val="superscript"/>
        </w:rPr>
        <w:t>®</w:t>
      </w:r>
      <w:r w:rsidRPr="003B42A7">
        <w:rPr>
          <w:rFonts w:cs="Times New Roman"/>
          <w:szCs w:val="24"/>
        </w:rPr>
        <w:t xml:space="preserve"> unfolded and the number of holes in each Parafilm M</w:t>
      </w:r>
      <w:r w:rsidRPr="003B42A7">
        <w:rPr>
          <w:rFonts w:cs="Times New Roman"/>
          <w:szCs w:val="24"/>
          <w:vertAlign w:val="superscript"/>
        </w:rPr>
        <w:t>®</w:t>
      </w:r>
      <w:r w:rsidRPr="003B42A7">
        <w:rPr>
          <w:rFonts w:cs="Times New Roman"/>
          <w:szCs w:val="24"/>
        </w:rPr>
        <w:t xml:space="preserve"> layer determined. The percentage of holes in each layer was determined using Equation 1. From this, an approximate insertion depth was determined. </w:t>
      </w:r>
    </w:p>
    <w:p w14:paraId="1DE8E98E" w14:textId="3E8B4DA6" w:rsidR="00D740B6" w:rsidRPr="003B42A7" w:rsidRDefault="00D740B6" w:rsidP="006115CA">
      <w:pPr>
        <w:pStyle w:val="NoSpacing"/>
        <w:spacing w:line="360" w:lineRule="auto"/>
        <w:jc w:val="both"/>
        <w:rPr>
          <w:rFonts w:cs="Times New Roman"/>
          <w:szCs w:val="24"/>
        </w:rPr>
      </w:pPr>
      <w:r w:rsidRPr="003B42A7">
        <w:rPr>
          <w:rFonts w:eastAsia="Times New Roman" w:cs="Times New Roman"/>
          <w:szCs w:val="24"/>
        </w:rPr>
        <w:t xml:space="preserve">     </w:t>
      </w:r>
      <w:r w:rsidRPr="003B42A7">
        <w:rPr>
          <w:rFonts w:eastAsia="Times New Roman" w:cs="Times New Roman"/>
          <w:sz w:val="28"/>
          <w:szCs w:val="24"/>
        </w:rPr>
        <w:t xml:space="preserve"> </w:t>
      </w:r>
      <w:r w:rsidR="0069303D" w:rsidRPr="003B42A7">
        <w:rPr>
          <w:rFonts w:eastAsia="Times New Roman" w:cs="Times New Roman"/>
          <w:sz w:val="28"/>
          <w:szCs w:val="24"/>
        </w:rPr>
        <w:t xml:space="preserve">           </w:t>
      </w:r>
      <w:r w:rsidRPr="003B42A7">
        <w:rPr>
          <w:rFonts w:eastAsia="Times New Roman" w:cs="Times New Roman"/>
          <w:sz w:val="28"/>
          <w:szCs w:val="24"/>
        </w:rPr>
        <w:t xml:space="preserve"> </w:t>
      </w:r>
      <w:r w:rsidRPr="003B42A7">
        <w:rPr>
          <w:rFonts w:eastAsia="Times New Roman" w:cs="Times New Roman"/>
          <w:szCs w:val="24"/>
        </w:rPr>
        <w:t>Holes in Parafilm M</w:t>
      </w:r>
      <w:r w:rsidRPr="003B42A7">
        <w:rPr>
          <w:rFonts w:eastAsia="Times New Roman" w:cs="Times New Roman"/>
          <w:szCs w:val="24"/>
          <w:vertAlign w:val="superscript"/>
        </w:rPr>
        <w:t>®</w:t>
      </w:r>
      <w:r w:rsidRPr="003B42A7">
        <w:rPr>
          <w:rFonts w:eastAsia="Times New Roman" w:cs="Times New Roman"/>
          <w:szCs w:val="24"/>
        </w:rPr>
        <w:t xml:space="preserve"> (%) </w:t>
      </w:r>
      <m:oMath>
        <m:r>
          <m:rPr>
            <m:sty m:val="p"/>
          </m:rPr>
          <w:rPr>
            <w:rFonts w:ascii="Cambria Math" w:hAnsi="Cambria Math" w:cs="Times New Roman"/>
            <w:szCs w:val="24"/>
          </w:rPr>
          <m:t>=</m:t>
        </m:r>
        <m:f>
          <m:fPr>
            <m:ctrlPr>
              <w:rPr>
                <w:rFonts w:ascii="Cambria Math" w:hAnsi="Cambria Math" w:cs="Times New Roman"/>
                <w:szCs w:val="24"/>
              </w:rPr>
            </m:ctrlPr>
          </m:fPr>
          <m:num>
            <m:r>
              <m:rPr>
                <m:sty m:val="p"/>
              </m:rPr>
              <w:rPr>
                <w:rFonts w:ascii="Cambria Math" w:hAnsi="Cambria Math" w:cs="Times New Roman"/>
                <w:szCs w:val="24"/>
              </w:rPr>
              <m:t>number of holes observed</m:t>
            </m:r>
          </m:num>
          <m:den>
            <m:r>
              <m:rPr>
                <m:sty m:val="p"/>
              </m:rPr>
              <w:rPr>
                <w:rFonts w:ascii="Cambria Math" w:hAnsi="Cambria Math" w:cs="Times New Roman"/>
                <w:szCs w:val="24"/>
              </w:rPr>
              <m:t>number of holes expected</m:t>
            </m:r>
          </m:den>
        </m:f>
        <m:r>
          <w:rPr>
            <w:rFonts w:ascii="Cambria Math" w:hAnsi="Cambria Math" w:cs="Times New Roman"/>
            <w:szCs w:val="24"/>
          </w:rPr>
          <m:t>*</m:t>
        </m:r>
        <m:r>
          <m:rPr>
            <m:sty m:val="p"/>
          </m:rPr>
          <w:rPr>
            <w:rFonts w:ascii="Cambria Math" w:hAnsi="Cambria Math" w:cs="Times New Roman"/>
            <w:szCs w:val="24"/>
          </w:rPr>
          <m:t>100</m:t>
        </m:r>
      </m:oMath>
      <w:r w:rsidRPr="003B42A7">
        <w:rPr>
          <w:rFonts w:cs="Times New Roman"/>
          <w:b/>
          <w:szCs w:val="24"/>
        </w:rPr>
        <w:t xml:space="preserve">       </w:t>
      </w:r>
      <w:r w:rsidRPr="003B42A7">
        <w:rPr>
          <w:rFonts w:cs="Times New Roman"/>
          <w:b/>
          <w:szCs w:val="24"/>
        </w:rPr>
        <w:tab/>
        <w:t xml:space="preserve">         </w:t>
      </w:r>
      <w:r w:rsidR="000028D4" w:rsidRPr="003B42A7">
        <w:rPr>
          <w:rFonts w:cs="Times New Roman"/>
          <w:sz w:val="20"/>
          <w:szCs w:val="20"/>
        </w:rPr>
        <w:t>Equation 1</w:t>
      </w:r>
    </w:p>
    <w:p w14:paraId="0B549E44" w14:textId="77777777" w:rsidR="00CA0CDF" w:rsidRPr="003B42A7" w:rsidRDefault="00CA0CDF" w:rsidP="006115CA">
      <w:pPr>
        <w:spacing w:line="360" w:lineRule="auto"/>
        <w:rPr>
          <w:sz w:val="16"/>
          <w:szCs w:val="16"/>
        </w:rPr>
      </w:pPr>
    </w:p>
    <w:p w14:paraId="48485A97" w14:textId="77777777" w:rsidR="005D15D4" w:rsidRPr="003B42A7" w:rsidRDefault="005D15D4" w:rsidP="00F456D2">
      <w:pPr>
        <w:pStyle w:val="Heading2"/>
      </w:pPr>
      <w:r w:rsidRPr="003B42A7">
        <w:t>Preparation and visual assessment of drug-containing reservoirs</w:t>
      </w:r>
    </w:p>
    <w:p w14:paraId="09E9570D" w14:textId="68A69561" w:rsidR="0069303D" w:rsidRPr="003B42A7" w:rsidRDefault="001262CA" w:rsidP="008D2C3F">
      <w:pPr>
        <w:spacing w:line="360" w:lineRule="auto"/>
        <w:jc w:val="both"/>
        <w:rPr>
          <w:szCs w:val="24"/>
        </w:rPr>
      </w:pPr>
      <w:r w:rsidRPr="003B42A7">
        <w:rPr>
          <w:szCs w:val="24"/>
        </w:rPr>
        <w:t xml:space="preserve">A suitable </w:t>
      </w:r>
      <w:r w:rsidR="00457F48" w:rsidRPr="003B42A7">
        <w:rPr>
          <w:szCs w:val="24"/>
        </w:rPr>
        <w:t>ESK-containing</w:t>
      </w:r>
      <w:r w:rsidRPr="003B42A7">
        <w:rPr>
          <w:szCs w:val="24"/>
        </w:rPr>
        <w:t xml:space="preserve"> reservoir</w:t>
      </w:r>
      <w:r w:rsidR="00457F48" w:rsidRPr="003B42A7">
        <w:rPr>
          <w:szCs w:val="24"/>
        </w:rPr>
        <w:t xml:space="preserve">, </w:t>
      </w:r>
      <w:r w:rsidR="00457F48" w:rsidRPr="003B42A7">
        <w:rPr>
          <w:color w:val="000000" w:themeColor="text1"/>
        </w:rPr>
        <w:t>intended as</w:t>
      </w:r>
      <w:r w:rsidR="00945B4D" w:rsidRPr="003B42A7">
        <w:rPr>
          <w:color w:val="000000" w:themeColor="text1"/>
        </w:rPr>
        <w:t xml:space="preserve"> a</w:t>
      </w:r>
      <w:r w:rsidR="00457F48" w:rsidRPr="003B42A7">
        <w:rPr>
          <w:color w:val="000000" w:themeColor="text1"/>
        </w:rPr>
        <w:t xml:space="preserve"> drug</w:t>
      </w:r>
      <w:r w:rsidR="00945B4D" w:rsidRPr="003B42A7">
        <w:rPr>
          <w:color w:val="000000" w:themeColor="text1"/>
        </w:rPr>
        <w:t>-</w:t>
      </w:r>
      <w:r w:rsidR="00457F48" w:rsidRPr="003B42A7">
        <w:rPr>
          <w:color w:val="000000" w:themeColor="text1"/>
        </w:rPr>
        <w:t>containing reservoir</w:t>
      </w:r>
      <w:r w:rsidR="00945B4D" w:rsidRPr="003B42A7">
        <w:rPr>
          <w:color w:val="000000" w:themeColor="text1"/>
        </w:rPr>
        <w:t>,</w:t>
      </w:r>
      <w:r w:rsidR="00457F48" w:rsidRPr="003B42A7">
        <w:rPr>
          <w:color w:val="000000" w:themeColor="text1"/>
        </w:rPr>
        <w:t xml:space="preserve"> to be used in conjunction with hydrogel-forming MN arrays</w:t>
      </w:r>
      <w:r w:rsidRPr="003B42A7">
        <w:rPr>
          <w:szCs w:val="24"/>
        </w:rPr>
        <w:t xml:space="preserve"> </w:t>
      </w:r>
      <w:r w:rsidR="00457F48" w:rsidRPr="003B42A7">
        <w:rPr>
          <w:szCs w:val="24"/>
        </w:rPr>
        <w:t>was investigated. Firstly, p</w:t>
      </w:r>
      <w:r w:rsidR="00457F48" w:rsidRPr="003B42A7">
        <w:rPr>
          <w:color w:val="000000" w:themeColor="text1"/>
        </w:rPr>
        <w:t>olymeric films containing ESK were produced using a casting method.</w:t>
      </w:r>
      <w:r w:rsidR="003A52EF" w:rsidRPr="003B42A7">
        <w:rPr>
          <w:color w:val="000000" w:themeColor="text1"/>
        </w:rPr>
        <w:t xml:space="preserve"> P</w:t>
      </w:r>
      <w:r w:rsidR="00457F48" w:rsidRPr="003B42A7">
        <w:rPr>
          <w:color w:val="000000" w:themeColor="text1"/>
        </w:rPr>
        <w:t xml:space="preserve">olymers were mixed with ESK </w:t>
      </w:r>
      <w:r w:rsidR="00400409" w:rsidRPr="003B42A7">
        <w:rPr>
          <w:szCs w:val="24"/>
        </w:rPr>
        <w:t>until a</w:t>
      </w:r>
      <w:r w:rsidR="00457F48" w:rsidRPr="003B42A7">
        <w:rPr>
          <w:szCs w:val="24"/>
        </w:rPr>
        <w:t xml:space="preserve"> homogeneous blend was obtained</w:t>
      </w:r>
      <w:r w:rsidR="00400409" w:rsidRPr="003B42A7">
        <w:rPr>
          <w:szCs w:val="24"/>
        </w:rPr>
        <w:t xml:space="preserve">. </w:t>
      </w:r>
      <w:r w:rsidR="00605DD0" w:rsidRPr="003B42A7">
        <w:rPr>
          <w:color w:val="000000" w:themeColor="text1"/>
        </w:rPr>
        <w:t>P</w:t>
      </w:r>
      <w:r w:rsidR="003A52EF" w:rsidRPr="003B42A7">
        <w:rPr>
          <w:color w:val="000000" w:themeColor="text1"/>
        </w:rPr>
        <w:t>lasticiser</w:t>
      </w:r>
      <w:r w:rsidR="00605DD0" w:rsidRPr="003B42A7">
        <w:rPr>
          <w:color w:val="000000" w:themeColor="text1"/>
        </w:rPr>
        <w:t>s</w:t>
      </w:r>
      <w:r w:rsidR="0069303D" w:rsidRPr="003B42A7">
        <w:rPr>
          <w:color w:val="000000" w:themeColor="text1"/>
        </w:rPr>
        <w:t>, TPME</w:t>
      </w:r>
      <w:r w:rsidR="00605DD0" w:rsidRPr="003B42A7">
        <w:rPr>
          <w:color w:val="000000" w:themeColor="text1"/>
        </w:rPr>
        <w:t xml:space="preserve"> or </w:t>
      </w:r>
      <w:r w:rsidR="00605DD0" w:rsidRPr="003B42A7">
        <w:t xml:space="preserve">PEG </w:t>
      </w:r>
      <w:r w:rsidR="00605DD0" w:rsidRPr="003B42A7">
        <w:rPr>
          <w:color w:val="000000" w:themeColor="text1"/>
        </w:rPr>
        <w:t>10,000 were</w:t>
      </w:r>
      <w:r w:rsidR="003A52EF" w:rsidRPr="003B42A7">
        <w:rPr>
          <w:color w:val="000000" w:themeColor="text1"/>
        </w:rPr>
        <w:t xml:space="preserve"> added </w:t>
      </w:r>
      <w:r w:rsidR="00457F48" w:rsidRPr="003B42A7">
        <w:rPr>
          <w:color w:val="000000" w:themeColor="text1"/>
        </w:rPr>
        <w:t xml:space="preserve">during the preparation stages to improve the flexibility </w:t>
      </w:r>
      <w:r w:rsidR="00457F48" w:rsidRPr="003B42A7">
        <w:rPr>
          <w:color w:val="000000" w:themeColor="text1"/>
          <w:szCs w:val="24"/>
        </w:rPr>
        <w:t xml:space="preserve">of the polymeric films. </w:t>
      </w:r>
      <w:r w:rsidR="003A52EF" w:rsidRPr="003B42A7">
        <w:rPr>
          <w:color w:val="000000" w:themeColor="text1"/>
          <w:szCs w:val="24"/>
        </w:rPr>
        <w:t xml:space="preserve">The effects of different drug loadings </w:t>
      </w:r>
      <w:r w:rsidR="008E45A9" w:rsidRPr="003B42A7">
        <w:rPr>
          <w:color w:val="000000" w:themeColor="text1"/>
          <w:szCs w:val="24"/>
        </w:rPr>
        <w:t>were</w:t>
      </w:r>
      <w:r w:rsidR="003A52EF" w:rsidRPr="003B42A7">
        <w:rPr>
          <w:color w:val="000000" w:themeColor="text1"/>
          <w:szCs w:val="24"/>
        </w:rPr>
        <w:t xml:space="preserve"> also investigated. In all</w:t>
      </w:r>
      <w:r w:rsidR="008E45A9" w:rsidRPr="003B42A7">
        <w:rPr>
          <w:color w:val="000000" w:themeColor="text1"/>
          <w:szCs w:val="24"/>
        </w:rPr>
        <w:t xml:space="preserve"> cases,</w:t>
      </w:r>
      <w:r w:rsidR="00A50887" w:rsidRPr="003B42A7">
        <w:rPr>
          <w:color w:val="000000" w:themeColor="text1"/>
          <w:szCs w:val="24"/>
        </w:rPr>
        <w:t xml:space="preserve"> concentrations reported for each formulation code refer to initial preparation of aqueous blend made up to 100% w/w with water. For each formulation</w:t>
      </w:r>
      <w:r w:rsidR="008E45A9" w:rsidRPr="003B42A7">
        <w:rPr>
          <w:color w:val="000000" w:themeColor="text1"/>
          <w:szCs w:val="24"/>
        </w:rPr>
        <w:t>, a</w:t>
      </w:r>
      <w:r w:rsidR="00457F48" w:rsidRPr="003B42A7">
        <w:rPr>
          <w:color w:val="000000" w:themeColor="text1"/>
          <w:szCs w:val="24"/>
        </w:rPr>
        <w:t>pproximately 30 g of drug-loaded blend was cast into metallic frames (10 x 10 cm).</w:t>
      </w:r>
      <w:r w:rsidR="008E45A9" w:rsidRPr="003B42A7">
        <w:rPr>
          <w:color w:val="000000" w:themeColor="text1"/>
          <w:szCs w:val="24"/>
        </w:rPr>
        <w:t xml:space="preserve"> The metallic frame was lined with release liner to ensure the polymeric films could be removed from the frame.</w:t>
      </w:r>
      <w:r w:rsidR="00457F48" w:rsidRPr="003B42A7">
        <w:rPr>
          <w:color w:val="000000" w:themeColor="text1"/>
          <w:szCs w:val="24"/>
        </w:rPr>
        <w:t xml:space="preserve"> </w:t>
      </w:r>
      <w:r w:rsidR="00187CD7" w:rsidRPr="003B42A7">
        <w:rPr>
          <w:szCs w:val="24"/>
        </w:rPr>
        <w:t>The metallic frames</w:t>
      </w:r>
      <w:r w:rsidRPr="003B42A7">
        <w:rPr>
          <w:szCs w:val="24"/>
        </w:rPr>
        <w:t xml:space="preserve"> were placed on a levelled surface, allowing even spreading of the formulation. The cast blend was then </w:t>
      </w:r>
      <w:r w:rsidR="00187CD7" w:rsidRPr="003B42A7">
        <w:rPr>
          <w:szCs w:val="24"/>
        </w:rPr>
        <w:t>dried at room temperature for 48</w:t>
      </w:r>
      <w:r w:rsidRPr="003B42A7">
        <w:rPr>
          <w:szCs w:val="24"/>
        </w:rPr>
        <w:t xml:space="preserve"> h. </w:t>
      </w:r>
      <w:r w:rsidRPr="003B42A7">
        <w:rPr>
          <w:szCs w:val="24"/>
        </w:rPr>
        <w:lastRenderedPageBreak/>
        <w:t>Following drying, the fi</w:t>
      </w:r>
      <w:r w:rsidR="00187CD7" w:rsidRPr="003B42A7">
        <w:rPr>
          <w:szCs w:val="24"/>
        </w:rPr>
        <w:t>lms were removed from the metallic frames</w:t>
      </w:r>
      <w:r w:rsidRPr="003B42A7">
        <w:rPr>
          <w:szCs w:val="24"/>
        </w:rPr>
        <w:t xml:space="preserve">. </w:t>
      </w:r>
      <w:r w:rsidR="00400409" w:rsidRPr="003B42A7">
        <w:rPr>
          <w:szCs w:val="24"/>
        </w:rPr>
        <w:t xml:space="preserve">The summary of the content of formulations investigated for the preparation of ESK polymeric films is presented in Table 1(A). </w:t>
      </w:r>
    </w:p>
    <w:p w14:paraId="13E3FC34" w14:textId="77777777" w:rsidR="004A6530" w:rsidRPr="003B42A7" w:rsidRDefault="004A6530" w:rsidP="004A6530">
      <w:pPr>
        <w:pStyle w:val="NoSpacing"/>
        <w:rPr>
          <w:sz w:val="20"/>
          <w:szCs w:val="20"/>
        </w:rPr>
      </w:pPr>
      <w:r w:rsidRPr="003B42A7">
        <w:rPr>
          <w:b/>
          <w:sz w:val="20"/>
          <w:szCs w:val="20"/>
        </w:rPr>
        <w:t>Table 1</w:t>
      </w:r>
      <w:r w:rsidRPr="003B42A7">
        <w:rPr>
          <w:sz w:val="20"/>
          <w:szCs w:val="20"/>
        </w:rPr>
        <w:t xml:space="preserve"> (A and B) Summary of the content of formulations for the preparation of ESK-containing (A) films and (B) lyophilised wafers. (C) Lyophilisation parameters for the preparation of ESK-containing lyophilised wafers.</w:t>
      </w:r>
    </w:p>
    <w:p w14:paraId="2C4EFFF4" w14:textId="468651AD" w:rsidR="004A6530" w:rsidRPr="003B42A7" w:rsidRDefault="004A6530" w:rsidP="004A6530">
      <w:pPr>
        <w:spacing w:line="360" w:lineRule="auto"/>
        <w:jc w:val="both"/>
        <w:rPr>
          <w:color w:val="000000" w:themeColor="text1"/>
        </w:rPr>
      </w:pPr>
      <w:r w:rsidRPr="003B42A7">
        <w:rPr>
          <w:noProof/>
          <w:color w:val="000000" w:themeColor="text1"/>
          <w:lang w:eastAsia="en-GB"/>
        </w:rPr>
        <mc:AlternateContent>
          <mc:Choice Requires="wps">
            <w:drawing>
              <wp:anchor distT="0" distB="0" distL="114300" distR="114300" simplePos="0" relativeHeight="251654656" behindDoc="0" locked="0" layoutInCell="1" allowOverlap="1" wp14:anchorId="56C0F033" wp14:editId="4618F546">
                <wp:simplePos x="0" y="0"/>
                <wp:positionH relativeFrom="column">
                  <wp:posOffset>0</wp:posOffset>
                </wp:positionH>
                <wp:positionV relativeFrom="paragraph">
                  <wp:posOffset>53975</wp:posOffset>
                </wp:positionV>
                <wp:extent cx="407035" cy="302260"/>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52777" w14:textId="77777777" w:rsidR="004A6530" w:rsidRDefault="004A6530" w:rsidP="004A6530">
                            <w: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C0F033" id="_x0000_t202" coordsize="21600,21600" o:spt="202" path="m,l,21600r21600,l21600,xe">
                <v:stroke joinstyle="miter"/>
                <v:path gradientshapeok="t" o:connecttype="rect"/>
              </v:shapetype>
              <v:shape id="Text Box 7" o:spid="_x0000_s1026" type="#_x0000_t202" style="position:absolute;left:0;text-align:left;margin-left:0;margin-top:4.25pt;width:32.05pt;height:2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" stroked="f">
                <v:textbox>
                  <w:txbxContent>
                    <w:p w14:paraId="03C52777" w14:textId="77777777" w:rsidR="004A6530" w:rsidRDefault="004A6530" w:rsidP="004A6530">
                      <w:r>
                        <w:t>(A)</w:t>
                      </w:r>
                    </w:p>
                  </w:txbxContent>
                </v:textbox>
              </v:shape>
            </w:pict>
          </mc:Fallback>
        </mc:AlternateConten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1848"/>
        <w:gridCol w:w="1848"/>
        <w:gridCol w:w="1849"/>
        <w:gridCol w:w="1595"/>
      </w:tblGrid>
      <w:tr w:rsidR="004A6530" w:rsidRPr="003B42A7" w14:paraId="4B7866E4" w14:textId="77777777" w:rsidTr="00252F11">
        <w:tc>
          <w:tcPr>
            <w:tcW w:w="1853" w:type="dxa"/>
            <w:vMerge w:val="restart"/>
            <w:tcBorders>
              <w:top w:val="single" w:sz="12" w:space="0" w:color="auto"/>
            </w:tcBorders>
            <w:vAlign w:val="center"/>
          </w:tcPr>
          <w:p w14:paraId="6DBDFBCB" w14:textId="77777777" w:rsidR="004A6530" w:rsidRPr="003B42A7" w:rsidRDefault="004A6530" w:rsidP="00252F11">
            <w:pPr>
              <w:spacing w:line="360" w:lineRule="auto"/>
              <w:jc w:val="center"/>
              <w:rPr>
                <w:rFonts w:cs="Times New Roman"/>
                <w:b/>
                <w:color w:val="000000" w:themeColor="text1"/>
                <w:sz w:val="20"/>
                <w:szCs w:val="20"/>
              </w:rPr>
            </w:pPr>
            <w:r w:rsidRPr="003B42A7">
              <w:rPr>
                <w:rFonts w:cs="Times New Roman"/>
                <w:b/>
                <w:color w:val="000000" w:themeColor="text1"/>
                <w:sz w:val="20"/>
                <w:szCs w:val="20"/>
              </w:rPr>
              <w:t>Formulation code</w:t>
            </w:r>
          </w:p>
        </w:tc>
        <w:tc>
          <w:tcPr>
            <w:tcW w:w="1848" w:type="dxa"/>
            <w:vMerge w:val="restart"/>
            <w:tcBorders>
              <w:top w:val="single" w:sz="12" w:space="0" w:color="auto"/>
            </w:tcBorders>
            <w:vAlign w:val="center"/>
          </w:tcPr>
          <w:p w14:paraId="2C7197E1" w14:textId="77777777" w:rsidR="004A6530" w:rsidRPr="003B42A7" w:rsidRDefault="004A6530" w:rsidP="00252F11">
            <w:pPr>
              <w:spacing w:line="360" w:lineRule="auto"/>
              <w:jc w:val="center"/>
              <w:rPr>
                <w:rFonts w:cs="Times New Roman"/>
                <w:b/>
                <w:color w:val="000000" w:themeColor="text1"/>
                <w:sz w:val="20"/>
                <w:szCs w:val="20"/>
              </w:rPr>
            </w:pPr>
            <w:r w:rsidRPr="003B42A7">
              <w:rPr>
                <w:rFonts w:cs="Times New Roman"/>
                <w:b/>
                <w:color w:val="000000" w:themeColor="text1"/>
                <w:sz w:val="20"/>
                <w:szCs w:val="20"/>
              </w:rPr>
              <w:t>ESK (% w/w)</w:t>
            </w:r>
          </w:p>
        </w:tc>
        <w:tc>
          <w:tcPr>
            <w:tcW w:w="5292" w:type="dxa"/>
            <w:gridSpan w:val="3"/>
            <w:tcBorders>
              <w:top w:val="single" w:sz="12" w:space="0" w:color="auto"/>
              <w:bottom w:val="single" w:sz="4" w:space="0" w:color="auto"/>
            </w:tcBorders>
            <w:vAlign w:val="center"/>
          </w:tcPr>
          <w:p w14:paraId="1CDC5367" w14:textId="77777777" w:rsidR="004A6530" w:rsidRPr="003B42A7" w:rsidRDefault="004A6530" w:rsidP="00252F11">
            <w:pPr>
              <w:spacing w:line="360" w:lineRule="auto"/>
              <w:jc w:val="center"/>
              <w:rPr>
                <w:rFonts w:cs="Times New Roman"/>
                <w:b/>
                <w:color w:val="000000" w:themeColor="text1"/>
                <w:sz w:val="20"/>
                <w:szCs w:val="20"/>
              </w:rPr>
            </w:pPr>
            <w:r w:rsidRPr="003B42A7">
              <w:rPr>
                <w:rFonts w:cs="Times New Roman"/>
                <w:b/>
                <w:color w:val="000000" w:themeColor="text1"/>
                <w:sz w:val="20"/>
                <w:szCs w:val="20"/>
              </w:rPr>
              <w:t>Excipients (% w/w)</w:t>
            </w:r>
          </w:p>
        </w:tc>
      </w:tr>
      <w:tr w:rsidR="004A6530" w:rsidRPr="003B42A7" w14:paraId="36F3CB62" w14:textId="77777777" w:rsidTr="00252F11">
        <w:tc>
          <w:tcPr>
            <w:tcW w:w="1853" w:type="dxa"/>
            <w:vMerge/>
            <w:tcBorders>
              <w:bottom w:val="single" w:sz="4" w:space="0" w:color="auto"/>
            </w:tcBorders>
            <w:vAlign w:val="center"/>
          </w:tcPr>
          <w:p w14:paraId="651015D0" w14:textId="77777777" w:rsidR="004A6530" w:rsidRPr="003B42A7" w:rsidRDefault="004A6530" w:rsidP="00252F11">
            <w:pPr>
              <w:spacing w:line="360" w:lineRule="auto"/>
              <w:jc w:val="center"/>
              <w:rPr>
                <w:rFonts w:cs="Times New Roman"/>
                <w:b/>
                <w:color w:val="000000" w:themeColor="text1"/>
                <w:sz w:val="20"/>
                <w:szCs w:val="20"/>
              </w:rPr>
            </w:pPr>
          </w:p>
        </w:tc>
        <w:tc>
          <w:tcPr>
            <w:tcW w:w="1848" w:type="dxa"/>
            <w:vMerge/>
            <w:tcBorders>
              <w:bottom w:val="single" w:sz="4" w:space="0" w:color="auto"/>
            </w:tcBorders>
            <w:vAlign w:val="center"/>
          </w:tcPr>
          <w:p w14:paraId="3521B65D" w14:textId="77777777" w:rsidR="004A6530" w:rsidRPr="003B42A7" w:rsidRDefault="004A6530" w:rsidP="00252F11">
            <w:pPr>
              <w:spacing w:line="360" w:lineRule="auto"/>
              <w:jc w:val="center"/>
              <w:rPr>
                <w:rFonts w:cs="Times New Roman"/>
                <w:b/>
                <w:color w:val="000000" w:themeColor="text1"/>
                <w:sz w:val="20"/>
                <w:szCs w:val="20"/>
              </w:rPr>
            </w:pPr>
          </w:p>
        </w:tc>
        <w:tc>
          <w:tcPr>
            <w:tcW w:w="1848" w:type="dxa"/>
            <w:tcBorders>
              <w:top w:val="single" w:sz="4" w:space="0" w:color="auto"/>
              <w:bottom w:val="single" w:sz="4" w:space="0" w:color="auto"/>
            </w:tcBorders>
            <w:vAlign w:val="center"/>
          </w:tcPr>
          <w:p w14:paraId="695DD38B" w14:textId="77777777" w:rsidR="004A6530" w:rsidRPr="003B42A7" w:rsidRDefault="004A6530" w:rsidP="00252F11">
            <w:pPr>
              <w:spacing w:line="360" w:lineRule="auto"/>
              <w:jc w:val="center"/>
              <w:rPr>
                <w:rFonts w:cs="Times New Roman"/>
                <w:b/>
                <w:color w:val="000000" w:themeColor="text1"/>
                <w:sz w:val="20"/>
                <w:szCs w:val="20"/>
              </w:rPr>
            </w:pPr>
            <w:r w:rsidRPr="003B42A7">
              <w:rPr>
                <w:rFonts w:cs="Times New Roman"/>
                <w:b/>
                <w:color w:val="000000" w:themeColor="text1"/>
                <w:sz w:val="20"/>
                <w:szCs w:val="20"/>
              </w:rPr>
              <w:t>Gantrez</w:t>
            </w:r>
            <w:r w:rsidRPr="003B42A7">
              <w:rPr>
                <w:rFonts w:cs="Times New Roman"/>
                <w:b/>
                <w:color w:val="000000" w:themeColor="text1"/>
                <w:sz w:val="20"/>
                <w:szCs w:val="20"/>
                <w:vertAlign w:val="superscript"/>
              </w:rPr>
              <w:t>®</w:t>
            </w:r>
            <w:r w:rsidRPr="003B42A7">
              <w:rPr>
                <w:rFonts w:cs="Times New Roman"/>
                <w:b/>
                <w:color w:val="000000" w:themeColor="text1"/>
                <w:sz w:val="20"/>
                <w:szCs w:val="20"/>
              </w:rPr>
              <w:t xml:space="preserve"> S-97</w:t>
            </w:r>
          </w:p>
        </w:tc>
        <w:tc>
          <w:tcPr>
            <w:tcW w:w="1849" w:type="dxa"/>
            <w:tcBorders>
              <w:top w:val="single" w:sz="4" w:space="0" w:color="auto"/>
              <w:bottom w:val="single" w:sz="4" w:space="0" w:color="auto"/>
            </w:tcBorders>
            <w:vAlign w:val="center"/>
          </w:tcPr>
          <w:p w14:paraId="4F895975" w14:textId="77777777" w:rsidR="004A6530" w:rsidRPr="003B42A7" w:rsidRDefault="004A6530" w:rsidP="00252F11">
            <w:pPr>
              <w:spacing w:line="360" w:lineRule="auto"/>
              <w:jc w:val="center"/>
              <w:rPr>
                <w:rFonts w:cs="Times New Roman"/>
                <w:b/>
                <w:color w:val="000000" w:themeColor="text1"/>
                <w:sz w:val="20"/>
                <w:szCs w:val="20"/>
              </w:rPr>
            </w:pPr>
            <w:r w:rsidRPr="003B42A7">
              <w:rPr>
                <w:rFonts w:cs="Times New Roman"/>
                <w:b/>
                <w:color w:val="000000" w:themeColor="text1"/>
                <w:sz w:val="20"/>
                <w:szCs w:val="20"/>
              </w:rPr>
              <w:t>TPME</w:t>
            </w:r>
          </w:p>
        </w:tc>
        <w:tc>
          <w:tcPr>
            <w:tcW w:w="1595" w:type="dxa"/>
            <w:tcBorders>
              <w:top w:val="single" w:sz="4" w:space="0" w:color="auto"/>
              <w:bottom w:val="single" w:sz="4" w:space="0" w:color="auto"/>
            </w:tcBorders>
            <w:vAlign w:val="center"/>
          </w:tcPr>
          <w:p w14:paraId="6339AECD" w14:textId="77777777" w:rsidR="004A6530" w:rsidRPr="003B42A7" w:rsidRDefault="004A6530" w:rsidP="00252F11">
            <w:pPr>
              <w:spacing w:line="360" w:lineRule="auto"/>
              <w:jc w:val="center"/>
              <w:rPr>
                <w:rFonts w:cs="Times New Roman"/>
                <w:b/>
                <w:color w:val="000000" w:themeColor="text1"/>
                <w:sz w:val="20"/>
                <w:szCs w:val="20"/>
              </w:rPr>
            </w:pPr>
            <w:r w:rsidRPr="003B42A7">
              <w:rPr>
                <w:rFonts w:cs="Times New Roman"/>
                <w:b/>
                <w:color w:val="000000" w:themeColor="text1"/>
                <w:sz w:val="20"/>
                <w:szCs w:val="20"/>
              </w:rPr>
              <w:t>PEG 10,000</w:t>
            </w:r>
          </w:p>
        </w:tc>
      </w:tr>
      <w:tr w:rsidR="004A6530" w:rsidRPr="003B42A7" w14:paraId="24455E65" w14:textId="77777777" w:rsidTr="00252F11">
        <w:tc>
          <w:tcPr>
            <w:tcW w:w="1853" w:type="dxa"/>
            <w:tcBorders>
              <w:top w:val="single" w:sz="4" w:space="0" w:color="auto"/>
            </w:tcBorders>
            <w:vAlign w:val="center"/>
          </w:tcPr>
          <w:p w14:paraId="41CE516F"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F1</w:t>
            </w:r>
          </w:p>
        </w:tc>
        <w:tc>
          <w:tcPr>
            <w:tcW w:w="1848" w:type="dxa"/>
            <w:tcBorders>
              <w:top w:val="single" w:sz="4" w:space="0" w:color="auto"/>
            </w:tcBorders>
            <w:vAlign w:val="center"/>
          </w:tcPr>
          <w:p w14:paraId="2316D935"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c>
          <w:tcPr>
            <w:tcW w:w="1848" w:type="dxa"/>
            <w:tcBorders>
              <w:top w:val="single" w:sz="4" w:space="0" w:color="auto"/>
            </w:tcBorders>
            <w:vAlign w:val="center"/>
          </w:tcPr>
          <w:p w14:paraId="3E977D7A"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tcBorders>
              <w:top w:val="single" w:sz="4" w:space="0" w:color="auto"/>
            </w:tcBorders>
            <w:vAlign w:val="center"/>
          </w:tcPr>
          <w:p w14:paraId="54B58623"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c>
          <w:tcPr>
            <w:tcW w:w="1595" w:type="dxa"/>
            <w:tcBorders>
              <w:top w:val="single" w:sz="4" w:space="0" w:color="auto"/>
            </w:tcBorders>
            <w:vAlign w:val="center"/>
          </w:tcPr>
          <w:p w14:paraId="52E7DE3B"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5992BCC1" w14:textId="77777777" w:rsidTr="00252F11">
        <w:tc>
          <w:tcPr>
            <w:tcW w:w="1853" w:type="dxa"/>
            <w:vAlign w:val="center"/>
          </w:tcPr>
          <w:p w14:paraId="1442FDD2"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F2</w:t>
            </w:r>
          </w:p>
        </w:tc>
        <w:tc>
          <w:tcPr>
            <w:tcW w:w="1848" w:type="dxa"/>
            <w:vAlign w:val="center"/>
          </w:tcPr>
          <w:p w14:paraId="69100C72"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c>
          <w:tcPr>
            <w:tcW w:w="1848" w:type="dxa"/>
            <w:vAlign w:val="center"/>
          </w:tcPr>
          <w:p w14:paraId="27BA633B"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347DA4E7"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7.5</w:t>
            </w:r>
          </w:p>
        </w:tc>
        <w:tc>
          <w:tcPr>
            <w:tcW w:w="1595" w:type="dxa"/>
            <w:vAlign w:val="center"/>
          </w:tcPr>
          <w:p w14:paraId="532BFCEC"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2FA6E407" w14:textId="77777777" w:rsidTr="00252F11">
        <w:tc>
          <w:tcPr>
            <w:tcW w:w="1853" w:type="dxa"/>
            <w:vAlign w:val="center"/>
          </w:tcPr>
          <w:p w14:paraId="6D601BD7"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F3</w:t>
            </w:r>
          </w:p>
        </w:tc>
        <w:tc>
          <w:tcPr>
            <w:tcW w:w="1848" w:type="dxa"/>
            <w:vAlign w:val="center"/>
          </w:tcPr>
          <w:p w14:paraId="1B18FE3E"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c>
          <w:tcPr>
            <w:tcW w:w="1848" w:type="dxa"/>
            <w:vAlign w:val="center"/>
          </w:tcPr>
          <w:p w14:paraId="28DE632C"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768F4FDF"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5</w:t>
            </w:r>
          </w:p>
        </w:tc>
        <w:tc>
          <w:tcPr>
            <w:tcW w:w="1595" w:type="dxa"/>
            <w:vAlign w:val="center"/>
          </w:tcPr>
          <w:p w14:paraId="72F80363"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0FACD183" w14:textId="77777777" w:rsidTr="00252F11">
        <w:tc>
          <w:tcPr>
            <w:tcW w:w="1853" w:type="dxa"/>
            <w:vAlign w:val="center"/>
          </w:tcPr>
          <w:p w14:paraId="3086AC26"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F4</w:t>
            </w:r>
          </w:p>
        </w:tc>
        <w:tc>
          <w:tcPr>
            <w:tcW w:w="1848" w:type="dxa"/>
            <w:vAlign w:val="center"/>
          </w:tcPr>
          <w:p w14:paraId="3986EBD9"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15</w:t>
            </w:r>
          </w:p>
        </w:tc>
        <w:tc>
          <w:tcPr>
            <w:tcW w:w="1848" w:type="dxa"/>
            <w:vAlign w:val="center"/>
          </w:tcPr>
          <w:p w14:paraId="0812A699"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4E8DE8FD"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c>
          <w:tcPr>
            <w:tcW w:w="1595" w:type="dxa"/>
            <w:vAlign w:val="center"/>
          </w:tcPr>
          <w:p w14:paraId="35300E99"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556DAFA3" w14:textId="77777777" w:rsidTr="00252F11">
        <w:tc>
          <w:tcPr>
            <w:tcW w:w="1853" w:type="dxa"/>
            <w:vAlign w:val="center"/>
          </w:tcPr>
          <w:p w14:paraId="73EE3E77"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F5</w:t>
            </w:r>
          </w:p>
        </w:tc>
        <w:tc>
          <w:tcPr>
            <w:tcW w:w="1848" w:type="dxa"/>
            <w:vAlign w:val="center"/>
          </w:tcPr>
          <w:p w14:paraId="15DF5E0F"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15</w:t>
            </w:r>
          </w:p>
        </w:tc>
        <w:tc>
          <w:tcPr>
            <w:tcW w:w="1848" w:type="dxa"/>
            <w:vAlign w:val="center"/>
          </w:tcPr>
          <w:p w14:paraId="35281E9F"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5F2B83F0"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7.5</w:t>
            </w:r>
          </w:p>
        </w:tc>
        <w:tc>
          <w:tcPr>
            <w:tcW w:w="1595" w:type="dxa"/>
            <w:vAlign w:val="center"/>
          </w:tcPr>
          <w:p w14:paraId="237187A6"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26478CF0" w14:textId="77777777" w:rsidTr="00252F11">
        <w:tc>
          <w:tcPr>
            <w:tcW w:w="1853" w:type="dxa"/>
            <w:vAlign w:val="center"/>
          </w:tcPr>
          <w:p w14:paraId="6BF7F33A"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F6</w:t>
            </w:r>
          </w:p>
        </w:tc>
        <w:tc>
          <w:tcPr>
            <w:tcW w:w="1848" w:type="dxa"/>
            <w:vAlign w:val="center"/>
          </w:tcPr>
          <w:p w14:paraId="223AF14E"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15</w:t>
            </w:r>
          </w:p>
        </w:tc>
        <w:tc>
          <w:tcPr>
            <w:tcW w:w="1848" w:type="dxa"/>
            <w:vAlign w:val="center"/>
          </w:tcPr>
          <w:p w14:paraId="4A481347"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4A1871BF"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5</w:t>
            </w:r>
          </w:p>
        </w:tc>
        <w:tc>
          <w:tcPr>
            <w:tcW w:w="1595" w:type="dxa"/>
            <w:vAlign w:val="center"/>
          </w:tcPr>
          <w:p w14:paraId="26D075E5"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5E1DD4ED" w14:textId="77777777" w:rsidTr="00252F11">
        <w:tc>
          <w:tcPr>
            <w:tcW w:w="1853" w:type="dxa"/>
            <w:vAlign w:val="center"/>
          </w:tcPr>
          <w:p w14:paraId="21F69640"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F7</w:t>
            </w:r>
          </w:p>
        </w:tc>
        <w:tc>
          <w:tcPr>
            <w:tcW w:w="1848" w:type="dxa"/>
            <w:vAlign w:val="center"/>
          </w:tcPr>
          <w:p w14:paraId="0BEEDE89"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8" w:type="dxa"/>
            <w:vAlign w:val="center"/>
          </w:tcPr>
          <w:p w14:paraId="65DBD39B"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3D51D719"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c>
          <w:tcPr>
            <w:tcW w:w="1595" w:type="dxa"/>
            <w:vAlign w:val="center"/>
          </w:tcPr>
          <w:p w14:paraId="07B5A23E"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1DF019A8" w14:textId="77777777" w:rsidTr="00252F11">
        <w:tc>
          <w:tcPr>
            <w:tcW w:w="1853" w:type="dxa"/>
            <w:vAlign w:val="center"/>
          </w:tcPr>
          <w:p w14:paraId="397E6EFA"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F8</w:t>
            </w:r>
          </w:p>
        </w:tc>
        <w:tc>
          <w:tcPr>
            <w:tcW w:w="1848" w:type="dxa"/>
            <w:vAlign w:val="center"/>
          </w:tcPr>
          <w:p w14:paraId="42742F5B"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8" w:type="dxa"/>
            <w:vAlign w:val="center"/>
          </w:tcPr>
          <w:p w14:paraId="7E499B49"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68D72891"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7.5</w:t>
            </w:r>
          </w:p>
        </w:tc>
        <w:tc>
          <w:tcPr>
            <w:tcW w:w="1595" w:type="dxa"/>
            <w:vAlign w:val="center"/>
          </w:tcPr>
          <w:p w14:paraId="213C35FE"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3782A9D5" w14:textId="77777777" w:rsidTr="00252F11">
        <w:tc>
          <w:tcPr>
            <w:tcW w:w="1853" w:type="dxa"/>
            <w:vAlign w:val="center"/>
          </w:tcPr>
          <w:p w14:paraId="1F150758"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F9</w:t>
            </w:r>
          </w:p>
        </w:tc>
        <w:tc>
          <w:tcPr>
            <w:tcW w:w="1848" w:type="dxa"/>
            <w:vAlign w:val="center"/>
          </w:tcPr>
          <w:p w14:paraId="04C76F1F"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8" w:type="dxa"/>
            <w:vAlign w:val="center"/>
          </w:tcPr>
          <w:p w14:paraId="71FEBBEB"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547C2766"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5</w:t>
            </w:r>
          </w:p>
        </w:tc>
        <w:tc>
          <w:tcPr>
            <w:tcW w:w="1595" w:type="dxa"/>
            <w:vAlign w:val="center"/>
          </w:tcPr>
          <w:p w14:paraId="3A0045CD"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r>
      <w:tr w:rsidR="004A6530" w:rsidRPr="003B42A7" w14:paraId="28E9083D" w14:textId="77777777" w:rsidTr="00252F11">
        <w:tc>
          <w:tcPr>
            <w:tcW w:w="1853" w:type="dxa"/>
            <w:vAlign w:val="center"/>
          </w:tcPr>
          <w:p w14:paraId="2ABA1A7C"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F10</w:t>
            </w:r>
          </w:p>
        </w:tc>
        <w:tc>
          <w:tcPr>
            <w:tcW w:w="1848" w:type="dxa"/>
            <w:vAlign w:val="center"/>
          </w:tcPr>
          <w:p w14:paraId="4096D32D"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c>
          <w:tcPr>
            <w:tcW w:w="1848" w:type="dxa"/>
            <w:vAlign w:val="center"/>
          </w:tcPr>
          <w:p w14:paraId="75302DCD"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545A041D"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c>
          <w:tcPr>
            <w:tcW w:w="1595" w:type="dxa"/>
            <w:vAlign w:val="center"/>
          </w:tcPr>
          <w:p w14:paraId="1C5CA314"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r>
      <w:tr w:rsidR="004A6530" w:rsidRPr="003B42A7" w14:paraId="6E2FBAA9" w14:textId="77777777" w:rsidTr="00252F11">
        <w:tc>
          <w:tcPr>
            <w:tcW w:w="1853" w:type="dxa"/>
            <w:vAlign w:val="center"/>
          </w:tcPr>
          <w:p w14:paraId="0EEDDB10"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F11</w:t>
            </w:r>
          </w:p>
        </w:tc>
        <w:tc>
          <w:tcPr>
            <w:tcW w:w="1848" w:type="dxa"/>
            <w:vAlign w:val="center"/>
          </w:tcPr>
          <w:p w14:paraId="55F9B28D"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7.5</w:t>
            </w:r>
          </w:p>
        </w:tc>
        <w:tc>
          <w:tcPr>
            <w:tcW w:w="1848" w:type="dxa"/>
            <w:vAlign w:val="center"/>
          </w:tcPr>
          <w:p w14:paraId="6743BED6"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vAlign w:val="center"/>
          </w:tcPr>
          <w:p w14:paraId="2CFCFBFF"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c>
          <w:tcPr>
            <w:tcW w:w="1595" w:type="dxa"/>
            <w:vAlign w:val="center"/>
          </w:tcPr>
          <w:p w14:paraId="005C40D4"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r>
      <w:tr w:rsidR="004A6530" w:rsidRPr="003B42A7" w14:paraId="66748F3E" w14:textId="77777777" w:rsidTr="00252F11">
        <w:tc>
          <w:tcPr>
            <w:tcW w:w="1853" w:type="dxa"/>
            <w:tcBorders>
              <w:bottom w:val="single" w:sz="12" w:space="0" w:color="auto"/>
            </w:tcBorders>
            <w:vAlign w:val="center"/>
          </w:tcPr>
          <w:p w14:paraId="3818E7B2"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F12</w:t>
            </w:r>
          </w:p>
        </w:tc>
        <w:tc>
          <w:tcPr>
            <w:tcW w:w="1848" w:type="dxa"/>
            <w:tcBorders>
              <w:bottom w:val="single" w:sz="12" w:space="0" w:color="auto"/>
            </w:tcBorders>
            <w:vAlign w:val="center"/>
          </w:tcPr>
          <w:p w14:paraId="2E7D7B18"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5</w:t>
            </w:r>
          </w:p>
        </w:tc>
        <w:tc>
          <w:tcPr>
            <w:tcW w:w="1848" w:type="dxa"/>
            <w:tcBorders>
              <w:bottom w:val="single" w:sz="12" w:space="0" w:color="auto"/>
            </w:tcBorders>
            <w:vAlign w:val="center"/>
          </w:tcPr>
          <w:p w14:paraId="1EE822FC"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20</w:t>
            </w:r>
          </w:p>
        </w:tc>
        <w:tc>
          <w:tcPr>
            <w:tcW w:w="1849" w:type="dxa"/>
            <w:tcBorders>
              <w:bottom w:val="single" w:sz="12" w:space="0" w:color="auto"/>
            </w:tcBorders>
            <w:vAlign w:val="center"/>
          </w:tcPr>
          <w:p w14:paraId="4A92DA2A"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w:t>
            </w:r>
          </w:p>
        </w:tc>
        <w:tc>
          <w:tcPr>
            <w:tcW w:w="1595" w:type="dxa"/>
            <w:tcBorders>
              <w:bottom w:val="single" w:sz="12" w:space="0" w:color="auto"/>
            </w:tcBorders>
            <w:vAlign w:val="center"/>
          </w:tcPr>
          <w:p w14:paraId="7EC85512" w14:textId="77777777" w:rsidR="004A6530" w:rsidRPr="003B42A7" w:rsidRDefault="004A6530" w:rsidP="00252F11">
            <w:pPr>
              <w:spacing w:line="360" w:lineRule="auto"/>
              <w:jc w:val="center"/>
              <w:rPr>
                <w:rFonts w:cs="Times New Roman"/>
                <w:color w:val="000000" w:themeColor="text1"/>
                <w:sz w:val="20"/>
                <w:szCs w:val="20"/>
              </w:rPr>
            </w:pPr>
            <w:r w:rsidRPr="003B42A7">
              <w:rPr>
                <w:rFonts w:cs="Times New Roman"/>
                <w:color w:val="000000" w:themeColor="text1"/>
                <w:sz w:val="20"/>
                <w:szCs w:val="20"/>
              </w:rPr>
              <w:t>10</w:t>
            </w:r>
          </w:p>
        </w:tc>
      </w:tr>
    </w:tbl>
    <w:p w14:paraId="70B3E17B" w14:textId="2A42045C" w:rsidR="004A6530" w:rsidRPr="003B42A7" w:rsidRDefault="004A6530" w:rsidP="004A6530">
      <w:pPr>
        <w:spacing w:line="360" w:lineRule="auto"/>
        <w:jc w:val="both"/>
        <w:rPr>
          <w:color w:val="000000" w:themeColor="text1"/>
        </w:rPr>
      </w:pPr>
      <w:r w:rsidRPr="003B42A7">
        <w:rPr>
          <w:noProof/>
          <w:color w:val="000000" w:themeColor="text1"/>
          <w:lang w:eastAsia="en-GB"/>
        </w:rPr>
        <mc:AlternateContent>
          <mc:Choice Requires="wps">
            <w:drawing>
              <wp:anchor distT="0" distB="0" distL="114300" distR="114300" simplePos="0" relativeHeight="251655680" behindDoc="0" locked="0" layoutInCell="1" allowOverlap="1" wp14:anchorId="42CBB350" wp14:editId="2135DBE8">
                <wp:simplePos x="0" y="0"/>
                <wp:positionH relativeFrom="column">
                  <wp:posOffset>0</wp:posOffset>
                </wp:positionH>
                <wp:positionV relativeFrom="paragraph">
                  <wp:posOffset>56515</wp:posOffset>
                </wp:positionV>
                <wp:extent cx="407035" cy="302260"/>
                <wp:effectExtent l="0" t="0" r="0"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FD01CC" w14:textId="77777777" w:rsidR="004A6530" w:rsidRDefault="004A6530" w:rsidP="004A6530">
                            <w: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CBB350" id="Text Box 6" o:spid="_x0000_s1027" type="#_x0000_t202" style="position:absolute;left:0;text-align:left;margin-left:0;margin-top:4.45pt;width:32.05pt;height:23.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" stroked="f">
                <v:textbox>
                  <w:txbxContent>
                    <w:p w14:paraId="1BFD01CC" w14:textId="77777777" w:rsidR="004A6530" w:rsidRDefault="004A6530" w:rsidP="004A6530">
                      <w:r>
                        <w:t>(B)</w:t>
                      </w:r>
                    </w:p>
                  </w:txbxContent>
                </v:textbox>
              </v:shape>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0"/>
        <w:gridCol w:w="1848"/>
        <w:gridCol w:w="1848"/>
        <w:gridCol w:w="1584"/>
        <w:gridCol w:w="265"/>
        <w:gridCol w:w="1595"/>
      </w:tblGrid>
      <w:tr w:rsidR="004A6530" w:rsidRPr="003B42A7" w14:paraId="0B984CC3" w14:textId="77777777" w:rsidTr="00252F11">
        <w:tc>
          <w:tcPr>
            <w:tcW w:w="1740" w:type="dxa"/>
            <w:vMerge w:val="restart"/>
            <w:tcBorders>
              <w:top w:val="single" w:sz="12" w:space="0" w:color="auto"/>
            </w:tcBorders>
            <w:vAlign w:val="center"/>
          </w:tcPr>
          <w:p w14:paraId="3FDE2C09" w14:textId="77777777" w:rsidR="004A6530" w:rsidRPr="003B42A7" w:rsidRDefault="004A6530" w:rsidP="00252F11">
            <w:pPr>
              <w:spacing w:line="360" w:lineRule="auto"/>
              <w:jc w:val="center"/>
              <w:rPr>
                <w:b/>
                <w:color w:val="000000" w:themeColor="text1"/>
                <w:sz w:val="20"/>
                <w:szCs w:val="20"/>
              </w:rPr>
            </w:pPr>
            <w:r w:rsidRPr="003B42A7">
              <w:rPr>
                <w:b/>
                <w:color w:val="000000" w:themeColor="text1"/>
                <w:sz w:val="20"/>
                <w:szCs w:val="20"/>
              </w:rPr>
              <w:t>Formulation code</w:t>
            </w:r>
          </w:p>
        </w:tc>
        <w:tc>
          <w:tcPr>
            <w:tcW w:w="7140" w:type="dxa"/>
            <w:gridSpan w:val="5"/>
            <w:tcBorders>
              <w:top w:val="single" w:sz="12" w:space="0" w:color="auto"/>
              <w:bottom w:val="single" w:sz="4" w:space="0" w:color="auto"/>
            </w:tcBorders>
            <w:vAlign w:val="center"/>
          </w:tcPr>
          <w:p w14:paraId="494C34F4" w14:textId="77777777" w:rsidR="004A6530" w:rsidRPr="003B42A7" w:rsidRDefault="004A6530" w:rsidP="00252F11">
            <w:pPr>
              <w:spacing w:line="360" w:lineRule="auto"/>
              <w:jc w:val="center"/>
              <w:rPr>
                <w:b/>
                <w:color w:val="000000" w:themeColor="text1"/>
                <w:sz w:val="20"/>
                <w:szCs w:val="20"/>
              </w:rPr>
            </w:pPr>
            <w:r w:rsidRPr="003B42A7">
              <w:rPr>
                <w:b/>
                <w:color w:val="000000" w:themeColor="text1"/>
                <w:sz w:val="20"/>
                <w:szCs w:val="20"/>
              </w:rPr>
              <w:t>Formulation composition (% w/w)</w:t>
            </w:r>
          </w:p>
        </w:tc>
      </w:tr>
      <w:tr w:rsidR="004A6530" w:rsidRPr="003B42A7" w14:paraId="3D5F6900" w14:textId="77777777" w:rsidTr="00252F11">
        <w:tc>
          <w:tcPr>
            <w:tcW w:w="1740" w:type="dxa"/>
            <w:vMerge/>
            <w:tcBorders>
              <w:bottom w:val="single" w:sz="4" w:space="0" w:color="auto"/>
            </w:tcBorders>
            <w:vAlign w:val="center"/>
          </w:tcPr>
          <w:p w14:paraId="6CC57954" w14:textId="77777777" w:rsidR="004A6530" w:rsidRPr="003B42A7" w:rsidRDefault="004A6530" w:rsidP="00252F11">
            <w:pPr>
              <w:spacing w:line="360" w:lineRule="auto"/>
              <w:jc w:val="center"/>
              <w:rPr>
                <w:b/>
                <w:color w:val="000000" w:themeColor="text1"/>
                <w:sz w:val="20"/>
                <w:szCs w:val="20"/>
              </w:rPr>
            </w:pPr>
          </w:p>
        </w:tc>
        <w:tc>
          <w:tcPr>
            <w:tcW w:w="1848" w:type="dxa"/>
            <w:tcBorders>
              <w:top w:val="single" w:sz="4" w:space="0" w:color="auto"/>
              <w:bottom w:val="single" w:sz="4" w:space="0" w:color="auto"/>
            </w:tcBorders>
            <w:vAlign w:val="center"/>
          </w:tcPr>
          <w:p w14:paraId="6ECC76F6" w14:textId="77777777" w:rsidR="004A6530" w:rsidRPr="003B42A7" w:rsidRDefault="004A6530" w:rsidP="00252F11">
            <w:pPr>
              <w:spacing w:line="360" w:lineRule="auto"/>
              <w:jc w:val="center"/>
              <w:rPr>
                <w:b/>
                <w:color w:val="000000" w:themeColor="text1"/>
                <w:sz w:val="20"/>
                <w:szCs w:val="20"/>
              </w:rPr>
            </w:pPr>
            <w:r w:rsidRPr="003B42A7">
              <w:rPr>
                <w:b/>
                <w:color w:val="000000" w:themeColor="text1"/>
                <w:sz w:val="20"/>
                <w:szCs w:val="20"/>
              </w:rPr>
              <w:t>ESK</w:t>
            </w:r>
          </w:p>
        </w:tc>
        <w:tc>
          <w:tcPr>
            <w:tcW w:w="1848" w:type="dxa"/>
            <w:tcBorders>
              <w:top w:val="single" w:sz="4" w:space="0" w:color="auto"/>
              <w:bottom w:val="single" w:sz="4" w:space="0" w:color="auto"/>
            </w:tcBorders>
            <w:vAlign w:val="center"/>
          </w:tcPr>
          <w:p w14:paraId="34FCA77D" w14:textId="77777777" w:rsidR="004A6530" w:rsidRPr="003B42A7" w:rsidRDefault="004A6530" w:rsidP="00252F11">
            <w:pPr>
              <w:spacing w:line="360" w:lineRule="auto"/>
              <w:jc w:val="center"/>
              <w:rPr>
                <w:b/>
                <w:color w:val="000000" w:themeColor="text1"/>
                <w:sz w:val="20"/>
                <w:szCs w:val="20"/>
              </w:rPr>
            </w:pPr>
            <w:proofErr w:type="spellStart"/>
            <w:r w:rsidRPr="003B42A7">
              <w:rPr>
                <w:b/>
                <w:color w:val="000000" w:themeColor="text1"/>
                <w:sz w:val="20"/>
                <w:szCs w:val="20"/>
              </w:rPr>
              <w:t>Gelatin</w:t>
            </w:r>
            <w:proofErr w:type="spellEnd"/>
          </w:p>
        </w:tc>
        <w:tc>
          <w:tcPr>
            <w:tcW w:w="1584" w:type="dxa"/>
            <w:tcBorders>
              <w:top w:val="single" w:sz="4" w:space="0" w:color="auto"/>
              <w:bottom w:val="single" w:sz="4" w:space="0" w:color="auto"/>
            </w:tcBorders>
            <w:vAlign w:val="center"/>
          </w:tcPr>
          <w:p w14:paraId="5BB24472" w14:textId="77777777" w:rsidR="004A6530" w:rsidRPr="003B42A7" w:rsidRDefault="004A6530" w:rsidP="00252F11">
            <w:pPr>
              <w:spacing w:line="360" w:lineRule="auto"/>
              <w:jc w:val="center"/>
              <w:rPr>
                <w:b/>
                <w:color w:val="000000" w:themeColor="text1"/>
                <w:sz w:val="20"/>
                <w:szCs w:val="20"/>
              </w:rPr>
            </w:pPr>
            <w:r w:rsidRPr="003B42A7">
              <w:rPr>
                <w:b/>
                <w:color w:val="000000" w:themeColor="text1"/>
                <w:sz w:val="20"/>
                <w:szCs w:val="20"/>
              </w:rPr>
              <w:t>Mannitol</w:t>
            </w:r>
          </w:p>
        </w:tc>
        <w:tc>
          <w:tcPr>
            <w:tcW w:w="1860" w:type="dxa"/>
            <w:gridSpan w:val="2"/>
            <w:tcBorders>
              <w:top w:val="single" w:sz="4" w:space="0" w:color="auto"/>
              <w:bottom w:val="single" w:sz="4" w:space="0" w:color="auto"/>
            </w:tcBorders>
            <w:vAlign w:val="center"/>
          </w:tcPr>
          <w:p w14:paraId="60F8A1AE" w14:textId="77777777" w:rsidR="004A6530" w:rsidRPr="003B42A7" w:rsidRDefault="004A6530" w:rsidP="00252F11">
            <w:pPr>
              <w:spacing w:line="360" w:lineRule="auto"/>
              <w:jc w:val="center"/>
              <w:rPr>
                <w:b/>
                <w:color w:val="000000" w:themeColor="text1"/>
                <w:sz w:val="20"/>
                <w:szCs w:val="20"/>
              </w:rPr>
            </w:pPr>
            <w:r w:rsidRPr="003B42A7">
              <w:rPr>
                <w:b/>
                <w:color w:val="000000" w:themeColor="text1"/>
                <w:sz w:val="20"/>
                <w:szCs w:val="20"/>
              </w:rPr>
              <w:t>Sodium chloride</w:t>
            </w:r>
          </w:p>
        </w:tc>
      </w:tr>
      <w:tr w:rsidR="004A6530" w:rsidRPr="003B42A7" w14:paraId="69ED715A" w14:textId="77777777" w:rsidTr="00252F11">
        <w:tc>
          <w:tcPr>
            <w:tcW w:w="1740" w:type="dxa"/>
            <w:tcBorders>
              <w:top w:val="single" w:sz="4" w:space="0" w:color="auto"/>
            </w:tcBorders>
            <w:vAlign w:val="center"/>
          </w:tcPr>
          <w:p w14:paraId="104C0835"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LW1</w:t>
            </w:r>
          </w:p>
        </w:tc>
        <w:tc>
          <w:tcPr>
            <w:tcW w:w="1848" w:type="dxa"/>
            <w:tcBorders>
              <w:top w:val="single" w:sz="4" w:space="0" w:color="auto"/>
            </w:tcBorders>
            <w:vAlign w:val="center"/>
          </w:tcPr>
          <w:p w14:paraId="4FE39F9C"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40</w:t>
            </w:r>
          </w:p>
        </w:tc>
        <w:tc>
          <w:tcPr>
            <w:tcW w:w="1848" w:type="dxa"/>
            <w:tcBorders>
              <w:top w:val="single" w:sz="4" w:space="0" w:color="auto"/>
            </w:tcBorders>
            <w:vAlign w:val="center"/>
          </w:tcPr>
          <w:p w14:paraId="6A6F1303"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1849" w:type="dxa"/>
            <w:gridSpan w:val="2"/>
            <w:tcBorders>
              <w:top w:val="single" w:sz="4" w:space="0" w:color="auto"/>
            </w:tcBorders>
            <w:vAlign w:val="center"/>
          </w:tcPr>
          <w:p w14:paraId="42395725"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5</w:t>
            </w:r>
          </w:p>
        </w:tc>
        <w:tc>
          <w:tcPr>
            <w:tcW w:w="1595" w:type="dxa"/>
            <w:tcBorders>
              <w:top w:val="single" w:sz="4" w:space="0" w:color="auto"/>
            </w:tcBorders>
            <w:vAlign w:val="center"/>
          </w:tcPr>
          <w:p w14:paraId="2CD1065A"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w:t>
            </w:r>
          </w:p>
        </w:tc>
      </w:tr>
      <w:tr w:rsidR="004A6530" w:rsidRPr="003B42A7" w14:paraId="72212215" w14:textId="77777777" w:rsidTr="00252F11">
        <w:tc>
          <w:tcPr>
            <w:tcW w:w="1740" w:type="dxa"/>
            <w:vAlign w:val="center"/>
          </w:tcPr>
          <w:p w14:paraId="55226E8C"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LW2</w:t>
            </w:r>
          </w:p>
        </w:tc>
        <w:tc>
          <w:tcPr>
            <w:tcW w:w="1848" w:type="dxa"/>
            <w:vAlign w:val="center"/>
          </w:tcPr>
          <w:p w14:paraId="24F7DD6F"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40</w:t>
            </w:r>
          </w:p>
        </w:tc>
        <w:tc>
          <w:tcPr>
            <w:tcW w:w="1848" w:type="dxa"/>
            <w:vAlign w:val="center"/>
          </w:tcPr>
          <w:p w14:paraId="53F6A65E"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1849" w:type="dxa"/>
            <w:gridSpan w:val="2"/>
            <w:vAlign w:val="center"/>
          </w:tcPr>
          <w:p w14:paraId="38594315"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1595" w:type="dxa"/>
            <w:vAlign w:val="center"/>
          </w:tcPr>
          <w:p w14:paraId="536F5BC9"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5</w:t>
            </w:r>
          </w:p>
        </w:tc>
      </w:tr>
      <w:tr w:rsidR="004A6530" w:rsidRPr="003B42A7" w14:paraId="566692FE" w14:textId="77777777" w:rsidTr="00252F11">
        <w:tc>
          <w:tcPr>
            <w:tcW w:w="1740" w:type="dxa"/>
            <w:vAlign w:val="center"/>
          </w:tcPr>
          <w:p w14:paraId="7C256754"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LW3</w:t>
            </w:r>
          </w:p>
        </w:tc>
        <w:tc>
          <w:tcPr>
            <w:tcW w:w="1848" w:type="dxa"/>
            <w:vAlign w:val="center"/>
          </w:tcPr>
          <w:p w14:paraId="41F9EA57"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30</w:t>
            </w:r>
          </w:p>
        </w:tc>
        <w:tc>
          <w:tcPr>
            <w:tcW w:w="1848" w:type="dxa"/>
            <w:vAlign w:val="center"/>
          </w:tcPr>
          <w:p w14:paraId="2B9FE9F1"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1849" w:type="dxa"/>
            <w:gridSpan w:val="2"/>
            <w:vAlign w:val="center"/>
          </w:tcPr>
          <w:p w14:paraId="30DE9054"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1595" w:type="dxa"/>
            <w:vAlign w:val="center"/>
          </w:tcPr>
          <w:p w14:paraId="6553AED2"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5</w:t>
            </w:r>
          </w:p>
        </w:tc>
      </w:tr>
      <w:tr w:rsidR="004A6530" w:rsidRPr="003B42A7" w14:paraId="2656F9DE" w14:textId="77777777" w:rsidTr="00252F11">
        <w:tc>
          <w:tcPr>
            <w:tcW w:w="1740" w:type="dxa"/>
            <w:tcBorders>
              <w:bottom w:val="single" w:sz="12" w:space="0" w:color="auto"/>
            </w:tcBorders>
            <w:vAlign w:val="center"/>
          </w:tcPr>
          <w:p w14:paraId="3821F8E9"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LW4</w:t>
            </w:r>
          </w:p>
        </w:tc>
        <w:tc>
          <w:tcPr>
            <w:tcW w:w="1848" w:type="dxa"/>
            <w:tcBorders>
              <w:bottom w:val="single" w:sz="12" w:space="0" w:color="auto"/>
            </w:tcBorders>
            <w:vAlign w:val="center"/>
          </w:tcPr>
          <w:p w14:paraId="0A56C5EF"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25</w:t>
            </w:r>
          </w:p>
        </w:tc>
        <w:tc>
          <w:tcPr>
            <w:tcW w:w="1848" w:type="dxa"/>
            <w:tcBorders>
              <w:bottom w:val="single" w:sz="12" w:space="0" w:color="auto"/>
            </w:tcBorders>
            <w:vAlign w:val="center"/>
          </w:tcPr>
          <w:p w14:paraId="3DF419A5"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1849" w:type="dxa"/>
            <w:gridSpan w:val="2"/>
            <w:tcBorders>
              <w:bottom w:val="single" w:sz="12" w:space="0" w:color="auto"/>
            </w:tcBorders>
            <w:vAlign w:val="center"/>
          </w:tcPr>
          <w:p w14:paraId="5888B524"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1595" w:type="dxa"/>
            <w:tcBorders>
              <w:bottom w:val="single" w:sz="12" w:space="0" w:color="auto"/>
            </w:tcBorders>
            <w:vAlign w:val="center"/>
          </w:tcPr>
          <w:p w14:paraId="0F9A1CFE"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5</w:t>
            </w:r>
          </w:p>
        </w:tc>
      </w:tr>
    </w:tbl>
    <w:p w14:paraId="667961DD" w14:textId="3D42F8B7" w:rsidR="004A6530" w:rsidRPr="003B42A7" w:rsidRDefault="004A6530" w:rsidP="004A6530">
      <w:pPr>
        <w:spacing w:line="360" w:lineRule="auto"/>
        <w:jc w:val="both"/>
        <w:rPr>
          <w:color w:val="000000" w:themeColor="text1"/>
        </w:rPr>
      </w:pPr>
      <w:r w:rsidRPr="003B42A7">
        <w:rPr>
          <w:noProof/>
          <w:color w:val="000000" w:themeColor="text1"/>
          <w:lang w:eastAsia="en-GB"/>
        </w:rPr>
        <mc:AlternateContent>
          <mc:Choice Requires="wps">
            <w:drawing>
              <wp:anchor distT="0" distB="0" distL="114300" distR="114300" simplePos="0" relativeHeight="251656704" behindDoc="0" locked="0" layoutInCell="1" allowOverlap="1" wp14:anchorId="1BAAD54A" wp14:editId="79F4BEA7">
                <wp:simplePos x="0" y="0"/>
                <wp:positionH relativeFrom="column">
                  <wp:posOffset>0</wp:posOffset>
                </wp:positionH>
                <wp:positionV relativeFrom="paragraph">
                  <wp:posOffset>29845</wp:posOffset>
                </wp:positionV>
                <wp:extent cx="407035" cy="302260"/>
                <wp:effectExtent l="0" t="0" r="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035"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2F99E" w14:textId="77777777" w:rsidR="004A6530" w:rsidRDefault="004A6530" w:rsidP="004A6530">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AD54A" id="Text Box 5" o:spid="_x0000_s1028" type="#_x0000_t202" style="position:absolute;left:0;text-align:left;margin-left:0;margin-top:2.35pt;width:32.05pt;height:23.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" stroked="f">
                <v:textbox>
                  <w:txbxContent>
                    <w:p w14:paraId="6992F99E" w14:textId="77777777" w:rsidR="004A6530" w:rsidRDefault="004A6530" w:rsidP="004A6530">
                      <w:r>
                        <w:t>(C)</w:t>
                      </w:r>
                    </w:p>
                  </w:txbxContent>
                </v:textbox>
              </v:shape>
            </w:pict>
          </mc:Fallback>
        </mc:AlternateContent>
      </w:r>
    </w:p>
    <w:tbl>
      <w:tblPr>
        <w:tblStyle w:val="TableGrid"/>
        <w:tblW w:w="0" w:type="auto"/>
        <w:tblInd w:w="148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081"/>
      </w:tblGrid>
      <w:tr w:rsidR="004A6530" w:rsidRPr="003B42A7" w14:paraId="16563221" w14:textId="77777777" w:rsidTr="00252F11">
        <w:tc>
          <w:tcPr>
            <w:tcW w:w="2972" w:type="dxa"/>
            <w:tcBorders>
              <w:top w:val="single" w:sz="12" w:space="0" w:color="auto"/>
              <w:bottom w:val="single" w:sz="4" w:space="0" w:color="auto"/>
            </w:tcBorders>
          </w:tcPr>
          <w:p w14:paraId="59AC35B9" w14:textId="77777777" w:rsidR="004A6530" w:rsidRPr="003B42A7" w:rsidRDefault="004A6530" w:rsidP="00252F11">
            <w:pPr>
              <w:spacing w:line="360" w:lineRule="auto"/>
              <w:jc w:val="center"/>
              <w:rPr>
                <w:b/>
                <w:color w:val="000000" w:themeColor="text1"/>
                <w:sz w:val="20"/>
                <w:szCs w:val="20"/>
              </w:rPr>
            </w:pPr>
            <w:r w:rsidRPr="003B42A7">
              <w:rPr>
                <w:b/>
                <w:color w:val="000000" w:themeColor="text1"/>
                <w:sz w:val="20"/>
                <w:szCs w:val="20"/>
              </w:rPr>
              <w:t>Temperature (</w:t>
            </w:r>
            <w:r w:rsidRPr="003B42A7">
              <w:rPr>
                <w:rFonts w:cs="Times New Roman"/>
                <w:b/>
                <w:color w:val="000000" w:themeColor="text1"/>
                <w:sz w:val="20"/>
                <w:szCs w:val="20"/>
              </w:rPr>
              <w:t>°</w:t>
            </w:r>
            <w:r w:rsidRPr="003B42A7">
              <w:rPr>
                <w:b/>
                <w:color w:val="000000" w:themeColor="text1"/>
                <w:sz w:val="20"/>
                <w:szCs w:val="20"/>
              </w:rPr>
              <w:t>C)</w:t>
            </w:r>
          </w:p>
        </w:tc>
        <w:tc>
          <w:tcPr>
            <w:tcW w:w="3081" w:type="dxa"/>
            <w:tcBorders>
              <w:top w:val="single" w:sz="12" w:space="0" w:color="auto"/>
              <w:bottom w:val="single" w:sz="4" w:space="0" w:color="auto"/>
            </w:tcBorders>
          </w:tcPr>
          <w:p w14:paraId="3E95DD43" w14:textId="77777777" w:rsidR="004A6530" w:rsidRPr="003B42A7" w:rsidRDefault="004A6530" w:rsidP="00252F11">
            <w:pPr>
              <w:spacing w:line="360" w:lineRule="auto"/>
              <w:jc w:val="center"/>
              <w:rPr>
                <w:b/>
                <w:color w:val="000000" w:themeColor="text1"/>
                <w:sz w:val="20"/>
                <w:szCs w:val="20"/>
              </w:rPr>
            </w:pPr>
            <w:r w:rsidRPr="003B42A7">
              <w:rPr>
                <w:b/>
                <w:color w:val="000000" w:themeColor="text1"/>
                <w:sz w:val="20"/>
                <w:szCs w:val="20"/>
              </w:rPr>
              <w:t>Time (min)</w:t>
            </w:r>
          </w:p>
        </w:tc>
      </w:tr>
      <w:tr w:rsidR="004A6530" w:rsidRPr="003B42A7" w14:paraId="57BEBAE1" w14:textId="77777777" w:rsidTr="00252F11">
        <w:tc>
          <w:tcPr>
            <w:tcW w:w="2972" w:type="dxa"/>
            <w:tcBorders>
              <w:top w:val="single" w:sz="4" w:space="0" w:color="auto"/>
            </w:tcBorders>
          </w:tcPr>
          <w:p w14:paraId="03CDC6DA"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-40</w:t>
            </w:r>
          </w:p>
        </w:tc>
        <w:tc>
          <w:tcPr>
            <w:tcW w:w="3081" w:type="dxa"/>
            <w:tcBorders>
              <w:top w:val="single" w:sz="4" w:space="0" w:color="auto"/>
            </w:tcBorders>
          </w:tcPr>
          <w:p w14:paraId="085248C7"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90</w:t>
            </w:r>
          </w:p>
        </w:tc>
      </w:tr>
      <w:tr w:rsidR="004A6530" w:rsidRPr="003B42A7" w14:paraId="3B325BEF" w14:textId="77777777" w:rsidTr="00252F11">
        <w:tc>
          <w:tcPr>
            <w:tcW w:w="2972" w:type="dxa"/>
          </w:tcPr>
          <w:p w14:paraId="4B14399B"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-30</w:t>
            </w:r>
          </w:p>
        </w:tc>
        <w:tc>
          <w:tcPr>
            <w:tcW w:w="3081" w:type="dxa"/>
          </w:tcPr>
          <w:p w14:paraId="61F2D06A"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90</w:t>
            </w:r>
          </w:p>
        </w:tc>
      </w:tr>
      <w:tr w:rsidR="004A6530" w:rsidRPr="003B42A7" w14:paraId="112A6B84" w14:textId="77777777" w:rsidTr="00252F11">
        <w:tc>
          <w:tcPr>
            <w:tcW w:w="2972" w:type="dxa"/>
          </w:tcPr>
          <w:p w14:paraId="15FDA91B"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-20</w:t>
            </w:r>
          </w:p>
        </w:tc>
        <w:tc>
          <w:tcPr>
            <w:tcW w:w="3081" w:type="dxa"/>
          </w:tcPr>
          <w:p w14:paraId="3F4D3D03"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90</w:t>
            </w:r>
          </w:p>
        </w:tc>
      </w:tr>
      <w:tr w:rsidR="004A6530" w:rsidRPr="003B42A7" w14:paraId="68DDED10" w14:textId="77777777" w:rsidTr="00252F11">
        <w:tc>
          <w:tcPr>
            <w:tcW w:w="2972" w:type="dxa"/>
          </w:tcPr>
          <w:p w14:paraId="236B6F1C"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3081" w:type="dxa"/>
          </w:tcPr>
          <w:p w14:paraId="6B925BF0"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530</w:t>
            </w:r>
          </w:p>
        </w:tc>
      </w:tr>
      <w:tr w:rsidR="004A6530" w:rsidRPr="003B42A7" w14:paraId="5F7200E8" w14:textId="77777777" w:rsidTr="00252F11">
        <w:tc>
          <w:tcPr>
            <w:tcW w:w="2972" w:type="dxa"/>
          </w:tcPr>
          <w:p w14:paraId="24DC67CA"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0</w:t>
            </w:r>
          </w:p>
        </w:tc>
        <w:tc>
          <w:tcPr>
            <w:tcW w:w="3081" w:type="dxa"/>
          </w:tcPr>
          <w:p w14:paraId="36867638"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30</w:t>
            </w:r>
          </w:p>
        </w:tc>
      </w:tr>
      <w:tr w:rsidR="004A6530" w:rsidRPr="003B42A7" w14:paraId="17A776B7" w14:textId="77777777" w:rsidTr="00252F11">
        <w:tc>
          <w:tcPr>
            <w:tcW w:w="2972" w:type="dxa"/>
          </w:tcPr>
          <w:p w14:paraId="3399B7D2"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10</w:t>
            </w:r>
          </w:p>
        </w:tc>
        <w:tc>
          <w:tcPr>
            <w:tcW w:w="3081" w:type="dxa"/>
          </w:tcPr>
          <w:p w14:paraId="2B2DD094"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60</w:t>
            </w:r>
          </w:p>
        </w:tc>
      </w:tr>
      <w:tr w:rsidR="004A6530" w:rsidRPr="003B42A7" w14:paraId="4BC7C09D" w14:textId="77777777" w:rsidTr="00252F11">
        <w:tc>
          <w:tcPr>
            <w:tcW w:w="2972" w:type="dxa"/>
          </w:tcPr>
          <w:p w14:paraId="0E81FFC2"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25</w:t>
            </w:r>
          </w:p>
        </w:tc>
        <w:tc>
          <w:tcPr>
            <w:tcW w:w="3081" w:type="dxa"/>
          </w:tcPr>
          <w:p w14:paraId="2C3D6E93" w14:textId="77777777" w:rsidR="004A6530" w:rsidRPr="003B42A7" w:rsidRDefault="004A6530" w:rsidP="00252F11">
            <w:pPr>
              <w:spacing w:line="360" w:lineRule="auto"/>
              <w:jc w:val="center"/>
              <w:rPr>
                <w:color w:val="000000" w:themeColor="text1"/>
                <w:sz w:val="20"/>
                <w:szCs w:val="20"/>
              </w:rPr>
            </w:pPr>
            <w:r w:rsidRPr="003B42A7">
              <w:rPr>
                <w:color w:val="000000" w:themeColor="text1"/>
                <w:sz w:val="20"/>
                <w:szCs w:val="20"/>
              </w:rPr>
              <w:t>60</w:t>
            </w:r>
          </w:p>
        </w:tc>
      </w:tr>
    </w:tbl>
    <w:p w14:paraId="57BD3AE7" w14:textId="4694457D" w:rsidR="00CA0CDF" w:rsidRPr="003B42A7" w:rsidRDefault="00A50887" w:rsidP="006115CA">
      <w:pPr>
        <w:spacing w:line="360" w:lineRule="auto"/>
        <w:jc w:val="both"/>
        <w:rPr>
          <w:color w:val="000000" w:themeColor="text1"/>
          <w:lang w:val="en-US"/>
        </w:rPr>
      </w:pPr>
      <w:r w:rsidRPr="003B42A7">
        <w:rPr>
          <w:color w:val="000000" w:themeColor="text1"/>
        </w:rPr>
        <w:lastRenderedPageBreak/>
        <w:t xml:space="preserve">Secondly, ESK lyophilised wafers were prepared. Excipients, such as </w:t>
      </w:r>
      <w:proofErr w:type="spellStart"/>
      <w:r w:rsidRPr="003B42A7">
        <w:rPr>
          <w:color w:val="000000" w:themeColor="text1"/>
        </w:rPr>
        <w:t>g</w:t>
      </w:r>
      <w:r w:rsidR="00CA0CDF" w:rsidRPr="003B42A7">
        <w:rPr>
          <w:color w:val="000000" w:themeColor="text1"/>
        </w:rPr>
        <w:t>elatin</w:t>
      </w:r>
      <w:proofErr w:type="spellEnd"/>
      <w:r w:rsidR="00CA0CDF" w:rsidRPr="003B42A7">
        <w:rPr>
          <w:color w:val="000000" w:themeColor="text1"/>
        </w:rPr>
        <w:t>, mannitol</w:t>
      </w:r>
      <w:r w:rsidRPr="003B42A7">
        <w:rPr>
          <w:color w:val="000000" w:themeColor="text1"/>
        </w:rPr>
        <w:t xml:space="preserve"> and sodium chloride were evaluated for their potential use in lyophilised wafers combined with ESK</w:t>
      </w:r>
      <w:r w:rsidR="00400409" w:rsidRPr="003B42A7">
        <w:rPr>
          <w:color w:val="000000" w:themeColor="text1"/>
        </w:rPr>
        <w:t xml:space="preserve"> (Table 1(B))</w:t>
      </w:r>
      <w:r w:rsidRPr="003B42A7">
        <w:rPr>
          <w:color w:val="000000" w:themeColor="text1"/>
        </w:rPr>
        <w:t xml:space="preserve">. </w:t>
      </w:r>
      <w:r w:rsidR="00CA0CDF" w:rsidRPr="003B42A7">
        <w:rPr>
          <w:color w:val="000000" w:themeColor="text1"/>
        </w:rPr>
        <w:t xml:space="preserve">The dry powders of each were weighed and mixed thoroughly using a mortar and pestle. Water was added to the </w:t>
      </w:r>
      <w:r w:rsidRPr="003B42A7">
        <w:rPr>
          <w:color w:val="000000" w:themeColor="text1"/>
        </w:rPr>
        <w:t>dry powder</w:t>
      </w:r>
      <w:r w:rsidR="00CA0CDF" w:rsidRPr="003B42A7">
        <w:rPr>
          <w:color w:val="000000" w:themeColor="text1"/>
        </w:rPr>
        <w:t xml:space="preserve"> and mixed in a speed mixer (</w:t>
      </w:r>
      <w:proofErr w:type="spellStart"/>
      <w:r w:rsidR="00CA0CDF" w:rsidRPr="003B42A7">
        <w:rPr>
          <w:color w:val="000000" w:themeColor="text1"/>
          <w:lang w:val="en-US"/>
        </w:rPr>
        <w:t>SpeedMixer</w:t>
      </w:r>
      <w:proofErr w:type="spellEnd"/>
      <w:r w:rsidR="00CA0CDF" w:rsidRPr="003B42A7">
        <w:rPr>
          <w:color w:val="000000" w:themeColor="text1"/>
          <w:vertAlign w:val="superscript"/>
          <w:lang w:val="en-US"/>
        </w:rPr>
        <w:t>™</w:t>
      </w:r>
      <w:r w:rsidR="00CA0CDF" w:rsidRPr="003B42A7">
        <w:rPr>
          <w:color w:val="000000" w:themeColor="text1"/>
          <w:lang w:val="en-US"/>
        </w:rPr>
        <w:t>, DAC 150 FVZ-K, Synergy Devices Ltd., UK)</w:t>
      </w:r>
      <w:r w:rsidRPr="003B42A7">
        <w:rPr>
          <w:color w:val="000000" w:themeColor="text1"/>
          <w:lang w:val="en-US"/>
        </w:rPr>
        <w:t xml:space="preserve"> at 3,000 rpm for 30 s</w:t>
      </w:r>
      <w:r w:rsidR="00CA0CDF" w:rsidRPr="003B42A7">
        <w:rPr>
          <w:color w:val="000000" w:themeColor="text1"/>
          <w:lang w:val="en-US"/>
        </w:rPr>
        <w:t>.</w:t>
      </w:r>
      <w:r w:rsidRPr="003B42A7">
        <w:rPr>
          <w:color w:val="000000" w:themeColor="text1"/>
          <w:lang w:val="en-US"/>
        </w:rPr>
        <w:t xml:space="preserve"> The resulting ESK formulation</w:t>
      </w:r>
      <w:r w:rsidR="00945B4D" w:rsidRPr="003B42A7">
        <w:rPr>
          <w:color w:val="000000" w:themeColor="text1"/>
          <w:lang w:val="en-US"/>
        </w:rPr>
        <w:t>s</w:t>
      </w:r>
      <w:r w:rsidRPr="003B42A7">
        <w:rPr>
          <w:color w:val="000000" w:themeColor="text1"/>
          <w:lang w:val="en-US"/>
        </w:rPr>
        <w:t xml:space="preserve"> (500 mg or 300 mg) were cast into open-ended cylindrical moulds (diameter 13 mm, depth 3 mm), frozen to -80ºC for a minimum</w:t>
      </w:r>
      <w:r w:rsidR="00CA0CDF" w:rsidRPr="003B42A7">
        <w:rPr>
          <w:color w:val="000000" w:themeColor="text1"/>
          <w:lang w:val="en-US"/>
        </w:rPr>
        <w:t xml:space="preserve"> 1 h</w:t>
      </w:r>
      <w:r w:rsidRPr="003B42A7">
        <w:rPr>
          <w:color w:val="000000" w:themeColor="text1"/>
          <w:lang w:val="en-US"/>
        </w:rPr>
        <w:t xml:space="preserve"> and then placed into a bench-top freeze drier (</w:t>
      </w:r>
      <w:proofErr w:type="spellStart"/>
      <w:r w:rsidRPr="003B42A7">
        <w:rPr>
          <w:color w:val="000000" w:themeColor="text1"/>
          <w:lang w:val="en-US"/>
        </w:rPr>
        <w:t>Virtis</w:t>
      </w:r>
      <w:proofErr w:type="spellEnd"/>
      <w:r w:rsidRPr="003B42A7">
        <w:rPr>
          <w:color w:val="000000" w:themeColor="text1"/>
          <w:lang w:val="en-US"/>
        </w:rPr>
        <w:t xml:space="preserve"> Advantage</w:t>
      </w:r>
      <w:r w:rsidRPr="003B42A7">
        <w:rPr>
          <w:color w:val="000000" w:themeColor="text1"/>
          <w:vertAlign w:val="superscript"/>
          <w:lang w:val="en-US"/>
        </w:rPr>
        <w:t>®</w:t>
      </w:r>
      <w:r w:rsidRPr="003B42A7">
        <w:rPr>
          <w:color w:val="000000" w:themeColor="text1"/>
          <w:lang w:val="en-US"/>
        </w:rPr>
        <w:t xml:space="preserve"> Bench top Freeze Drier System, SP Scientific, Warminster PA, USA) to be lyophilised</w:t>
      </w:r>
      <w:r w:rsidR="00CA0CDF" w:rsidRPr="003B42A7">
        <w:rPr>
          <w:color w:val="000000" w:themeColor="text1"/>
          <w:lang w:val="en-US"/>
        </w:rPr>
        <w:t xml:space="preserve">. </w:t>
      </w:r>
      <w:r w:rsidRPr="003B42A7">
        <w:rPr>
          <w:color w:val="000000" w:themeColor="text1"/>
          <w:lang w:val="en-US"/>
        </w:rPr>
        <w:t>The freeze-drying cycle</w:t>
      </w:r>
      <w:r w:rsidR="00D43899" w:rsidRPr="003B42A7">
        <w:rPr>
          <w:color w:val="000000" w:themeColor="text1"/>
          <w:lang w:val="en-US"/>
        </w:rPr>
        <w:t xml:space="preserve"> used is documented in Table 1(C</w:t>
      </w:r>
      <w:r w:rsidRPr="003B42A7">
        <w:rPr>
          <w:color w:val="000000" w:themeColor="text1"/>
          <w:lang w:val="en-US"/>
        </w:rPr>
        <w:t xml:space="preserve">). A vacuum pressure of 600 </w:t>
      </w:r>
      <w:proofErr w:type="spellStart"/>
      <w:r w:rsidRPr="003B42A7">
        <w:rPr>
          <w:color w:val="000000" w:themeColor="text1"/>
          <w:lang w:val="en-US"/>
        </w:rPr>
        <w:t>mTorr</w:t>
      </w:r>
      <w:proofErr w:type="spellEnd"/>
      <w:r w:rsidRPr="003B42A7">
        <w:rPr>
          <w:color w:val="000000" w:themeColor="text1"/>
          <w:lang w:val="en-US"/>
        </w:rPr>
        <w:t xml:space="preserve"> was maintained throughout the freeze-drying cycle. In all cases, following lyophilisation, lyophilised wafers were visually inspected</w:t>
      </w:r>
      <w:r w:rsidR="00EE2272" w:rsidRPr="003B42A7">
        <w:rPr>
          <w:color w:val="000000" w:themeColor="text1"/>
          <w:lang w:val="en-US"/>
        </w:rPr>
        <w:t xml:space="preserve"> for uniformity</w:t>
      </w:r>
      <w:r w:rsidRPr="003B42A7">
        <w:rPr>
          <w:color w:val="000000" w:themeColor="text1"/>
          <w:lang w:val="en-US"/>
        </w:rPr>
        <w:t xml:space="preserve">. </w:t>
      </w:r>
    </w:p>
    <w:p w14:paraId="11899E11" w14:textId="77777777" w:rsidR="00CA0CDF" w:rsidRPr="003B42A7" w:rsidRDefault="00CA0CDF" w:rsidP="006115CA">
      <w:pPr>
        <w:spacing w:line="360" w:lineRule="auto"/>
      </w:pPr>
    </w:p>
    <w:p w14:paraId="6781A619" w14:textId="77777777" w:rsidR="005D15D4" w:rsidRPr="003B42A7" w:rsidRDefault="00CA0CDF" w:rsidP="00F456D2">
      <w:pPr>
        <w:pStyle w:val="Heading2"/>
      </w:pPr>
      <w:r w:rsidRPr="003B42A7">
        <w:t>ESK stability in</w:t>
      </w:r>
      <w:r w:rsidR="005D15D4" w:rsidRPr="003B42A7">
        <w:t xml:space="preserve"> PBS</w:t>
      </w:r>
      <w:r w:rsidRPr="003B42A7">
        <w:t xml:space="preserve"> </w:t>
      </w:r>
      <w:r w:rsidR="005D15D4" w:rsidRPr="003B42A7">
        <w:t>(pH 7.4)</w:t>
      </w:r>
    </w:p>
    <w:p w14:paraId="73CE0890" w14:textId="25564BF5" w:rsidR="00CA0CDF" w:rsidRPr="003B42A7" w:rsidRDefault="00400409" w:rsidP="00B666DD">
      <w:pPr>
        <w:spacing w:line="360" w:lineRule="auto"/>
        <w:jc w:val="both"/>
        <w:rPr>
          <w:color w:val="000000" w:themeColor="text1"/>
        </w:rPr>
      </w:pPr>
      <w:r w:rsidRPr="003B42A7">
        <w:rPr>
          <w:rFonts w:cs="Times New Roman"/>
          <w:color w:val="000000" w:themeColor="text1"/>
        </w:rPr>
        <w:t xml:space="preserve">Stability of ESK in PBS (pH 7.4) was assessed. A standard concentration (10 µg/ml) of ESK was </w:t>
      </w:r>
      <w:r w:rsidR="00CA0CDF" w:rsidRPr="003B42A7">
        <w:rPr>
          <w:rFonts w:cs="Times New Roman"/>
          <w:color w:val="000000" w:themeColor="text1"/>
        </w:rPr>
        <w:t>prepared in sealed glass vials</w:t>
      </w:r>
      <w:r w:rsidRPr="003B42A7">
        <w:rPr>
          <w:rFonts w:cs="Times New Roman"/>
          <w:color w:val="000000" w:themeColor="text1"/>
        </w:rPr>
        <w:t xml:space="preserve">. In triplicate, these vials were stored </w:t>
      </w:r>
      <w:r w:rsidR="00CA0CDF" w:rsidRPr="003B42A7">
        <w:rPr>
          <w:rFonts w:cs="Times New Roman"/>
          <w:color w:val="000000" w:themeColor="text1"/>
        </w:rPr>
        <w:t>at 4°C, 37°C, 80°C, 20°C (dark) and 20</w:t>
      </w:r>
      <w:bookmarkStart w:id="1" w:name="OLE_LINK1"/>
      <w:r w:rsidR="00CA0CDF" w:rsidRPr="003B42A7">
        <w:rPr>
          <w:rFonts w:cs="Times New Roman"/>
          <w:color w:val="000000" w:themeColor="text1"/>
        </w:rPr>
        <w:t>°C</w:t>
      </w:r>
      <w:bookmarkEnd w:id="1"/>
      <w:r w:rsidR="00CA0CDF" w:rsidRPr="003B42A7">
        <w:rPr>
          <w:rFonts w:cs="Times New Roman"/>
          <w:color w:val="000000" w:themeColor="text1"/>
        </w:rPr>
        <w:t xml:space="preserve"> (light).</w:t>
      </w:r>
      <w:r w:rsidR="00CA0CDF" w:rsidRPr="003B42A7">
        <w:rPr>
          <w:color w:val="000000" w:themeColor="text1"/>
        </w:rPr>
        <w:t xml:space="preserve"> Samples were taken at </w:t>
      </w:r>
      <w:r w:rsidR="00CA0CDF" w:rsidRPr="003B42A7">
        <w:t>day</w:t>
      </w:r>
      <w:r w:rsidRPr="003B42A7">
        <w:t xml:space="preserve"> </w:t>
      </w:r>
      <w:r w:rsidR="00A23E15" w:rsidRPr="003B42A7">
        <w:t>0,</w:t>
      </w:r>
      <w:r w:rsidR="00CA0CDF" w:rsidRPr="003B42A7">
        <w:t xml:space="preserve"> 3, 5</w:t>
      </w:r>
      <w:r w:rsidR="00CA0CDF" w:rsidRPr="003B42A7">
        <w:rPr>
          <w:color w:val="000000" w:themeColor="text1"/>
        </w:rPr>
        <w:t>, 7, 14, 21 and 28 days and assessed</w:t>
      </w:r>
      <w:r w:rsidR="00160EB0" w:rsidRPr="003B42A7">
        <w:rPr>
          <w:color w:val="000000" w:themeColor="text1"/>
        </w:rPr>
        <w:t xml:space="preserve"> using RP-HPLC</w:t>
      </w:r>
      <w:r w:rsidR="00CA0CDF" w:rsidRPr="003B42A7">
        <w:rPr>
          <w:color w:val="000000" w:themeColor="text1"/>
        </w:rPr>
        <w:t xml:space="preserve"> for</w:t>
      </w:r>
      <w:r w:rsidR="005D10EF" w:rsidRPr="003B42A7">
        <w:rPr>
          <w:color w:val="000000" w:themeColor="text1"/>
        </w:rPr>
        <w:t xml:space="preserve"> the</w:t>
      </w:r>
      <w:r w:rsidR="00CA0CDF" w:rsidRPr="003B42A7">
        <w:rPr>
          <w:color w:val="000000" w:themeColor="text1"/>
        </w:rPr>
        <w:t xml:space="preserve"> perce</w:t>
      </w:r>
      <w:r w:rsidRPr="003B42A7">
        <w:rPr>
          <w:color w:val="000000" w:themeColor="text1"/>
        </w:rPr>
        <w:t>ntage of ESK remaining</w:t>
      </w:r>
      <w:r w:rsidR="005D10EF" w:rsidRPr="003B42A7">
        <w:rPr>
          <w:color w:val="000000" w:themeColor="text1"/>
        </w:rPr>
        <w:t xml:space="preserve"> at that time and condition</w:t>
      </w:r>
      <w:r w:rsidRPr="003B42A7">
        <w:rPr>
          <w:color w:val="000000" w:themeColor="text1"/>
        </w:rPr>
        <w:t>.</w:t>
      </w:r>
    </w:p>
    <w:p w14:paraId="422B6357" w14:textId="77777777" w:rsidR="00CA0CDF" w:rsidRPr="003B42A7" w:rsidRDefault="00CA0CDF" w:rsidP="006115CA">
      <w:pPr>
        <w:spacing w:line="360" w:lineRule="auto"/>
      </w:pPr>
    </w:p>
    <w:p w14:paraId="158ED128" w14:textId="77777777" w:rsidR="00CA0CDF" w:rsidRPr="003B42A7" w:rsidRDefault="00CA0CDF" w:rsidP="00F456D2">
      <w:pPr>
        <w:pStyle w:val="Heading2"/>
      </w:pPr>
      <w:r w:rsidRPr="003B42A7">
        <w:t>ESK stability in drug-containing reservoirs</w:t>
      </w:r>
    </w:p>
    <w:p w14:paraId="22FAA920" w14:textId="1CAA012D" w:rsidR="005D10EF" w:rsidRPr="003B42A7" w:rsidRDefault="005D10EF" w:rsidP="006115CA">
      <w:pPr>
        <w:spacing w:line="360" w:lineRule="auto"/>
        <w:jc w:val="both"/>
      </w:pPr>
      <w:r w:rsidRPr="003B42A7">
        <w:t xml:space="preserve">Three formulations, </w:t>
      </w:r>
      <w:r w:rsidR="00F456D2" w:rsidRPr="003B42A7">
        <w:t>Film (</w:t>
      </w:r>
      <w:r w:rsidRPr="003B42A7">
        <w:t>F</w:t>
      </w:r>
      <w:r w:rsidR="00F456D2" w:rsidRPr="003B42A7">
        <w:t>)</w:t>
      </w:r>
      <w:r w:rsidRPr="003B42A7">
        <w:t xml:space="preserve">3, F12 and </w:t>
      </w:r>
      <w:r w:rsidR="00F456D2" w:rsidRPr="003B42A7">
        <w:t>Lyophilised reservoir (</w:t>
      </w:r>
      <w:r w:rsidRPr="003B42A7">
        <w:t>LW</w:t>
      </w:r>
      <w:r w:rsidR="00F456D2" w:rsidRPr="003B42A7">
        <w:t>)</w:t>
      </w:r>
      <w:r w:rsidRPr="003B42A7">
        <w:t>3 were taken forward for further studies.</w:t>
      </w:r>
      <w:r w:rsidR="00CF4D13" w:rsidRPr="003B42A7">
        <w:t xml:space="preserve"> Individual ESK-containing reservoirs </w:t>
      </w:r>
      <w:r w:rsidR="000F7BAD" w:rsidRPr="003B42A7">
        <w:t xml:space="preserve">of each formulation </w:t>
      </w:r>
      <w:r w:rsidR="00160EB0" w:rsidRPr="003B42A7">
        <w:t xml:space="preserve">in triplicate </w:t>
      </w:r>
      <w:r w:rsidR="00CF4D13" w:rsidRPr="003B42A7">
        <w:t>were dissolved in 10 ml PBS (pH 7.4) in glass vials. Following dissolution, the percentage recovery of ESK was determined. Samples were diluted appropriately, filtered and analysed using RP-HPLC.</w:t>
      </w:r>
    </w:p>
    <w:p w14:paraId="0536EFF1" w14:textId="77777777" w:rsidR="00CA0CDF" w:rsidRPr="003B42A7" w:rsidRDefault="00CA0CDF" w:rsidP="006115CA">
      <w:pPr>
        <w:spacing w:line="360" w:lineRule="auto"/>
      </w:pPr>
    </w:p>
    <w:p w14:paraId="279FB6AF" w14:textId="77777777" w:rsidR="005D15D4" w:rsidRPr="003B42A7" w:rsidRDefault="00CA0CDF" w:rsidP="00F456D2">
      <w:pPr>
        <w:pStyle w:val="Heading2"/>
      </w:pPr>
      <w:r w:rsidRPr="003B42A7">
        <w:t xml:space="preserve">ESK stability </w:t>
      </w:r>
      <w:r w:rsidR="005D15D4" w:rsidRPr="003B42A7">
        <w:t>in primary packaging</w:t>
      </w:r>
    </w:p>
    <w:p w14:paraId="35303203" w14:textId="0BD43356" w:rsidR="00CA0CDF" w:rsidRPr="003B42A7" w:rsidRDefault="005D10EF" w:rsidP="006115CA">
      <w:pPr>
        <w:spacing w:line="360" w:lineRule="auto"/>
        <w:jc w:val="both"/>
        <w:rPr>
          <w:color w:val="000000" w:themeColor="text1"/>
          <w:lang w:val="en-US"/>
        </w:rPr>
      </w:pPr>
      <w:r w:rsidRPr="003B42A7">
        <w:rPr>
          <w:color w:val="000000" w:themeColor="text1"/>
          <w:lang w:val="en-US"/>
        </w:rPr>
        <w:t>Stability of ESK in primary packaging was assessed.</w:t>
      </w:r>
      <w:r w:rsidR="00160EB0" w:rsidRPr="003B42A7">
        <w:rPr>
          <w:color w:val="000000" w:themeColor="text1"/>
          <w:lang w:val="en-US"/>
        </w:rPr>
        <w:t xml:space="preserve"> Primary packaging in this case refers to the inner casing to which MN patches are held.</w:t>
      </w:r>
      <w:r w:rsidRPr="003B42A7">
        <w:rPr>
          <w:color w:val="000000" w:themeColor="text1"/>
          <w:lang w:val="en-US"/>
        </w:rPr>
        <w:t xml:space="preserve"> The primary packaging investigated with lead ESK drug-containing reservoirs was 3M F</w:t>
      </w:r>
      <w:r w:rsidR="005242A0" w:rsidRPr="003B42A7">
        <w:rPr>
          <w:color w:val="000000" w:themeColor="text1"/>
          <w:lang w:val="en-US"/>
        </w:rPr>
        <w:t xml:space="preserve">ilm Product, </w:t>
      </w:r>
      <w:proofErr w:type="spellStart"/>
      <w:r w:rsidR="005242A0" w:rsidRPr="003B42A7">
        <w:rPr>
          <w:color w:val="000000" w:themeColor="text1"/>
          <w:lang w:val="en-US"/>
        </w:rPr>
        <w:t>Scotchpak</w:t>
      </w:r>
      <w:proofErr w:type="spellEnd"/>
      <w:r w:rsidR="005242A0" w:rsidRPr="003B42A7">
        <w:rPr>
          <w:color w:val="000000" w:themeColor="text1"/>
          <w:lang w:val="en-US"/>
        </w:rPr>
        <w:t>™, Minnesota Mining &amp; Manufacturing Co., St. Paul., Minnesota, USA</w:t>
      </w:r>
      <w:r w:rsidRPr="003B42A7">
        <w:rPr>
          <w:color w:val="000000" w:themeColor="text1"/>
          <w:lang w:val="en-US"/>
        </w:rPr>
        <w:t xml:space="preserve">. </w:t>
      </w:r>
      <w:r w:rsidR="00CA0CDF" w:rsidRPr="003B42A7">
        <w:rPr>
          <w:color w:val="000000" w:themeColor="text1"/>
          <w:lang w:val="en-US"/>
        </w:rPr>
        <w:t xml:space="preserve">Each </w:t>
      </w:r>
      <w:r w:rsidRPr="003B42A7">
        <w:rPr>
          <w:color w:val="000000" w:themeColor="text1"/>
          <w:lang w:val="en-US"/>
        </w:rPr>
        <w:t>lead</w:t>
      </w:r>
      <w:r w:rsidR="00CA0CDF" w:rsidRPr="003B42A7">
        <w:rPr>
          <w:color w:val="000000" w:themeColor="text1"/>
          <w:lang w:val="en-US"/>
        </w:rPr>
        <w:t xml:space="preserve"> formulation</w:t>
      </w:r>
      <w:r w:rsidR="005242A0" w:rsidRPr="003B42A7">
        <w:rPr>
          <w:color w:val="000000" w:themeColor="text1"/>
          <w:lang w:val="en-US"/>
        </w:rPr>
        <w:t>, F</w:t>
      </w:r>
      <w:r w:rsidR="00DD13E4" w:rsidRPr="003B42A7">
        <w:rPr>
          <w:color w:val="000000" w:themeColor="text1"/>
          <w:lang w:val="en-US"/>
        </w:rPr>
        <w:t>3 (3 x 0.5</w:t>
      </w:r>
      <w:r w:rsidR="00CA0CDF" w:rsidRPr="003B42A7">
        <w:rPr>
          <w:color w:val="000000" w:themeColor="text1"/>
          <w:lang w:val="en-US"/>
        </w:rPr>
        <w:t xml:space="preserve"> cm</w:t>
      </w:r>
      <w:r w:rsidR="00CA0CDF" w:rsidRPr="003B42A7">
        <w:rPr>
          <w:color w:val="000000" w:themeColor="text1"/>
          <w:vertAlign w:val="superscript"/>
          <w:lang w:val="en-US"/>
        </w:rPr>
        <w:t>2</w:t>
      </w:r>
      <w:r w:rsidR="005242A0" w:rsidRPr="003B42A7">
        <w:rPr>
          <w:color w:val="000000" w:themeColor="text1"/>
          <w:lang w:val="en-US"/>
        </w:rPr>
        <w:t>), F12</w:t>
      </w:r>
      <w:r w:rsidR="00CA0CDF" w:rsidRPr="003B42A7">
        <w:rPr>
          <w:color w:val="000000" w:themeColor="text1"/>
          <w:lang w:val="en-US"/>
        </w:rPr>
        <w:t xml:space="preserve"> </w:t>
      </w:r>
      <w:r w:rsidR="00CA0CDF" w:rsidRPr="003B42A7">
        <w:rPr>
          <w:color w:val="000000" w:themeColor="text1"/>
          <w:lang w:val="en-US"/>
        </w:rPr>
        <w:lastRenderedPageBreak/>
        <w:t xml:space="preserve">(3 x </w:t>
      </w:r>
      <w:r w:rsidR="00DD13E4" w:rsidRPr="003B42A7">
        <w:rPr>
          <w:color w:val="000000" w:themeColor="text1"/>
          <w:lang w:val="en-US"/>
        </w:rPr>
        <w:t>0.5</w:t>
      </w:r>
      <w:r w:rsidR="00CA0CDF" w:rsidRPr="003B42A7">
        <w:rPr>
          <w:color w:val="000000" w:themeColor="text1"/>
          <w:lang w:val="en-US"/>
        </w:rPr>
        <w:t xml:space="preserve"> cm</w:t>
      </w:r>
      <w:r w:rsidR="00CA0CDF" w:rsidRPr="003B42A7">
        <w:rPr>
          <w:color w:val="000000" w:themeColor="text1"/>
          <w:vertAlign w:val="superscript"/>
          <w:lang w:val="en-US"/>
        </w:rPr>
        <w:t>2</w:t>
      </w:r>
      <w:r w:rsidR="005242A0" w:rsidRPr="003B42A7">
        <w:rPr>
          <w:color w:val="000000" w:themeColor="text1"/>
          <w:lang w:val="en-US"/>
        </w:rPr>
        <w:t>)</w:t>
      </w:r>
      <w:r w:rsidR="00CA0CDF" w:rsidRPr="003B42A7">
        <w:rPr>
          <w:color w:val="000000" w:themeColor="text1"/>
          <w:vertAlign w:val="superscript"/>
          <w:lang w:val="en-US"/>
        </w:rPr>
        <w:t xml:space="preserve"> </w:t>
      </w:r>
      <w:r w:rsidR="005242A0" w:rsidRPr="003B42A7">
        <w:rPr>
          <w:color w:val="000000" w:themeColor="text1"/>
          <w:lang w:val="en-US"/>
        </w:rPr>
        <w:t>and LW</w:t>
      </w:r>
      <w:r w:rsidR="00CA0CDF" w:rsidRPr="003B42A7">
        <w:rPr>
          <w:color w:val="000000" w:themeColor="text1"/>
          <w:lang w:val="en-US"/>
        </w:rPr>
        <w:t>3 (3 x 1 reservoir) were placed into weigh boats</w:t>
      </w:r>
      <w:r w:rsidR="005242A0" w:rsidRPr="003B42A7">
        <w:rPr>
          <w:color w:val="000000" w:themeColor="text1"/>
          <w:lang w:val="en-US"/>
        </w:rPr>
        <w:t xml:space="preserve"> and held closed by masking tape</w:t>
      </w:r>
      <w:r w:rsidR="00CA0CDF" w:rsidRPr="003B42A7">
        <w:rPr>
          <w:color w:val="000000" w:themeColor="text1"/>
          <w:lang w:val="en-US"/>
        </w:rPr>
        <w:t>. These parcels were then heat sealed</w:t>
      </w:r>
      <w:r w:rsidR="005242A0" w:rsidRPr="003B42A7">
        <w:rPr>
          <w:color w:val="000000" w:themeColor="text1"/>
          <w:lang w:val="en-US"/>
        </w:rPr>
        <w:t xml:space="preserve"> (Packer Products, Impulse Heat Sealer P400/C, England, UK)</w:t>
      </w:r>
      <w:r w:rsidR="00CA0CDF" w:rsidRPr="003B42A7">
        <w:rPr>
          <w:color w:val="000000" w:themeColor="text1"/>
          <w:lang w:val="en-US"/>
        </w:rPr>
        <w:t xml:space="preserve"> into</w:t>
      </w:r>
      <w:r w:rsidR="005242A0" w:rsidRPr="003B42A7">
        <w:rPr>
          <w:color w:val="000000" w:themeColor="text1"/>
          <w:lang w:val="en-US"/>
        </w:rPr>
        <w:t xml:space="preserve"> the primary packaging</w:t>
      </w:r>
      <w:r w:rsidR="00CA0CDF" w:rsidRPr="003B42A7">
        <w:rPr>
          <w:color w:val="000000" w:themeColor="text1"/>
          <w:lang w:val="en-US"/>
        </w:rPr>
        <w:t xml:space="preserve"> and stored at ambient conditions (20ºC). At defined intervals</w:t>
      </w:r>
      <w:r w:rsidR="00005FB6" w:rsidRPr="003B42A7">
        <w:rPr>
          <w:color w:val="000000" w:themeColor="text1"/>
          <w:lang w:val="en-US"/>
        </w:rPr>
        <w:t>,</w:t>
      </w:r>
      <w:r w:rsidR="00CA0CDF" w:rsidRPr="003B42A7">
        <w:rPr>
          <w:color w:val="000000" w:themeColor="text1"/>
          <w:lang w:val="en-US"/>
        </w:rPr>
        <w:t xml:space="preserve"> samples were carefully unpackaged, </w:t>
      </w:r>
      <w:r w:rsidR="005242A0" w:rsidRPr="003B42A7">
        <w:rPr>
          <w:color w:val="000000" w:themeColor="text1"/>
          <w:lang w:val="en-US"/>
        </w:rPr>
        <w:t>films/reservoirs dissolved in</w:t>
      </w:r>
      <w:r w:rsidR="00CA0CDF" w:rsidRPr="003B42A7">
        <w:rPr>
          <w:color w:val="000000" w:themeColor="text1"/>
          <w:lang w:val="en-US"/>
        </w:rPr>
        <w:t xml:space="preserve"> PBS (pH 7</w:t>
      </w:r>
      <w:r w:rsidR="00CA0CDF" w:rsidRPr="003B42A7">
        <w:rPr>
          <w:lang w:val="en-US"/>
        </w:rPr>
        <w:t>.4)</w:t>
      </w:r>
      <w:r w:rsidR="005242A0" w:rsidRPr="003B42A7">
        <w:rPr>
          <w:lang w:val="en-US"/>
        </w:rPr>
        <w:t xml:space="preserve"> </w:t>
      </w:r>
      <w:r w:rsidR="00005FB6" w:rsidRPr="003B42A7">
        <w:rPr>
          <w:lang w:val="en-US"/>
        </w:rPr>
        <w:t>(10 ml</w:t>
      </w:r>
      <w:r w:rsidR="005242A0" w:rsidRPr="003B42A7">
        <w:rPr>
          <w:lang w:val="en-US"/>
        </w:rPr>
        <w:t>)</w:t>
      </w:r>
      <w:r w:rsidR="00CA0CDF" w:rsidRPr="003B42A7">
        <w:rPr>
          <w:lang w:val="en-US"/>
        </w:rPr>
        <w:t>, and</w:t>
      </w:r>
      <w:r w:rsidR="00CA0CDF" w:rsidRPr="003B42A7">
        <w:rPr>
          <w:color w:val="000000" w:themeColor="text1"/>
          <w:lang w:val="en-US"/>
        </w:rPr>
        <w:t xml:space="preserve"> analysed using </w:t>
      </w:r>
      <w:r w:rsidR="005242A0" w:rsidRPr="003B42A7">
        <w:rPr>
          <w:color w:val="000000" w:themeColor="text1"/>
          <w:lang w:val="en-US"/>
        </w:rPr>
        <w:t>RP-</w:t>
      </w:r>
      <w:r w:rsidR="00CA0CDF" w:rsidRPr="003B42A7">
        <w:rPr>
          <w:color w:val="000000" w:themeColor="text1"/>
          <w:lang w:val="en-US"/>
        </w:rPr>
        <w:t>HPLC.</w:t>
      </w:r>
    </w:p>
    <w:p w14:paraId="14FB8026" w14:textId="77777777" w:rsidR="00CF4D13" w:rsidRPr="003B42A7" w:rsidRDefault="00CF4D13" w:rsidP="006115CA">
      <w:pPr>
        <w:spacing w:line="360" w:lineRule="auto"/>
        <w:jc w:val="both"/>
        <w:rPr>
          <w:color w:val="000000" w:themeColor="text1"/>
          <w:lang w:val="en-US"/>
        </w:rPr>
      </w:pPr>
    </w:p>
    <w:p w14:paraId="0F6FEA3B" w14:textId="77777777" w:rsidR="005D15D4" w:rsidRPr="003B42A7" w:rsidRDefault="005D15D4" w:rsidP="00F456D2">
      <w:pPr>
        <w:pStyle w:val="Heading2"/>
      </w:pPr>
      <w:r w:rsidRPr="003B42A7">
        <w:t>In vitro permeation of ESK from drug-containing reservoirs</w:t>
      </w:r>
    </w:p>
    <w:p w14:paraId="5379844B" w14:textId="03C506D5" w:rsidR="00CA0CDF" w:rsidRPr="003B42A7" w:rsidRDefault="00005FB6" w:rsidP="00A23E15">
      <w:pPr>
        <w:spacing w:line="360" w:lineRule="auto"/>
        <w:jc w:val="both"/>
        <w:rPr>
          <w:szCs w:val="24"/>
        </w:rPr>
      </w:pPr>
      <w:r w:rsidRPr="003B42A7">
        <w:rPr>
          <w:color w:val="000000" w:themeColor="text1"/>
        </w:rPr>
        <w:t>The</w:t>
      </w:r>
      <w:r w:rsidR="00F17FFD" w:rsidRPr="003B42A7">
        <w:t xml:space="preserve"> </w:t>
      </w:r>
      <w:r w:rsidR="00F17FFD" w:rsidRPr="003B42A7">
        <w:rPr>
          <w:i/>
        </w:rPr>
        <w:t>in vitro</w:t>
      </w:r>
      <w:r w:rsidR="00F17FFD" w:rsidRPr="003B42A7">
        <w:t xml:space="preserve"> permeation of ESK from MN patches consisting of selected ESK polymeric films of ESK lyophilised wafers in combination with hydrogel-forming MN arrays across dermatomed neonatal porcine skin was investigated. A modified Franz cell diffusion setup </w:t>
      </w:r>
      <w:r w:rsidR="00F17FFD" w:rsidRPr="003B42A7">
        <w:rPr>
          <w:szCs w:val="24"/>
        </w:rPr>
        <w:t>was used, which is described</w:t>
      </w:r>
      <w:r w:rsidR="0026200A" w:rsidRPr="003B42A7">
        <w:rPr>
          <w:szCs w:val="24"/>
        </w:rPr>
        <w:t xml:space="preserve"> previously</w:t>
      </w:r>
      <w:r w:rsidR="00F17FFD" w:rsidRPr="003B42A7">
        <w:rPr>
          <w:szCs w:val="24"/>
        </w:rPr>
        <w:t xml:space="preserve"> in </w:t>
      </w:r>
      <w:r w:rsidR="00B93A09" w:rsidRPr="003B42A7">
        <w:rPr>
          <w:szCs w:val="24"/>
        </w:rPr>
        <w:fldChar w:fldCharType="begin" w:fldLock="1"/>
      </w:r>
      <w:r w:rsidR="00F17FFD" w:rsidRPr="003B42A7">
        <w:rPr>
          <w:szCs w:val="24"/>
        </w:rPr>
        <w:instrText>ADDIN CSL_CITATION {"citationItems":[{"id":"ITEM-1","itemData":{"DOI":"10.1371/journal.pone.0111547","ISBN":"1932-6203","ISSN":"19326203","PMID":"25360806","abstract":"We describe, for the first time, hydrogel-forming microneedle arrays prepared from \"super swelling\" polymeric compositions. We produced a microneedle formulation with enhanced swelling capabilities from aqueous blends containing 20% w/w Gantrez S-97, 7.5% w/w PEG 10,000 and 3% w/w Na2CO3 and utilised a drug reservoir of a lyophilised wafer-like design. These microneedle-lyophilised wafer compositions were robust and effectively penetrated skin, swelling extensively, but being removed intact. In in vitro delivery experiments across excised neonatal porcine skin, approximately 44 mg of the model high dose small molecule drug ibuprofen sodium was delivered in 24 h, equating to 37% of the loading in the lyophilised reservoir. The super swelling microneedles delivered approximately 1.24 mg of the model protein ovalbumin over 24 h, equivalent to a delivery efficiency of approximately 49%. The integrated microneedle-lyophilised wafer delivery system produced a progressive increase in plasma concentrations of ibuprofen sodium in rats over 6 h, with a maximal concentration of approximately 179 µg/ml achieved in this time. The plasma concentration had fallen to 71±6.7 µg/ml by 24 h. Ovalbumin levels peaked in rat plasma after only 1 hour at 42.36±17.01 ng/ml. Ovalbumin plasma levels then remained almost constant up to 6 h, dropping somewhat at 24 h, when 23.61±4.84 ng/ml was detected. This work represents a significant advancement on conventional microneedle systems, which are presently only suitable for bolus delivery of very potent drugs and vaccines. Once fully developed, such technology may greatly expand the range of drugs that can be delivered transdermally, to the benefit of patients and industry. Accordingly, we are currently progressing towards clinical evaluations with a range of candidate molecules.","author":[{"dropping-particle":"","family":"Donnelly","given":"Ryan F.","non-dropping-particle":"","parse-names":false,"suffix":""},{"dropping-particle":"","family":"McCrudden","given":"Maelíosa T.C.","non-dropping-particle":"","parse-names":false,"suffix":""},{"dropping-particle":"","family":"Alkilani","given":"Ahlam Zaid","non-dropping-particle":"","parse-names":false,"suffix":""},{"dropping-particle":"","family":"Larrañeta","given":"Eneko","non-dropping-particle":"","parse-names":false,"suffix":""},{"dropping-particle":"","family":"McAlister","given":"Emma","non-dropping-particle":"","parse-names":false,"suffix":""},{"dropping-particle":"","family":"Courtenay","given":"Aaron J.","non-dropping-particle":"","parse-names":false,"suffix":""},{"dropping-particle":"","family":"Kearney","given":"Mary Carmel","non-dropping-particle":"","parse-names":false,"suffix":""},{"dropping-particle":"","family":"Singh","given":"Thakur Raghu Raj","non-dropping-particle":"","parse-names":false,"suffix":""},{"dropping-particle":"","family":"McCarthy","given":"Helen O.","non-dropping-particle":"","parse-names":false,"suffix":""},{"dropping-particle":"","family":"Kett","given":"Victoria L.","non-dropping-particle":"","parse-names":false,"suffix":""},{"dropping-particle":"","family":"Caffarel-Salvador","given":"Ester","non-dropping-particle":"","parse-names":false,"suffix":""},{"dropping-particle":"","family":"Al-Zahrani","given":"Sharifa","non-dropping-particle":"","parse-names":false,"suffix":""},{"dropping-particle":"","family":"Woolfson","given":"A. David","non-dropping-particle":"","parse-names":false,"suffix":""}],"container-title":"PLoS ONE","id":"ITEM-1","issue":"10","issued":{"date-parts":[["2014"]]},"page":"1-12","title":"Hydrogel-forming microneedles prepared from \"super swelling\" polymers combined with lyophilised wafers for transdermal drug delivery","type":"article-journal","volume":"9"},"uris":["http://www.mendeley.com/documents/?uuid=e822bcf2-128f-4da3-9e38-1f4372c92382"]}],"mendeley":{"formattedCitation":"(Donnelly, McCrudden, &lt;i&gt;et al.&lt;/i&gt;, 2014)","manualFormatting":"Donnelly et al. (2014c)","plainTextFormattedCitation":"(Donnelly, McCrudden, et al., 2014)","previouslyFormattedCitation":"(Donnelly, McCrudden, &lt;i&gt;et al.&lt;/i&gt;, 2014)"},"properties":{"noteIndex":0},"schema":"https://github.com/citation-style-language/schema/raw/master/csl-citation.json"}</w:instrText>
      </w:r>
      <w:r w:rsidR="00B93A09" w:rsidRPr="003B42A7">
        <w:rPr>
          <w:szCs w:val="24"/>
        </w:rPr>
        <w:fldChar w:fldCharType="separate"/>
      </w:r>
      <w:r w:rsidR="00F17FFD" w:rsidRPr="003B42A7">
        <w:rPr>
          <w:noProof/>
          <w:szCs w:val="24"/>
        </w:rPr>
        <w:t xml:space="preserve">Donnelly </w:t>
      </w:r>
      <w:r w:rsidR="00F17FFD" w:rsidRPr="003B42A7">
        <w:rPr>
          <w:i/>
          <w:noProof/>
          <w:szCs w:val="24"/>
        </w:rPr>
        <w:t>et al.</w:t>
      </w:r>
      <w:r w:rsidR="00F17FFD" w:rsidRPr="003B42A7">
        <w:rPr>
          <w:noProof/>
          <w:szCs w:val="24"/>
        </w:rPr>
        <w:t xml:space="preserve"> (2014)</w:t>
      </w:r>
      <w:r w:rsidR="00B93A09" w:rsidRPr="003B42A7">
        <w:rPr>
          <w:szCs w:val="24"/>
        </w:rPr>
        <w:fldChar w:fldCharType="end"/>
      </w:r>
      <w:r w:rsidR="00F17FFD" w:rsidRPr="003B42A7">
        <w:rPr>
          <w:szCs w:val="24"/>
        </w:rPr>
        <w:t>.</w:t>
      </w:r>
      <w:r w:rsidR="0026200A" w:rsidRPr="003B42A7">
        <w:rPr>
          <w:color w:val="000000" w:themeColor="text1"/>
          <w:szCs w:val="24"/>
        </w:rPr>
        <w:t xml:space="preserve"> Briefly, FDC-400 Franz diffusion cells with flat flange, 15 mm luminal diameter, mounted on a FDCD diffusion drive console providing synchronized stirring at 600 rpm and temperature regulated at 32 ± 1ºC were used. </w:t>
      </w:r>
      <w:r w:rsidR="00CA0CDF" w:rsidRPr="003B42A7">
        <w:rPr>
          <w:color w:val="000000" w:themeColor="text1"/>
          <w:szCs w:val="24"/>
        </w:rPr>
        <w:t>Neonatal porcine skin was acquired from stillborn piglets and excised immediately (&lt;24 h post-partum) and trimmed to 350 µm thickness using a</w:t>
      </w:r>
      <w:r w:rsidR="00F46E1A" w:rsidRPr="003B42A7">
        <w:rPr>
          <w:color w:val="000000" w:themeColor="text1"/>
          <w:szCs w:val="24"/>
        </w:rPr>
        <w:t>n electric</w:t>
      </w:r>
      <w:r w:rsidR="00A23E15" w:rsidRPr="003B42A7">
        <w:rPr>
          <w:color w:val="000000" w:themeColor="text1"/>
          <w:szCs w:val="24"/>
        </w:rPr>
        <w:t xml:space="preserve"> </w:t>
      </w:r>
      <w:r w:rsidR="00A23E15" w:rsidRPr="003B42A7">
        <w:rPr>
          <w:rFonts w:cs="Times New Roman"/>
          <w:color w:val="000000"/>
          <w:szCs w:val="24"/>
        </w:rPr>
        <w:t>Integra Padgett</w:t>
      </w:r>
      <w:r w:rsidR="00A23E15" w:rsidRPr="003B42A7">
        <w:rPr>
          <w:rFonts w:cs="Times New Roman"/>
          <w:color w:val="000000"/>
          <w:szCs w:val="24"/>
          <w:vertAlign w:val="superscript"/>
        </w:rPr>
        <w:t>®</w:t>
      </w:r>
      <w:r w:rsidR="00A23E15" w:rsidRPr="003B42A7">
        <w:rPr>
          <w:rFonts w:cs="Times New Roman"/>
          <w:color w:val="000000"/>
          <w:szCs w:val="24"/>
        </w:rPr>
        <w:t xml:space="preserve"> dermatome Model B (Integra Life Sciences Corporation, Ratingen, Germany)</w:t>
      </w:r>
      <w:r w:rsidR="00CA0CDF" w:rsidRPr="003B42A7">
        <w:rPr>
          <w:color w:val="000000" w:themeColor="text1"/>
          <w:szCs w:val="24"/>
        </w:rPr>
        <w:t xml:space="preserve">. The skin was stored at -20ºC until it was needed. The neonatal porcine skin was shaved and equilibrated in PBS (pH 7.4) for 15 min prior to use. A portion of this skin was secured to the donor compartment of the diffusion cell using cyanoacrylate glue. </w:t>
      </w:r>
      <w:r w:rsidR="00F46E1A" w:rsidRPr="003B42A7">
        <w:rPr>
          <w:color w:val="000000" w:themeColor="text1"/>
          <w:szCs w:val="24"/>
        </w:rPr>
        <w:t xml:space="preserve">A hydrogel-forming </w:t>
      </w:r>
      <w:r w:rsidR="00CA0CDF" w:rsidRPr="003B42A7">
        <w:rPr>
          <w:color w:val="000000" w:themeColor="text1"/>
          <w:szCs w:val="24"/>
        </w:rPr>
        <w:t>M</w:t>
      </w:r>
      <w:r w:rsidR="00F46E1A" w:rsidRPr="003B42A7">
        <w:rPr>
          <w:color w:val="000000" w:themeColor="text1"/>
          <w:szCs w:val="24"/>
        </w:rPr>
        <w:t>N array was</w:t>
      </w:r>
      <w:r w:rsidR="00CA0CDF" w:rsidRPr="003B42A7">
        <w:rPr>
          <w:color w:val="000000" w:themeColor="text1"/>
          <w:szCs w:val="24"/>
        </w:rPr>
        <w:t xml:space="preserve"> applied to the skin using manual application pressure for 30 s. To facilitate adhesion of the </w:t>
      </w:r>
      <w:r w:rsidR="00F46E1A" w:rsidRPr="003B42A7">
        <w:rPr>
          <w:color w:val="000000" w:themeColor="text1"/>
          <w:szCs w:val="24"/>
        </w:rPr>
        <w:t xml:space="preserve">polymeric film or </w:t>
      </w:r>
      <w:r w:rsidR="00CA0CDF" w:rsidRPr="003B42A7">
        <w:rPr>
          <w:color w:val="000000" w:themeColor="text1"/>
          <w:szCs w:val="24"/>
        </w:rPr>
        <w:t>lyophilised wafer, 10 µl of water was applied to the back of the MN array.</w:t>
      </w:r>
      <w:r w:rsidR="00F46E1A" w:rsidRPr="003B42A7">
        <w:rPr>
          <w:color w:val="000000" w:themeColor="text1"/>
          <w:szCs w:val="24"/>
        </w:rPr>
        <w:t xml:space="preserve"> An ESK-containing polymeric film or lyophilised wafer was subsequently placed on top of the MN array. A stainless steel weight (diameter 11 mm, mass 3.5 g)</w:t>
      </w:r>
      <w:r w:rsidR="00CA0CDF" w:rsidRPr="003B42A7">
        <w:rPr>
          <w:color w:val="000000" w:themeColor="text1"/>
          <w:szCs w:val="24"/>
        </w:rPr>
        <w:t xml:space="preserve"> was </w:t>
      </w:r>
      <w:r w:rsidR="00F46E1A" w:rsidRPr="003B42A7">
        <w:rPr>
          <w:color w:val="000000" w:themeColor="text1"/>
          <w:szCs w:val="24"/>
        </w:rPr>
        <w:t xml:space="preserve">then </w:t>
      </w:r>
      <w:r w:rsidR="00CA0CDF" w:rsidRPr="003B42A7">
        <w:rPr>
          <w:color w:val="000000" w:themeColor="text1"/>
          <w:szCs w:val="24"/>
        </w:rPr>
        <w:t xml:space="preserve">placed on top of the </w:t>
      </w:r>
      <w:r w:rsidR="00F46E1A" w:rsidRPr="003B42A7">
        <w:rPr>
          <w:color w:val="000000" w:themeColor="text1"/>
          <w:szCs w:val="24"/>
        </w:rPr>
        <w:t>ESK-</w:t>
      </w:r>
      <w:r w:rsidR="00CA0CDF" w:rsidRPr="003B42A7">
        <w:rPr>
          <w:color w:val="000000" w:themeColor="text1"/>
          <w:szCs w:val="24"/>
        </w:rPr>
        <w:t>containing</w:t>
      </w:r>
      <w:r w:rsidR="00F46E1A" w:rsidRPr="003B42A7">
        <w:rPr>
          <w:color w:val="000000" w:themeColor="text1"/>
          <w:szCs w:val="24"/>
        </w:rPr>
        <w:t xml:space="preserve"> polymeric film or</w:t>
      </w:r>
      <w:r w:rsidR="00CA0CDF" w:rsidRPr="003B42A7">
        <w:rPr>
          <w:color w:val="000000" w:themeColor="text1"/>
          <w:szCs w:val="24"/>
        </w:rPr>
        <w:t xml:space="preserve"> lyophilised wafer to help mainta</w:t>
      </w:r>
      <w:r w:rsidR="00F46E1A" w:rsidRPr="003B42A7">
        <w:rPr>
          <w:color w:val="000000" w:themeColor="text1"/>
          <w:szCs w:val="24"/>
        </w:rPr>
        <w:t>in contact between the film or wafer</w:t>
      </w:r>
      <w:r w:rsidR="00CA0CDF" w:rsidRPr="003B42A7">
        <w:rPr>
          <w:color w:val="000000" w:themeColor="text1"/>
          <w:szCs w:val="24"/>
        </w:rPr>
        <w:t xml:space="preserve"> and MN</w:t>
      </w:r>
      <w:r w:rsidR="00F46E1A" w:rsidRPr="003B42A7">
        <w:rPr>
          <w:color w:val="000000" w:themeColor="text1"/>
          <w:szCs w:val="24"/>
        </w:rPr>
        <w:t xml:space="preserve"> array</w:t>
      </w:r>
      <w:r w:rsidR="00CA0CDF" w:rsidRPr="003B42A7">
        <w:rPr>
          <w:color w:val="000000" w:themeColor="text1"/>
          <w:szCs w:val="24"/>
        </w:rPr>
        <w:t>, and also to ensure MN</w:t>
      </w:r>
      <w:r w:rsidR="00F46E1A" w:rsidRPr="003B42A7">
        <w:rPr>
          <w:color w:val="000000" w:themeColor="text1"/>
          <w:szCs w:val="24"/>
        </w:rPr>
        <w:t xml:space="preserve"> array</w:t>
      </w:r>
      <w:r w:rsidR="00CA0CDF" w:rsidRPr="003B42A7">
        <w:rPr>
          <w:color w:val="000000" w:themeColor="text1"/>
          <w:szCs w:val="24"/>
        </w:rPr>
        <w:t xml:space="preserve"> insertion throughout the 24 h experiment. The donor cell was secured to the receiver compartment using a </w:t>
      </w:r>
      <w:r w:rsidR="00F46E1A" w:rsidRPr="003B42A7">
        <w:rPr>
          <w:color w:val="000000" w:themeColor="text1"/>
          <w:szCs w:val="24"/>
        </w:rPr>
        <w:t xml:space="preserve">stainless </w:t>
      </w:r>
      <w:r w:rsidR="00CA0CDF" w:rsidRPr="003B42A7">
        <w:rPr>
          <w:color w:val="000000" w:themeColor="text1"/>
          <w:szCs w:val="24"/>
        </w:rPr>
        <w:t>steel clamp, and covered with Parafilm</w:t>
      </w:r>
      <w:r w:rsidR="00F46E1A" w:rsidRPr="003B42A7">
        <w:rPr>
          <w:color w:val="000000" w:themeColor="text1"/>
          <w:szCs w:val="24"/>
        </w:rPr>
        <w:t xml:space="preserve"> M</w:t>
      </w:r>
      <w:r w:rsidR="00CA0CDF" w:rsidRPr="003B42A7">
        <w:rPr>
          <w:color w:val="000000" w:themeColor="text1"/>
          <w:szCs w:val="24"/>
          <w:vertAlign w:val="superscript"/>
        </w:rPr>
        <w:t>®</w:t>
      </w:r>
      <w:r w:rsidR="00CA0CDF" w:rsidRPr="003B42A7">
        <w:rPr>
          <w:color w:val="000000" w:themeColor="text1"/>
          <w:szCs w:val="24"/>
        </w:rPr>
        <w:t xml:space="preserve"> to reduce evaporation.</w:t>
      </w:r>
      <w:r w:rsidR="00F46E1A" w:rsidRPr="003B42A7">
        <w:rPr>
          <w:color w:val="000000" w:themeColor="text1"/>
          <w:szCs w:val="24"/>
        </w:rPr>
        <w:t xml:space="preserve"> The receiver compartment contained PBS (pH 7.4), which was degassed prior to use by sonication,</w:t>
      </w:r>
      <w:r w:rsidR="00CA0CDF" w:rsidRPr="003B42A7">
        <w:rPr>
          <w:color w:val="000000" w:themeColor="text1"/>
          <w:szCs w:val="24"/>
        </w:rPr>
        <w:t xml:space="preserve"> Samples were taken (&lt;200 µl) at intervals over the 24 h time period with heat equilibrated PBS (pH 7.4) used to replace sampling fluid</w:t>
      </w:r>
      <w:r w:rsidR="00D43899" w:rsidRPr="003B42A7">
        <w:rPr>
          <w:color w:val="000000" w:themeColor="text1"/>
          <w:szCs w:val="24"/>
        </w:rPr>
        <w:t xml:space="preserve"> The concentrations of ES</w:t>
      </w:r>
      <w:r w:rsidR="00F46E1A" w:rsidRPr="003B42A7">
        <w:rPr>
          <w:color w:val="000000" w:themeColor="text1"/>
          <w:szCs w:val="24"/>
        </w:rPr>
        <w:t>K in the receiver compartment was quantified using RP-HPLC</w:t>
      </w:r>
      <w:r w:rsidR="00CA0CDF" w:rsidRPr="003B42A7">
        <w:rPr>
          <w:color w:val="000000" w:themeColor="text1"/>
          <w:szCs w:val="24"/>
        </w:rPr>
        <w:t>.</w:t>
      </w:r>
    </w:p>
    <w:p w14:paraId="4281A364" w14:textId="127F3A24" w:rsidR="00A23E15" w:rsidRPr="003B42A7" w:rsidRDefault="00A23E15" w:rsidP="006115CA">
      <w:pPr>
        <w:spacing w:line="360" w:lineRule="auto"/>
        <w:rPr>
          <w:szCs w:val="24"/>
        </w:rPr>
      </w:pPr>
    </w:p>
    <w:p w14:paraId="35E64455" w14:textId="77777777" w:rsidR="004A6530" w:rsidRPr="003B42A7" w:rsidRDefault="004A6530" w:rsidP="006115CA">
      <w:pPr>
        <w:spacing w:line="360" w:lineRule="auto"/>
        <w:rPr>
          <w:szCs w:val="24"/>
        </w:rPr>
      </w:pPr>
    </w:p>
    <w:p w14:paraId="0265FCFD" w14:textId="77777777" w:rsidR="005D15D4" w:rsidRPr="003B42A7" w:rsidRDefault="005D15D4" w:rsidP="00F456D2">
      <w:pPr>
        <w:pStyle w:val="Heading2"/>
      </w:pPr>
      <w:r w:rsidRPr="003B42A7">
        <w:lastRenderedPageBreak/>
        <w:t>In vivo delivery of ESK from Sprague-Dawley rats</w:t>
      </w:r>
    </w:p>
    <w:p w14:paraId="1DA7183B" w14:textId="77777777" w:rsidR="00A23E15" w:rsidRPr="003B42A7" w:rsidRDefault="00A23E15" w:rsidP="00A23E15">
      <w:pPr>
        <w:spacing w:line="360" w:lineRule="auto"/>
        <w:jc w:val="both"/>
      </w:pPr>
      <w:r w:rsidRPr="003B42A7">
        <w:t xml:space="preserve">Approval for animal experiments was obtained from the committee of the Biological Research Unit, Queen's University Belfast. With the implementation of the principles of the 3Rs (replacement, reduction, and refinement), this </w:t>
      </w:r>
      <w:r w:rsidRPr="003B42A7">
        <w:rPr>
          <w:i/>
        </w:rPr>
        <w:t>in vivo</w:t>
      </w:r>
      <w:r w:rsidRPr="003B42A7">
        <w:t xml:space="preserve"> experiment was conducted according to the policy of the Federation of European Laboratory Animal Science Associations and the European Convention for the protection of vertebrate animals used for experimental and other scientific purposes. </w:t>
      </w:r>
    </w:p>
    <w:p w14:paraId="2E594A42" w14:textId="2CC19E09" w:rsidR="00A23E15" w:rsidRPr="003B42A7" w:rsidRDefault="00A23E15" w:rsidP="00A23E15">
      <w:pPr>
        <w:spacing w:line="360" w:lineRule="auto"/>
        <w:jc w:val="both"/>
      </w:pPr>
      <w:r w:rsidRPr="003B42A7">
        <w:t>Female Sprague-Dawley rats (</w:t>
      </w:r>
      <w:r w:rsidRPr="003B42A7">
        <w:rPr>
          <w:i/>
        </w:rPr>
        <w:t>n</w:t>
      </w:r>
      <w:r w:rsidRPr="003B42A7">
        <w:t>=18) (Charles River Laboratories, Harlow, UK), were separated into three cohorts (</w:t>
      </w:r>
      <w:r w:rsidRPr="003B42A7">
        <w:rPr>
          <w:i/>
        </w:rPr>
        <w:t>n</w:t>
      </w:r>
      <w:r w:rsidRPr="003B42A7">
        <w:t xml:space="preserve">=6 in the treatment cohorts, </w:t>
      </w:r>
      <w:r w:rsidRPr="003B42A7">
        <w:rPr>
          <w:i/>
        </w:rPr>
        <w:t>n</w:t>
      </w:r>
      <w:r w:rsidRPr="003B42A7">
        <w:t>=3 in the control cohort). The transdermal treatments cohorts were rats treated with four MN patches consisting of either formulation code, F3 or LW3 as the drug-containing reservoir. In the control cohort, rats were given ESK solution (5 mg/kg) which was administered intravenously</w:t>
      </w:r>
      <w:r w:rsidR="00160EB0" w:rsidRPr="003B42A7">
        <w:t xml:space="preserve"> using the lateral caudal tail vein</w:t>
      </w:r>
      <w:r w:rsidRPr="003B42A7">
        <w:t xml:space="preserve">.  </w:t>
      </w:r>
    </w:p>
    <w:p w14:paraId="328280A6" w14:textId="242143F4" w:rsidR="00A23E15" w:rsidRPr="003B42A7" w:rsidRDefault="00A23E15" w:rsidP="00A23E15">
      <w:pPr>
        <w:spacing w:line="360" w:lineRule="auto"/>
        <w:jc w:val="both"/>
        <w:rPr>
          <w:color w:val="000000"/>
        </w:rPr>
      </w:pPr>
      <w:r w:rsidRPr="003B42A7">
        <w:t xml:space="preserve">For MN patch application, animals were anaesthetised using gas anaesthesia (5% isoflurane inn oxygen, flow 2 l/min). Maintenance anaesthesia was achieved by lowering isoflurane concentration to 2.5% v/v, flow 2 l/min. Using electric clippers, the backs of the rats were clipped. Hair removal cream was applied to remove all remaining hairs in the intended </w:t>
      </w:r>
      <w:r w:rsidRPr="003B42A7">
        <w:rPr>
          <w:szCs w:val="24"/>
        </w:rPr>
        <w:t xml:space="preserve">application area. </w:t>
      </w:r>
      <w:r w:rsidR="002052C0" w:rsidRPr="003B42A7">
        <w:rPr>
          <w:szCs w:val="24"/>
        </w:rPr>
        <w:t>H</w:t>
      </w:r>
      <w:r w:rsidRPr="003B42A7">
        <w:rPr>
          <w:szCs w:val="24"/>
        </w:rPr>
        <w:t xml:space="preserve">ydrogel-forming MN arrays </w:t>
      </w:r>
      <w:r w:rsidR="002052C0" w:rsidRPr="003B42A7">
        <w:rPr>
          <w:szCs w:val="24"/>
        </w:rPr>
        <w:t>(4 x MN patches each containing 120</w:t>
      </w:r>
      <w:r w:rsidR="00DD13E4" w:rsidRPr="003B42A7">
        <w:rPr>
          <w:szCs w:val="24"/>
        </w:rPr>
        <w:t xml:space="preserve"> </w:t>
      </w:r>
      <w:r w:rsidR="002052C0" w:rsidRPr="003B42A7">
        <w:rPr>
          <w:szCs w:val="24"/>
        </w:rPr>
        <w:t xml:space="preserve">mg ESK) </w:t>
      </w:r>
      <w:r w:rsidRPr="003B42A7">
        <w:rPr>
          <w:szCs w:val="24"/>
        </w:rPr>
        <w:t xml:space="preserve">were applied using manual thumb pressure onto a pinched section of skin on the back of the rats for 30 s. The ESK drug-containing reservoir (F3 or LW3) was subsequently placed on top of the MN array and </w:t>
      </w:r>
      <w:r w:rsidRPr="003B42A7">
        <w:rPr>
          <w:i/>
          <w:szCs w:val="24"/>
        </w:rPr>
        <w:t>held in situ</w:t>
      </w:r>
      <w:r w:rsidRPr="003B42A7">
        <w:rPr>
          <w:szCs w:val="24"/>
        </w:rPr>
        <w:t xml:space="preserve"> using </w:t>
      </w:r>
      <w:proofErr w:type="spellStart"/>
      <w:r w:rsidRPr="003B42A7">
        <w:rPr>
          <w:szCs w:val="24"/>
        </w:rPr>
        <w:t>Microfoam</w:t>
      </w:r>
      <w:proofErr w:type="spellEnd"/>
      <w:r w:rsidRPr="003B42A7">
        <w:rPr>
          <w:rFonts w:cs="Times New Roman"/>
          <w:szCs w:val="24"/>
        </w:rPr>
        <w:t xml:space="preserve">™ </w:t>
      </w:r>
      <w:r w:rsidRPr="003B42A7">
        <w:rPr>
          <w:szCs w:val="24"/>
        </w:rPr>
        <w:t xml:space="preserve">surgical tape (3M, St Paul, Minnesota, USA). </w:t>
      </w:r>
      <w:proofErr w:type="spellStart"/>
      <w:r w:rsidRPr="003B42A7">
        <w:rPr>
          <w:szCs w:val="24"/>
        </w:rPr>
        <w:t>Tegaderm</w:t>
      </w:r>
      <w:r w:rsidRPr="003B42A7">
        <w:rPr>
          <w:szCs w:val="24"/>
          <w:vertAlign w:val="superscript"/>
        </w:rPr>
        <w:t>TM</w:t>
      </w:r>
      <w:proofErr w:type="spellEnd"/>
      <w:r w:rsidRPr="003B42A7">
        <w:rPr>
          <w:szCs w:val="24"/>
        </w:rPr>
        <w:t xml:space="preserve"> film was placed over all the MN patches and </w:t>
      </w:r>
      <w:proofErr w:type="spellStart"/>
      <w:r w:rsidRPr="003B42A7">
        <w:rPr>
          <w:szCs w:val="24"/>
        </w:rPr>
        <w:t>Micropore</w:t>
      </w:r>
      <w:r w:rsidRPr="003B42A7">
        <w:rPr>
          <w:szCs w:val="24"/>
          <w:vertAlign w:val="superscript"/>
        </w:rPr>
        <w:t>TM</w:t>
      </w:r>
      <w:proofErr w:type="spellEnd"/>
      <w:r w:rsidRPr="003B42A7">
        <w:rPr>
          <w:szCs w:val="24"/>
        </w:rPr>
        <w:t xml:space="preserve"> surgical tape was subsequently wrapped around the back of the rats to hold the MN patches firmly in place for 24 h.</w:t>
      </w:r>
      <w:r w:rsidRPr="003B42A7">
        <w:t xml:space="preserve"> </w:t>
      </w:r>
    </w:p>
    <w:p w14:paraId="538E1C65" w14:textId="775F2628" w:rsidR="00A23E15" w:rsidRPr="003B42A7" w:rsidRDefault="00A23E15" w:rsidP="00EA054B">
      <w:pPr>
        <w:spacing w:line="360" w:lineRule="auto"/>
        <w:jc w:val="both"/>
      </w:pPr>
      <w:r w:rsidRPr="003B42A7">
        <w:t>At pre-defined intervals, each rat was heated in a 39</w:t>
      </w:r>
      <w:r w:rsidRPr="003B42A7">
        <w:rPr>
          <w:rFonts w:cs="Times New Roman"/>
        </w:rPr>
        <w:t>°</w:t>
      </w:r>
      <w:r w:rsidRPr="003B42A7">
        <w:t xml:space="preserve">C heat-box to dilate their tail veins. Using a 23 G hypodermic needle (flushed with heparin solution), blood samples were taken from the rats </w:t>
      </w:r>
      <w:r w:rsidRPr="003B42A7">
        <w:rPr>
          <w:i/>
        </w:rPr>
        <w:t>via</w:t>
      </w:r>
      <w:r w:rsidRPr="003B42A7">
        <w:t xml:space="preserve"> the tail. In the treatment cohorts, blood samples were collected</w:t>
      </w:r>
      <w:r w:rsidR="00032791" w:rsidRPr="003B42A7">
        <w:t>, at staggered design,</w:t>
      </w:r>
      <w:r w:rsidRPr="003B42A7">
        <w:t xml:space="preserve"> at 1.5, 2, 4</w:t>
      </w:r>
      <w:r w:rsidR="00032791" w:rsidRPr="003B42A7">
        <w:t>, 6, 24</w:t>
      </w:r>
      <w:r w:rsidRPr="003B42A7">
        <w:t xml:space="preserve"> and </w:t>
      </w:r>
      <w:r w:rsidR="00032791" w:rsidRPr="003B42A7">
        <w:t xml:space="preserve">26 </w:t>
      </w:r>
      <w:r w:rsidRPr="003B42A7">
        <w:t>h</w:t>
      </w:r>
      <w:r w:rsidR="00EC74B6" w:rsidRPr="003B42A7">
        <w:t xml:space="preserve"> from 3 animals per time-point</w:t>
      </w:r>
      <w:r w:rsidRPr="003B42A7">
        <w:t xml:space="preserve">.  In the control cohort, blood samples were collected at </w:t>
      </w:r>
      <w:r w:rsidR="00032791" w:rsidRPr="003B42A7">
        <w:t xml:space="preserve">5, 15, </w:t>
      </w:r>
      <w:r w:rsidRPr="003B42A7">
        <w:t>30 min, 1, 2, 4 and 24 h</w:t>
      </w:r>
      <w:r w:rsidR="00EC74B6" w:rsidRPr="003B42A7">
        <w:t xml:space="preserve"> from 3 animals per time-point</w:t>
      </w:r>
      <w:r w:rsidRPr="003B42A7">
        <w:t xml:space="preserve">. Plasma separation was performed by centrifuging the collected rat blood at 3,000 </w:t>
      </w:r>
      <w:r w:rsidRPr="003B42A7">
        <w:rPr>
          <w:szCs w:val="24"/>
        </w:rPr>
        <w:t xml:space="preserve">rpm </w:t>
      </w:r>
      <w:r w:rsidRPr="003B42A7">
        <w:t xml:space="preserve">for 10 min at 4˚C in a refrigerated centrifuge. Plasma samples were collected and stored in a freezer at -80°C until analysis. </w:t>
      </w:r>
    </w:p>
    <w:p w14:paraId="0DE44276" w14:textId="77777777" w:rsidR="00A23E15" w:rsidRPr="003B42A7" w:rsidRDefault="00A23E15" w:rsidP="00A23E15">
      <w:pPr>
        <w:spacing w:line="360" w:lineRule="auto"/>
        <w:jc w:val="both"/>
        <w:rPr>
          <w:color w:val="FF0000"/>
        </w:rPr>
      </w:pPr>
      <w:r w:rsidRPr="003B42A7">
        <w:lastRenderedPageBreak/>
        <w:t xml:space="preserve">All MN patches were removed after 24 h, with adhesive remover spray used to aid removal of the MN patch set up. In all cases, MN patches were visualised and photographed, with comments on the swelling and reservoir dissolution noted.  </w:t>
      </w:r>
    </w:p>
    <w:p w14:paraId="08D64E56" w14:textId="77777777" w:rsidR="00CA0CDF" w:rsidRPr="003B42A7" w:rsidRDefault="00CA0CDF" w:rsidP="006115CA">
      <w:pPr>
        <w:spacing w:line="360" w:lineRule="auto"/>
      </w:pPr>
    </w:p>
    <w:p w14:paraId="2087E5D4" w14:textId="77777777" w:rsidR="0041445C" w:rsidRPr="003B42A7" w:rsidRDefault="0041445C" w:rsidP="00F456D2">
      <w:pPr>
        <w:pStyle w:val="Heading2"/>
      </w:pPr>
      <w:r w:rsidRPr="003B42A7">
        <w:t>ESK extraction from Sprague-Dawley rat plasma</w:t>
      </w:r>
    </w:p>
    <w:p w14:paraId="4E4B3367" w14:textId="3FDE5F38" w:rsidR="006975E1" w:rsidRPr="003B42A7" w:rsidRDefault="0041445C" w:rsidP="002052C0">
      <w:pPr>
        <w:tabs>
          <w:tab w:val="left" w:pos="284"/>
        </w:tabs>
        <w:spacing w:line="360" w:lineRule="auto"/>
        <w:jc w:val="both"/>
        <w:rPr>
          <w:rFonts w:cs="Times New Roman"/>
        </w:rPr>
      </w:pPr>
      <w:r w:rsidRPr="003B42A7">
        <w:rPr>
          <w:szCs w:val="24"/>
        </w:rPr>
        <w:t>Healthy female Sprague-Dawley rats were culled and following cardiac puncture, blood was collected into heparinised micro tubes. This ‘control’ blood was used for assay method development. Plasma separation was performe</w:t>
      </w:r>
      <w:r w:rsidR="00C879D4" w:rsidRPr="003B42A7">
        <w:rPr>
          <w:szCs w:val="24"/>
        </w:rPr>
        <w:t>d by centrifuging the blood at 3</w:t>
      </w:r>
      <w:r w:rsidR="00A23E15" w:rsidRPr="003B42A7">
        <w:rPr>
          <w:szCs w:val="24"/>
        </w:rPr>
        <w:t xml:space="preserve">,000 </w:t>
      </w:r>
      <w:r w:rsidRPr="003B42A7">
        <w:rPr>
          <w:szCs w:val="24"/>
        </w:rPr>
        <w:t>rpm</w:t>
      </w:r>
      <w:r w:rsidR="00C879D4" w:rsidRPr="003B42A7">
        <w:rPr>
          <w:szCs w:val="24"/>
        </w:rPr>
        <w:t xml:space="preserve"> for 10</w:t>
      </w:r>
      <w:r w:rsidRPr="003B42A7">
        <w:rPr>
          <w:szCs w:val="24"/>
        </w:rPr>
        <w:t xml:space="preserve"> min in a refrigerated centrifuge (4°C). The supernatant was extracted, collected and stored at -80°C until required. </w:t>
      </w:r>
      <w:r w:rsidRPr="003B42A7">
        <w:rPr>
          <w:rFonts w:cs="Times New Roman"/>
          <w:szCs w:val="24"/>
        </w:rPr>
        <w:t xml:space="preserve">To extract ESK from plasma, </w:t>
      </w:r>
      <w:r w:rsidR="00CF4D13" w:rsidRPr="003B42A7">
        <w:rPr>
          <w:rFonts w:cs="Times New Roman"/>
          <w:szCs w:val="24"/>
        </w:rPr>
        <w:t>a</w:t>
      </w:r>
      <w:r w:rsidR="006975E1" w:rsidRPr="003B42A7">
        <w:rPr>
          <w:lang w:val="en-US"/>
        </w:rPr>
        <w:t xml:space="preserve"> number of protein precipitation methods were assessed including addition of acetonitrile however, this yielded inconsistent </w:t>
      </w:r>
      <w:r w:rsidR="00CF4D13" w:rsidRPr="003B42A7">
        <w:rPr>
          <w:lang w:val="en-US"/>
        </w:rPr>
        <w:t>RP-</w:t>
      </w:r>
      <w:r w:rsidR="006975E1" w:rsidRPr="003B42A7">
        <w:rPr>
          <w:lang w:val="en-US"/>
        </w:rPr>
        <w:t>HPLC traces with many interfering peaks. The optimal protein precipita</w:t>
      </w:r>
      <w:r w:rsidR="00DD13E4" w:rsidRPr="003B42A7">
        <w:rPr>
          <w:lang w:val="en-US"/>
        </w:rPr>
        <w:t xml:space="preserve">tion agent was </w:t>
      </w:r>
      <w:proofErr w:type="spellStart"/>
      <w:r w:rsidR="00DD13E4" w:rsidRPr="003B42A7">
        <w:rPr>
          <w:lang w:val="en-US"/>
        </w:rPr>
        <w:t>p</w:t>
      </w:r>
      <w:r w:rsidR="006975E1" w:rsidRPr="003B42A7">
        <w:rPr>
          <w:lang w:val="en-US"/>
        </w:rPr>
        <w:t>erchloroacetic</w:t>
      </w:r>
      <w:proofErr w:type="spellEnd"/>
      <w:r w:rsidR="006975E1" w:rsidRPr="003B42A7">
        <w:rPr>
          <w:lang w:val="en-US"/>
        </w:rPr>
        <w:t xml:space="preserve"> acid. As such, 100 µl of plasma had the protein content pre</w:t>
      </w:r>
      <w:r w:rsidR="00DD13E4" w:rsidRPr="003B42A7">
        <w:rPr>
          <w:lang w:val="en-US"/>
        </w:rPr>
        <w:t xml:space="preserve">cipitated with 100 µl of 0.5 M </w:t>
      </w:r>
      <w:proofErr w:type="spellStart"/>
      <w:r w:rsidR="00DD13E4" w:rsidRPr="003B42A7">
        <w:rPr>
          <w:lang w:val="en-US"/>
        </w:rPr>
        <w:t>p</w:t>
      </w:r>
      <w:r w:rsidR="006975E1" w:rsidRPr="003B42A7">
        <w:rPr>
          <w:lang w:val="en-US"/>
        </w:rPr>
        <w:t>erchloroacetic</w:t>
      </w:r>
      <w:proofErr w:type="spellEnd"/>
      <w:r w:rsidR="006975E1" w:rsidRPr="003B42A7">
        <w:rPr>
          <w:lang w:val="en-US"/>
        </w:rPr>
        <w:t xml:space="preserve"> acid. The mixture was centrifuged at 15</w:t>
      </w:r>
      <w:r w:rsidR="00CF4D13" w:rsidRPr="003B42A7">
        <w:rPr>
          <w:lang w:val="en-US"/>
        </w:rPr>
        <w:t>,</w:t>
      </w:r>
      <w:r w:rsidR="006975E1" w:rsidRPr="003B42A7">
        <w:rPr>
          <w:lang w:val="en-US"/>
        </w:rPr>
        <w:t xml:space="preserve">000 rpm for 15 min at 4ºC. The supernatant </w:t>
      </w:r>
      <w:r w:rsidR="00CF4D13" w:rsidRPr="003B42A7">
        <w:rPr>
          <w:lang w:val="en-US"/>
        </w:rPr>
        <w:t xml:space="preserve">was </w:t>
      </w:r>
      <w:r w:rsidR="006975E1" w:rsidRPr="003B42A7">
        <w:rPr>
          <w:lang w:val="en-US"/>
        </w:rPr>
        <w:t xml:space="preserve">extracted </w:t>
      </w:r>
      <w:r w:rsidR="007E781F" w:rsidRPr="003B42A7">
        <w:rPr>
          <w:lang w:val="en-US"/>
        </w:rPr>
        <w:t>for</w:t>
      </w:r>
      <w:r w:rsidR="006975E1" w:rsidRPr="003B42A7">
        <w:rPr>
          <w:lang w:val="en-US"/>
        </w:rPr>
        <w:t xml:space="preserve"> solid phase extraction (SPE).</w:t>
      </w:r>
      <w:r w:rsidR="007E781F" w:rsidRPr="003B42A7">
        <w:rPr>
          <w:rFonts w:cs="Times New Roman"/>
        </w:rPr>
        <w:t xml:space="preserve"> </w:t>
      </w:r>
      <w:r w:rsidR="006975E1" w:rsidRPr="003B42A7">
        <w:rPr>
          <w:lang w:val="en-US"/>
        </w:rPr>
        <w:t>Oasis HLB Max cartridges were preconditioned with 1 ml of methanol followed by 1 ml of water. The plasma supernatants were added to the cartridge and washed with 600 µl of water. Samples were eluted from SPE cartridge</w:t>
      </w:r>
      <w:r w:rsidR="007E781F" w:rsidRPr="003B42A7">
        <w:rPr>
          <w:lang w:val="en-US"/>
        </w:rPr>
        <w:t>s</w:t>
      </w:r>
      <w:r w:rsidR="006975E1" w:rsidRPr="003B42A7">
        <w:rPr>
          <w:lang w:val="en-US"/>
        </w:rPr>
        <w:t xml:space="preserve"> using 1 </w:t>
      </w:r>
      <w:r w:rsidR="007E781F" w:rsidRPr="003B42A7">
        <w:rPr>
          <w:lang w:val="en-US"/>
        </w:rPr>
        <w:t>ml methanol and collected into</w:t>
      </w:r>
      <w:r w:rsidR="006975E1" w:rsidRPr="003B42A7">
        <w:rPr>
          <w:lang w:val="en-US"/>
        </w:rPr>
        <w:t xml:space="preserve"> glass tube</w:t>
      </w:r>
      <w:r w:rsidR="007E781F" w:rsidRPr="003B42A7">
        <w:rPr>
          <w:lang w:val="en-US"/>
        </w:rPr>
        <w:t>s</w:t>
      </w:r>
      <w:r w:rsidR="006975E1" w:rsidRPr="003B42A7">
        <w:rPr>
          <w:lang w:val="en-US"/>
        </w:rPr>
        <w:t>. The methanol was allowed to evaporate at 37ºC for 50 min and the remaining material was reconstituted in 100 µl water. The samples were centrifuged at 13</w:t>
      </w:r>
      <w:r w:rsidR="007E781F" w:rsidRPr="003B42A7">
        <w:rPr>
          <w:lang w:val="en-US"/>
        </w:rPr>
        <w:t>,</w:t>
      </w:r>
      <w:r w:rsidR="006975E1" w:rsidRPr="003B42A7">
        <w:rPr>
          <w:lang w:val="en-US"/>
        </w:rPr>
        <w:t xml:space="preserve">000 rpm for 15 min at 4ºC. This washing and centrifugation process was repeated in order to remove solid particles and then analysed using </w:t>
      </w:r>
      <w:r w:rsidR="007E781F" w:rsidRPr="003B42A7">
        <w:rPr>
          <w:lang w:val="en-US"/>
        </w:rPr>
        <w:t>RP-</w:t>
      </w:r>
      <w:r w:rsidR="006975E1" w:rsidRPr="003B42A7">
        <w:rPr>
          <w:lang w:val="en-US"/>
        </w:rPr>
        <w:t>HPLC</w:t>
      </w:r>
      <w:r w:rsidR="007E781F" w:rsidRPr="003B42A7">
        <w:rPr>
          <w:lang w:val="en-US"/>
        </w:rPr>
        <w:t>.</w:t>
      </w:r>
    </w:p>
    <w:p w14:paraId="35FFC88A" w14:textId="77777777" w:rsidR="0041445C" w:rsidRPr="003B42A7" w:rsidRDefault="0041445C" w:rsidP="006115CA">
      <w:pPr>
        <w:spacing w:line="360" w:lineRule="auto"/>
      </w:pPr>
    </w:p>
    <w:p w14:paraId="30BD32F8" w14:textId="77777777" w:rsidR="005D15D4" w:rsidRPr="003B42A7" w:rsidRDefault="005D15D4" w:rsidP="00F456D2">
      <w:pPr>
        <w:pStyle w:val="Heading2"/>
      </w:pPr>
      <w:r w:rsidRPr="003B42A7">
        <w:t>Pharmaceutical analysis</w:t>
      </w:r>
    </w:p>
    <w:p w14:paraId="65592FF4" w14:textId="303640BE" w:rsidR="00FB4DF8" w:rsidRPr="003B42A7" w:rsidRDefault="00610B80" w:rsidP="006115CA">
      <w:pPr>
        <w:spacing w:line="360" w:lineRule="auto"/>
        <w:jc w:val="both"/>
      </w:pPr>
      <w:r w:rsidRPr="003B42A7">
        <w:rPr>
          <w:szCs w:val="24"/>
        </w:rPr>
        <w:t xml:space="preserve">A RP-HPLC method was developed to analyse ESK in PBS (pH 7.4) following stability and </w:t>
      </w:r>
      <w:r w:rsidRPr="003B42A7">
        <w:rPr>
          <w:i/>
          <w:szCs w:val="24"/>
        </w:rPr>
        <w:t>in vitro</w:t>
      </w:r>
      <w:r w:rsidRPr="003B42A7">
        <w:rPr>
          <w:szCs w:val="24"/>
        </w:rPr>
        <w:t xml:space="preserve"> permeation studies. Using</w:t>
      </w:r>
      <w:r w:rsidR="0041445C" w:rsidRPr="003B42A7">
        <w:rPr>
          <w:szCs w:val="24"/>
        </w:rPr>
        <w:t xml:space="preserve"> isocratic elution</w:t>
      </w:r>
      <w:r w:rsidRPr="003B42A7">
        <w:rPr>
          <w:szCs w:val="24"/>
        </w:rPr>
        <w:t>, this method was achieved on</w:t>
      </w:r>
      <w:r w:rsidR="0041445C" w:rsidRPr="003B42A7">
        <w:rPr>
          <w:szCs w:val="24"/>
        </w:rPr>
        <w:t xml:space="preserve"> an Agilent 1200 series system</w:t>
      </w:r>
      <w:r w:rsidRPr="003B42A7">
        <w:rPr>
          <w:szCs w:val="24"/>
        </w:rPr>
        <w:t xml:space="preserve"> and </w:t>
      </w:r>
      <w:proofErr w:type="spellStart"/>
      <w:r w:rsidR="0041445C" w:rsidRPr="003B42A7">
        <w:rPr>
          <w:szCs w:val="24"/>
        </w:rPr>
        <w:t>Chemstation</w:t>
      </w:r>
      <w:proofErr w:type="spellEnd"/>
      <w:r w:rsidR="0041445C" w:rsidRPr="003B42A7">
        <w:rPr>
          <w:szCs w:val="24"/>
          <w:vertAlign w:val="superscript"/>
        </w:rPr>
        <w:t>®</w:t>
      </w:r>
      <w:r w:rsidR="0041445C" w:rsidRPr="003B42A7">
        <w:rPr>
          <w:szCs w:val="24"/>
        </w:rPr>
        <w:t xml:space="preserve"> computer software B.02.01 was used for chromatogram analysis. </w:t>
      </w:r>
      <w:r w:rsidRPr="003B42A7">
        <w:rPr>
          <w:szCs w:val="24"/>
        </w:rPr>
        <w:t xml:space="preserve">The column was a </w:t>
      </w:r>
      <w:r w:rsidRPr="003B42A7">
        <w:rPr>
          <w:color w:val="000000" w:themeColor="text1"/>
          <w:lang w:val="en-US"/>
        </w:rPr>
        <w:t>Waters</w:t>
      </w:r>
      <w:r w:rsidRPr="003B42A7">
        <w:rPr>
          <w:color w:val="000000" w:themeColor="text1"/>
          <w:vertAlign w:val="superscript"/>
          <w:lang w:val="en-US"/>
        </w:rPr>
        <w:t>®</w:t>
      </w:r>
      <w:r w:rsidRPr="003B42A7">
        <w:rPr>
          <w:color w:val="000000" w:themeColor="text1"/>
          <w:lang w:val="en-US"/>
        </w:rPr>
        <w:t xml:space="preserve"> </w:t>
      </w:r>
      <w:proofErr w:type="spellStart"/>
      <w:r w:rsidRPr="003B42A7">
        <w:rPr>
          <w:color w:val="000000" w:themeColor="text1"/>
          <w:lang w:val="en-US"/>
        </w:rPr>
        <w:t>Xselect</w:t>
      </w:r>
      <w:proofErr w:type="spellEnd"/>
      <w:r w:rsidRPr="003B42A7">
        <w:rPr>
          <w:color w:val="000000" w:themeColor="text1"/>
          <w:vertAlign w:val="superscript"/>
          <w:lang w:val="en-US"/>
        </w:rPr>
        <w:t>®</w:t>
      </w:r>
      <w:r w:rsidRPr="003B42A7">
        <w:rPr>
          <w:color w:val="000000" w:themeColor="text1"/>
          <w:lang w:val="en-US"/>
        </w:rPr>
        <w:t xml:space="preserve"> Charged Surface Hybrid C</w:t>
      </w:r>
      <w:r w:rsidRPr="003B42A7">
        <w:rPr>
          <w:color w:val="000000" w:themeColor="text1"/>
          <w:vertAlign w:val="subscript"/>
          <w:lang w:val="en-US"/>
        </w:rPr>
        <w:t>18</w:t>
      </w:r>
      <w:r w:rsidRPr="003B42A7">
        <w:rPr>
          <w:color w:val="000000" w:themeColor="text1"/>
          <w:lang w:val="en-US"/>
        </w:rPr>
        <w:t xml:space="preserve"> column (130 Å pore size, 150 mm length x 3.0 mm internal diameter, 3.5 </w:t>
      </w:r>
      <w:proofErr w:type="spellStart"/>
      <w:r w:rsidRPr="003B42A7">
        <w:rPr>
          <w:color w:val="000000" w:themeColor="text1"/>
          <w:lang w:val="en-US"/>
        </w:rPr>
        <w:t>μm</w:t>
      </w:r>
      <w:proofErr w:type="spellEnd"/>
      <w:r w:rsidRPr="003B42A7">
        <w:rPr>
          <w:color w:val="000000" w:themeColor="text1"/>
          <w:lang w:val="en-US"/>
        </w:rPr>
        <w:t xml:space="preserve"> particle size) with the temperature of the column maintained at 25</w:t>
      </w:r>
      <w:r w:rsidRPr="003B42A7">
        <w:rPr>
          <w:rFonts w:cs="Times New Roman"/>
          <w:color w:val="000000" w:themeColor="text1"/>
          <w:lang w:val="en-US"/>
        </w:rPr>
        <w:t>°</w:t>
      </w:r>
      <w:r w:rsidRPr="003B42A7">
        <w:rPr>
          <w:color w:val="000000" w:themeColor="text1"/>
          <w:lang w:val="en-US"/>
        </w:rPr>
        <w:t>C. The mobile phase</w:t>
      </w:r>
      <w:r w:rsidR="0041445C" w:rsidRPr="003B42A7">
        <w:rPr>
          <w:color w:val="000000" w:themeColor="text1"/>
        </w:rPr>
        <w:t xml:space="preserve"> was </w:t>
      </w:r>
      <w:r w:rsidRPr="003B42A7">
        <w:rPr>
          <w:color w:val="000000" w:themeColor="text1"/>
        </w:rPr>
        <w:t>0.02</w:t>
      </w:r>
      <w:r w:rsidR="0041445C" w:rsidRPr="003B42A7">
        <w:rPr>
          <w:color w:val="000000" w:themeColor="text1"/>
        </w:rPr>
        <w:t xml:space="preserve"> M pota</w:t>
      </w:r>
      <w:r w:rsidR="00A23E15" w:rsidRPr="003B42A7">
        <w:rPr>
          <w:color w:val="000000" w:themeColor="text1"/>
        </w:rPr>
        <w:t xml:space="preserve">ssium dihydrogen phosphate (pH </w:t>
      </w:r>
      <w:r w:rsidR="00E82022" w:rsidRPr="003B42A7">
        <w:rPr>
          <w:color w:val="000000" w:themeColor="text1"/>
        </w:rPr>
        <w:t>8.0</w:t>
      </w:r>
      <w:r w:rsidR="0041445C" w:rsidRPr="003B42A7">
        <w:rPr>
          <w:color w:val="000000" w:themeColor="text1"/>
        </w:rPr>
        <w:t>)</w:t>
      </w:r>
      <w:r w:rsidR="0041445C" w:rsidRPr="003B42A7">
        <w:t xml:space="preserve"> and methanol in the ratio </w:t>
      </w:r>
      <w:r w:rsidRPr="003B42A7">
        <w:t>70:3</w:t>
      </w:r>
      <w:r w:rsidR="0041445C" w:rsidRPr="003B42A7">
        <w:t>0</w:t>
      </w:r>
      <w:r w:rsidRPr="003B42A7">
        <w:t>% v/v with a flow rate of 0.5</w:t>
      </w:r>
      <w:r w:rsidR="0041445C" w:rsidRPr="003B42A7">
        <w:t xml:space="preserve"> ml/min. </w:t>
      </w:r>
      <w:r w:rsidRPr="003B42A7">
        <w:t xml:space="preserve">The injection volume was 20 </w:t>
      </w:r>
      <w:r w:rsidRPr="003B42A7">
        <w:rPr>
          <w:rFonts w:cs="Times New Roman"/>
        </w:rPr>
        <w:t>µ</w:t>
      </w:r>
      <w:r w:rsidRPr="003B42A7">
        <w:t xml:space="preserve">l and the UV detector was fixed at 214 nm. The sample run time was </w:t>
      </w:r>
      <w:r w:rsidRPr="003B42A7">
        <w:lastRenderedPageBreak/>
        <w:t xml:space="preserve">7 min. </w:t>
      </w:r>
      <w:r w:rsidR="0041445C" w:rsidRPr="003B42A7">
        <w:rPr>
          <w:szCs w:val="24"/>
        </w:rPr>
        <w:t>Standard s</w:t>
      </w:r>
      <w:r w:rsidR="0041445C" w:rsidRPr="003B42A7">
        <w:t xml:space="preserve">amples </w:t>
      </w:r>
      <w:r w:rsidR="00F456D2" w:rsidRPr="003B42A7">
        <w:t xml:space="preserve">in triplicate </w:t>
      </w:r>
      <w:r w:rsidR="0041445C" w:rsidRPr="003B42A7">
        <w:t xml:space="preserve">of </w:t>
      </w:r>
      <w:r w:rsidR="00FB4DF8" w:rsidRPr="003B42A7">
        <w:t>ESK</w:t>
      </w:r>
      <w:r w:rsidR="0041445C" w:rsidRPr="003B42A7">
        <w:t xml:space="preserve"> </w:t>
      </w:r>
      <w:r w:rsidR="00F456D2" w:rsidRPr="003B42A7">
        <w:t xml:space="preserve">(0.625 – 20 </w:t>
      </w:r>
      <w:r w:rsidR="00F456D2" w:rsidRPr="003B42A7">
        <w:rPr>
          <w:lang w:val="en-US"/>
        </w:rPr>
        <w:t>µ</w:t>
      </w:r>
      <w:r w:rsidR="00F456D2" w:rsidRPr="003B42A7">
        <w:t xml:space="preserve">g/ml) </w:t>
      </w:r>
      <w:r w:rsidR="0041445C" w:rsidRPr="003B42A7">
        <w:t xml:space="preserve">were prepared in </w:t>
      </w:r>
      <w:r w:rsidR="00FB4DF8" w:rsidRPr="003B42A7">
        <w:t xml:space="preserve">PBS (pH 7.4). </w:t>
      </w:r>
    </w:p>
    <w:p w14:paraId="29919802" w14:textId="77777777" w:rsidR="00C879D4" w:rsidRPr="003B42A7" w:rsidRDefault="00C879D4" w:rsidP="006115CA">
      <w:pPr>
        <w:spacing w:line="360" w:lineRule="auto"/>
        <w:jc w:val="both"/>
      </w:pPr>
      <w:r w:rsidRPr="003B42A7">
        <w:t>To analyse ESK in rat plasma samples,</w:t>
      </w:r>
      <w:r w:rsidR="006975E1" w:rsidRPr="003B42A7">
        <w:t xml:space="preserve"> this</w:t>
      </w:r>
      <w:r w:rsidRPr="003B42A7">
        <w:t xml:space="preserve"> RP-HPLC</w:t>
      </w:r>
      <w:r w:rsidR="006975E1" w:rsidRPr="003B42A7">
        <w:t xml:space="preserve"> method</w:t>
      </w:r>
      <w:r w:rsidRPr="003B42A7">
        <w:t xml:space="preserve"> was modified slightly. The column,</w:t>
      </w:r>
      <w:r w:rsidR="006975E1" w:rsidRPr="003B42A7">
        <w:t xml:space="preserve"> column thermostat,</w:t>
      </w:r>
      <w:r w:rsidRPr="003B42A7">
        <w:t xml:space="preserve"> mobile phase</w:t>
      </w:r>
      <w:r w:rsidR="006975E1" w:rsidRPr="003B42A7">
        <w:t xml:space="preserve"> and</w:t>
      </w:r>
      <w:r w:rsidRPr="003B42A7">
        <w:t xml:space="preserve"> U</w:t>
      </w:r>
      <w:r w:rsidR="006975E1" w:rsidRPr="003B42A7">
        <w:t xml:space="preserve">V wavelength parameters remained the same. The flow rate was decreased to 0.35 ml/min, the injection volume was increased to 50 </w:t>
      </w:r>
      <w:r w:rsidR="006975E1" w:rsidRPr="003B42A7">
        <w:rPr>
          <w:rFonts w:ascii="Calibri" w:hAnsi="Calibri" w:cs="Calibri"/>
        </w:rPr>
        <w:t>µ</w:t>
      </w:r>
      <w:r w:rsidR="006975E1" w:rsidRPr="003B42A7">
        <w:t xml:space="preserve">l and the sample run time was increased to 10 min. </w:t>
      </w:r>
    </w:p>
    <w:p w14:paraId="51813B93" w14:textId="70866C29" w:rsidR="00CA0CDF" w:rsidRPr="003B42A7" w:rsidRDefault="006975E1" w:rsidP="006115CA">
      <w:pPr>
        <w:spacing w:line="360" w:lineRule="auto"/>
        <w:jc w:val="both"/>
      </w:pPr>
      <w:r w:rsidRPr="003B42A7">
        <w:t>The RP-HPLC methods developed for the detection and quantification of ESK in</w:t>
      </w:r>
      <w:r w:rsidR="0041445C" w:rsidRPr="003B42A7">
        <w:t xml:space="preserve"> PBS (pH 7.4) and rat plasma </w:t>
      </w:r>
      <w:r w:rsidRPr="003B42A7">
        <w:t>were</w:t>
      </w:r>
      <w:r w:rsidR="0041445C" w:rsidRPr="003B42A7">
        <w:t xml:space="preserve"> validated in accordance to the International Conference on Harmonisation (ICH) guidelines</w:t>
      </w:r>
      <w:r w:rsidRPr="003B42A7">
        <w:t xml:space="preserve"> (</w:t>
      </w:r>
      <w:r w:rsidR="006115CA" w:rsidRPr="003B42A7">
        <w:t>8)</w:t>
      </w:r>
      <w:r w:rsidR="0041445C" w:rsidRPr="003B42A7">
        <w:t xml:space="preserve">. </w:t>
      </w:r>
      <w:r w:rsidRPr="003B42A7">
        <w:t>Parameters</w:t>
      </w:r>
      <w:r w:rsidR="00F518F2" w:rsidRPr="003B42A7">
        <w:t xml:space="preserve"> considered during method validation were </w:t>
      </w:r>
      <w:r w:rsidR="0041445C" w:rsidRPr="003B42A7">
        <w:t xml:space="preserve">specificity, linearity, range, accuracy, precision, limit of detection (LoD) and limit of quantification (LoQ). </w:t>
      </w:r>
      <w:r w:rsidR="00CF4D13" w:rsidRPr="003B42A7">
        <w:t>In each method, a</w:t>
      </w:r>
      <w:r w:rsidR="0041445C" w:rsidRPr="003B42A7">
        <w:t>ll the calibration plots were subsequen</w:t>
      </w:r>
      <w:r w:rsidR="00CF4D13" w:rsidRPr="003B42A7">
        <w:t>tly collated to generate one</w:t>
      </w:r>
      <w:r w:rsidR="0041445C" w:rsidRPr="003B42A7">
        <w:t xml:space="preserve"> representative calibration curve for each analytical method. Least squares linear regression analysis and </w:t>
      </w:r>
      <w:r w:rsidR="00CF4D13" w:rsidRPr="003B42A7">
        <w:t>correlation analysis was</w:t>
      </w:r>
      <w:r w:rsidR="0041445C" w:rsidRPr="003B42A7">
        <w:t xml:space="preserve"> performed. The LoD and LoQ were determined using the standard deviation (S.D.) of the response and slope of the calibration curve, as described in ICH guidelines. </w:t>
      </w:r>
    </w:p>
    <w:p w14:paraId="6FF04FCA" w14:textId="77777777" w:rsidR="006F1745" w:rsidRPr="003B42A7" w:rsidRDefault="006F1745" w:rsidP="006115CA">
      <w:pPr>
        <w:spacing w:line="360" w:lineRule="auto"/>
        <w:jc w:val="both"/>
      </w:pPr>
    </w:p>
    <w:p w14:paraId="259858D6" w14:textId="67F4B959" w:rsidR="002815A4" w:rsidRPr="003B42A7" w:rsidRDefault="002815A4" w:rsidP="00F456D2">
      <w:pPr>
        <w:pStyle w:val="Heading2"/>
      </w:pPr>
      <w:r w:rsidRPr="003B42A7">
        <w:t>Pharmacokinetic analysis</w:t>
      </w:r>
    </w:p>
    <w:p w14:paraId="48E39C9F" w14:textId="1AD8BE97" w:rsidR="002815A4" w:rsidRPr="003B42A7" w:rsidRDefault="002815A4" w:rsidP="008D10F4">
      <w:pPr>
        <w:spacing w:line="360" w:lineRule="auto"/>
        <w:jc w:val="both"/>
      </w:pPr>
      <w:r w:rsidRPr="003B42A7">
        <w:t xml:space="preserve">Pharmacokinetic (PK) parameters for </w:t>
      </w:r>
      <w:r w:rsidR="00892DA5" w:rsidRPr="003B42A7">
        <w:t xml:space="preserve">ESK </w:t>
      </w:r>
      <w:r w:rsidRPr="003B42A7">
        <w:t xml:space="preserve">were calculated using group mean concentration-time data, according to nominal time, by non-compartmental method using Phoenix </w:t>
      </w:r>
      <w:proofErr w:type="spellStart"/>
      <w:r w:rsidRPr="003B42A7">
        <w:t>WinNonlin</w:t>
      </w:r>
      <w:proofErr w:type="spellEnd"/>
      <w:r w:rsidRPr="003B42A7">
        <w:t xml:space="preserve"> 6.3. For </w:t>
      </w:r>
      <w:r w:rsidR="00497C48" w:rsidRPr="003B42A7">
        <w:t>IV</w:t>
      </w:r>
      <w:r w:rsidRPr="003B42A7">
        <w:t xml:space="preserve"> treated group, an intravascular model was used and</w:t>
      </w:r>
      <w:r w:rsidR="00892DA5" w:rsidRPr="003B42A7">
        <w:t xml:space="preserve"> for</w:t>
      </w:r>
      <w:r w:rsidRPr="003B42A7">
        <w:t xml:space="preserve"> </w:t>
      </w:r>
      <w:r w:rsidR="00497C48" w:rsidRPr="003B42A7">
        <w:t>MN</w:t>
      </w:r>
      <w:r w:rsidRPr="003B42A7">
        <w:t xml:space="preserve"> treated group an extravascular model was used for the analysis. For descriptive statistics, individual plasma concentration below limit of quantitation (BLQ) values were treated as zero. For PK parameters calculation, BLQ values at a sampling time between 2 quantifiable conce</w:t>
      </w:r>
      <w:r w:rsidR="00497C48" w:rsidRPr="003B42A7">
        <w:t xml:space="preserve">ntrations were treated as zero </w:t>
      </w:r>
      <w:r w:rsidRPr="003B42A7">
        <w:t>for calculation and representation purposes.</w:t>
      </w:r>
      <w:r w:rsidR="00497C48" w:rsidRPr="003B42A7">
        <w:t xml:space="preserve"> No other BLQ values were observed.</w:t>
      </w:r>
    </w:p>
    <w:p w14:paraId="3E9953FD" w14:textId="22739899" w:rsidR="00E753B8" w:rsidRPr="003B42A7" w:rsidRDefault="00E753B8" w:rsidP="00E753B8">
      <w:pPr>
        <w:spacing w:line="360" w:lineRule="auto"/>
        <w:jc w:val="both"/>
      </w:pPr>
      <w:r w:rsidRPr="003B42A7">
        <w:t>The maximum observed plasma concentration (</w:t>
      </w:r>
      <w:proofErr w:type="spellStart"/>
      <w:r w:rsidRPr="003B42A7">
        <w:t>C</w:t>
      </w:r>
      <w:r w:rsidRPr="003B42A7">
        <w:rPr>
          <w:vertAlign w:val="subscript"/>
        </w:rPr>
        <w:t>max</w:t>
      </w:r>
      <w:proofErr w:type="spellEnd"/>
      <w:r w:rsidRPr="003B42A7">
        <w:t xml:space="preserve">) and time to reach </w:t>
      </w:r>
      <w:proofErr w:type="spellStart"/>
      <w:r w:rsidRPr="003B42A7">
        <w:t>C</w:t>
      </w:r>
      <w:r w:rsidRPr="003B42A7">
        <w:rPr>
          <w:vertAlign w:val="subscript"/>
        </w:rPr>
        <w:t>max</w:t>
      </w:r>
      <w:proofErr w:type="spellEnd"/>
      <w:r w:rsidRPr="003B42A7">
        <w:t xml:space="preserve"> (</w:t>
      </w:r>
      <w:proofErr w:type="spellStart"/>
      <w:r w:rsidRPr="003B42A7">
        <w:t>t</w:t>
      </w:r>
      <w:r w:rsidRPr="003B42A7">
        <w:rPr>
          <w:vertAlign w:val="subscript"/>
        </w:rPr>
        <w:t>max</w:t>
      </w:r>
      <w:proofErr w:type="spellEnd"/>
      <w:r w:rsidRPr="003B42A7">
        <w:t>) were obtained directly from the concentration-time data. Terminal elimination half-life (t</w:t>
      </w:r>
      <w:r w:rsidRPr="003B42A7">
        <w:rPr>
          <w:vertAlign w:val="subscript"/>
        </w:rPr>
        <w:t>1/2</w:t>
      </w:r>
      <w:r w:rsidRPr="003B42A7">
        <w:t>) was calculated as ln(2)/</w:t>
      </w:r>
      <w:proofErr w:type="spellStart"/>
      <w:r w:rsidRPr="003B42A7">
        <w:t>λz</w:t>
      </w:r>
      <w:proofErr w:type="spellEnd"/>
      <w:r w:rsidRPr="003B42A7">
        <w:t>. Area under the plasma concentration-versus-time curve from time 0 to infinity (AUC</w:t>
      </w:r>
      <w:r w:rsidRPr="003B42A7">
        <w:rPr>
          <w:vertAlign w:val="subscript"/>
        </w:rPr>
        <w:t>0-∞</w:t>
      </w:r>
      <w:r w:rsidRPr="003B42A7">
        <w:t>) or from time 0 to the last quantifiable time-point (AUC</w:t>
      </w:r>
      <w:r w:rsidRPr="003B42A7">
        <w:rPr>
          <w:vertAlign w:val="subscript"/>
        </w:rPr>
        <w:t>0-t</w:t>
      </w:r>
      <w:r w:rsidRPr="003B42A7">
        <w:t xml:space="preserve">) was calculated by means of linear up-logarithmic down trapezoidal summation. </w:t>
      </w:r>
      <w:proofErr w:type="spellStart"/>
      <w:r w:rsidRPr="003B42A7">
        <w:t>AUC</w:t>
      </w:r>
      <w:r w:rsidRPr="003B42A7">
        <w:rPr>
          <w:vertAlign w:val="subscript"/>
        </w:rPr>
        <w:t>inf</w:t>
      </w:r>
      <w:proofErr w:type="spellEnd"/>
      <w:r w:rsidRPr="003B42A7">
        <w:t>, t</w:t>
      </w:r>
      <w:r w:rsidRPr="003B42A7">
        <w:rPr>
          <w:vertAlign w:val="subscript"/>
        </w:rPr>
        <w:t>1/2</w:t>
      </w:r>
      <w:r w:rsidRPr="003B42A7">
        <w:t xml:space="preserve"> as well as CL and </w:t>
      </w:r>
      <w:proofErr w:type="spellStart"/>
      <w:r w:rsidRPr="003B42A7">
        <w:t>Vss</w:t>
      </w:r>
      <w:proofErr w:type="spellEnd"/>
      <w:r w:rsidRPr="003B42A7">
        <w:t xml:space="preserve"> were reported as reliable only if terminal elimination phase was adequately characterized: terminal elimination phase includes at least 3 non-BLQ data points after </w:t>
      </w:r>
      <w:proofErr w:type="spellStart"/>
      <w:r w:rsidRPr="003B42A7">
        <w:t>C</w:t>
      </w:r>
      <w:r w:rsidRPr="003B42A7">
        <w:rPr>
          <w:vertAlign w:val="subscript"/>
        </w:rPr>
        <w:t>max</w:t>
      </w:r>
      <w:proofErr w:type="spellEnd"/>
      <w:r w:rsidRPr="003B42A7">
        <w:t>, adjusted r</w:t>
      </w:r>
      <w:r w:rsidRPr="003B42A7">
        <w:rPr>
          <w:vertAlign w:val="superscript"/>
        </w:rPr>
        <w:t>2</w:t>
      </w:r>
      <w:r w:rsidRPr="003B42A7">
        <w:t xml:space="preserve"> value </w:t>
      </w:r>
      <w:r w:rsidRPr="003B42A7">
        <w:lastRenderedPageBreak/>
        <w:t>≥0.85 and AUC</w:t>
      </w:r>
      <w:r w:rsidRPr="003B42A7">
        <w:rPr>
          <w:vertAlign w:val="subscript"/>
        </w:rPr>
        <w:t>0-t</w:t>
      </w:r>
      <w:r w:rsidRPr="003B42A7">
        <w:t xml:space="preserve"> ≥80 % </w:t>
      </w:r>
      <w:proofErr w:type="spellStart"/>
      <w:r w:rsidRPr="003B42A7">
        <w:t>AUC</w:t>
      </w:r>
      <w:r w:rsidRPr="003B42A7">
        <w:rPr>
          <w:vertAlign w:val="subscript"/>
        </w:rPr>
        <w:t>inf</w:t>
      </w:r>
      <w:proofErr w:type="spellEnd"/>
      <w:r w:rsidRPr="003B42A7">
        <w:t>, interval over which terminal elimination slope (λ) is estimated ≥1.5x t</w:t>
      </w:r>
      <w:r w:rsidRPr="003B42A7">
        <w:rPr>
          <w:vertAlign w:val="subscript"/>
        </w:rPr>
        <w:t>1/2</w:t>
      </w:r>
      <w:r w:rsidRPr="003B42A7">
        <w:t xml:space="preserve">. </w:t>
      </w:r>
    </w:p>
    <w:p w14:paraId="08147097" w14:textId="77777777" w:rsidR="00E753B8" w:rsidRPr="003B42A7" w:rsidRDefault="00E753B8" w:rsidP="008D10F4">
      <w:pPr>
        <w:spacing w:line="360" w:lineRule="auto"/>
        <w:jc w:val="both"/>
      </w:pPr>
    </w:p>
    <w:p w14:paraId="270A3A8C" w14:textId="77777777" w:rsidR="002052C0" w:rsidRPr="003B42A7" w:rsidRDefault="002052C0" w:rsidP="00F456D2">
      <w:pPr>
        <w:pStyle w:val="Heading2"/>
      </w:pPr>
      <w:r w:rsidRPr="003B42A7">
        <w:t>Statistical Analysis</w:t>
      </w:r>
    </w:p>
    <w:p w14:paraId="3FC48303" w14:textId="1C4613A5" w:rsidR="002052C0" w:rsidRPr="003B42A7" w:rsidRDefault="002052C0" w:rsidP="008D10F4">
      <w:pPr>
        <w:spacing w:line="360" w:lineRule="auto"/>
        <w:jc w:val="both"/>
      </w:pPr>
      <w:r w:rsidRPr="003B42A7">
        <w:t>All data were expressed as mean ± S.D. Least squares linear regression analysis, correlation analysis, LoD and LoQ were all performed using Microsoft</w:t>
      </w:r>
      <w:r w:rsidRPr="003B42A7">
        <w:rPr>
          <w:vertAlign w:val="superscript"/>
        </w:rPr>
        <w:t>®</w:t>
      </w:r>
      <w:r w:rsidRPr="003B42A7">
        <w:t xml:space="preserve"> Excel 2007 (Microsoft Corporation, Redmond, USA). Statistical analysis was performed using GraphPad Prism</w:t>
      </w:r>
      <w:r w:rsidRPr="003B42A7">
        <w:rPr>
          <w:vertAlign w:val="superscript"/>
        </w:rPr>
        <w:t>®</w:t>
      </w:r>
      <w:r w:rsidRPr="003B42A7">
        <w:t xml:space="preserve"> version 7 (GraphPad Software, San Diego, USA) and included calculation of mean, standard deviation, construction of calibration plot with least-squares linear regression analysis, and analysis of residuals. Mann–Whitney U, ANOVA, and Student’s t test were used as appropriate to assess statistical significance throughout. In all cases, p &lt; 0.05 denoted significance</w:t>
      </w:r>
      <w:r w:rsidR="00E753B8" w:rsidRPr="003B42A7">
        <w:t>.</w:t>
      </w:r>
      <w:r w:rsidRPr="003B42A7">
        <w:t xml:space="preserve"> </w:t>
      </w:r>
    </w:p>
    <w:p w14:paraId="0772A3F7" w14:textId="77777777" w:rsidR="002052C0" w:rsidRPr="003B42A7" w:rsidRDefault="002052C0" w:rsidP="00F456D2">
      <w:pPr>
        <w:pStyle w:val="Heading2"/>
        <w:numPr>
          <w:ilvl w:val="0"/>
          <w:numId w:val="0"/>
        </w:numPr>
        <w:rPr>
          <w:vertAlign w:val="subscript"/>
        </w:rPr>
      </w:pPr>
    </w:p>
    <w:p w14:paraId="5335F8C1" w14:textId="77777777" w:rsidR="004A1451" w:rsidRPr="003B42A7" w:rsidRDefault="004A1451" w:rsidP="006115CA">
      <w:pPr>
        <w:spacing w:line="360" w:lineRule="auto"/>
        <w:jc w:val="both"/>
        <w:rPr>
          <w:rFonts w:cs="Times New Roman"/>
          <w:szCs w:val="24"/>
        </w:rPr>
      </w:pPr>
      <w:r w:rsidRPr="003B42A7">
        <w:rPr>
          <w:rFonts w:cs="Times New Roman"/>
          <w:color w:val="FF0000"/>
          <w:szCs w:val="24"/>
        </w:rPr>
        <w:br w:type="page"/>
      </w:r>
    </w:p>
    <w:p w14:paraId="5894EFEF" w14:textId="77777777" w:rsidR="008D4478" w:rsidRPr="003B42A7" w:rsidRDefault="007F1F24" w:rsidP="00F456D2">
      <w:pPr>
        <w:pStyle w:val="Heading1"/>
      </w:pPr>
      <w:r w:rsidRPr="003B42A7">
        <w:lastRenderedPageBreak/>
        <w:t>Results</w:t>
      </w:r>
    </w:p>
    <w:p w14:paraId="64C58C46" w14:textId="77777777" w:rsidR="00F518F2" w:rsidRPr="003B42A7" w:rsidRDefault="00F518F2" w:rsidP="00F456D2">
      <w:pPr>
        <w:pStyle w:val="Heading2"/>
      </w:pPr>
      <w:r w:rsidRPr="003B42A7">
        <w:t>Formulation</w:t>
      </w:r>
      <w:r w:rsidR="001135AB" w:rsidRPr="003B42A7">
        <w:t xml:space="preserve"> and characterisation of hydrogel</w:t>
      </w:r>
      <w:r w:rsidR="00037636" w:rsidRPr="003B42A7">
        <w:t>-forming MN arrays</w:t>
      </w:r>
    </w:p>
    <w:p w14:paraId="09A33B37" w14:textId="702753E8" w:rsidR="0074271C" w:rsidRPr="003B42A7" w:rsidRDefault="0074271C" w:rsidP="006115CA">
      <w:pPr>
        <w:spacing w:line="360" w:lineRule="auto"/>
        <w:jc w:val="both"/>
      </w:pPr>
      <w:r w:rsidRPr="003B42A7">
        <w:rPr>
          <w:color w:val="000000" w:themeColor="text1"/>
        </w:rPr>
        <w:t>Hydrogel-forming MN arrays were fabricated and demoulded. MN arrays were placed in PBS (pH 7.4) and percentage swelling was recorded through noting the increase in mass. The percentage swelling</w:t>
      </w:r>
      <w:r w:rsidR="00E82022" w:rsidRPr="003B42A7">
        <w:rPr>
          <w:color w:val="000000" w:themeColor="text1"/>
        </w:rPr>
        <w:t xml:space="preserve"> of</w:t>
      </w:r>
      <w:r w:rsidRPr="003B42A7">
        <w:rPr>
          <w:color w:val="000000" w:themeColor="text1"/>
        </w:rPr>
        <w:t xml:space="preserve"> hydrogel-forming MN arrays increas</w:t>
      </w:r>
      <w:r w:rsidR="00E82022" w:rsidRPr="003B42A7">
        <w:rPr>
          <w:color w:val="000000" w:themeColor="text1"/>
        </w:rPr>
        <w:t>ed</w:t>
      </w:r>
      <w:r w:rsidRPr="003B42A7">
        <w:rPr>
          <w:color w:val="000000" w:themeColor="text1"/>
        </w:rPr>
        <w:t xml:space="preserve"> to 1760% </w:t>
      </w:r>
      <w:r w:rsidR="001C32A5" w:rsidRPr="003B42A7">
        <w:rPr>
          <w:color w:val="000000" w:themeColor="text1"/>
        </w:rPr>
        <w:t xml:space="preserve">of </w:t>
      </w:r>
      <w:r w:rsidRPr="003B42A7">
        <w:rPr>
          <w:color w:val="000000" w:themeColor="text1"/>
        </w:rPr>
        <w:t>their original size at 24 h.</w:t>
      </w:r>
    </w:p>
    <w:p w14:paraId="56236207" w14:textId="361928F7" w:rsidR="00C97EBE" w:rsidRPr="003B42A7" w:rsidRDefault="003F14CE" w:rsidP="006115CA">
      <w:pPr>
        <w:spacing w:line="360" w:lineRule="auto"/>
        <w:jc w:val="both"/>
      </w:pPr>
      <w:r w:rsidRPr="003B42A7">
        <w:t>Hydrogel-</w:t>
      </w:r>
      <w:r w:rsidRPr="003B42A7">
        <w:rPr>
          <w:color w:val="000000" w:themeColor="text1"/>
        </w:rPr>
        <w:t>forming MN arrays were fabricated and tested for mechanical strength. In this study, following insertion of the MN into Parafilm M, 100% of the needles penetrated the top layer</w:t>
      </w:r>
      <w:r w:rsidR="001C32A5" w:rsidRPr="003B42A7">
        <w:rPr>
          <w:color w:val="000000" w:themeColor="text1"/>
        </w:rPr>
        <w:t>,</w:t>
      </w:r>
      <w:r w:rsidRPr="003B42A7">
        <w:rPr>
          <w:color w:val="000000" w:themeColor="text1"/>
        </w:rPr>
        <w:t xml:space="preserve"> with </w:t>
      </w:r>
      <w:r w:rsidR="00E82022" w:rsidRPr="003B42A7">
        <w:rPr>
          <w:color w:val="000000" w:themeColor="text1"/>
        </w:rPr>
        <w:t xml:space="preserve">98.1 </w:t>
      </w:r>
      <w:r w:rsidR="00E82022" w:rsidRPr="003B42A7">
        <w:rPr>
          <w:rFonts w:cs="Times New Roman"/>
          <w:color w:val="000000" w:themeColor="text1"/>
        </w:rPr>
        <w:t xml:space="preserve">± </w:t>
      </w:r>
      <w:r w:rsidR="00E82022" w:rsidRPr="003B42A7">
        <w:rPr>
          <w:color w:val="000000" w:themeColor="text1"/>
        </w:rPr>
        <w:t xml:space="preserve">1.9% of needles under manual pressure and 81.8 </w:t>
      </w:r>
      <w:r w:rsidR="00E82022" w:rsidRPr="003B42A7">
        <w:rPr>
          <w:rFonts w:cs="Times New Roman"/>
          <w:color w:val="000000" w:themeColor="text1"/>
        </w:rPr>
        <w:t>±</w:t>
      </w:r>
      <w:r w:rsidR="00E82022" w:rsidRPr="003B42A7">
        <w:rPr>
          <w:color w:val="000000" w:themeColor="text1"/>
        </w:rPr>
        <w:t xml:space="preserve"> 12.8%</w:t>
      </w:r>
      <w:r w:rsidRPr="003B42A7">
        <w:rPr>
          <w:color w:val="000000" w:themeColor="text1"/>
        </w:rPr>
        <w:t xml:space="preserve"> </w:t>
      </w:r>
      <w:r w:rsidR="00E82022" w:rsidRPr="003B42A7">
        <w:rPr>
          <w:color w:val="000000" w:themeColor="text1"/>
        </w:rPr>
        <w:t>under texture analyser pressure</w:t>
      </w:r>
      <w:r w:rsidR="001C32A5" w:rsidRPr="003B42A7">
        <w:rPr>
          <w:color w:val="000000" w:themeColor="text1"/>
        </w:rPr>
        <w:t>,</w:t>
      </w:r>
      <w:r w:rsidR="00E82022" w:rsidRPr="003B42A7">
        <w:rPr>
          <w:color w:val="000000" w:themeColor="text1"/>
        </w:rPr>
        <w:t xml:space="preserve"> </w:t>
      </w:r>
      <w:r w:rsidRPr="003B42A7">
        <w:rPr>
          <w:color w:val="000000" w:themeColor="text1"/>
        </w:rPr>
        <w:t>penetrating to</w:t>
      </w:r>
      <w:r w:rsidR="00E82022" w:rsidRPr="003B42A7">
        <w:rPr>
          <w:color w:val="000000" w:themeColor="text1"/>
        </w:rPr>
        <w:t xml:space="preserve"> the</w:t>
      </w:r>
      <w:r w:rsidRPr="003B42A7">
        <w:rPr>
          <w:color w:val="000000" w:themeColor="text1"/>
        </w:rPr>
        <w:t xml:space="preserve"> </w:t>
      </w:r>
      <w:r w:rsidR="00E82022" w:rsidRPr="003B42A7">
        <w:rPr>
          <w:color w:val="000000" w:themeColor="text1"/>
        </w:rPr>
        <w:t>second</w:t>
      </w:r>
      <w:r w:rsidRPr="003B42A7">
        <w:rPr>
          <w:color w:val="000000" w:themeColor="text1"/>
        </w:rPr>
        <w:t xml:space="preserve"> layer. This</w:t>
      </w:r>
      <w:r w:rsidRPr="003B42A7">
        <w:t xml:space="preserve"> model is consistent with previous reports of hydrogel-forming MN manufactured in this way [</w:t>
      </w:r>
      <w:r w:rsidR="00D56C30" w:rsidRPr="003B42A7">
        <w:rPr>
          <w:color w:val="FF0000"/>
        </w:rPr>
        <w:t>11</w:t>
      </w:r>
      <w:r w:rsidR="006E7CD6" w:rsidRPr="003B42A7">
        <w:t>]. Figure 2B</w:t>
      </w:r>
      <w:r w:rsidRPr="003B42A7">
        <w:t xml:space="preserve"> shows </w:t>
      </w:r>
      <w:r w:rsidR="006E7CD6" w:rsidRPr="003B42A7">
        <w:t>exemplar Optical Coherence Tomography images of MNs penetrating into Parafilm M layers.</w:t>
      </w:r>
    </w:p>
    <w:p w14:paraId="7E455E26" w14:textId="77777777" w:rsidR="00C97EBE" w:rsidRPr="003B42A7" w:rsidRDefault="00C97EBE">
      <w:r w:rsidRPr="003B42A7">
        <w:br w:type="page"/>
      </w:r>
    </w:p>
    <w:p w14:paraId="4DD9C2F6" w14:textId="47849C10" w:rsidR="0087496D" w:rsidRPr="003B42A7" w:rsidRDefault="00145325" w:rsidP="006115CA">
      <w:pPr>
        <w:spacing w:line="360" w:lineRule="auto"/>
        <w:jc w:val="both"/>
      </w:pPr>
      <w:r w:rsidRPr="003B42A7">
        <w:rPr>
          <w:noProof/>
          <w:lang w:eastAsia="en-GB"/>
        </w:rPr>
        <w:lastRenderedPageBreak/>
        <w:drawing>
          <wp:inline distT="0" distB="0" distL="0" distR="0" wp14:anchorId="2630600A" wp14:editId="4A80BAA1">
            <wp:extent cx="5340350" cy="68160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0350" cy="6816090"/>
                    </a:xfrm>
                    <a:prstGeom prst="rect">
                      <a:avLst/>
                    </a:prstGeom>
                    <a:noFill/>
                  </pic:spPr>
                </pic:pic>
              </a:graphicData>
            </a:graphic>
          </wp:inline>
        </w:drawing>
      </w:r>
    </w:p>
    <w:p w14:paraId="2C2D1941" w14:textId="1FFD36F3" w:rsidR="00C97EBE" w:rsidRPr="003B42A7" w:rsidRDefault="006F1745" w:rsidP="00BC2900">
      <w:pPr>
        <w:pStyle w:val="NoSpacing"/>
        <w:rPr>
          <w:rStyle w:val="NoSpacingChar"/>
          <w:sz w:val="20"/>
          <w:szCs w:val="20"/>
        </w:rPr>
      </w:pPr>
      <w:r w:rsidRPr="003B42A7">
        <w:rPr>
          <w:rStyle w:val="NoSpacingChar"/>
          <w:b/>
          <w:sz w:val="20"/>
          <w:szCs w:val="20"/>
        </w:rPr>
        <w:t>Figure 2</w:t>
      </w:r>
      <w:r w:rsidR="00BC2900" w:rsidRPr="003B42A7">
        <w:rPr>
          <w:rFonts w:cs="Times New Roman"/>
          <w:sz w:val="20"/>
          <w:szCs w:val="20"/>
        </w:rPr>
        <w:t xml:space="preserve"> (A) Number of holes created in each Parafilm M</w:t>
      </w:r>
      <w:r w:rsidR="00BC2900" w:rsidRPr="003B42A7">
        <w:rPr>
          <w:rFonts w:cs="Times New Roman"/>
          <w:sz w:val="20"/>
          <w:szCs w:val="20"/>
          <w:vertAlign w:val="superscript"/>
        </w:rPr>
        <w:t>®</w:t>
      </w:r>
      <w:r w:rsidR="00BC2900" w:rsidRPr="003B42A7">
        <w:rPr>
          <w:rFonts w:cs="Times New Roman"/>
          <w:sz w:val="20"/>
          <w:szCs w:val="20"/>
        </w:rPr>
        <w:t xml:space="preserve"> layer expressed as a percentage to the number of holes expected and approximate insertion depth following insertion of hydrogel-forming MN arrays using the Texture Analyser and manual pressure (Means + S.D., </w:t>
      </w:r>
      <w:r w:rsidR="00BC2900" w:rsidRPr="003B42A7">
        <w:rPr>
          <w:rFonts w:cs="Times New Roman"/>
          <w:i/>
          <w:sz w:val="20"/>
          <w:szCs w:val="20"/>
        </w:rPr>
        <w:t>n</w:t>
      </w:r>
      <w:r w:rsidR="00BC2900" w:rsidRPr="003B42A7">
        <w:rPr>
          <w:rFonts w:cs="Times New Roman"/>
          <w:sz w:val="20"/>
          <w:szCs w:val="20"/>
        </w:rPr>
        <w:t>=5). (B) Digital image of MN array. (C) Exemplar optical coherence tomography images of hydrogel-forming MN arrays inserted into Parafilm M</w:t>
      </w:r>
      <w:r w:rsidR="00BC2900" w:rsidRPr="003B42A7">
        <w:rPr>
          <w:rFonts w:cs="Times New Roman"/>
          <w:sz w:val="20"/>
          <w:szCs w:val="20"/>
          <w:vertAlign w:val="superscript"/>
        </w:rPr>
        <w:t xml:space="preserve">® </w:t>
      </w:r>
      <w:r w:rsidR="00BC2900" w:rsidRPr="003B42A7">
        <w:rPr>
          <w:rFonts w:cs="Times New Roman"/>
          <w:sz w:val="20"/>
          <w:szCs w:val="20"/>
        </w:rPr>
        <w:t>(C) Exemplar digital images of polymeric films and lyophilised wafers prepared. Formulation code (</w:t>
      </w:r>
      <w:proofErr w:type="spellStart"/>
      <w:r w:rsidR="00BC2900" w:rsidRPr="003B42A7">
        <w:rPr>
          <w:rFonts w:cs="Times New Roman"/>
          <w:sz w:val="20"/>
          <w:szCs w:val="20"/>
        </w:rPr>
        <w:t>i</w:t>
      </w:r>
      <w:proofErr w:type="spellEnd"/>
      <w:r w:rsidR="00BC2900" w:rsidRPr="003B42A7">
        <w:rPr>
          <w:rFonts w:cs="Times New Roman"/>
          <w:sz w:val="20"/>
          <w:szCs w:val="20"/>
        </w:rPr>
        <w:t xml:space="preserve">) F3; (ii) F6 and (iii) LW1, LW2, LW3 and LW4. All digital images were taken with a digital camera. </w:t>
      </w:r>
      <w:r w:rsidR="00C97EBE" w:rsidRPr="003B42A7">
        <w:rPr>
          <w:rStyle w:val="NoSpacingChar"/>
          <w:sz w:val="20"/>
          <w:szCs w:val="20"/>
        </w:rPr>
        <w:br w:type="page"/>
      </w:r>
    </w:p>
    <w:p w14:paraId="26749776" w14:textId="4EEE6FCA" w:rsidR="003F14CE" w:rsidRPr="003B42A7" w:rsidRDefault="003F14CE" w:rsidP="006115CA">
      <w:pPr>
        <w:spacing w:line="360" w:lineRule="auto"/>
        <w:jc w:val="both"/>
      </w:pPr>
      <w:r w:rsidRPr="003B42A7">
        <w:lastRenderedPageBreak/>
        <w:t xml:space="preserve">Compression testing was also carried out to ensure MN tips were mechanically robust enough to withstand application to the skin. </w:t>
      </w:r>
      <w:r w:rsidR="0074271C" w:rsidRPr="003B42A7">
        <w:rPr>
          <w:noProof/>
          <w:color w:val="000000" w:themeColor="text1"/>
        </w:rPr>
        <w:t>Hydrogel-forming MN tip heights were visually assed using a Leica light microscope and found to be 503.8 ± 5.3 µm and 498.1 ± 3.5 µm before and after insertion respectively</w:t>
      </w:r>
      <w:r w:rsidRPr="003B42A7">
        <w:t>, indicating good mechanical strength from the tested formulations.</w:t>
      </w:r>
    </w:p>
    <w:p w14:paraId="2C438960" w14:textId="77777777" w:rsidR="006F1745" w:rsidRPr="003B42A7" w:rsidRDefault="006F1745" w:rsidP="006115CA">
      <w:pPr>
        <w:spacing w:line="360" w:lineRule="auto"/>
        <w:jc w:val="both"/>
      </w:pPr>
    </w:p>
    <w:p w14:paraId="61E35970" w14:textId="77777777" w:rsidR="00F518F2" w:rsidRPr="003B42A7" w:rsidRDefault="00F518F2" w:rsidP="00F456D2">
      <w:pPr>
        <w:pStyle w:val="Heading2"/>
      </w:pPr>
      <w:r w:rsidRPr="003B42A7">
        <w:t>Preparation and visual assessment of drug-containing reservoirs</w:t>
      </w:r>
    </w:p>
    <w:p w14:paraId="69EB1A24" w14:textId="6B838CE1" w:rsidR="003F14CE" w:rsidRPr="003B42A7" w:rsidRDefault="003F14CE" w:rsidP="006115CA">
      <w:pPr>
        <w:spacing w:line="360" w:lineRule="auto"/>
        <w:jc w:val="both"/>
        <w:rPr>
          <w:color w:val="000000" w:themeColor="text1"/>
        </w:rPr>
      </w:pPr>
      <w:r w:rsidRPr="003B42A7">
        <w:t xml:space="preserve">A number of </w:t>
      </w:r>
      <w:r w:rsidR="008B66A1" w:rsidRPr="003B42A7">
        <w:t>iterations</w:t>
      </w:r>
      <w:r w:rsidRPr="003B42A7">
        <w:t xml:space="preserve"> of ESK-containing reservoir</w:t>
      </w:r>
      <w:r w:rsidR="008B66A1" w:rsidRPr="003B42A7">
        <w:t>s</w:t>
      </w:r>
      <w:r w:rsidRPr="003B42A7">
        <w:t xml:space="preserve"> were formulated in order to optimise the amount of ESK contained within each unit or cm</w:t>
      </w:r>
      <w:r w:rsidRPr="003B42A7">
        <w:rPr>
          <w:vertAlign w:val="superscript"/>
        </w:rPr>
        <w:t>2</w:t>
      </w:r>
      <w:r w:rsidRPr="003B42A7">
        <w:t xml:space="preserve">. Each candidate formulation was required to exhibit a number of criteria before more in-depth ESK recovery studies were undertaken. </w:t>
      </w:r>
      <w:r w:rsidR="00324E28" w:rsidRPr="003B42A7">
        <w:t>These are:</w:t>
      </w:r>
      <w:r w:rsidRPr="003B42A7">
        <w:t xml:space="preserve"> each thin film formulation had to be successfully freed from the mould into which it was cast, flexible enough to be handled </w:t>
      </w:r>
      <w:r w:rsidR="00324E28" w:rsidRPr="003B42A7">
        <w:t xml:space="preserve">from frame to accompanying MN array, </w:t>
      </w:r>
      <w:r w:rsidRPr="003B42A7">
        <w:t>and not brittle. In each case a visual inspection was carried out to asses each film formulation for signs of precipitation.</w:t>
      </w:r>
      <w:r w:rsidR="00324E28" w:rsidRPr="003B42A7">
        <w:t xml:space="preserve"> Precipitation was defined as any crystalline deposit visible within the formulation.</w:t>
      </w:r>
      <w:r w:rsidR="0074271C" w:rsidRPr="003B42A7">
        <w:t xml:space="preserve"> </w:t>
      </w:r>
      <w:r w:rsidR="006E7CD6" w:rsidRPr="003B42A7">
        <w:rPr>
          <w:color w:val="000000" w:themeColor="text1"/>
        </w:rPr>
        <w:t>Figure 2C (</w:t>
      </w:r>
      <w:proofErr w:type="spellStart"/>
      <w:r w:rsidR="006E7CD6" w:rsidRPr="003B42A7">
        <w:rPr>
          <w:color w:val="000000" w:themeColor="text1"/>
        </w:rPr>
        <w:t>i</w:t>
      </w:r>
      <w:proofErr w:type="spellEnd"/>
      <w:r w:rsidR="006E7CD6" w:rsidRPr="003B42A7">
        <w:rPr>
          <w:color w:val="000000" w:themeColor="text1"/>
        </w:rPr>
        <w:t>-ii)</w:t>
      </w:r>
      <w:r w:rsidR="0074271C" w:rsidRPr="003B42A7">
        <w:rPr>
          <w:color w:val="FF0000"/>
        </w:rPr>
        <w:t xml:space="preserve"> </w:t>
      </w:r>
      <w:r w:rsidR="0074271C" w:rsidRPr="003B42A7">
        <w:rPr>
          <w:color w:val="000000" w:themeColor="text1"/>
        </w:rPr>
        <w:t>shows exemplar photographic images of thin film formulation which have resulted on ESK precipitation post drying. Any film formulation that displayed precipitation over the course of the study was rejected and not taken forward as an optimised ESK-containing reservoir candidate.</w:t>
      </w:r>
    </w:p>
    <w:p w14:paraId="7B56CBF7" w14:textId="221E84B0" w:rsidR="0074271C" w:rsidRPr="003B42A7" w:rsidRDefault="0074271C" w:rsidP="006115CA">
      <w:pPr>
        <w:spacing w:line="360" w:lineRule="auto"/>
        <w:jc w:val="both"/>
      </w:pPr>
      <w:r w:rsidRPr="003B42A7">
        <w:rPr>
          <w:color w:val="000000" w:themeColor="text1"/>
        </w:rPr>
        <w:t>Lyophilised wafers were visually inspected for uniformity following removal from their plastic moulds</w:t>
      </w:r>
      <w:r w:rsidR="006E7CD6" w:rsidRPr="003B42A7">
        <w:rPr>
          <w:color w:val="000000" w:themeColor="text1"/>
        </w:rPr>
        <w:t>, shown in Figure 2C(iii)</w:t>
      </w:r>
      <w:r w:rsidRPr="003B42A7">
        <w:rPr>
          <w:color w:val="000000" w:themeColor="text1"/>
        </w:rPr>
        <w:t xml:space="preserve">. Lyophilised reservoir dissolution time was recorded and varied from 6.7 </w:t>
      </w:r>
      <w:r w:rsidRPr="003B42A7">
        <w:rPr>
          <w:rFonts w:cs="Times New Roman"/>
          <w:color w:val="000000" w:themeColor="text1"/>
        </w:rPr>
        <w:t>±</w:t>
      </w:r>
      <w:r w:rsidRPr="003B42A7">
        <w:rPr>
          <w:color w:val="000000" w:themeColor="text1"/>
        </w:rPr>
        <w:t xml:space="preserve"> 0.9 min to 15.7 </w:t>
      </w:r>
      <w:r w:rsidRPr="003B42A7">
        <w:rPr>
          <w:rFonts w:cs="Times New Roman"/>
          <w:color w:val="000000" w:themeColor="text1"/>
        </w:rPr>
        <w:t>± 1.7 min. Due to the rapid swelling of hydrogel-forming MN it was decided that a short dissolution time of &lt;10 min was appropriate for this dosage form</w:t>
      </w:r>
      <w:r w:rsidR="00627626" w:rsidRPr="003B42A7">
        <w:rPr>
          <w:rFonts w:cs="Times New Roman"/>
          <w:color w:val="000000" w:themeColor="text1"/>
        </w:rPr>
        <w:t xml:space="preserve"> and as such, lead formulations were chosen on these two criteria, dissolution time, and visual uniformity.</w:t>
      </w:r>
    </w:p>
    <w:p w14:paraId="4BDBAA5B" w14:textId="77777777" w:rsidR="0074271C" w:rsidRPr="003B42A7" w:rsidRDefault="0074271C" w:rsidP="006115CA">
      <w:pPr>
        <w:spacing w:line="360" w:lineRule="auto"/>
        <w:jc w:val="both"/>
      </w:pPr>
    </w:p>
    <w:p w14:paraId="452346FD" w14:textId="77777777" w:rsidR="0087496D" w:rsidRPr="003B42A7" w:rsidRDefault="00F518F2" w:rsidP="00F456D2">
      <w:pPr>
        <w:pStyle w:val="Heading2"/>
      </w:pPr>
      <w:r w:rsidRPr="003B42A7">
        <w:t>Pharmaceutical analysis</w:t>
      </w:r>
    </w:p>
    <w:p w14:paraId="75674142" w14:textId="47D5C86E" w:rsidR="00922885" w:rsidRPr="003B42A7" w:rsidRDefault="00922885" w:rsidP="006115CA">
      <w:pPr>
        <w:spacing w:line="360" w:lineRule="auto"/>
        <w:jc w:val="both"/>
        <w:rPr>
          <w:color w:val="000000" w:themeColor="text1"/>
        </w:rPr>
      </w:pPr>
      <w:r w:rsidRPr="003B42A7">
        <w:rPr>
          <w:color w:val="000000" w:themeColor="text1"/>
        </w:rPr>
        <w:t>The reservoirs were 13 mm in diameter with a thickness of 2.5 mm. The total surface area of the cylindrical reservoirs was 1.32 cm</w:t>
      </w:r>
      <w:r w:rsidRPr="003B42A7">
        <w:rPr>
          <w:color w:val="000000" w:themeColor="text1"/>
          <w:vertAlign w:val="superscript"/>
        </w:rPr>
        <w:t>2</w:t>
      </w:r>
      <w:r w:rsidRPr="003B42A7">
        <w:rPr>
          <w:color w:val="000000" w:themeColor="text1"/>
        </w:rPr>
        <w:t>. Perc</w:t>
      </w:r>
      <w:r w:rsidR="006A4C0C" w:rsidRPr="003B42A7">
        <w:rPr>
          <w:color w:val="000000" w:themeColor="text1"/>
        </w:rPr>
        <w:t xml:space="preserve">entage recovery of ESK </w:t>
      </w:r>
      <w:r w:rsidRPr="003B42A7">
        <w:rPr>
          <w:color w:val="000000" w:themeColor="text1"/>
        </w:rPr>
        <w:t>from LR1 and LR3 was high (86.9 ± 6.7 % and 87.4 ± 6.2 respectively) and dissolution times were short (15.7 ± 1.7 min and 6.7 ± 0.9 respectively).</w:t>
      </w:r>
      <w:r w:rsidR="00A02789" w:rsidRPr="003B42A7">
        <w:rPr>
          <w:color w:val="000000" w:themeColor="text1"/>
        </w:rPr>
        <w:t xml:space="preserve"> ESK validation parameters are shown in table 2 below.</w:t>
      </w:r>
    </w:p>
    <w:p w14:paraId="6F76ED8A" w14:textId="21FD32F2" w:rsidR="00A02789" w:rsidRPr="003B42A7" w:rsidRDefault="00A02789" w:rsidP="006115CA">
      <w:pPr>
        <w:spacing w:line="360" w:lineRule="auto"/>
        <w:jc w:val="both"/>
        <w:rPr>
          <w:color w:val="000000" w:themeColor="text1"/>
        </w:rPr>
      </w:pPr>
    </w:p>
    <w:p w14:paraId="6F0D9F6C" w14:textId="77777777" w:rsidR="00A02789" w:rsidRPr="003B42A7" w:rsidRDefault="00A02789" w:rsidP="00A02789">
      <w:pPr>
        <w:rPr>
          <w:rFonts w:cs="Times New Roman"/>
          <w:sz w:val="20"/>
          <w:szCs w:val="20"/>
        </w:rPr>
      </w:pPr>
      <w:r w:rsidRPr="003B42A7">
        <w:rPr>
          <w:rFonts w:cs="Times New Roman"/>
          <w:b/>
          <w:sz w:val="20"/>
          <w:szCs w:val="20"/>
        </w:rPr>
        <w:lastRenderedPageBreak/>
        <w:t>Table 2</w:t>
      </w:r>
      <w:r w:rsidRPr="003B42A7">
        <w:rPr>
          <w:rFonts w:cs="Times New Roman"/>
          <w:sz w:val="20"/>
          <w:szCs w:val="20"/>
        </w:rPr>
        <w:t xml:space="preserve"> Validation parameters for RP-HPLC analytical methods, ESK in PBS (pH 7.4) and ESK in rat plasma (Means ± S.D., </w:t>
      </w:r>
      <w:r w:rsidRPr="003B42A7">
        <w:rPr>
          <w:rFonts w:cs="Times New Roman"/>
          <w:i/>
          <w:sz w:val="20"/>
          <w:szCs w:val="20"/>
        </w:rPr>
        <w:t>n</w:t>
      </w:r>
      <w:r w:rsidRPr="003B42A7">
        <w:rPr>
          <w:rFonts w:cs="Times New Roman"/>
          <w:sz w:val="20"/>
          <w:szCs w:val="20"/>
        </w:rPr>
        <w:t>=5).</w:t>
      </w:r>
    </w:p>
    <w:tbl>
      <w:tblPr>
        <w:tblStyle w:val="TableGrid"/>
        <w:tblpPr w:leftFromText="180" w:rightFromText="180" w:vertAnchor="page" w:horzAnchor="margin" w:tblpX="108" w:tblpY="2161"/>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2976"/>
        <w:gridCol w:w="2976"/>
      </w:tblGrid>
      <w:tr w:rsidR="00A02789" w:rsidRPr="003B42A7" w14:paraId="5482AEAF" w14:textId="77777777" w:rsidTr="00252F11">
        <w:tc>
          <w:tcPr>
            <w:tcW w:w="2976" w:type="dxa"/>
            <w:vAlign w:val="center"/>
          </w:tcPr>
          <w:p w14:paraId="78A9DC8E" w14:textId="77777777" w:rsidR="00A02789" w:rsidRPr="003B42A7" w:rsidRDefault="00A02789" w:rsidP="00252F11">
            <w:pPr>
              <w:spacing w:line="276" w:lineRule="auto"/>
              <w:jc w:val="center"/>
              <w:rPr>
                <w:rFonts w:cs="Times New Roman"/>
                <w:sz w:val="20"/>
                <w:szCs w:val="20"/>
              </w:rPr>
            </w:pPr>
          </w:p>
        </w:tc>
        <w:tc>
          <w:tcPr>
            <w:tcW w:w="5952" w:type="dxa"/>
            <w:gridSpan w:val="2"/>
            <w:tcBorders>
              <w:top w:val="single" w:sz="12" w:space="0" w:color="auto"/>
              <w:bottom w:val="single" w:sz="4" w:space="0" w:color="auto"/>
            </w:tcBorders>
            <w:vAlign w:val="center"/>
          </w:tcPr>
          <w:p w14:paraId="277F2A33"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Analytical Method</w:t>
            </w:r>
          </w:p>
        </w:tc>
      </w:tr>
      <w:tr w:rsidR="00A02789" w:rsidRPr="003B42A7" w14:paraId="28F2A25C" w14:textId="77777777" w:rsidTr="00252F11">
        <w:tc>
          <w:tcPr>
            <w:tcW w:w="2976" w:type="dxa"/>
            <w:vAlign w:val="center"/>
          </w:tcPr>
          <w:p w14:paraId="34744658" w14:textId="77777777" w:rsidR="00A02789" w:rsidRPr="003B42A7" w:rsidRDefault="00A02789" w:rsidP="00252F11">
            <w:pPr>
              <w:spacing w:line="276" w:lineRule="auto"/>
              <w:jc w:val="center"/>
              <w:rPr>
                <w:rFonts w:cs="Times New Roman"/>
                <w:sz w:val="20"/>
                <w:szCs w:val="20"/>
              </w:rPr>
            </w:pPr>
          </w:p>
        </w:tc>
        <w:tc>
          <w:tcPr>
            <w:tcW w:w="2976" w:type="dxa"/>
            <w:tcBorders>
              <w:top w:val="single" w:sz="4" w:space="0" w:color="auto"/>
              <w:bottom w:val="single" w:sz="4" w:space="0" w:color="auto"/>
            </w:tcBorders>
            <w:vAlign w:val="center"/>
          </w:tcPr>
          <w:p w14:paraId="6BBB5E7B"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ESK in PBS (pH 7.4)</w:t>
            </w:r>
          </w:p>
        </w:tc>
        <w:tc>
          <w:tcPr>
            <w:tcW w:w="2976" w:type="dxa"/>
            <w:tcBorders>
              <w:top w:val="single" w:sz="4" w:space="0" w:color="auto"/>
              <w:bottom w:val="single" w:sz="4" w:space="0" w:color="auto"/>
            </w:tcBorders>
            <w:vAlign w:val="center"/>
          </w:tcPr>
          <w:p w14:paraId="0E247D96"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ESK in rat plasma</w:t>
            </w:r>
          </w:p>
        </w:tc>
      </w:tr>
      <w:tr w:rsidR="00A02789" w:rsidRPr="003B42A7" w14:paraId="33A21720" w14:textId="77777777" w:rsidTr="00252F11">
        <w:tc>
          <w:tcPr>
            <w:tcW w:w="2976" w:type="dxa"/>
            <w:vAlign w:val="center"/>
          </w:tcPr>
          <w:p w14:paraId="7F4B661B"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Range (µg/ml)</w:t>
            </w:r>
          </w:p>
        </w:tc>
        <w:tc>
          <w:tcPr>
            <w:tcW w:w="2976" w:type="dxa"/>
            <w:tcBorders>
              <w:top w:val="single" w:sz="4" w:space="0" w:color="auto"/>
            </w:tcBorders>
            <w:vAlign w:val="center"/>
          </w:tcPr>
          <w:p w14:paraId="0A990CFA"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0.625 - 20</w:t>
            </w:r>
          </w:p>
        </w:tc>
        <w:tc>
          <w:tcPr>
            <w:tcW w:w="2976" w:type="dxa"/>
            <w:tcBorders>
              <w:top w:val="single" w:sz="4" w:space="0" w:color="auto"/>
            </w:tcBorders>
            <w:vAlign w:val="center"/>
          </w:tcPr>
          <w:p w14:paraId="2C938D57"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0.2 - 5</w:t>
            </w:r>
          </w:p>
        </w:tc>
      </w:tr>
      <w:tr w:rsidR="00A02789" w:rsidRPr="003B42A7" w14:paraId="21C96A63" w14:textId="77777777" w:rsidTr="00252F11">
        <w:tc>
          <w:tcPr>
            <w:tcW w:w="2976" w:type="dxa"/>
            <w:vAlign w:val="center"/>
          </w:tcPr>
          <w:p w14:paraId="6C5DFC44"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Slope</w:t>
            </w:r>
          </w:p>
        </w:tc>
        <w:tc>
          <w:tcPr>
            <w:tcW w:w="2976" w:type="dxa"/>
            <w:vAlign w:val="center"/>
          </w:tcPr>
          <w:p w14:paraId="6CA3AE24"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83.23</w:t>
            </w:r>
          </w:p>
        </w:tc>
        <w:tc>
          <w:tcPr>
            <w:tcW w:w="2976" w:type="dxa"/>
            <w:vAlign w:val="center"/>
          </w:tcPr>
          <w:p w14:paraId="5E5C9B94"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0.18</w:t>
            </w:r>
          </w:p>
        </w:tc>
      </w:tr>
      <w:tr w:rsidR="00A02789" w:rsidRPr="003B42A7" w14:paraId="364A79A8" w14:textId="77777777" w:rsidTr="00252F11">
        <w:tc>
          <w:tcPr>
            <w:tcW w:w="2976" w:type="dxa"/>
            <w:vAlign w:val="center"/>
          </w:tcPr>
          <w:p w14:paraId="470327D7"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y-intercept</w:t>
            </w:r>
          </w:p>
        </w:tc>
        <w:tc>
          <w:tcPr>
            <w:tcW w:w="2976" w:type="dxa"/>
            <w:vAlign w:val="center"/>
          </w:tcPr>
          <w:p w14:paraId="5F1C2EB5"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16.89</w:t>
            </w:r>
          </w:p>
        </w:tc>
        <w:tc>
          <w:tcPr>
            <w:tcW w:w="2976" w:type="dxa"/>
            <w:vAlign w:val="center"/>
          </w:tcPr>
          <w:p w14:paraId="5738BA28"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40.63</w:t>
            </w:r>
          </w:p>
        </w:tc>
      </w:tr>
      <w:tr w:rsidR="00A02789" w:rsidRPr="003B42A7" w14:paraId="0F6CFE89" w14:textId="77777777" w:rsidTr="00252F11">
        <w:tc>
          <w:tcPr>
            <w:tcW w:w="2976" w:type="dxa"/>
            <w:vAlign w:val="center"/>
          </w:tcPr>
          <w:p w14:paraId="6229F5CD"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r</w:t>
            </w:r>
            <w:r w:rsidRPr="003B42A7">
              <w:rPr>
                <w:rFonts w:cs="Times New Roman"/>
                <w:b/>
                <w:sz w:val="20"/>
                <w:szCs w:val="20"/>
                <w:vertAlign w:val="superscript"/>
              </w:rPr>
              <w:t>2</w:t>
            </w:r>
          </w:p>
        </w:tc>
        <w:tc>
          <w:tcPr>
            <w:tcW w:w="2976" w:type="dxa"/>
            <w:vAlign w:val="center"/>
          </w:tcPr>
          <w:p w14:paraId="7EC79628"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0.9999</w:t>
            </w:r>
          </w:p>
        </w:tc>
        <w:tc>
          <w:tcPr>
            <w:tcW w:w="2976" w:type="dxa"/>
            <w:vAlign w:val="center"/>
          </w:tcPr>
          <w:p w14:paraId="49D870D2"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0.9989</w:t>
            </w:r>
          </w:p>
        </w:tc>
      </w:tr>
      <w:tr w:rsidR="00A02789" w:rsidRPr="003B42A7" w14:paraId="42A5F0ED" w14:textId="77777777" w:rsidTr="00252F11">
        <w:tc>
          <w:tcPr>
            <w:tcW w:w="2976" w:type="dxa"/>
            <w:vAlign w:val="center"/>
          </w:tcPr>
          <w:p w14:paraId="636D83DE"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LoD (µg/ml)</w:t>
            </w:r>
          </w:p>
        </w:tc>
        <w:tc>
          <w:tcPr>
            <w:tcW w:w="2976" w:type="dxa"/>
            <w:vAlign w:val="center"/>
          </w:tcPr>
          <w:p w14:paraId="7B68BB07"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0.10</w:t>
            </w:r>
          </w:p>
        </w:tc>
        <w:tc>
          <w:tcPr>
            <w:tcW w:w="2976" w:type="dxa"/>
            <w:vAlign w:val="center"/>
          </w:tcPr>
          <w:p w14:paraId="7BDC0482"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0.05</w:t>
            </w:r>
          </w:p>
        </w:tc>
      </w:tr>
      <w:tr w:rsidR="00A02789" w:rsidRPr="003B42A7" w14:paraId="49C4ECD4" w14:textId="77777777" w:rsidTr="00252F11">
        <w:tc>
          <w:tcPr>
            <w:tcW w:w="2976" w:type="dxa"/>
            <w:vAlign w:val="center"/>
          </w:tcPr>
          <w:p w14:paraId="73189E1E" w14:textId="77777777" w:rsidR="00A02789" w:rsidRPr="003B42A7" w:rsidRDefault="00A02789" w:rsidP="00252F11">
            <w:pPr>
              <w:spacing w:line="276" w:lineRule="auto"/>
              <w:jc w:val="center"/>
              <w:rPr>
                <w:rFonts w:cs="Times New Roman"/>
                <w:b/>
                <w:sz w:val="20"/>
                <w:szCs w:val="20"/>
              </w:rPr>
            </w:pPr>
            <w:r w:rsidRPr="003B42A7">
              <w:rPr>
                <w:rFonts w:cs="Times New Roman"/>
                <w:b/>
                <w:sz w:val="20"/>
                <w:szCs w:val="20"/>
              </w:rPr>
              <w:t>LoQ (µg/ml)</w:t>
            </w:r>
          </w:p>
        </w:tc>
        <w:tc>
          <w:tcPr>
            <w:tcW w:w="2976" w:type="dxa"/>
            <w:vAlign w:val="center"/>
          </w:tcPr>
          <w:p w14:paraId="1276E5EE"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0.30</w:t>
            </w:r>
          </w:p>
        </w:tc>
        <w:tc>
          <w:tcPr>
            <w:tcW w:w="2976" w:type="dxa"/>
            <w:vAlign w:val="center"/>
          </w:tcPr>
          <w:p w14:paraId="765F86D7" w14:textId="77777777" w:rsidR="00A02789" w:rsidRPr="003B42A7" w:rsidRDefault="00A02789" w:rsidP="00252F11">
            <w:pPr>
              <w:spacing w:line="276" w:lineRule="auto"/>
              <w:jc w:val="center"/>
              <w:rPr>
                <w:rFonts w:cs="Times New Roman"/>
                <w:sz w:val="20"/>
                <w:szCs w:val="20"/>
              </w:rPr>
            </w:pPr>
            <w:r w:rsidRPr="003B42A7">
              <w:rPr>
                <w:rFonts w:cs="Times New Roman"/>
                <w:sz w:val="20"/>
                <w:szCs w:val="20"/>
              </w:rPr>
              <w:t>0.07</w:t>
            </w:r>
          </w:p>
        </w:tc>
      </w:tr>
    </w:tbl>
    <w:p w14:paraId="22BE4B46" w14:textId="371A5159" w:rsidR="00A02789" w:rsidRPr="003B42A7" w:rsidRDefault="00A02789" w:rsidP="00A02789">
      <w:pPr>
        <w:rPr>
          <w:rFonts w:cs="Times New Roman"/>
          <w:sz w:val="20"/>
          <w:szCs w:val="20"/>
        </w:rPr>
      </w:pPr>
    </w:p>
    <w:p w14:paraId="07AF893E" w14:textId="77777777" w:rsidR="00A02789" w:rsidRPr="003B42A7" w:rsidRDefault="00A02789" w:rsidP="00A02789">
      <w:pPr>
        <w:rPr>
          <w:rFonts w:cs="Times New Roman"/>
          <w:sz w:val="20"/>
          <w:szCs w:val="20"/>
        </w:rPr>
      </w:pPr>
    </w:p>
    <w:p w14:paraId="3CC4FC11" w14:textId="77777777" w:rsidR="00F518F2" w:rsidRPr="003B42A7" w:rsidRDefault="00F518F2" w:rsidP="00F456D2">
      <w:pPr>
        <w:pStyle w:val="Heading2"/>
      </w:pPr>
      <w:r w:rsidRPr="003B42A7">
        <w:t>ESK stability</w:t>
      </w:r>
    </w:p>
    <w:p w14:paraId="6C06EE31" w14:textId="297FA6E7" w:rsidR="0087496D" w:rsidRPr="003B42A7" w:rsidRDefault="00EC43A4" w:rsidP="006115CA">
      <w:pPr>
        <w:spacing w:line="360" w:lineRule="auto"/>
        <w:jc w:val="both"/>
        <w:rPr>
          <w:color w:val="000000" w:themeColor="text1"/>
        </w:rPr>
      </w:pPr>
      <w:r w:rsidRPr="003B42A7">
        <w:t xml:space="preserve">ESK was visually assessed for degradation and photographic images of ESK in PBS under various storage condition can be seen </w:t>
      </w:r>
      <w:r w:rsidR="00561209" w:rsidRPr="003B42A7">
        <w:t>in figure 3A</w:t>
      </w:r>
      <w:r w:rsidRPr="003B42A7">
        <w:t xml:space="preserve"> and 3</w:t>
      </w:r>
      <w:r w:rsidR="00561209" w:rsidRPr="003B42A7">
        <w:t>B</w:t>
      </w:r>
      <w:r w:rsidRPr="003B42A7">
        <w:t>. The percentage recovery of ESK from PBS was assessed over seven days as shown in figure 3</w:t>
      </w:r>
      <w:r w:rsidR="00561209" w:rsidRPr="003B42A7">
        <w:t>C</w:t>
      </w:r>
      <w:r w:rsidRPr="003B42A7">
        <w:t xml:space="preserve">. ESK was stable with high percentage recovery values recorded up to 3 days, except in the case of storage at elevated </w:t>
      </w:r>
      <w:r w:rsidR="00561209" w:rsidRPr="003B42A7">
        <w:t>temperatures</w:t>
      </w:r>
      <w:r w:rsidRPr="003B42A7">
        <w:t xml:space="preserve"> of 80</w:t>
      </w:r>
      <w:r w:rsidR="00561209" w:rsidRPr="003B42A7">
        <w:rPr>
          <w:rFonts w:cs="Times New Roman"/>
        </w:rPr>
        <w:t>º</w:t>
      </w:r>
      <w:r w:rsidRPr="003B42A7">
        <w:t>C</w:t>
      </w:r>
      <w:r w:rsidR="00561209" w:rsidRPr="003B42A7">
        <w:t>. Figure 3D shows that at</w:t>
      </w:r>
      <w:r w:rsidR="00561209" w:rsidRPr="003B42A7">
        <w:rPr>
          <w:color w:val="000000" w:themeColor="text1"/>
        </w:rPr>
        <w:t xml:space="preserve"> day 7 ESK recovery from F3 was 97.0 ± 2.3 %, F12 recovery was 89.9 ± 0.9 % and LW3 recovery was 95.9 ± 1.4 %. Figure 3E shows that high percentage recovery values were still reported at 28 days F3 recovery was 98.2 %, F12 was 90.3 % and LW3 was 97.1 % when stored in the test primary packaging.</w:t>
      </w:r>
    </w:p>
    <w:p w14:paraId="7BBF9743" w14:textId="77777777" w:rsidR="004A6530" w:rsidRPr="003B42A7" w:rsidRDefault="004A6530">
      <w:pPr>
        <w:rPr>
          <w:color w:val="000000" w:themeColor="text1"/>
        </w:rPr>
        <w:sectPr w:rsidR="004A6530" w:rsidRPr="003B42A7" w:rsidSect="00573609">
          <w:footerReference w:type="default" r:id="rId10"/>
          <w:pgSz w:w="11906" w:h="16838"/>
          <w:pgMar w:top="1440" w:right="1440" w:bottom="1440" w:left="1440" w:header="708" w:footer="708" w:gutter="0"/>
          <w:pgNumType w:start="0"/>
          <w:cols w:space="708"/>
          <w:titlePg/>
          <w:docGrid w:linePitch="360"/>
        </w:sectPr>
      </w:pPr>
    </w:p>
    <w:p w14:paraId="7B40843B" w14:textId="2BB1C33F" w:rsidR="00BC2900" w:rsidRPr="003B42A7" w:rsidRDefault="00145325" w:rsidP="006115CA">
      <w:pPr>
        <w:spacing w:line="360" w:lineRule="auto"/>
        <w:jc w:val="both"/>
        <w:rPr>
          <w:color w:val="000000" w:themeColor="text1"/>
        </w:rPr>
      </w:pPr>
      <w:r w:rsidRPr="003B42A7">
        <w:rPr>
          <w:noProof/>
          <w:color w:val="000000" w:themeColor="text1"/>
          <w:lang w:eastAsia="en-GB"/>
        </w:rPr>
        <w:lastRenderedPageBreak/>
        <w:drawing>
          <wp:inline distT="0" distB="0" distL="0" distR="0" wp14:anchorId="2EBEEB94" wp14:editId="116E1476">
            <wp:extent cx="8723613" cy="422910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38787" cy="4236456"/>
                    </a:xfrm>
                    <a:prstGeom prst="rect">
                      <a:avLst/>
                    </a:prstGeom>
                    <a:noFill/>
                  </pic:spPr>
                </pic:pic>
              </a:graphicData>
            </a:graphic>
          </wp:inline>
        </w:drawing>
      </w:r>
    </w:p>
    <w:p w14:paraId="53669B22" w14:textId="3C47C514" w:rsidR="004A6530" w:rsidRPr="003B42A7" w:rsidRDefault="004A6530">
      <w:r w:rsidRPr="003B42A7">
        <w:rPr>
          <w:rFonts w:cs="Times New Roman"/>
          <w:b/>
          <w:sz w:val="20"/>
          <w:szCs w:val="20"/>
        </w:rPr>
        <w:t>Figure 3</w:t>
      </w:r>
      <w:r w:rsidRPr="003B42A7">
        <w:rPr>
          <w:rFonts w:cs="Times New Roman"/>
          <w:sz w:val="20"/>
          <w:szCs w:val="20"/>
        </w:rPr>
        <w:t xml:space="preserve"> Photographic images of ESK in PBS (pH 7.4) at (A) the beginning of the study and (B) following storage for 3 days under various conditions (</w:t>
      </w:r>
      <w:proofErr w:type="spellStart"/>
      <w:r w:rsidRPr="003B42A7">
        <w:rPr>
          <w:rFonts w:cs="Times New Roman"/>
          <w:sz w:val="20"/>
          <w:szCs w:val="20"/>
        </w:rPr>
        <w:t>i</w:t>
      </w:r>
      <w:proofErr w:type="spellEnd"/>
      <w:r w:rsidRPr="003B42A7">
        <w:rPr>
          <w:rFonts w:cs="Times New Roman"/>
          <w:sz w:val="20"/>
          <w:szCs w:val="20"/>
        </w:rPr>
        <w:t xml:space="preserve">) 4°C (Dark); (ii) 37°C (Dark); (iii) 80°C (Dark); (iv) 20°C (Dark) and (v) 20°C (Light). (C) ESK recovery (%) in PBS (pH 7.4) under various conditions up to 7 days (Means ± S.D., </w:t>
      </w:r>
      <w:r w:rsidRPr="003B42A7">
        <w:rPr>
          <w:rFonts w:cs="Times New Roman"/>
          <w:i/>
          <w:sz w:val="20"/>
          <w:szCs w:val="20"/>
        </w:rPr>
        <w:t>n</w:t>
      </w:r>
      <w:r w:rsidRPr="003B42A7">
        <w:rPr>
          <w:rFonts w:cs="Times New Roman"/>
          <w:sz w:val="20"/>
          <w:szCs w:val="20"/>
        </w:rPr>
        <w:t xml:space="preserve">=3). (D) ESK recovery (%) from lead formulations (formulation codes, F3, F12 and LW3) (Means ± S.D., </w:t>
      </w:r>
      <w:r w:rsidRPr="003B42A7">
        <w:rPr>
          <w:rFonts w:cs="Times New Roman"/>
          <w:i/>
          <w:sz w:val="20"/>
          <w:szCs w:val="20"/>
        </w:rPr>
        <w:t>n</w:t>
      </w:r>
      <w:r w:rsidRPr="003B42A7">
        <w:rPr>
          <w:rFonts w:cs="Times New Roman"/>
          <w:sz w:val="20"/>
          <w:szCs w:val="20"/>
        </w:rPr>
        <w:t xml:space="preserve">=3). (E) ESK recovery (%) from lead formulations placed into primary packaging, stored at 20°C and tested over 28 days (Means ± S.D., </w:t>
      </w:r>
      <w:r w:rsidRPr="003B42A7">
        <w:rPr>
          <w:rFonts w:cs="Times New Roman"/>
          <w:i/>
          <w:sz w:val="20"/>
          <w:szCs w:val="20"/>
        </w:rPr>
        <w:t>n</w:t>
      </w:r>
      <w:r w:rsidRPr="003B42A7">
        <w:rPr>
          <w:rFonts w:cs="Times New Roman"/>
          <w:sz w:val="20"/>
          <w:szCs w:val="20"/>
        </w:rPr>
        <w:t>=3).</w:t>
      </w:r>
    </w:p>
    <w:p w14:paraId="1A53F333" w14:textId="77777777" w:rsidR="004A6530" w:rsidRPr="003B42A7" w:rsidRDefault="004A6530" w:rsidP="006115CA">
      <w:pPr>
        <w:spacing w:line="360" w:lineRule="auto"/>
        <w:jc w:val="both"/>
        <w:sectPr w:rsidR="004A6530" w:rsidRPr="003B42A7" w:rsidSect="004A6530">
          <w:pgSz w:w="16838" w:h="11906" w:orient="landscape"/>
          <w:pgMar w:top="1440" w:right="1440" w:bottom="1440" w:left="1440" w:header="708" w:footer="708" w:gutter="0"/>
          <w:pgNumType w:start="0"/>
          <w:cols w:space="708"/>
          <w:titlePg/>
          <w:docGrid w:linePitch="360"/>
        </w:sectPr>
      </w:pPr>
    </w:p>
    <w:p w14:paraId="60ECBBB8" w14:textId="24F4A4DB" w:rsidR="00665E5D" w:rsidRPr="003B42A7" w:rsidRDefault="00F518F2" w:rsidP="00F456D2">
      <w:pPr>
        <w:pStyle w:val="Heading2"/>
      </w:pPr>
      <w:r w:rsidRPr="003B42A7">
        <w:lastRenderedPageBreak/>
        <w:t xml:space="preserve">In vitro permeation </w:t>
      </w:r>
      <w:r w:rsidR="007E781F" w:rsidRPr="003B42A7">
        <w:t>of ESK from MN patches</w:t>
      </w:r>
    </w:p>
    <w:p w14:paraId="74EA6DAA" w14:textId="18EF7D68" w:rsidR="0074271C" w:rsidRPr="003B42A7" w:rsidRDefault="0074271C" w:rsidP="006115CA">
      <w:pPr>
        <w:spacing w:line="360" w:lineRule="auto"/>
        <w:jc w:val="both"/>
        <w:rPr>
          <w:color w:val="FF0000"/>
        </w:rPr>
      </w:pPr>
      <w:r w:rsidRPr="003B42A7">
        <w:rPr>
          <w:color w:val="000000" w:themeColor="text1"/>
        </w:rPr>
        <w:t xml:space="preserve">In each </w:t>
      </w:r>
      <w:r w:rsidR="006A4C0C" w:rsidRPr="003B42A7">
        <w:rPr>
          <w:color w:val="000000" w:themeColor="text1"/>
        </w:rPr>
        <w:t>experimental set-up</w:t>
      </w:r>
      <w:r w:rsidRPr="003B42A7">
        <w:rPr>
          <w:color w:val="000000" w:themeColor="text1"/>
        </w:rPr>
        <w:t xml:space="preserve"> detectable quantities of </w:t>
      </w:r>
      <w:r w:rsidR="00D006B2" w:rsidRPr="003B42A7">
        <w:rPr>
          <w:color w:val="000000" w:themeColor="text1"/>
        </w:rPr>
        <w:t>ESK</w:t>
      </w:r>
      <w:r w:rsidRPr="003B42A7">
        <w:rPr>
          <w:color w:val="000000" w:themeColor="text1"/>
        </w:rPr>
        <w:t xml:space="preserve"> were </w:t>
      </w:r>
      <w:r w:rsidR="00D006B2" w:rsidRPr="003B42A7">
        <w:rPr>
          <w:color w:val="000000" w:themeColor="text1"/>
        </w:rPr>
        <w:t>observed</w:t>
      </w:r>
      <w:r w:rsidRPr="003B42A7">
        <w:rPr>
          <w:color w:val="000000" w:themeColor="text1"/>
        </w:rPr>
        <w:t xml:space="preserve"> in the receiver compartment </w:t>
      </w:r>
      <w:r w:rsidR="00D006B2" w:rsidRPr="003B42A7">
        <w:rPr>
          <w:color w:val="000000" w:themeColor="text1"/>
        </w:rPr>
        <w:t xml:space="preserve">of the Franz diffusion cell apparatus </w:t>
      </w:r>
      <w:r w:rsidRPr="003B42A7">
        <w:rPr>
          <w:color w:val="000000" w:themeColor="text1"/>
        </w:rPr>
        <w:t xml:space="preserve">from the 15 min time point onwards, however appreciable levels of </w:t>
      </w:r>
      <w:r w:rsidR="00D006B2" w:rsidRPr="003B42A7">
        <w:rPr>
          <w:color w:val="000000" w:themeColor="text1"/>
        </w:rPr>
        <w:t>ESK</w:t>
      </w:r>
      <w:r w:rsidRPr="003B42A7">
        <w:rPr>
          <w:color w:val="000000" w:themeColor="text1"/>
        </w:rPr>
        <w:t xml:space="preserve"> were not see</w:t>
      </w:r>
      <w:r w:rsidR="008B66A1" w:rsidRPr="003B42A7">
        <w:rPr>
          <w:color w:val="000000" w:themeColor="text1"/>
        </w:rPr>
        <w:t>n</w:t>
      </w:r>
      <w:r w:rsidRPr="003B42A7">
        <w:rPr>
          <w:color w:val="000000" w:themeColor="text1"/>
        </w:rPr>
        <w:t xml:space="preserve"> until the 90 min time point. At 24 h (1440 min) </w:t>
      </w:r>
      <w:r w:rsidR="006E7CD6" w:rsidRPr="003B42A7">
        <w:rPr>
          <w:color w:val="000000" w:themeColor="text1"/>
        </w:rPr>
        <w:t>LW</w:t>
      </w:r>
      <w:r w:rsidRPr="003B42A7">
        <w:rPr>
          <w:color w:val="000000" w:themeColor="text1"/>
        </w:rPr>
        <w:t xml:space="preserve">3 showed cumulative permeation of 31.9 ± 5.1 mg, </w:t>
      </w:r>
      <w:r w:rsidR="006E7CD6" w:rsidRPr="003B42A7">
        <w:rPr>
          <w:color w:val="000000" w:themeColor="text1"/>
        </w:rPr>
        <w:t>F12</w:t>
      </w:r>
      <w:r w:rsidRPr="003B42A7">
        <w:rPr>
          <w:color w:val="000000" w:themeColor="text1"/>
        </w:rPr>
        <w:t xml:space="preserve"> cumulative permeation of 5.7 ± 1.0 mg and </w:t>
      </w:r>
      <w:r w:rsidR="006E7CD6" w:rsidRPr="003B42A7">
        <w:rPr>
          <w:color w:val="000000" w:themeColor="text1"/>
        </w:rPr>
        <w:t>F</w:t>
      </w:r>
      <w:r w:rsidRPr="003B42A7">
        <w:rPr>
          <w:color w:val="000000" w:themeColor="text1"/>
        </w:rPr>
        <w:t xml:space="preserve">3 cumulative permeation of 16.8 ± 2.9 mg. Permeation from each reservoir over the first 6 h </w:t>
      </w:r>
      <w:r w:rsidR="00D006B2" w:rsidRPr="003B42A7">
        <w:rPr>
          <w:color w:val="000000" w:themeColor="text1"/>
        </w:rPr>
        <w:t>showed a similar</w:t>
      </w:r>
      <w:r w:rsidRPr="003B42A7">
        <w:rPr>
          <w:color w:val="000000" w:themeColor="text1"/>
        </w:rPr>
        <w:t xml:space="preserve"> profile, although </w:t>
      </w:r>
      <w:r w:rsidR="006E7CD6" w:rsidRPr="003B42A7">
        <w:rPr>
          <w:color w:val="000000" w:themeColor="text1"/>
        </w:rPr>
        <w:t>F12</w:t>
      </w:r>
      <w:r w:rsidRPr="003B42A7">
        <w:rPr>
          <w:color w:val="000000" w:themeColor="text1"/>
        </w:rPr>
        <w:t xml:space="preserve"> </w:t>
      </w:r>
      <w:r w:rsidR="008B66A1" w:rsidRPr="003B42A7">
        <w:rPr>
          <w:color w:val="000000" w:themeColor="text1"/>
        </w:rPr>
        <w:t xml:space="preserve">had </w:t>
      </w:r>
      <w:r w:rsidRPr="003B42A7">
        <w:rPr>
          <w:color w:val="000000" w:themeColor="text1"/>
        </w:rPr>
        <w:t xml:space="preserve">a lesser extent of </w:t>
      </w:r>
      <w:r w:rsidR="00D006B2" w:rsidRPr="003B42A7">
        <w:rPr>
          <w:color w:val="000000" w:themeColor="text1"/>
        </w:rPr>
        <w:t>ESK</w:t>
      </w:r>
      <w:r w:rsidRPr="003B42A7">
        <w:rPr>
          <w:color w:val="000000" w:themeColor="text1"/>
        </w:rPr>
        <w:t xml:space="preserve"> permeation. Further</w:t>
      </w:r>
      <w:r w:rsidR="00D006B2" w:rsidRPr="003B42A7">
        <w:rPr>
          <w:color w:val="000000" w:themeColor="text1"/>
        </w:rPr>
        <w:t>more</w:t>
      </w:r>
      <w:r w:rsidRPr="003B42A7">
        <w:rPr>
          <w:color w:val="000000" w:themeColor="text1"/>
        </w:rPr>
        <w:t xml:space="preserve">, </w:t>
      </w:r>
      <w:r w:rsidR="00D006B2" w:rsidRPr="003B42A7">
        <w:rPr>
          <w:color w:val="000000" w:themeColor="text1"/>
        </w:rPr>
        <w:t>with</w:t>
      </w:r>
      <w:r w:rsidRPr="003B42A7">
        <w:rPr>
          <w:color w:val="000000" w:themeColor="text1"/>
        </w:rPr>
        <w:t>in th</w:t>
      </w:r>
      <w:r w:rsidR="00D006B2" w:rsidRPr="003B42A7">
        <w:rPr>
          <w:color w:val="000000" w:themeColor="text1"/>
        </w:rPr>
        <w:t>e</w:t>
      </w:r>
      <w:r w:rsidRPr="003B42A7">
        <w:rPr>
          <w:color w:val="000000" w:themeColor="text1"/>
        </w:rPr>
        <w:t xml:space="preserve"> time period between 6 and 24 h significant permeation of </w:t>
      </w:r>
      <w:r w:rsidR="00D006B2" w:rsidRPr="003B42A7">
        <w:rPr>
          <w:color w:val="000000" w:themeColor="text1"/>
        </w:rPr>
        <w:t>ESK was observed</w:t>
      </w:r>
      <w:r w:rsidRPr="003B42A7">
        <w:rPr>
          <w:color w:val="000000" w:themeColor="text1"/>
        </w:rPr>
        <w:t xml:space="preserve">, particularly with </w:t>
      </w:r>
      <w:r w:rsidR="006E7CD6" w:rsidRPr="003B42A7">
        <w:rPr>
          <w:color w:val="000000" w:themeColor="text1"/>
        </w:rPr>
        <w:t>LW</w:t>
      </w:r>
      <w:r w:rsidRPr="003B42A7">
        <w:rPr>
          <w:color w:val="000000" w:themeColor="text1"/>
        </w:rPr>
        <w:t>3.</w:t>
      </w:r>
    </w:p>
    <w:p w14:paraId="607DFB35" w14:textId="5788740B" w:rsidR="00D006B2" w:rsidRPr="003B42A7" w:rsidRDefault="00D006B2" w:rsidP="006115CA">
      <w:pPr>
        <w:spacing w:line="360" w:lineRule="auto"/>
        <w:jc w:val="both"/>
        <w:rPr>
          <w:color w:val="000000" w:themeColor="text1"/>
        </w:rPr>
      </w:pPr>
      <w:r w:rsidRPr="003B42A7">
        <w:rPr>
          <w:color w:val="000000" w:themeColor="text1"/>
        </w:rPr>
        <w:t xml:space="preserve">Looking at the cumulative percentage permeation, it can be seen that although </w:t>
      </w:r>
      <w:r w:rsidR="006E7CD6" w:rsidRPr="003B42A7">
        <w:rPr>
          <w:color w:val="000000" w:themeColor="text1"/>
        </w:rPr>
        <w:t>LW</w:t>
      </w:r>
      <w:r w:rsidRPr="003B42A7">
        <w:rPr>
          <w:color w:val="000000" w:themeColor="text1"/>
        </w:rPr>
        <w:t xml:space="preserve">3 delivered the highest quantity of ESK this was in fact the lowest percentage quantity of ESK in the formulation. At 24 h the percentage permeation of </w:t>
      </w:r>
      <w:r w:rsidR="006E7CD6" w:rsidRPr="003B42A7">
        <w:rPr>
          <w:color w:val="000000" w:themeColor="text1"/>
        </w:rPr>
        <w:t>LW</w:t>
      </w:r>
      <w:r w:rsidRPr="003B42A7">
        <w:rPr>
          <w:color w:val="000000" w:themeColor="text1"/>
        </w:rPr>
        <w:t>3 was 21.3 ± 3.4 %, F</w:t>
      </w:r>
      <w:r w:rsidR="006E7CD6" w:rsidRPr="003B42A7">
        <w:rPr>
          <w:color w:val="000000" w:themeColor="text1"/>
        </w:rPr>
        <w:t>1</w:t>
      </w:r>
      <w:r w:rsidRPr="003B42A7">
        <w:rPr>
          <w:color w:val="000000" w:themeColor="text1"/>
        </w:rPr>
        <w:t xml:space="preserve">2 was 32.1 ± 4.9 %, and </w:t>
      </w:r>
      <w:r w:rsidR="006E7CD6" w:rsidRPr="003B42A7">
        <w:rPr>
          <w:color w:val="000000" w:themeColor="text1"/>
        </w:rPr>
        <w:t>F</w:t>
      </w:r>
      <w:r w:rsidRPr="003B42A7">
        <w:rPr>
          <w:color w:val="000000" w:themeColor="text1"/>
        </w:rPr>
        <w:t>3 was 40.1 ± 8.0 %.</w:t>
      </w:r>
    </w:p>
    <w:p w14:paraId="28D8BF43" w14:textId="77777777" w:rsidR="00A02789" w:rsidRPr="003B42A7" w:rsidRDefault="00A02789" w:rsidP="006115CA">
      <w:pPr>
        <w:spacing w:line="360" w:lineRule="auto"/>
        <w:jc w:val="both"/>
        <w:rPr>
          <w:color w:val="000000" w:themeColor="text1"/>
        </w:rPr>
      </w:pPr>
    </w:p>
    <w:p w14:paraId="57632DAE" w14:textId="77777777" w:rsidR="008B66A1" w:rsidRPr="003B42A7" w:rsidRDefault="008B66A1" w:rsidP="00F456D2">
      <w:pPr>
        <w:pStyle w:val="Heading2"/>
      </w:pPr>
      <w:r w:rsidRPr="003B42A7">
        <w:t>In vivo delivery of ESK from Sprague-Dawley rats</w:t>
      </w:r>
    </w:p>
    <w:p w14:paraId="1311DD00" w14:textId="79912DC8" w:rsidR="0062418A" w:rsidRPr="003B42A7" w:rsidRDefault="00D006B2" w:rsidP="00BA0A5A">
      <w:pPr>
        <w:spacing w:line="360" w:lineRule="auto"/>
        <w:jc w:val="both"/>
        <w:rPr>
          <w:color w:val="000000" w:themeColor="text1"/>
        </w:rPr>
      </w:pPr>
      <w:r w:rsidRPr="003B42A7">
        <w:rPr>
          <w:color w:val="000000" w:themeColor="text1"/>
        </w:rPr>
        <w:t xml:space="preserve">Initially, a pilot study was conducted to ensure the rats were not subject to adverse effects and further to ensure ESK could be detected and quantified using the plasma extraction and HPLC </w:t>
      </w:r>
      <w:r w:rsidR="006A4C0C" w:rsidRPr="003B42A7">
        <w:rPr>
          <w:color w:val="000000" w:themeColor="text1"/>
        </w:rPr>
        <w:t>qualified</w:t>
      </w:r>
      <w:r w:rsidRPr="003B42A7">
        <w:rPr>
          <w:color w:val="000000" w:themeColor="text1"/>
        </w:rPr>
        <w:t xml:space="preserve"> methods. </w:t>
      </w:r>
      <w:r w:rsidR="00302639" w:rsidRPr="003B42A7">
        <w:rPr>
          <w:color w:val="000000" w:themeColor="text1"/>
        </w:rPr>
        <w:t xml:space="preserve">Three females SD rats received a single </w:t>
      </w:r>
      <w:r w:rsidR="002A63AC" w:rsidRPr="003B42A7">
        <w:rPr>
          <w:color w:val="000000" w:themeColor="text1"/>
        </w:rPr>
        <w:t>ESK</w:t>
      </w:r>
      <w:r w:rsidR="00302639" w:rsidRPr="003B42A7">
        <w:rPr>
          <w:color w:val="000000" w:themeColor="text1"/>
        </w:rPr>
        <w:t xml:space="preserve"> dose either as 5 mg/kg </w:t>
      </w:r>
      <w:r w:rsidR="00BA0A5A" w:rsidRPr="003B42A7">
        <w:rPr>
          <w:color w:val="000000" w:themeColor="text1"/>
        </w:rPr>
        <w:t>IV</w:t>
      </w:r>
      <w:r w:rsidR="00302639" w:rsidRPr="003B42A7">
        <w:rPr>
          <w:color w:val="000000" w:themeColor="text1"/>
        </w:rPr>
        <w:t xml:space="preserve"> as positive control, or 2</w:t>
      </w:r>
      <w:r w:rsidR="006A4C0C" w:rsidRPr="003B42A7">
        <w:rPr>
          <w:color w:val="000000" w:themeColor="text1"/>
        </w:rPr>
        <w:t xml:space="preserve"> </w:t>
      </w:r>
      <w:r w:rsidR="00302639" w:rsidRPr="003B42A7">
        <w:rPr>
          <w:color w:val="000000" w:themeColor="text1"/>
        </w:rPr>
        <w:t>x</w:t>
      </w:r>
      <w:r w:rsidR="006A4C0C" w:rsidRPr="003B42A7">
        <w:rPr>
          <w:color w:val="000000" w:themeColor="text1"/>
        </w:rPr>
        <w:t xml:space="preserve"> </w:t>
      </w:r>
      <w:r w:rsidR="00302639" w:rsidRPr="003B42A7">
        <w:rPr>
          <w:color w:val="000000" w:themeColor="text1"/>
        </w:rPr>
        <w:t>MN topped by either film (F3) or l</w:t>
      </w:r>
      <w:r w:rsidR="006A4C0C" w:rsidRPr="003B42A7">
        <w:rPr>
          <w:color w:val="000000" w:themeColor="text1"/>
        </w:rPr>
        <w:t>yophilized reservoir (L</w:t>
      </w:r>
      <w:r w:rsidR="00F456D2" w:rsidRPr="003B42A7">
        <w:rPr>
          <w:color w:val="000000" w:themeColor="text1"/>
        </w:rPr>
        <w:t>W</w:t>
      </w:r>
      <w:r w:rsidR="006A4C0C" w:rsidRPr="003B42A7">
        <w:rPr>
          <w:color w:val="000000" w:themeColor="text1"/>
        </w:rPr>
        <w:t xml:space="preserve">3), at 30 </w:t>
      </w:r>
      <w:r w:rsidR="00302639" w:rsidRPr="003B42A7">
        <w:rPr>
          <w:color w:val="000000" w:themeColor="text1"/>
        </w:rPr>
        <w:t>mg/cm</w:t>
      </w:r>
      <w:r w:rsidR="00302639" w:rsidRPr="003B42A7">
        <w:rPr>
          <w:color w:val="000000" w:themeColor="text1"/>
          <w:vertAlign w:val="superscript"/>
        </w:rPr>
        <w:t>2</w:t>
      </w:r>
      <w:r w:rsidR="00302639" w:rsidRPr="003B42A7">
        <w:rPr>
          <w:color w:val="000000" w:themeColor="text1"/>
        </w:rPr>
        <w:t xml:space="preserve"> </w:t>
      </w:r>
      <w:r w:rsidR="006A4C0C" w:rsidRPr="003B42A7">
        <w:rPr>
          <w:color w:val="000000" w:themeColor="text1"/>
        </w:rPr>
        <w:t xml:space="preserve">(total patch size </w:t>
      </w:r>
      <w:r w:rsidR="00DD13E4" w:rsidRPr="003B42A7">
        <w:rPr>
          <w:color w:val="000000" w:themeColor="text1"/>
        </w:rPr>
        <w:t>1</w:t>
      </w:r>
      <w:r w:rsidR="006A4C0C" w:rsidRPr="003B42A7">
        <w:rPr>
          <w:color w:val="000000" w:themeColor="text1"/>
        </w:rPr>
        <w:t xml:space="preserve"> </w:t>
      </w:r>
      <w:r w:rsidR="00302639" w:rsidRPr="003B42A7">
        <w:rPr>
          <w:color w:val="000000" w:themeColor="text1"/>
        </w:rPr>
        <w:t>cm</w:t>
      </w:r>
      <w:r w:rsidR="00302639" w:rsidRPr="003B42A7">
        <w:rPr>
          <w:color w:val="000000" w:themeColor="text1"/>
          <w:vertAlign w:val="superscript"/>
        </w:rPr>
        <w:t>2</w:t>
      </w:r>
      <w:r w:rsidR="006A4C0C" w:rsidRPr="003B42A7">
        <w:rPr>
          <w:color w:val="000000" w:themeColor="text1"/>
        </w:rPr>
        <w:t>)</w:t>
      </w:r>
      <w:r w:rsidR="00302639" w:rsidRPr="003B42A7">
        <w:rPr>
          <w:color w:val="000000" w:themeColor="text1"/>
        </w:rPr>
        <w:t xml:space="preserve"> for 24h</w:t>
      </w:r>
      <w:r w:rsidR="006A4C0C" w:rsidRPr="003B42A7">
        <w:rPr>
          <w:color w:val="000000" w:themeColor="text1"/>
        </w:rPr>
        <w:t xml:space="preserve"> and 120mg/cm</w:t>
      </w:r>
      <w:r w:rsidR="006A4C0C" w:rsidRPr="003B42A7">
        <w:rPr>
          <w:color w:val="000000" w:themeColor="text1"/>
          <w:vertAlign w:val="superscript"/>
        </w:rPr>
        <w:t>2</w:t>
      </w:r>
      <w:r w:rsidR="006A4C0C" w:rsidRPr="003B42A7">
        <w:rPr>
          <w:color w:val="000000" w:themeColor="text1"/>
        </w:rPr>
        <w:t xml:space="preserve"> (total patch size </w:t>
      </w:r>
      <w:r w:rsidR="00DD13E4" w:rsidRPr="003B42A7">
        <w:rPr>
          <w:color w:val="000000" w:themeColor="text1"/>
        </w:rPr>
        <w:t>1</w:t>
      </w:r>
      <w:r w:rsidR="006A4C0C" w:rsidRPr="003B42A7">
        <w:rPr>
          <w:color w:val="000000" w:themeColor="text1"/>
        </w:rPr>
        <w:t xml:space="preserve"> cm</w:t>
      </w:r>
      <w:r w:rsidR="006A4C0C" w:rsidRPr="003B42A7">
        <w:rPr>
          <w:color w:val="000000" w:themeColor="text1"/>
          <w:vertAlign w:val="superscript"/>
        </w:rPr>
        <w:t>2</w:t>
      </w:r>
      <w:r w:rsidR="006A4C0C" w:rsidRPr="003B42A7">
        <w:rPr>
          <w:color w:val="000000" w:themeColor="text1"/>
        </w:rPr>
        <w:t xml:space="preserve">) for 24 h, respectively. </w:t>
      </w:r>
      <w:r w:rsidR="0062418A" w:rsidRPr="003B42A7">
        <w:rPr>
          <w:color w:val="000000" w:themeColor="text1"/>
        </w:rPr>
        <w:t>The MN array insertion was confirmed visually upon removal of the patch at t = 24 h. Following removal of the MN arrays it was clear that the needles had swollen and the ESK-containing reservoirs (F3/LW3) had dissolved. Visual inspection of the patches upon removal showed that the lyophilised reservoir had dissolved to a greater extent than the film reservoir. In the majority of LW3 a white residual solid (undissolved reservoir) could be observed.</w:t>
      </w:r>
    </w:p>
    <w:p w14:paraId="10E20546" w14:textId="72E1587A" w:rsidR="008C1402" w:rsidRPr="003B42A7" w:rsidRDefault="00D006B2" w:rsidP="0062418A">
      <w:pPr>
        <w:spacing w:line="360" w:lineRule="auto"/>
        <w:jc w:val="both"/>
        <w:rPr>
          <w:color w:val="000000" w:themeColor="text1"/>
          <w:lang w:val="en-US"/>
        </w:rPr>
      </w:pPr>
      <w:r w:rsidRPr="003B42A7">
        <w:rPr>
          <w:color w:val="000000" w:themeColor="text1"/>
        </w:rPr>
        <w:t>None of the 3 rats showed any signs of ill health or adverse effect through the course of the pilot study period</w:t>
      </w:r>
      <w:r w:rsidR="0062418A" w:rsidRPr="003B42A7">
        <w:rPr>
          <w:color w:val="000000" w:themeColor="text1"/>
        </w:rPr>
        <w:t xml:space="preserve"> neither as a result of MN insertion nor ESK administration</w:t>
      </w:r>
      <w:r w:rsidRPr="003B42A7">
        <w:rPr>
          <w:color w:val="000000" w:themeColor="text1"/>
        </w:rPr>
        <w:t>. Unfortunately, ESK</w:t>
      </w:r>
      <w:r w:rsidRPr="003B42A7">
        <w:rPr>
          <w:color w:val="000000" w:themeColor="text1"/>
          <w:lang w:val="en-US"/>
        </w:rPr>
        <w:t xml:space="preserve"> was </w:t>
      </w:r>
      <w:r w:rsidR="0009158A" w:rsidRPr="003B42A7">
        <w:rPr>
          <w:color w:val="000000" w:themeColor="text1"/>
          <w:lang w:val="en-US"/>
        </w:rPr>
        <w:t>below the limit of detection (</w:t>
      </w:r>
      <w:r w:rsidR="006A4C0C" w:rsidRPr="003B42A7">
        <w:rPr>
          <w:color w:val="000000" w:themeColor="text1"/>
          <w:lang w:val="en-US"/>
        </w:rPr>
        <w:t>5</w:t>
      </w:r>
      <w:r w:rsidR="0009158A" w:rsidRPr="003B42A7">
        <w:rPr>
          <w:color w:val="000000" w:themeColor="text1"/>
          <w:lang w:val="en-US"/>
        </w:rPr>
        <w:t>0 ng/ml)</w:t>
      </w:r>
      <w:r w:rsidRPr="003B42A7">
        <w:rPr>
          <w:color w:val="000000" w:themeColor="text1"/>
          <w:lang w:val="en-US"/>
        </w:rPr>
        <w:t xml:space="preserve"> in the initial sampling points for animals treated with </w:t>
      </w:r>
      <w:r w:rsidR="006E7CD6" w:rsidRPr="003B42A7">
        <w:rPr>
          <w:color w:val="000000" w:themeColor="text1"/>
          <w:lang w:val="en-US"/>
        </w:rPr>
        <w:t>MN + film (F</w:t>
      </w:r>
      <w:r w:rsidRPr="003B42A7">
        <w:rPr>
          <w:color w:val="000000" w:themeColor="text1"/>
          <w:lang w:val="en-US"/>
        </w:rPr>
        <w:t xml:space="preserve">3) and </w:t>
      </w:r>
      <w:r w:rsidR="006E7CD6" w:rsidRPr="003B42A7">
        <w:rPr>
          <w:color w:val="000000" w:themeColor="text1"/>
          <w:lang w:val="en-US"/>
        </w:rPr>
        <w:t>MN + lyophilised reservoir (LW</w:t>
      </w:r>
      <w:r w:rsidRPr="003B42A7">
        <w:rPr>
          <w:color w:val="000000" w:themeColor="text1"/>
          <w:lang w:val="en-US"/>
        </w:rPr>
        <w:t xml:space="preserve">3) </w:t>
      </w:r>
      <w:r w:rsidR="0009158A" w:rsidRPr="003B42A7">
        <w:rPr>
          <w:color w:val="000000" w:themeColor="text1"/>
          <w:lang w:val="en-US"/>
        </w:rPr>
        <w:t>of 2 and 4h, and could only be quantified at the third and last time-point of 24h post application</w:t>
      </w:r>
      <w:r w:rsidR="006E7CD6" w:rsidRPr="003B42A7">
        <w:rPr>
          <w:color w:val="000000" w:themeColor="text1"/>
          <w:lang w:val="en-US"/>
        </w:rPr>
        <w:t xml:space="preserve">. </w:t>
      </w:r>
      <w:r w:rsidR="0009158A" w:rsidRPr="003B42A7">
        <w:rPr>
          <w:color w:val="000000" w:themeColor="text1"/>
          <w:lang w:val="en-US"/>
        </w:rPr>
        <w:t xml:space="preserve">At 24h post </w:t>
      </w:r>
      <w:r w:rsidR="0009158A" w:rsidRPr="003B42A7">
        <w:rPr>
          <w:color w:val="000000" w:themeColor="text1"/>
          <w:lang w:val="en-US"/>
        </w:rPr>
        <w:lastRenderedPageBreak/>
        <w:t>application, t</w:t>
      </w:r>
      <w:r w:rsidR="006E7CD6" w:rsidRPr="003B42A7">
        <w:rPr>
          <w:color w:val="000000" w:themeColor="text1"/>
          <w:lang w:val="en-US"/>
        </w:rPr>
        <w:t>he plasma concentration</w:t>
      </w:r>
      <w:r w:rsidR="0062418A" w:rsidRPr="003B42A7">
        <w:rPr>
          <w:color w:val="000000" w:themeColor="text1"/>
          <w:lang w:val="en-US"/>
        </w:rPr>
        <w:t xml:space="preserve"> at 24h was well within and above the product target concentration range of </w:t>
      </w:r>
      <w:r w:rsidR="00836688" w:rsidRPr="003B42A7">
        <w:rPr>
          <w:color w:val="000000" w:themeColor="text1"/>
          <w:lang w:val="en-US"/>
        </w:rPr>
        <w:t>0.15 – 0.</w:t>
      </w:r>
      <w:r w:rsidR="0062418A" w:rsidRPr="003B42A7">
        <w:rPr>
          <w:color w:val="000000" w:themeColor="text1"/>
          <w:lang w:val="en-US"/>
        </w:rPr>
        <w:t xml:space="preserve">3 </w:t>
      </w:r>
      <w:r w:rsidR="00836688" w:rsidRPr="003B42A7">
        <w:rPr>
          <w:rFonts w:cs="Times New Roman"/>
          <w:color w:val="000000" w:themeColor="text1"/>
        </w:rPr>
        <w:t>µ</w:t>
      </w:r>
      <w:r w:rsidR="0062418A" w:rsidRPr="003B42A7">
        <w:rPr>
          <w:color w:val="000000" w:themeColor="text1"/>
          <w:lang w:val="en-US"/>
        </w:rPr>
        <w:t>g/ml:</w:t>
      </w:r>
      <w:r w:rsidR="006E7CD6" w:rsidRPr="003B42A7">
        <w:rPr>
          <w:color w:val="000000" w:themeColor="text1"/>
          <w:lang w:val="en-US"/>
        </w:rPr>
        <w:t xml:space="preserve"> </w:t>
      </w:r>
      <w:r w:rsidR="00836688" w:rsidRPr="003B42A7">
        <w:rPr>
          <w:color w:val="000000" w:themeColor="text1"/>
          <w:lang w:val="en-US"/>
        </w:rPr>
        <w:t>0.</w:t>
      </w:r>
      <w:r w:rsidR="0062418A" w:rsidRPr="003B42A7">
        <w:rPr>
          <w:color w:val="000000" w:themeColor="text1"/>
          <w:lang w:val="en-US"/>
        </w:rPr>
        <w:t xml:space="preserve">2601 </w:t>
      </w:r>
      <w:r w:rsidR="00836688" w:rsidRPr="003B42A7">
        <w:rPr>
          <w:rFonts w:cs="Times New Roman"/>
          <w:color w:val="000000" w:themeColor="text1"/>
        </w:rPr>
        <w:t>µ</w:t>
      </w:r>
      <w:r w:rsidR="0062418A" w:rsidRPr="003B42A7">
        <w:rPr>
          <w:color w:val="000000" w:themeColor="text1"/>
          <w:lang w:val="en-US"/>
        </w:rPr>
        <w:t xml:space="preserve">g/ml </w:t>
      </w:r>
      <w:r w:rsidR="006E7CD6" w:rsidRPr="003B42A7">
        <w:rPr>
          <w:color w:val="000000" w:themeColor="text1"/>
          <w:lang w:val="en-US"/>
        </w:rPr>
        <w:t xml:space="preserve">for </w:t>
      </w:r>
      <w:r w:rsidR="006E7CD6" w:rsidRPr="003B42A7">
        <w:rPr>
          <w:color w:val="000000" w:themeColor="text1"/>
        </w:rPr>
        <w:t>F</w:t>
      </w:r>
      <w:r w:rsidRPr="003B42A7">
        <w:rPr>
          <w:color w:val="000000" w:themeColor="text1"/>
        </w:rPr>
        <w:t xml:space="preserve">3 and </w:t>
      </w:r>
      <w:r w:rsidR="00836688" w:rsidRPr="003B42A7">
        <w:rPr>
          <w:color w:val="000000" w:themeColor="text1"/>
        </w:rPr>
        <w:t>0.</w:t>
      </w:r>
      <w:r w:rsidR="0062418A" w:rsidRPr="003B42A7">
        <w:rPr>
          <w:color w:val="000000" w:themeColor="text1"/>
        </w:rPr>
        <w:t xml:space="preserve">498 </w:t>
      </w:r>
      <w:r w:rsidR="00836688" w:rsidRPr="003B42A7">
        <w:rPr>
          <w:rFonts w:cs="Times New Roman"/>
          <w:color w:val="000000" w:themeColor="text1"/>
        </w:rPr>
        <w:t>µ</w:t>
      </w:r>
      <w:r w:rsidR="0062418A" w:rsidRPr="003B42A7">
        <w:rPr>
          <w:color w:val="000000" w:themeColor="text1"/>
        </w:rPr>
        <w:t xml:space="preserve">g/ml for </w:t>
      </w:r>
      <w:r w:rsidR="006E7CD6" w:rsidRPr="003B42A7">
        <w:rPr>
          <w:color w:val="000000" w:themeColor="text1"/>
        </w:rPr>
        <w:t>LW</w:t>
      </w:r>
      <w:r w:rsidRPr="003B42A7">
        <w:rPr>
          <w:color w:val="000000" w:themeColor="text1"/>
        </w:rPr>
        <w:t>3</w:t>
      </w:r>
      <w:r w:rsidRPr="003B42A7">
        <w:rPr>
          <w:color w:val="000000" w:themeColor="text1"/>
          <w:lang w:val="en-US"/>
        </w:rPr>
        <w:t>.</w:t>
      </w:r>
    </w:p>
    <w:p w14:paraId="3F8F3FAF" w14:textId="2A8BD4D7" w:rsidR="008C1402" w:rsidRPr="003B42A7" w:rsidRDefault="00BA0A5A" w:rsidP="008D10F4">
      <w:pPr>
        <w:spacing w:line="360" w:lineRule="auto"/>
        <w:jc w:val="both"/>
        <w:rPr>
          <w:color w:val="000000" w:themeColor="text1"/>
        </w:rPr>
      </w:pPr>
      <w:r w:rsidRPr="003B42A7">
        <w:rPr>
          <w:color w:val="000000" w:themeColor="text1"/>
        </w:rPr>
        <w:t>In frame of</w:t>
      </w:r>
      <w:r w:rsidR="000B7931" w:rsidRPr="003B42A7">
        <w:rPr>
          <w:color w:val="000000" w:themeColor="text1"/>
        </w:rPr>
        <w:t xml:space="preserve"> the pivotal study, </w:t>
      </w:r>
      <w:r w:rsidR="0090491D" w:rsidRPr="003B42A7">
        <w:rPr>
          <w:color w:val="000000" w:themeColor="text1"/>
        </w:rPr>
        <w:t>none of the treated rats showed any signs of ill health or adverse effect through the course of the study period neither as a result of MN insertion nor ESK administration. The</w:t>
      </w:r>
      <w:r w:rsidRPr="003B42A7">
        <w:rPr>
          <w:color w:val="000000" w:themeColor="text1"/>
        </w:rPr>
        <w:t xml:space="preserve"> </w:t>
      </w:r>
      <w:r w:rsidR="008C1402" w:rsidRPr="003B42A7">
        <w:rPr>
          <w:color w:val="000000" w:themeColor="text1"/>
        </w:rPr>
        <w:t xml:space="preserve">IV control cohort, having received ESK </w:t>
      </w:r>
      <w:r w:rsidR="00D006B2" w:rsidRPr="003B42A7">
        <w:rPr>
          <w:color w:val="000000" w:themeColor="text1"/>
        </w:rPr>
        <w:t>5</w:t>
      </w:r>
      <w:r w:rsidR="00DD13E4" w:rsidRPr="003B42A7">
        <w:rPr>
          <w:color w:val="000000" w:themeColor="text1"/>
        </w:rPr>
        <w:t xml:space="preserve"> </w:t>
      </w:r>
      <w:r w:rsidR="00D006B2" w:rsidRPr="003B42A7">
        <w:rPr>
          <w:color w:val="000000" w:themeColor="text1"/>
        </w:rPr>
        <w:t>mg/kg</w:t>
      </w:r>
      <w:r w:rsidR="008C1402" w:rsidRPr="003B42A7">
        <w:rPr>
          <w:color w:val="000000" w:themeColor="text1"/>
        </w:rPr>
        <w:t>, displayed</w:t>
      </w:r>
      <w:r w:rsidR="00D006B2" w:rsidRPr="003B42A7">
        <w:rPr>
          <w:color w:val="000000" w:themeColor="text1"/>
        </w:rPr>
        <w:t xml:space="preserve"> </w:t>
      </w:r>
      <w:r w:rsidR="005F744A" w:rsidRPr="003B42A7">
        <w:rPr>
          <w:color w:val="000000" w:themeColor="text1"/>
        </w:rPr>
        <w:t xml:space="preserve">characteristic </w:t>
      </w:r>
      <w:r w:rsidR="00620A8C" w:rsidRPr="003B42A7">
        <w:rPr>
          <w:color w:val="000000" w:themeColor="text1"/>
        </w:rPr>
        <w:t xml:space="preserve">IV </w:t>
      </w:r>
      <w:r w:rsidR="005F744A" w:rsidRPr="003B42A7">
        <w:rPr>
          <w:color w:val="000000" w:themeColor="text1"/>
        </w:rPr>
        <w:t xml:space="preserve">ESK </w:t>
      </w:r>
      <w:r w:rsidR="00D006B2" w:rsidRPr="003B42A7">
        <w:rPr>
          <w:color w:val="000000" w:themeColor="text1"/>
        </w:rPr>
        <w:t>plasma</w:t>
      </w:r>
      <w:r w:rsidR="005F744A" w:rsidRPr="003B42A7">
        <w:rPr>
          <w:color w:val="000000" w:themeColor="text1"/>
        </w:rPr>
        <w:t xml:space="preserve"> concentration-time profile, with</w:t>
      </w:r>
      <w:r w:rsidR="00E5588C" w:rsidRPr="003B42A7">
        <w:rPr>
          <w:color w:val="000000" w:themeColor="text1"/>
          <w:lang w:val="en-US"/>
        </w:rPr>
        <w:t xml:space="preserve"> multiphasic profile, composed of high initial plasma values with C</w:t>
      </w:r>
      <w:r w:rsidR="00E5588C" w:rsidRPr="003B42A7">
        <w:rPr>
          <w:color w:val="000000" w:themeColor="text1"/>
          <w:vertAlign w:val="subscript"/>
          <w:lang w:val="en-US"/>
        </w:rPr>
        <w:t>0</w:t>
      </w:r>
      <w:r w:rsidR="00E5588C" w:rsidRPr="003B42A7">
        <w:rPr>
          <w:color w:val="000000" w:themeColor="text1"/>
          <w:lang w:val="en-US"/>
        </w:rPr>
        <w:t xml:space="preserve"> back extrapolated to 36</w:t>
      </w:r>
      <w:r w:rsidR="00836688" w:rsidRPr="003B42A7">
        <w:rPr>
          <w:color w:val="000000" w:themeColor="text1"/>
          <w:lang w:val="en-US"/>
        </w:rPr>
        <w:t xml:space="preserve">.574 </w:t>
      </w:r>
      <w:r w:rsidR="00836688" w:rsidRPr="003B42A7">
        <w:rPr>
          <w:rFonts w:cs="Times New Roman"/>
          <w:color w:val="000000" w:themeColor="text1"/>
        </w:rPr>
        <w:t>µ</w:t>
      </w:r>
      <w:r w:rsidR="00E5588C" w:rsidRPr="003B42A7">
        <w:rPr>
          <w:color w:val="000000" w:themeColor="text1"/>
          <w:lang w:val="en-US"/>
        </w:rPr>
        <w:t xml:space="preserve">g/ml and rapid initial decline  </w:t>
      </w:r>
      <w:r w:rsidR="006D531A" w:rsidRPr="003B42A7">
        <w:rPr>
          <w:color w:val="000000" w:themeColor="text1"/>
          <w:lang w:val="en-US"/>
        </w:rPr>
        <w:t xml:space="preserve">till 1.5h </w:t>
      </w:r>
      <w:proofErr w:type="spellStart"/>
      <w:r w:rsidR="006D531A" w:rsidRPr="003B42A7">
        <w:rPr>
          <w:color w:val="000000" w:themeColor="text1"/>
          <w:lang w:val="en-US"/>
        </w:rPr>
        <w:t>postdose</w:t>
      </w:r>
      <w:proofErr w:type="spellEnd"/>
      <w:r w:rsidR="006D531A" w:rsidRPr="003B42A7">
        <w:rPr>
          <w:color w:val="000000" w:themeColor="text1"/>
          <w:lang w:val="en-US"/>
        </w:rPr>
        <w:t xml:space="preserve"> </w:t>
      </w:r>
      <w:r w:rsidR="00E5588C" w:rsidRPr="003B42A7">
        <w:rPr>
          <w:color w:val="000000" w:themeColor="text1"/>
          <w:lang w:val="en-US"/>
        </w:rPr>
        <w:t>(beta phase) with t</w:t>
      </w:r>
      <w:r w:rsidR="00E5588C" w:rsidRPr="003B42A7">
        <w:rPr>
          <w:color w:val="000000" w:themeColor="text1"/>
          <w:vertAlign w:val="subscript"/>
          <w:lang w:val="en-US"/>
        </w:rPr>
        <w:t>1/2</w:t>
      </w:r>
      <w:r w:rsidR="004905DA" w:rsidRPr="003B42A7">
        <w:rPr>
          <w:color w:val="000000" w:themeColor="text1"/>
          <w:vertAlign w:val="subscript"/>
          <w:lang w:val="en-US"/>
        </w:rPr>
        <w:t>, beta</w:t>
      </w:r>
      <w:r w:rsidR="00E5588C" w:rsidRPr="003B42A7">
        <w:rPr>
          <w:color w:val="000000" w:themeColor="text1"/>
          <w:vertAlign w:val="subscript"/>
          <w:lang w:val="en-US"/>
        </w:rPr>
        <w:t xml:space="preserve"> </w:t>
      </w:r>
      <w:r w:rsidR="00E5588C" w:rsidRPr="003B42A7">
        <w:rPr>
          <w:color w:val="000000" w:themeColor="text1"/>
          <w:lang w:val="en-US"/>
        </w:rPr>
        <w:t xml:space="preserve">of </w:t>
      </w:r>
      <w:r w:rsidR="006D531A" w:rsidRPr="003B42A7">
        <w:rPr>
          <w:color w:val="000000" w:themeColor="text1"/>
          <w:lang w:val="en-US" w:bidi="he-IL"/>
        </w:rPr>
        <w:t>0.38</w:t>
      </w:r>
      <w:r w:rsidR="00836688" w:rsidRPr="003B42A7">
        <w:rPr>
          <w:color w:val="000000" w:themeColor="text1"/>
          <w:lang w:val="en-US" w:bidi="he-IL"/>
        </w:rPr>
        <w:t xml:space="preserve"> </w:t>
      </w:r>
      <w:r w:rsidR="006D531A" w:rsidRPr="003B42A7">
        <w:rPr>
          <w:color w:val="000000" w:themeColor="text1"/>
          <w:lang w:val="en-US" w:bidi="he-IL"/>
        </w:rPr>
        <w:t xml:space="preserve">h </w:t>
      </w:r>
      <w:r w:rsidR="00E5588C" w:rsidRPr="003B42A7">
        <w:rPr>
          <w:color w:val="000000" w:themeColor="text1"/>
          <w:lang w:val="en-US"/>
        </w:rPr>
        <w:t>followed by a slower terminal declined (</w:t>
      </w:r>
      <w:r w:rsidR="00846756" w:rsidRPr="003B42A7">
        <w:rPr>
          <w:rFonts w:ascii="Arial" w:hAnsi="Arial" w:cs="Arial"/>
          <w:color w:val="000000" w:themeColor="text1"/>
          <w:lang w:val="en-US"/>
        </w:rPr>
        <w:t>z</w:t>
      </w:r>
      <w:r w:rsidR="00E5588C" w:rsidRPr="003B42A7">
        <w:rPr>
          <w:color w:val="000000" w:themeColor="text1"/>
          <w:lang w:val="en-US"/>
        </w:rPr>
        <w:t xml:space="preserve"> phase)</w:t>
      </w:r>
      <w:r w:rsidR="006D531A" w:rsidRPr="003B42A7">
        <w:rPr>
          <w:color w:val="000000" w:themeColor="text1"/>
          <w:lang w:val="en-US"/>
        </w:rPr>
        <w:t xml:space="preserve"> with t</w:t>
      </w:r>
      <w:r w:rsidR="006D531A" w:rsidRPr="003B42A7">
        <w:rPr>
          <w:color w:val="000000" w:themeColor="text1"/>
          <w:vertAlign w:val="subscript"/>
          <w:lang w:val="en-US"/>
        </w:rPr>
        <w:t>1/2</w:t>
      </w:r>
      <w:r w:rsidR="004905DA" w:rsidRPr="003B42A7">
        <w:rPr>
          <w:color w:val="000000" w:themeColor="text1"/>
          <w:vertAlign w:val="subscript"/>
          <w:lang w:val="en-US"/>
        </w:rPr>
        <w:t>,z</w:t>
      </w:r>
      <w:r w:rsidR="006D531A" w:rsidRPr="003B42A7">
        <w:rPr>
          <w:color w:val="000000" w:themeColor="text1"/>
          <w:vertAlign w:val="subscript"/>
          <w:lang w:val="en-US"/>
        </w:rPr>
        <w:t xml:space="preserve"> </w:t>
      </w:r>
      <w:r w:rsidR="006D531A" w:rsidRPr="003B42A7">
        <w:rPr>
          <w:color w:val="000000" w:themeColor="text1"/>
          <w:lang w:val="en-US"/>
        </w:rPr>
        <w:t xml:space="preserve">of </w:t>
      </w:r>
      <w:r w:rsidR="006D531A" w:rsidRPr="003B42A7">
        <w:rPr>
          <w:color w:val="000000" w:themeColor="text1"/>
          <w:lang w:val="en-US" w:bidi="he-IL"/>
        </w:rPr>
        <w:t>9.5 h</w:t>
      </w:r>
      <w:r w:rsidR="00D82F25" w:rsidRPr="003B42A7">
        <w:rPr>
          <w:color w:val="000000" w:themeColor="text1"/>
          <w:lang w:val="en-US" w:bidi="he-IL"/>
        </w:rPr>
        <w:t xml:space="preserve">. </w:t>
      </w:r>
      <w:proofErr w:type="spellStart"/>
      <w:r w:rsidR="00D82F25" w:rsidRPr="003B42A7">
        <w:rPr>
          <w:color w:val="000000" w:themeColor="text1"/>
          <w:lang w:val="en-US" w:bidi="he-IL"/>
        </w:rPr>
        <w:t>AUC</w:t>
      </w:r>
      <w:r w:rsidR="005C763D" w:rsidRPr="003B42A7">
        <w:rPr>
          <w:color w:val="000000" w:themeColor="text1"/>
          <w:vertAlign w:val="subscript"/>
          <w:lang w:val="en-US" w:bidi="he-IL"/>
        </w:rPr>
        <w:t>inf</w:t>
      </w:r>
      <w:proofErr w:type="spellEnd"/>
      <w:r w:rsidR="005C763D" w:rsidRPr="003B42A7">
        <w:rPr>
          <w:color w:val="000000" w:themeColor="text1"/>
          <w:lang w:val="en-US" w:bidi="he-IL"/>
        </w:rPr>
        <w:t xml:space="preserve"> was </w:t>
      </w:r>
      <w:r w:rsidR="00BA493F" w:rsidRPr="003B42A7">
        <w:rPr>
          <w:color w:val="000000" w:themeColor="text1"/>
          <w:lang w:val="en-US" w:bidi="he-IL"/>
        </w:rPr>
        <w:t>38</w:t>
      </w:r>
      <w:r w:rsidR="00836688" w:rsidRPr="003B42A7">
        <w:rPr>
          <w:color w:val="000000" w:themeColor="text1"/>
          <w:lang w:val="en-US" w:bidi="he-IL"/>
        </w:rPr>
        <w:t>.</w:t>
      </w:r>
      <w:r w:rsidR="00BA493F" w:rsidRPr="003B42A7">
        <w:rPr>
          <w:color w:val="000000" w:themeColor="text1"/>
          <w:lang w:val="en-US" w:bidi="he-IL"/>
        </w:rPr>
        <w:t>686</w:t>
      </w:r>
      <w:r w:rsidR="005C763D" w:rsidRPr="003B42A7">
        <w:rPr>
          <w:color w:val="000000" w:themeColor="text1"/>
          <w:lang w:val="en-US" w:bidi="he-IL"/>
        </w:rPr>
        <w:t xml:space="preserve"> </w:t>
      </w:r>
      <w:r w:rsidR="00836688" w:rsidRPr="003B42A7">
        <w:rPr>
          <w:rFonts w:cs="Times New Roman"/>
          <w:color w:val="000000" w:themeColor="text1"/>
        </w:rPr>
        <w:t>µ</w:t>
      </w:r>
      <w:r w:rsidR="005C763D" w:rsidRPr="003B42A7">
        <w:rPr>
          <w:color w:val="000000" w:themeColor="text1"/>
          <w:lang w:val="en-US" w:bidi="he-IL"/>
        </w:rPr>
        <w:t xml:space="preserve">g*h/ml and </w:t>
      </w:r>
      <w:r w:rsidR="000F1BAB" w:rsidRPr="003B42A7">
        <w:rPr>
          <w:color w:val="000000" w:themeColor="text1"/>
          <w:lang w:val="en-US" w:bidi="he-IL"/>
        </w:rPr>
        <w:t xml:space="preserve">effective (beta phase) </w:t>
      </w:r>
      <w:r w:rsidR="005C763D" w:rsidRPr="003B42A7">
        <w:rPr>
          <w:color w:val="000000" w:themeColor="text1"/>
          <w:lang w:val="en-US" w:bidi="he-IL"/>
        </w:rPr>
        <w:t>clearance (CL) and volume of distribution (</w:t>
      </w:r>
      <w:proofErr w:type="spellStart"/>
      <w:r w:rsidR="005C763D" w:rsidRPr="003B42A7">
        <w:rPr>
          <w:color w:val="000000" w:themeColor="text1"/>
          <w:lang w:val="en-US" w:bidi="he-IL"/>
        </w:rPr>
        <w:t>V</w:t>
      </w:r>
      <w:r w:rsidR="000F1BAB" w:rsidRPr="003B42A7">
        <w:rPr>
          <w:color w:val="000000" w:themeColor="text1"/>
          <w:vertAlign w:val="subscript"/>
          <w:lang w:val="en-US" w:bidi="he-IL"/>
        </w:rPr>
        <w:t>ss</w:t>
      </w:r>
      <w:proofErr w:type="spellEnd"/>
      <w:r w:rsidR="005C763D" w:rsidRPr="003B42A7">
        <w:rPr>
          <w:color w:val="000000" w:themeColor="text1"/>
          <w:lang w:val="en-US" w:bidi="he-IL"/>
        </w:rPr>
        <w:t xml:space="preserve">) were </w:t>
      </w:r>
      <w:r w:rsidR="004905DA" w:rsidRPr="003B42A7">
        <w:rPr>
          <w:color w:val="000000" w:themeColor="text1"/>
          <w:lang w:val="en-US" w:bidi="he-IL"/>
        </w:rPr>
        <w:t xml:space="preserve">129 </w:t>
      </w:r>
      <w:r w:rsidR="005C763D" w:rsidRPr="003B42A7">
        <w:rPr>
          <w:color w:val="000000" w:themeColor="text1"/>
          <w:lang w:val="en-US" w:bidi="he-IL"/>
        </w:rPr>
        <w:t xml:space="preserve">ml/h/kg and </w:t>
      </w:r>
      <w:r w:rsidR="004905DA" w:rsidRPr="003B42A7">
        <w:rPr>
          <w:color w:val="000000" w:themeColor="text1"/>
          <w:lang w:val="en-US" w:bidi="he-IL"/>
        </w:rPr>
        <w:t xml:space="preserve">457 </w:t>
      </w:r>
      <w:r w:rsidR="005C763D" w:rsidRPr="003B42A7">
        <w:rPr>
          <w:color w:val="000000" w:themeColor="text1"/>
          <w:lang w:val="en-US" w:bidi="he-IL"/>
        </w:rPr>
        <w:t>ml/kg</w:t>
      </w:r>
      <w:r w:rsidR="00DC286D" w:rsidRPr="003B42A7">
        <w:rPr>
          <w:color w:val="000000" w:themeColor="text1"/>
          <w:lang w:val="en-US" w:bidi="he-IL"/>
        </w:rPr>
        <w:t xml:space="preserve"> </w:t>
      </w:r>
      <w:r w:rsidR="004905DA" w:rsidRPr="003B42A7">
        <w:rPr>
          <w:color w:val="000000" w:themeColor="text1"/>
          <w:lang w:val="en-US" w:bidi="he-IL"/>
        </w:rPr>
        <w:t xml:space="preserve">, </w:t>
      </w:r>
      <w:r w:rsidR="00DD13E4" w:rsidRPr="003B42A7">
        <w:rPr>
          <w:color w:val="000000" w:themeColor="text1"/>
          <w:lang w:val="en-US" w:bidi="he-IL"/>
        </w:rPr>
        <w:t xml:space="preserve">respectively </w:t>
      </w:r>
      <w:r w:rsidR="00D006B2" w:rsidRPr="003B42A7">
        <w:rPr>
          <w:color w:val="000000" w:themeColor="text1"/>
        </w:rPr>
        <w:t xml:space="preserve">(figure </w:t>
      </w:r>
      <w:r w:rsidR="006E7CD6" w:rsidRPr="003B42A7">
        <w:rPr>
          <w:color w:val="000000" w:themeColor="text1"/>
        </w:rPr>
        <w:t>4B(ii).</w:t>
      </w:r>
      <w:r w:rsidR="00D006B2" w:rsidRPr="003B42A7">
        <w:rPr>
          <w:color w:val="000000" w:themeColor="text1"/>
        </w:rPr>
        <w:t xml:space="preserve"> </w:t>
      </w:r>
    </w:p>
    <w:p w14:paraId="5655326F" w14:textId="04854B79" w:rsidR="004A6530" w:rsidRPr="003B42A7" w:rsidRDefault="004A6530" w:rsidP="008D10F4">
      <w:pPr>
        <w:spacing w:line="360" w:lineRule="auto"/>
        <w:jc w:val="both"/>
        <w:rPr>
          <w:color w:val="000000" w:themeColor="text1"/>
        </w:rPr>
      </w:pPr>
    </w:p>
    <w:p w14:paraId="3D3B91A2" w14:textId="77777777" w:rsidR="00A02789" w:rsidRPr="003B42A7" w:rsidRDefault="00A02789" w:rsidP="004A6530">
      <w:pPr>
        <w:jc w:val="both"/>
        <w:rPr>
          <w:rFonts w:cs="Times New Roman"/>
          <w:b/>
          <w:sz w:val="20"/>
          <w:szCs w:val="20"/>
        </w:rPr>
      </w:pPr>
    </w:p>
    <w:p w14:paraId="75D4917E" w14:textId="77777777" w:rsidR="00A02789" w:rsidRPr="003B42A7" w:rsidRDefault="00A02789" w:rsidP="004A6530">
      <w:pPr>
        <w:jc w:val="both"/>
        <w:rPr>
          <w:rFonts w:cs="Times New Roman"/>
          <w:b/>
          <w:sz w:val="20"/>
          <w:szCs w:val="20"/>
        </w:rPr>
      </w:pPr>
    </w:p>
    <w:p w14:paraId="0EAC787B" w14:textId="77777777" w:rsidR="00A02789" w:rsidRPr="003B42A7" w:rsidRDefault="00A02789" w:rsidP="004A6530">
      <w:pPr>
        <w:jc w:val="both"/>
        <w:rPr>
          <w:rFonts w:cs="Times New Roman"/>
          <w:b/>
          <w:sz w:val="20"/>
          <w:szCs w:val="20"/>
        </w:rPr>
      </w:pPr>
    </w:p>
    <w:p w14:paraId="546E1EAD" w14:textId="77777777" w:rsidR="00A02789" w:rsidRPr="003B42A7" w:rsidRDefault="00A02789" w:rsidP="004A6530">
      <w:pPr>
        <w:jc w:val="both"/>
        <w:rPr>
          <w:rFonts w:cs="Times New Roman"/>
          <w:b/>
          <w:sz w:val="20"/>
          <w:szCs w:val="20"/>
        </w:rPr>
      </w:pPr>
    </w:p>
    <w:p w14:paraId="5B8D538B" w14:textId="77777777" w:rsidR="00A02789" w:rsidRPr="003B42A7" w:rsidRDefault="00A02789" w:rsidP="004A6530">
      <w:pPr>
        <w:jc w:val="both"/>
        <w:rPr>
          <w:rFonts w:cs="Times New Roman"/>
          <w:b/>
          <w:sz w:val="20"/>
          <w:szCs w:val="20"/>
        </w:rPr>
      </w:pPr>
    </w:p>
    <w:p w14:paraId="1A7637EC" w14:textId="77777777" w:rsidR="00A02789" w:rsidRPr="003B42A7" w:rsidRDefault="00A02789" w:rsidP="004A6530">
      <w:pPr>
        <w:jc w:val="both"/>
        <w:rPr>
          <w:rFonts w:cs="Times New Roman"/>
          <w:b/>
          <w:sz w:val="20"/>
          <w:szCs w:val="20"/>
        </w:rPr>
      </w:pPr>
    </w:p>
    <w:p w14:paraId="2C16AE9C" w14:textId="77777777" w:rsidR="00A02789" w:rsidRPr="003B42A7" w:rsidRDefault="00A02789" w:rsidP="004A6530">
      <w:pPr>
        <w:jc w:val="both"/>
        <w:rPr>
          <w:rFonts w:cs="Times New Roman"/>
          <w:b/>
          <w:sz w:val="20"/>
          <w:szCs w:val="20"/>
        </w:rPr>
      </w:pPr>
    </w:p>
    <w:p w14:paraId="0A9A3675" w14:textId="77777777" w:rsidR="00A02789" w:rsidRPr="003B42A7" w:rsidRDefault="00A02789" w:rsidP="004A6530">
      <w:pPr>
        <w:jc w:val="both"/>
        <w:rPr>
          <w:rFonts w:cs="Times New Roman"/>
          <w:b/>
          <w:sz w:val="20"/>
          <w:szCs w:val="20"/>
        </w:rPr>
      </w:pPr>
    </w:p>
    <w:p w14:paraId="481E4189" w14:textId="08AD06A5" w:rsidR="00A02789" w:rsidRPr="003B42A7" w:rsidRDefault="00A02789" w:rsidP="004A6530">
      <w:pPr>
        <w:jc w:val="both"/>
        <w:rPr>
          <w:rFonts w:cs="Times New Roman"/>
          <w:b/>
          <w:sz w:val="20"/>
          <w:szCs w:val="20"/>
        </w:rPr>
      </w:pPr>
    </w:p>
    <w:p w14:paraId="0E664AE8" w14:textId="77777777" w:rsidR="00A02789" w:rsidRPr="003B42A7" w:rsidRDefault="00A02789" w:rsidP="004A6530">
      <w:pPr>
        <w:jc w:val="both"/>
        <w:rPr>
          <w:rFonts w:cs="Times New Roman"/>
          <w:b/>
          <w:sz w:val="20"/>
          <w:szCs w:val="20"/>
        </w:rPr>
      </w:pPr>
    </w:p>
    <w:p w14:paraId="024A42E0" w14:textId="77777777" w:rsidR="00A02789" w:rsidRPr="003B42A7" w:rsidRDefault="00A02789" w:rsidP="004A6530">
      <w:pPr>
        <w:jc w:val="both"/>
        <w:rPr>
          <w:rFonts w:cs="Times New Roman"/>
          <w:b/>
          <w:sz w:val="20"/>
          <w:szCs w:val="20"/>
        </w:rPr>
      </w:pPr>
    </w:p>
    <w:p w14:paraId="12692E56" w14:textId="77777777" w:rsidR="00A02789" w:rsidRPr="003B42A7" w:rsidRDefault="00A02789" w:rsidP="004A6530">
      <w:pPr>
        <w:jc w:val="both"/>
        <w:rPr>
          <w:rFonts w:cs="Times New Roman"/>
          <w:b/>
          <w:sz w:val="20"/>
          <w:szCs w:val="20"/>
        </w:rPr>
      </w:pPr>
    </w:p>
    <w:p w14:paraId="2ED6AC8E" w14:textId="77777777" w:rsidR="00A02789" w:rsidRPr="003B42A7" w:rsidRDefault="00A02789" w:rsidP="004A6530">
      <w:pPr>
        <w:jc w:val="both"/>
        <w:rPr>
          <w:rFonts w:cs="Times New Roman"/>
          <w:b/>
          <w:sz w:val="20"/>
          <w:szCs w:val="20"/>
        </w:rPr>
      </w:pPr>
    </w:p>
    <w:p w14:paraId="05BFF998" w14:textId="77777777" w:rsidR="00A02789" w:rsidRPr="003B42A7" w:rsidRDefault="00A02789" w:rsidP="004A6530">
      <w:pPr>
        <w:jc w:val="both"/>
        <w:rPr>
          <w:rFonts w:cs="Times New Roman"/>
          <w:b/>
          <w:sz w:val="20"/>
          <w:szCs w:val="20"/>
        </w:rPr>
      </w:pPr>
    </w:p>
    <w:p w14:paraId="7D1C0A8B" w14:textId="2E9BDA63" w:rsidR="00A02789" w:rsidRPr="003B42A7" w:rsidRDefault="00A02789" w:rsidP="004A6530">
      <w:pPr>
        <w:jc w:val="both"/>
        <w:rPr>
          <w:rFonts w:cs="Times New Roman"/>
          <w:b/>
          <w:sz w:val="20"/>
          <w:szCs w:val="20"/>
        </w:rPr>
      </w:pPr>
    </w:p>
    <w:p w14:paraId="3B2FC051" w14:textId="77777777" w:rsidR="00A02789" w:rsidRPr="003B42A7" w:rsidRDefault="00A02789" w:rsidP="004A6530">
      <w:pPr>
        <w:jc w:val="both"/>
        <w:rPr>
          <w:rFonts w:cs="Times New Roman"/>
          <w:b/>
          <w:sz w:val="20"/>
          <w:szCs w:val="20"/>
        </w:rPr>
      </w:pPr>
    </w:p>
    <w:p w14:paraId="4216FD35" w14:textId="229F3002" w:rsidR="00A02789" w:rsidRPr="003B42A7" w:rsidRDefault="00A02789" w:rsidP="004A6530">
      <w:pPr>
        <w:jc w:val="both"/>
        <w:rPr>
          <w:rFonts w:cs="Times New Roman"/>
          <w:b/>
          <w:sz w:val="20"/>
          <w:szCs w:val="20"/>
        </w:rPr>
      </w:pPr>
    </w:p>
    <w:p w14:paraId="2C507409" w14:textId="77777777" w:rsidR="00A02789" w:rsidRPr="003B42A7" w:rsidRDefault="00A02789" w:rsidP="004A6530">
      <w:pPr>
        <w:jc w:val="both"/>
        <w:rPr>
          <w:rFonts w:cs="Times New Roman"/>
          <w:b/>
          <w:sz w:val="20"/>
          <w:szCs w:val="20"/>
        </w:rPr>
      </w:pPr>
    </w:p>
    <w:p w14:paraId="0B7B0C71" w14:textId="70E4A1CC" w:rsidR="00A02789" w:rsidRPr="003B42A7" w:rsidRDefault="00A02789" w:rsidP="004A6530">
      <w:pPr>
        <w:jc w:val="both"/>
        <w:rPr>
          <w:rFonts w:cs="Times New Roman"/>
          <w:b/>
          <w:sz w:val="20"/>
          <w:szCs w:val="20"/>
        </w:rPr>
      </w:pPr>
    </w:p>
    <w:p w14:paraId="7BCF53D5" w14:textId="27E208F2" w:rsidR="00A02789" w:rsidRPr="003B42A7" w:rsidRDefault="00A02789" w:rsidP="004A6530">
      <w:pPr>
        <w:jc w:val="both"/>
        <w:rPr>
          <w:rFonts w:cs="Times New Roman"/>
          <w:b/>
          <w:sz w:val="20"/>
          <w:szCs w:val="20"/>
        </w:rPr>
      </w:pPr>
    </w:p>
    <w:p w14:paraId="69F8D013" w14:textId="77777777" w:rsidR="00BC2900" w:rsidRPr="003B42A7" w:rsidRDefault="00BC2900" w:rsidP="00BC2900"/>
    <w:p w14:paraId="09536549" w14:textId="77777777" w:rsidR="00BC2900" w:rsidRPr="003B42A7" w:rsidRDefault="00BC2900" w:rsidP="00BC2900"/>
    <w:p w14:paraId="787BF0C7" w14:textId="7D97C0F5" w:rsidR="005E2401" w:rsidRPr="003B42A7" w:rsidRDefault="005E2401" w:rsidP="00BC2900">
      <w:r w:rsidRPr="003B42A7">
        <w:rPr>
          <w:noProof/>
          <w:lang w:eastAsia="en-GB"/>
        </w:rPr>
        <w:lastRenderedPageBreak/>
        <w:drawing>
          <wp:anchor distT="0" distB="0" distL="114300" distR="114300" simplePos="0" relativeHeight="251662848" behindDoc="1" locked="0" layoutInCell="1" allowOverlap="1" wp14:anchorId="107F0436" wp14:editId="15E0500F">
            <wp:simplePos x="0" y="0"/>
            <wp:positionH relativeFrom="column">
              <wp:posOffset>1661</wp:posOffset>
            </wp:positionH>
            <wp:positionV relativeFrom="paragraph">
              <wp:posOffset>36830</wp:posOffset>
            </wp:positionV>
            <wp:extent cx="4810125" cy="6858635"/>
            <wp:effectExtent l="0" t="0" r="9525" b="0"/>
            <wp:wrapTight wrapText="bothSides">
              <wp:wrapPolygon edited="0">
                <wp:start x="0" y="0"/>
                <wp:lineTo x="0" y="900"/>
                <wp:lineTo x="2737" y="960"/>
                <wp:lineTo x="2737" y="6719"/>
                <wp:lineTo x="0" y="7379"/>
                <wp:lineTo x="0" y="8339"/>
                <wp:lineTo x="2737" y="8639"/>
                <wp:lineTo x="2737" y="14399"/>
                <wp:lineTo x="1454" y="14459"/>
                <wp:lineTo x="1283" y="14579"/>
                <wp:lineTo x="1283" y="15359"/>
                <wp:lineTo x="2652" y="16318"/>
                <wp:lineTo x="2737" y="21538"/>
                <wp:lineTo x="21557" y="21538"/>
                <wp:lineTo x="2155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6858635"/>
                    </a:xfrm>
                    <a:prstGeom prst="rect">
                      <a:avLst/>
                    </a:prstGeom>
                    <a:noFill/>
                  </pic:spPr>
                </pic:pic>
              </a:graphicData>
            </a:graphic>
            <wp14:sizeRelH relativeFrom="page">
              <wp14:pctWidth>0</wp14:pctWidth>
            </wp14:sizeRelH>
            <wp14:sizeRelV relativeFrom="page">
              <wp14:pctHeight>0</wp14:pctHeight>
            </wp14:sizeRelV>
          </wp:anchor>
        </w:drawing>
      </w:r>
    </w:p>
    <w:p w14:paraId="7D094316" w14:textId="77777777" w:rsidR="005E2401" w:rsidRPr="003B42A7" w:rsidRDefault="005E2401" w:rsidP="00BC2900"/>
    <w:p w14:paraId="5A8EAC49" w14:textId="77777777" w:rsidR="005E2401" w:rsidRPr="003B42A7" w:rsidRDefault="005E2401" w:rsidP="00BC2900"/>
    <w:p w14:paraId="4214770B" w14:textId="77777777" w:rsidR="005E2401" w:rsidRPr="003B42A7" w:rsidRDefault="005E2401" w:rsidP="00BC2900"/>
    <w:p w14:paraId="5F9BB9DE" w14:textId="77777777" w:rsidR="005E2401" w:rsidRPr="003B42A7" w:rsidRDefault="005E2401" w:rsidP="00BC2900"/>
    <w:p w14:paraId="63CBCCF8" w14:textId="77777777" w:rsidR="005E2401" w:rsidRPr="003B42A7" w:rsidRDefault="005E2401" w:rsidP="00BC2900"/>
    <w:p w14:paraId="6DE5A010" w14:textId="77777777" w:rsidR="005E2401" w:rsidRPr="003B42A7" w:rsidRDefault="005E2401" w:rsidP="00BC2900"/>
    <w:p w14:paraId="6631BBDB" w14:textId="77777777" w:rsidR="005E2401" w:rsidRPr="003B42A7" w:rsidRDefault="005E2401" w:rsidP="00BC2900"/>
    <w:p w14:paraId="40B36D3A" w14:textId="77777777" w:rsidR="005E2401" w:rsidRPr="003B42A7" w:rsidRDefault="005E2401" w:rsidP="00BC2900"/>
    <w:p w14:paraId="3D3FC327" w14:textId="77777777" w:rsidR="005E2401" w:rsidRPr="003B42A7" w:rsidRDefault="005E2401" w:rsidP="00BC2900"/>
    <w:p w14:paraId="5BC4207F" w14:textId="77777777" w:rsidR="005E2401" w:rsidRPr="003B42A7" w:rsidRDefault="005E2401" w:rsidP="00BC2900"/>
    <w:p w14:paraId="6AB2FB04" w14:textId="77777777" w:rsidR="005E2401" w:rsidRPr="003B42A7" w:rsidRDefault="005E2401" w:rsidP="00BC2900"/>
    <w:p w14:paraId="1E8975E9" w14:textId="77777777" w:rsidR="005E2401" w:rsidRPr="003B42A7" w:rsidRDefault="005E2401" w:rsidP="00BC2900"/>
    <w:p w14:paraId="5F616913" w14:textId="704AB893" w:rsidR="00BC2900" w:rsidRPr="003B42A7" w:rsidRDefault="00BC2900" w:rsidP="00BC2900"/>
    <w:p w14:paraId="3708E9A6" w14:textId="53DD2736" w:rsidR="00BC2900" w:rsidRPr="003B42A7" w:rsidRDefault="00BC2900" w:rsidP="00BC2900"/>
    <w:p w14:paraId="66361C61" w14:textId="1273C5DA" w:rsidR="005E2401" w:rsidRPr="003B42A7" w:rsidRDefault="005E2401" w:rsidP="00BC2900"/>
    <w:p w14:paraId="7E79F669" w14:textId="27EF1F85" w:rsidR="005E2401" w:rsidRPr="003B42A7" w:rsidRDefault="005E2401" w:rsidP="00BC2900"/>
    <w:p w14:paraId="1B98F115" w14:textId="55657C35" w:rsidR="005E2401" w:rsidRPr="003B42A7" w:rsidRDefault="005E2401" w:rsidP="00BC2900"/>
    <w:p w14:paraId="315AE555" w14:textId="071CACD3" w:rsidR="005E2401" w:rsidRPr="003B42A7" w:rsidRDefault="005E2401" w:rsidP="00BC2900"/>
    <w:p w14:paraId="721EBDF1" w14:textId="2069B599" w:rsidR="005E2401" w:rsidRPr="003B42A7" w:rsidRDefault="005E2401" w:rsidP="00BC2900"/>
    <w:p w14:paraId="1268698E" w14:textId="4AA61E30" w:rsidR="005E2401" w:rsidRPr="003B42A7" w:rsidRDefault="005E2401" w:rsidP="00BC2900"/>
    <w:p w14:paraId="61E0FAB7" w14:textId="0EFF322C" w:rsidR="005E2401" w:rsidRPr="003B42A7" w:rsidRDefault="005E2401" w:rsidP="00BC2900"/>
    <w:p w14:paraId="6F3486D7" w14:textId="4D25E389" w:rsidR="005E2401" w:rsidRPr="003B42A7" w:rsidRDefault="005E2401" w:rsidP="00BC2900"/>
    <w:p w14:paraId="5D7AAF6C" w14:textId="77777777" w:rsidR="005E2401" w:rsidRPr="003B42A7" w:rsidRDefault="005E2401" w:rsidP="00BC2900"/>
    <w:p w14:paraId="5F30A96E" w14:textId="746589A9" w:rsidR="00145325" w:rsidRPr="003B42A7" w:rsidRDefault="004A6530" w:rsidP="00145325">
      <w:pPr>
        <w:jc w:val="both"/>
        <w:rPr>
          <w:rFonts w:cs="Times New Roman"/>
          <w:sz w:val="20"/>
          <w:szCs w:val="20"/>
        </w:rPr>
      </w:pPr>
      <w:r w:rsidRPr="003B42A7">
        <w:rPr>
          <w:rFonts w:cs="Times New Roman"/>
          <w:b/>
          <w:sz w:val="20"/>
          <w:szCs w:val="20"/>
        </w:rPr>
        <w:t>Figure 4</w:t>
      </w:r>
      <w:r w:rsidRPr="003B42A7">
        <w:rPr>
          <w:rFonts w:cs="Times New Roman"/>
          <w:sz w:val="20"/>
          <w:szCs w:val="20"/>
        </w:rPr>
        <w:t xml:space="preserve"> (A) </w:t>
      </w:r>
      <w:r w:rsidRPr="003B42A7">
        <w:rPr>
          <w:rFonts w:cs="Times New Roman"/>
          <w:i/>
          <w:sz w:val="20"/>
          <w:szCs w:val="20"/>
        </w:rPr>
        <w:t>In vitro</w:t>
      </w:r>
      <w:r w:rsidRPr="003B42A7">
        <w:rPr>
          <w:rFonts w:cs="Times New Roman"/>
          <w:sz w:val="20"/>
          <w:szCs w:val="20"/>
        </w:rPr>
        <w:t xml:space="preserve"> permeation profiles of ESK from MN patches consisting of lead formulations in combination with hydrogel-forming MN arrays (Means + S.D., </w:t>
      </w:r>
      <w:r w:rsidRPr="003B42A7">
        <w:rPr>
          <w:rFonts w:cs="Times New Roman"/>
          <w:i/>
          <w:sz w:val="20"/>
          <w:szCs w:val="20"/>
        </w:rPr>
        <w:t>n</w:t>
      </w:r>
      <w:r w:rsidRPr="003B42A7">
        <w:rPr>
          <w:rFonts w:cs="Times New Roman"/>
          <w:sz w:val="20"/>
          <w:szCs w:val="20"/>
        </w:rPr>
        <w:t>=4). (B) ESK concentration in rat plasma. (</w:t>
      </w:r>
      <w:proofErr w:type="spellStart"/>
      <w:r w:rsidRPr="003B42A7">
        <w:rPr>
          <w:rFonts w:cs="Times New Roman"/>
          <w:sz w:val="20"/>
          <w:szCs w:val="20"/>
        </w:rPr>
        <w:t>i</w:t>
      </w:r>
      <w:proofErr w:type="spellEnd"/>
      <w:r w:rsidRPr="003B42A7">
        <w:rPr>
          <w:rFonts w:cs="Times New Roman"/>
          <w:sz w:val="20"/>
          <w:szCs w:val="20"/>
        </w:rPr>
        <w:t xml:space="preserve">) Treatment cohorts that received 4 MN patches consisting of either a film (formulation code, F3) or lyophilised wafer (formulation code, LW3) as the drug-containing reservoir (F3, Means </w:t>
      </w:r>
      <w:r w:rsidR="00E95310" w:rsidRPr="003B42A7">
        <w:rPr>
          <w:rFonts w:cs="Times New Roman"/>
          <w:sz w:val="20"/>
          <w:szCs w:val="20"/>
        </w:rPr>
        <w:t>±</w:t>
      </w:r>
      <w:r w:rsidRPr="003B42A7">
        <w:rPr>
          <w:rFonts w:cs="Times New Roman"/>
          <w:sz w:val="20"/>
          <w:szCs w:val="20"/>
        </w:rPr>
        <w:t xml:space="preserve"> S.D., </w:t>
      </w:r>
      <w:r w:rsidRPr="003B42A7">
        <w:rPr>
          <w:rFonts w:cs="Times New Roman"/>
          <w:i/>
          <w:sz w:val="20"/>
          <w:szCs w:val="20"/>
        </w:rPr>
        <w:t>n</w:t>
      </w:r>
      <w:r w:rsidRPr="003B42A7">
        <w:rPr>
          <w:rFonts w:cs="Times New Roman"/>
          <w:sz w:val="20"/>
          <w:szCs w:val="20"/>
        </w:rPr>
        <w:t xml:space="preserve">=3 at 1.5 h, 2 h, 4 h and 6 h; </w:t>
      </w:r>
      <w:r w:rsidRPr="003B42A7">
        <w:rPr>
          <w:rFonts w:cs="Times New Roman"/>
          <w:i/>
          <w:sz w:val="20"/>
          <w:szCs w:val="20"/>
        </w:rPr>
        <w:t>n</w:t>
      </w:r>
      <w:r w:rsidRPr="003B42A7">
        <w:rPr>
          <w:rFonts w:cs="Times New Roman"/>
          <w:sz w:val="20"/>
          <w:szCs w:val="20"/>
        </w:rPr>
        <w:t xml:space="preserve">=4 at 24 h; </w:t>
      </w:r>
      <w:r w:rsidRPr="003B42A7">
        <w:rPr>
          <w:rFonts w:cs="Times New Roman"/>
          <w:i/>
          <w:sz w:val="20"/>
          <w:szCs w:val="20"/>
        </w:rPr>
        <w:t>n</w:t>
      </w:r>
      <w:r w:rsidRPr="003B42A7">
        <w:rPr>
          <w:rFonts w:cs="Times New Roman"/>
          <w:sz w:val="20"/>
          <w:szCs w:val="20"/>
        </w:rPr>
        <w:t xml:space="preserve">=6 at 32 h) (LW3, Means </w:t>
      </w:r>
      <w:r w:rsidR="00E95310" w:rsidRPr="003B42A7">
        <w:rPr>
          <w:rFonts w:cs="Times New Roman"/>
          <w:sz w:val="20"/>
          <w:szCs w:val="20"/>
        </w:rPr>
        <w:t>±</w:t>
      </w:r>
      <w:r w:rsidRPr="003B42A7">
        <w:rPr>
          <w:rFonts w:cs="Times New Roman"/>
          <w:sz w:val="20"/>
          <w:szCs w:val="20"/>
        </w:rPr>
        <w:t xml:space="preserve"> S.D., </w:t>
      </w:r>
      <w:r w:rsidRPr="003B42A7">
        <w:rPr>
          <w:rFonts w:cs="Times New Roman"/>
          <w:i/>
          <w:sz w:val="20"/>
          <w:szCs w:val="20"/>
        </w:rPr>
        <w:t>n</w:t>
      </w:r>
      <w:r w:rsidRPr="003B42A7">
        <w:rPr>
          <w:rFonts w:cs="Times New Roman"/>
          <w:sz w:val="20"/>
          <w:szCs w:val="20"/>
        </w:rPr>
        <w:t xml:space="preserve">=3 at 1.5 h, 2 h and 6 h; </w:t>
      </w:r>
      <w:r w:rsidRPr="003B42A7">
        <w:rPr>
          <w:rFonts w:cs="Times New Roman"/>
          <w:i/>
          <w:sz w:val="20"/>
          <w:szCs w:val="20"/>
        </w:rPr>
        <w:t>n</w:t>
      </w:r>
      <w:r w:rsidRPr="003B42A7">
        <w:rPr>
          <w:rFonts w:cs="Times New Roman"/>
          <w:sz w:val="20"/>
          <w:szCs w:val="20"/>
        </w:rPr>
        <w:t xml:space="preserve">=6 at 24 h and 32 h). </w:t>
      </w:r>
      <w:r w:rsidR="00C74188" w:rsidRPr="003B42A7">
        <w:rPr>
          <w:rFonts w:cs="Times New Roman"/>
          <w:sz w:val="20"/>
          <w:szCs w:val="20"/>
        </w:rPr>
        <w:t>Red and grey</w:t>
      </w:r>
      <w:r w:rsidRPr="003B42A7">
        <w:rPr>
          <w:rFonts w:cs="Times New Roman"/>
          <w:sz w:val="20"/>
          <w:szCs w:val="20"/>
        </w:rPr>
        <w:t xml:space="preserve"> dashed lines indicate the target plasma concentrations, 0.15 µg/ml and 0.3 µg/ml, respectively. </w:t>
      </w:r>
      <w:r w:rsidR="00C94326" w:rsidRPr="003B42A7">
        <w:rPr>
          <w:rFonts w:cs="Times New Roman"/>
          <w:sz w:val="20"/>
          <w:szCs w:val="20"/>
        </w:rPr>
        <w:t xml:space="preserve">Purple and blue solid lines indicate the average ESK concentration in rat plasma. </w:t>
      </w:r>
      <w:r w:rsidRPr="003B42A7">
        <w:rPr>
          <w:rFonts w:cs="Times New Roman"/>
          <w:sz w:val="20"/>
          <w:szCs w:val="20"/>
        </w:rPr>
        <w:t xml:space="preserve">(ii) Control cohort that received ESK solution </w:t>
      </w:r>
      <w:r w:rsidRPr="003B42A7">
        <w:rPr>
          <w:rFonts w:cs="Times New Roman"/>
          <w:i/>
          <w:sz w:val="20"/>
          <w:szCs w:val="20"/>
        </w:rPr>
        <w:t>via</w:t>
      </w:r>
      <w:r w:rsidRPr="003B42A7">
        <w:rPr>
          <w:rFonts w:cs="Times New Roman"/>
          <w:sz w:val="20"/>
          <w:szCs w:val="20"/>
        </w:rPr>
        <w:t xml:space="preserve"> IV (Means </w:t>
      </w:r>
      <w:r w:rsidR="00E95310" w:rsidRPr="003B42A7">
        <w:rPr>
          <w:rFonts w:cs="Times New Roman"/>
          <w:sz w:val="20"/>
          <w:szCs w:val="20"/>
        </w:rPr>
        <w:t>±</w:t>
      </w:r>
      <w:r w:rsidRPr="003B42A7">
        <w:rPr>
          <w:rFonts w:cs="Times New Roman"/>
          <w:sz w:val="20"/>
          <w:szCs w:val="20"/>
        </w:rPr>
        <w:t xml:space="preserve"> S.D., </w:t>
      </w:r>
      <w:r w:rsidRPr="003B42A7">
        <w:rPr>
          <w:rFonts w:cs="Times New Roman"/>
          <w:i/>
          <w:sz w:val="20"/>
          <w:szCs w:val="20"/>
        </w:rPr>
        <w:t>n</w:t>
      </w:r>
      <w:r w:rsidRPr="003B42A7">
        <w:rPr>
          <w:rFonts w:cs="Times New Roman"/>
          <w:sz w:val="20"/>
          <w:szCs w:val="20"/>
        </w:rPr>
        <w:t xml:space="preserve">=3). </w:t>
      </w:r>
      <w:r w:rsidR="00C94326" w:rsidRPr="003B42A7">
        <w:rPr>
          <w:rFonts w:cs="Times New Roman"/>
          <w:sz w:val="20"/>
          <w:szCs w:val="20"/>
        </w:rPr>
        <w:t>The red solid line indicates the average ESK concentration in rat plasma.</w:t>
      </w:r>
      <w:r w:rsidR="00145325" w:rsidRPr="003B42A7">
        <w:rPr>
          <w:rFonts w:cs="Times New Roman"/>
          <w:sz w:val="20"/>
          <w:szCs w:val="20"/>
        </w:rPr>
        <w:br w:type="page"/>
      </w:r>
    </w:p>
    <w:p w14:paraId="5E00A11C" w14:textId="77777777" w:rsidR="004A6530" w:rsidRPr="003B42A7" w:rsidRDefault="004A6530" w:rsidP="004A6530">
      <w:pPr>
        <w:jc w:val="both"/>
        <w:rPr>
          <w:rFonts w:cs="Times New Roman"/>
          <w:sz w:val="20"/>
          <w:szCs w:val="20"/>
        </w:rPr>
      </w:pPr>
    </w:p>
    <w:p w14:paraId="758AF5BC" w14:textId="7DFB10E3" w:rsidR="00B6500D" w:rsidRPr="003B42A7" w:rsidRDefault="008C1402" w:rsidP="008D10F4">
      <w:pPr>
        <w:spacing w:line="360" w:lineRule="auto"/>
        <w:jc w:val="both"/>
        <w:rPr>
          <w:color w:val="FF0000"/>
        </w:rPr>
      </w:pPr>
      <w:r w:rsidRPr="003B42A7">
        <w:rPr>
          <w:color w:val="000000" w:themeColor="text1"/>
        </w:rPr>
        <w:t xml:space="preserve">ESK </w:t>
      </w:r>
      <w:r w:rsidR="00D006B2" w:rsidRPr="003B42A7">
        <w:rPr>
          <w:color w:val="000000" w:themeColor="text1"/>
        </w:rPr>
        <w:t xml:space="preserve">was </w:t>
      </w:r>
      <w:r w:rsidR="0090491D" w:rsidRPr="003B42A7">
        <w:rPr>
          <w:color w:val="000000" w:themeColor="text1"/>
        </w:rPr>
        <w:t xml:space="preserve">quantifiable </w:t>
      </w:r>
      <w:r w:rsidR="00D006B2" w:rsidRPr="003B42A7">
        <w:rPr>
          <w:color w:val="000000" w:themeColor="text1"/>
        </w:rPr>
        <w:t xml:space="preserve">in all time points </w:t>
      </w:r>
      <w:r w:rsidR="00AB6C23" w:rsidRPr="003B42A7">
        <w:rPr>
          <w:color w:val="000000" w:themeColor="text1"/>
        </w:rPr>
        <w:t xml:space="preserve">through </w:t>
      </w:r>
      <w:r w:rsidR="00D006B2" w:rsidRPr="003B42A7">
        <w:rPr>
          <w:color w:val="000000" w:themeColor="text1"/>
        </w:rPr>
        <w:t>the</w:t>
      </w:r>
      <w:r w:rsidR="00AB6C23" w:rsidRPr="003B42A7">
        <w:rPr>
          <w:color w:val="000000" w:themeColor="text1"/>
        </w:rPr>
        <w:t xml:space="preserve"> </w:t>
      </w:r>
      <w:r w:rsidR="00BA493F" w:rsidRPr="003B42A7">
        <w:rPr>
          <w:color w:val="000000" w:themeColor="text1"/>
        </w:rPr>
        <w:t>1.5</w:t>
      </w:r>
      <w:r w:rsidR="00AB6C23" w:rsidRPr="003B42A7">
        <w:rPr>
          <w:color w:val="000000" w:themeColor="text1"/>
        </w:rPr>
        <w:t xml:space="preserve"> to</w:t>
      </w:r>
      <w:r w:rsidR="00D006B2" w:rsidRPr="003B42A7">
        <w:rPr>
          <w:color w:val="000000" w:themeColor="text1"/>
        </w:rPr>
        <w:t xml:space="preserve"> 26 h</w:t>
      </w:r>
      <w:r w:rsidR="00AB6C23" w:rsidRPr="003B42A7">
        <w:rPr>
          <w:color w:val="000000" w:themeColor="text1"/>
        </w:rPr>
        <w:t xml:space="preserve"> post application</w:t>
      </w:r>
      <w:r w:rsidR="00D006B2" w:rsidRPr="003B42A7">
        <w:rPr>
          <w:color w:val="000000" w:themeColor="text1"/>
        </w:rPr>
        <w:t xml:space="preserve"> </w:t>
      </w:r>
      <w:r w:rsidRPr="003B42A7">
        <w:rPr>
          <w:color w:val="000000" w:themeColor="text1"/>
        </w:rPr>
        <w:t xml:space="preserve">assessment </w:t>
      </w:r>
      <w:r w:rsidR="00D006B2" w:rsidRPr="003B42A7">
        <w:rPr>
          <w:color w:val="000000" w:themeColor="text1"/>
        </w:rPr>
        <w:t>period</w:t>
      </w:r>
      <w:r w:rsidRPr="003B42A7">
        <w:rPr>
          <w:color w:val="000000" w:themeColor="text1"/>
        </w:rPr>
        <w:t xml:space="preserve">. </w:t>
      </w:r>
      <w:r w:rsidR="00BA493F" w:rsidRPr="003B42A7">
        <w:rPr>
          <w:color w:val="000000" w:themeColor="text1"/>
        </w:rPr>
        <w:t xml:space="preserve">Considering the low sample size and resulting high inter-individual variability, plasma </w:t>
      </w:r>
      <w:r w:rsidR="00C71BE5" w:rsidRPr="003B42A7">
        <w:rPr>
          <w:color w:val="000000" w:themeColor="text1"/>
        </w:rPr>
        <w:t xml:space="preserve">ESK </w:t>
      </w:r>
      <w:r w:rsidR="00BA493F" w:rsidRPr="003B42A7">
        <w:rPr>
          <w:color w:val="000000" w:themeColor="text1"/>
        </w:rPr>
        <w:t xml:space="preserve">levels for both </w:t>
      </w:r>
      <w:r w:rsidR="00EE747B" w:rsidRPr="003B42A7">
        <w:rPr>
          <w:color w:val="000000" w:themeColor="text1"/>
        </w:rPr>
        <w:t>MN groups were rather stable for the entire observation period</w:t>
      </w:r>
      <w:r w:rsidR="00A72B59" w:rsidRPr="003B42A7">
        <w:rPr>
          <w:color w:val="000000" w:themeColor="text1"/>
        </w:rPr>
        <w:t xml:space="preserve">, and </w:t>
      </w:r>
      <w:r w:rsidR="00B41C7E" w:rsidRPr="003B42A7">
        <w:rPr>
          <w:color w:val="000000" w:themeColor="text1"/>
        </w:rPr>
        <w:t xml:space="preserve">around or higher than </w:t>
      </w:r>
      <w:r w:rsidR="00836688" w:rsidRPr="003B42A7">
        <w:rPr>
          <w:color w:val="000000" w:themeColor="text1"/>
        </w:rPr>
        <w:t>0.</w:t>
      </w:r>
      <w:r w:rsidR="00B41C7E" w:rsidRPr="003B42A7">
        <w:rPr>
          <w:color w:val="000000" w:themeColor="text1"/>
        </w:rPr>
        <w:t>15</w:t>
      </w:r>
      <w:r w:rsidR="00836688" w:rsidRPr="003B42A7">
        <w:rPr>
          <w:color w:val="000000" w:themeColor="text1"/>
        </w:rPr>
        <w:t xml:space="preserve"> </w:t>
      </w:r>
      <w:r w:rsidR="00836688" w:rsidRPr="003B42A7">
        <w:rPr>
          <w:rFonts w:cs="Times New Roman"/>
          <w:color w:val="000000" w:themeColor="text1"/>
        </w:rPr>
        <w:t>µ</w:t>
      </w:r>
      <w:r w:rsidR="00B41C7E" w:rsidRPr="003B42A7">
        <w:rPr>
          <w:color w:val="000000" w:themeColor="text1"/>
        </w:rPr>
        <w:t>g/</w:t>
      </w:r>
      <w:proofErr w:type="spellStart"/>
      <w:r w:rsidR="00B41C7E" w:rsidRPr="003B42A7">
        <w:rPr>
          <w:color w:val="000000" w:themeColor="text1"/>
        </w:rPr>
        <w:t>mL</w:t>
      </w:r>
      <w:r w:rsidR="00EE747B" w:rsidRPr="003B42A7">
        <w:rPr>
          <w:color w:val="000000" w:themeColor="text1"/>
        </w:rPr>
        <w:t>.</w:t>
      </w:r>
      <w:proofErr w:type="spellEnd"/>
      <w:r w:rsidR="00EE747B" w:rsidRPr="003B42A7">
        <w:rPr>
          <w:color w:val="000000" w:themeColor="text1"/>
        </w:rPr>
        <w:t xml:space="preserve"> </w:t>
      </w:r>
      <w:r w:rsidRPr="003B42A7">
        <w:rPr>
          <w:color w:val="000000" w:themeColor="text1"/>
        </w:rPr>
        <w:t xml:space="preserve">The cohort that received </w:t>
      </w:r>
      <w:r w:rsidR="006E7CD6" w:rsidRPr="003B42A7">
        <w:rPr>
          <w:color w:val="000000" w:themeColor="text1"/>
        </w:rPr>
        <w:t>F3</w:t>
      </w:r>
      <w:r w:rsidRPr="003B42A7">
        <w:rPr>
          <w:color w:val="000000" w:themeColor="text1"/>
        </w:rPr>
        <w:t xml:space="preserve"> showed ES</w:t>
      </w:r>
      <w:r w:rsidR="008B66A1" w:rsidRPr="003B42A7">
        <w:rPr>
          <w:color w:val="000000" w:themeColor="text1"/>
        </w:rPr>
        <w:t>K</w:t>
      </w:r>
      <w:r w:rsidRPr="003B42A7">
        <w:rPr>
          <w:color w:val="000000" w:themeColor="text1"/>
        </w:rPr>
        <w:t xml:space="preserve"> </w:t>
      </w:r>
      <w:r w:rsidR="00B6500D" w:rsidRPr="003B42A7">
        <w:rPr>
          <w:color w:val="000000" w:themeColor="text1"/>
        </w:rPr>
        <w:t xml:space="preserve">initial </w:t>
      </w:r>
      <w:r w:rsidR="00DD13E4" w:rsidRPr="003B42A7">
        <w:rPr>
          <w:color w:val="000000" w:themeColor="text1"/>
        </w:rPr>
        <w:t xml:space="preserve">mean </w:t>
      </w:r>
      <w:r w:rsidRPr="003B42A7">
        <w:rPr>
          <w:color w:val="000000" w:themeColor="text1"/>
        </w:rPr>
        <w:t>concentration</w:t>
      </w:r>
      <w:r w:rsidR="00B6500D" w:rsidRPr="003B42A7">
        <w:rPr>
          <w:color w:val="000000" w:themeColor="text1"/>
        </w:rPr>
        <w:t xml:space="preserve">s at 1.5 h of </w:t>
      </w:r>
      <w:r w:rsidR="00836688" w:rsidRPr="003B42A7">
        <w:rPr>
          <w:color w:val="000000" w:themeColor="text1"/>
        </w:rPr>
        <w:t>0.0</w:t>
      </w:r>
      <w:r w:rsidR="00DC286D" w:rsidRPr="003B42A7">
        <w:rPr>
          <w:color w:val="000000" w:themeColor="text1"/>
        </w:rPr>
        <w:t>86</w:t>
      </w:r>
      <w:r w:rsidR="00D006B2" w:rsidRPr="003B42A7">
        <w:rPr>
          <w:color w:val="000000" w:themeColor="text1"/>
        </w:rPr>
        <w:t xml:space="preserve"> </w:t>
      </w:r>
      <w:r w:rsidR="00836688" w:rsidRPr="003B42A7">
        <w:rPr>
          <w:rFonts w:cs="Times New Roman"/>
          <w:color w:val="000000" w:themeColor="text1"/>
        </w:rPr>
        <w:t>µ</w:t>
      </w:r>
      <w:r w:rsidR="00D006B2" w:rsidRPr="003B42A7">
        <w:rPr>
          <w:color w:val="000000" w:themeColor="text1"/>
        </w:rPr>
        <w:t xml:space="preserve">g/ml rising to </w:t>
      </w:r>
      <w:r w:rsidR="00DD13E4" w:rsidRPr="003B42A7">
        <w:rPr>
          <w:color w:val="000000" w:themeColor="text1"/>
        </w:rPr>
        <w:t xml:space="preserve">a mean concentration of </w:t>
      </w:r>
      <w:r w:rsidR="00836688" w:rsidRPr="003B42A7">
        <w:rPr>
          <w:color w:val="000000" w:themeColor="text1"/>
        </w:rPr>
        <w:t>0.</w:t>
      </w:r>
      <w:r w:rsidR="00DC286D" w:rsidRPr="003B42A7">
        <w:rPr>
          <w:color w:val="000000" w:themeColor="text1"/>
        </w:rPr>
        <w:t>93</w:t>
      </w:r>
      <w:r w:rsidR="00D006B2" w:rsidRPr="003B42A7">
        <w:rPr>
          <w:color w:val="000000" w:themeColor="text1"/>
        </w:rPr>
        <w:t xml:space="preserve"> </w:t>
      </w:r>
      <w:r w:rsidR="00836688" w:rsidRPr="003B42A7">
        <w:rPr>
          <w:rFonts w:cs="Times New Roman"/>
          <w:color w:val="000000" w:themeColor="text1"/>
        </w:rPr>
        <w:t>µ</w:t>
      </w:r>
      <w:r w:rsidR="00D006B2" w:rsidRPr="003B42A7">
        <w:rPr>
          <w:color w:val="000000" w:themeColor="text1"/>
        </w:rPr>
        <w:t>g/ml at 26 h</w:t>
      </w:r>
      <w:r w:rsidR="00B41C7E" w:rsidRPr="003B42A7">
        <w:rPr>
          <w:color w:val="000000" w:themeColor="text1"/>
        </w:rPr>
        <w:t xml:space="preserve"> which was also highest observed concentration (</w:t>
      </w:r>
      <w:proofErr w:type="spellStart"/>
      <w:r w:rsidR="00B41C7E" w:rsidRPr="003B42A7">
        <w:rPr>
          <w:color w:val="000000" w:themeColor="text1"/>
        </w:rPr>
        <w:t>C</w:t>
      </w:r>
      <w:r w:rsidR="00B41C7E" w:rsidRPr="003B42A7">
        <w:rPr>
          <w:color w:val="000000" w:themeColor="text1"/>
          <w:vertAlign w:val="subscript"/>
        </w:rPr>
        <w:t>max</w:t>
      </w:r>
      <w:proofErr w:type="spellEnd"/>
      <w:r w:rsidR="00B41C7E" w:rsidRPr="003B42A7">
        <w:rPr>
          <w:color w:val="000000" w:themeColor="text1"/>
        </w:rPr>
        <w:t>) for that group.</w:t>
      </w:r>
      <w:r w:rsidR="00EE747B" w:rsidRPr="003B42A7">
        <w:rPr>
          <w:color w:val="000000" w:themeColor="text1"/>
        </w:rPr>
        <w:t xml:space="preserve"> </w:t>
      </w:r>
      <w:r w:rsidR="00B41C7E" w:rsidRPr="003B42A7">
        <w:rPr>
          <w:color w:val="000000" w:themeColor="text1"/>
        </w:rPr>
        <w:t>T</w:t>
      </w:r>
      <w:r w:rsidR="00EE747B" w:rsidRPr="003B42A7">
        <w:rPr>
          <w:color w:val="000000" w:themeColor="text1"/>
        </w:rPr>
        <w:t xml:space="preserve">he cohort that received LW3 had </w:t>
      </w:r>
      <w:r w:rsidR="00DD13E4" w:rsidRPr="003B42A7">
        <w:rPr>
          <w:color w:val="000000" w:themeColor="text1"/>
        </w:rPr>
        <w:t xml:space="preserve">a mean </w:t>
      </w:r>
      <w:r w:rsidR="00EE747B" w:rsidRPr="003B42A7">
        <w:rPr>
          <w:color w:val="000000" w:themeColor="text1"/>
        </w:rPr>
        <w:t xml:space="preserve">initial 1.5 h plasma concentration of ESK of </w:t>
      </w:r>
      <w:r w:rsidR="00836688" w:rsidRPr="003B42A7">
        <w:rPr>
          <w:color w:val="000000" w:themeColor="text1"/>
        </w:rPr>
        <w:t>0.0</w:t>
      </w:r>
      <w:r w:rsidR="00DC286D" w:rsidRPr="003B42A7">
        <w:rPr>
          <w:color w:val="000000" w:themeColor="text1"/>
        </w:rPr>
        <w:t>92</w:t>
      </w:r>
      <w:r w:rsidR="00EE747B" w:rsidRPr="003B42A7">
        <w:rPr>
          <w:color w:val="000000" w:themeColor="text1"/>
        </w:rPr>
        <w:t xml:space="preserve"> </w:t>
      </w:r>
      <w:r w:rsidR="00836688" w:rsidRPr="003B42A7">
        <w:rPr>
          <w:rFonts w:cs="Times New Roman"/>
          <w:color w:val="000000" w:themeColor="text1"/>
        </w:rPr>
        <w:t>µ</w:t>
      </w:r>
      <w:r w:rsidR="00EE747B" w:rsidRPr="003B42A7">
        <w:rPr>
          <w:color w:val="000000" w:themeColor="text1"/>
        </w:rPr>
        <w:t>g/ml at 26 h</w:t>
      </w:r>
      <w:r w:rsidR="00B41C7E" w:rsidRPr="003B42A7">
        <w:rPr>
          <w:color w:val="000000" w:themeColor="text1"/>
        </w:rPr>
        <w:t xml:space="preserve">, with </w:t>
      </w:r>
      <w:proofErr w:type="spellStart"/>
      <w:r w:rsidR="00B41C7E" w:rsidRPr="003B42A7">
        <w:rPr>
          <w:color w:val="000000" w:themeColor="text1"/>
        </w:rPr>
        <w:t>C</w:t>
      </w:r>
      <w:r w:rsidR="00B41C7E" w:rsidRPr="003B42A7">
        <w:rPr>
          <w:color w:val="000000" w:themeColor="text1"/>
          <w:vertAlign w:val="subscript"/>
        </w:rPr>
        <w:t>max</w:t>
      </w:r>
      <w:proofErr w:type="spellEnd"/>
      <w:r w:rsidR="00B41C7E" w:rsidRPr="003B42A7">
        <w:rPr>
          <w:color w:val="000000" w:themeColor="text1"/>
        </w:rPr>
        <w:t xml:space="preserve"> of </w:t>
      </w:r>
      <w:r w:rsidR="00836688" w:rsidRPr="003B42A7">
        <w:rPr>
          <w:color w:val="000000" w:themeColor="text1"/>
        </w:rPr>
        <w:t>0.</w:t>
      </w:r>
      <w:r w:rsidR="00B41C7E" w:rsidRPr="003B42A7">
        <w:rPr>
          <w:color w:val="000000" w:themeColor="text1"/>
        </w:rPr>
        <w:t xml:space="preserve">789 </w:t>
      </w:r>
      <w:r w:rsidR="00836688" w:rsidRPr="003B42A7">
        <w:rPr>
          <w:rFonts w:cs="Times New Roman"/>
          <w:color w:val="000000" w:themeColor="text1"/>
        </w:rPr>
        <w:t>µ</w:t>
      </w:r>
      <w:r w:rsidR="00B41C7E" w:rsidRPr="003B42A7">
        <w:rPr>
          <w:color w:val="000000" w:themeColor="text1"/>
        </w:rPr>
        <w:t>g/ml observed at 24 h post application</w:t>
      </w:r>
      <w:r w:rsidR="00EE747B" w:rsidRPr="003B42A7">
        <w:rPr>
          <w:color w:val="000000" w:themeColor="text1"/>
        </w:rPr>
        <w:t xml:space="preserve">. </w:t>
      </w:r>
      <w:r w:rsidR="00B6500D" w:rsidRPr="003B42A7">
        <w:rPr>
          <w:color w:val="000000" w:themeColor="text1"/>
        </w:rPr>
        <w:t xml:space="preserve"> </w:t>
      </w:r>
      <w:r w:rsidR="006E7CD6" w:rsidRPr="003B42A7">
        <w:rPr>
          <w:color w:val="000000" w:themeColor="text1"/>
        </w:rPr>
        <w:t>Figure 4B(</w:t>
      </w:r>
      <w:proofErr w:type="spellStart"/>
      <w:r w:rsidR="006E7CD6" w:rsidRPr="003B42A7">
        <w:rPr>
          <w:color w:val="000000" w:themeColor="text1"/>
        </w:rPr>
        <w:t>i</w:t>
      </w:r>
      <w:proofErr w:type="spellEnd"/>
      <w:r w:rsidR="006E7CD6" w:rsidRPr="003B42A7">
        <w:rPr>
          <w:color w:val="000000" w:themeColor="text1"/>
        </w:rPr>
        <w:t>)</w:t>
      </w:r>
      <w:r w:rsidR="00D006B2" w:rsidRPr="003B42A7">
        <w:rPr>
          <w:color w:val="000000" w:themeColor="text1"/>
        </w:rPr>
        <w:t>.</w:t>
      </w:r>
      <w:r w:rsidR="00D006B2" w:rsidRPr="003B42A7">
        <w:rPr>
          <w:color w:val="FF0000"/>
        </w:rPr>
        <w:t xml:space="preserve"> </w:t>
      </w:r>
      <w:r w:rsidR="00A72B59" w:rsidRPr="003B42A7">
        <w:rPr>
          <w:color w:val="FF0000"/>
        </w:rPr>
        <w:t xml:space="preserve"> </w:t>
      </w:r>
    </w:p>
    <w:p w14:paraId="6F023357" w14:textId="2CB8D7FE" w:rsidR="00A02789" w:rsidRPr="003B42A7" w:rsidRDefault="0090296E" w:rsidP="008D10F4">
      <w:pPr>
        <w:spacing w:line="360" w:lineRule="auto"/>
        <w:jc w:val="both"/>
        <w:rPr>
          <w:color w:val="000000" w:themeColor="text1"/>
        </w:rPr>
      </w:pPr>
      <w:r w:rsidRPr="003B42A7">
        <w:rPr>
          <w:color w:val="000000" w:themeColor="text1"/>
        </w:rPr>
        <w:t>Plasma area under the concentration-time curve from time zero to the last measured time-point, 26h post</w:t>
      </w:r>
      <w:r w:rsidR="00DD13E4" w:rsidRPr="003B42A7">
        <w:rPr>
          <w:color w:val="000000" w:themeColor="text1"/>
        </w:rPr>
        <w:t>-</w:t>
      </w:r>
      <w:r w:rsidRPr="003B42A7">
        <w:rPr>
          <w:color w:val="000000" w:themeColor="text1"/>
        </w:rPr>
        <w:t>dose was</w:t>
      </w:r>
      <w:r w:rsidR="006F3F5E" w:rsidRPr="003B42A7">
        <w:rPr>
          <w:color w:val="000000" w:themeColor="text1"/>
        </w:rPr>
        <w:t xml:space="preserve"> similar for the 2 MN groups with</w:t>
      </w:r>
      <w:r w:rsidRPr="003B42A7">
        <w:rPr>
          <w:color w:val="000000" w:themeColor="text1"/>
        </w:rPr>
        <w:t xml:space="preserve"> </w:t>
      </w:r>
      <w:r w:rsidR="006F3F5E" w:rsidRPr="003B42A7">
        <w:rPr>
          <w:color w:val="000000" w:themeColor="text1"/>
        </w:rPr>
        <w:t>9</w:t>
      </w:r>
      <w:r w:rsidR="00836688" w:rsidRPr="003B42A7">
        <w:rPr>
          <w:color w:val="000000" w:themeColor="text1"/>
        </w:rPr>
        <w:t>.</w:t>
      </w:r>
      <w:r w:rsidR="006F3F5E" w:rsidRPr="003B42A7">
        <w:rPr>
          <w:color w:val="000000" w:themeColor="text1"/>
        </w:rPr>
        <w:t xml:space="preserve">068 </w:t>
      </w:r>
      <w:r w:rsidR="00836688" w:rsidRPr="003B42A7">
        <w:rPr>
          <w:rFonts w:cs="Times New Roman"/>
          <w:color w:val="000000" w:themeColor="text1"/>
        </w:rPr>
        <w:t>µ</w:t>
      </w:r>
      <w:r w:rsidR="006F3F5E" w:rsidRPr="003B42A7">
        <w:rPr>
          <w:color w:val="000000" w:themeColor="text1"/>
        </w:rPr>
        <w:t>g*h/ml and 9</w:t>
      </w:r>
      <w:r w:rsidR="00836688" w:rsidRPr="003B42A7">
        <w:rPr>
          <w:color w:val="000000" w:themeColor="text1"/>
        </w:rPr>
        <w:t>.</w:t>
      </w:r>
      <w:r w:rsidR="006F3F5E" w:rsidRPr="003B42A7">
        <w:rPr>
          <w:color w:val="000000" w:themeColor="text1"/>
        </w:rPr>
        <w:t xml:space="preserve">977 </w:t>
      </w:r>
      <w:r w:rsidR="00836688" w:rsidRPr="003B42A7">
        <w:rPr>
          <w:rFonts w:cs="Times New Roman"/>
          <w:color w:val="000000" w:themeColor="text1"/>
        </w:rPr>
        <w:t>µ</w:t>
      </w:r>
      <w:r w:rsidR="006F3F5E" w:rsidRPr="003B42A7">
        <w:rPr>
          <w:color w:val="000000" w:themeColor="text1"/>
        </w:rPr>
        <w:t>g*h/ml for F3 and LW3 treated rats. Since over the 26 h observation period terminal elimination phase could not be characterised for the 2 MN groups, further PK characterization including evaluation of ESK bioavailability through MN administration was not possible</w:t>
      </w:r>
    </w:p>
    <w:p w14:paraId="4A42EAAA" w14:textId="77777777" w:rsidR="00A02789" w:rsidRPr="003B42A7" w:rsidRDefault="00A02789">
      <w:pPr>
        <w:rPr>
          <w:color w:val="000000" w:themeColor="text1"/>
        </w:rPr>
      </w:pPr>
      <w:r w:rsidRPr="003B42A7">
        <w:rPr>
          <w:color w:val="000000" w:themeColor="text1"/>
        </w:rPr>
        <w:br w:type="page"/>
      </w:r>
    </w:p>
    <w:p w14:paraId="24CDD8AE" w14:textId="77777777" w:rsidR="0041445C" w:rsidRPr="003B42A7" w:rsidRDefault="00A02190" w:rsidP="00F456D2">
      <w:pPr>
        <w:pStyle w:val="Heading1"/>
      </w:pPr>
      <w:r w:rsidRPr="003B42A7">
        <w:lastRenderedPageBreak/>
        <w:t>Discussion</w:t>
      </w:r>
    </w:p>
    <w:p w14:paraId="07FE4D14" w14:textId="18E54F88" w:rsidR="00B63AB2" w:rsidRPr="003B42A7" w:rsidRDefault="00B63AB2" w:rsidP="004774B3">
      <w:pPr>
        <w:spacing w:line="360" w:lineRule="auto"/>
        <w:jc w:val="both"/>
        <w:rPr>
          <w:rFonts w:cs="Times New Roman"/>
          <w:color w:val="000000" w:themeColor="text1"/>
          <w:szCs w:val="24"/>
        </w:rPr>
      </w:pPr>
      <w:r w:rsidRPr="003B42A7">
        <w:rPr>
          <w:color w:val="000000" w:themeColor="text1"/>
        </w:rPr>
        <w:t>This work outlines novel combinations of hydrogel-forming MN technology with ESK-containing candidate drug reservoirs. Hydrogel-forming MN technology has been used to deliver a range of therapeutic agents including small molecule drugs, low molecular weight protein compounds, and large antibody therapeutics</w:t>
      </w:r>
      <w:r w:rsidR="002C25A6" w:rsidRPr="003B42A7">
        <w:rPr>
          <w:color w:val="000000" w:themeColor="text1"/>
        </w:rPr>
        <w:t xml:space="preserve"> [</w:t>
      </w:r>
      <w:r w:rsidR="006115CA" w:rsidRPr="003B42A7">
        <w:rPr>
          <w:color w:val="000000" w:themeColor="text1"/>
        </w:rPr>
        <w:t>5-7</w:t>
      </w:r>
      <w:r w:rsidR="002C25A6" w:rsidRPr="003B42A7">
        <w:rPr>
          <w:color w:val="000000" w:themeColor="text1"/>
        </w:rPr>
        <w:t>]</w:t>
      </w:r>
      <w:r w:rsidRPr="003B42A7">
        <w:rPr>
          <w:color w:val="000000" w:themeColor="text1"/>
        </w:rPr>
        <w:t xml:space="preserve">. </w:t>
      </w:r>
      <w:r w:rsidR="002C25A6" w:rsidRPr="003B42A7">
        <w:rPr>
          <w:color w:val="000000" w:themeColor="text1"/>
        </w:rPr>
        <w:t>In the first instance, hydrogel-forming MNs share many of the physical characteristics to that of other MN technologies, including strong, sharp, needle-like projections fabricated on a supporting baseplate. Once applied to the skin however, the hydrogel-forming MN arrays take up interstitial skin fluid and swell. The open and hydrate polymeric network allows for the delivery of a range of therapeutic drugs and compounds to permeate across the skin barrier and into the dermal circulation. One of the main advantages of hydrogel-forming MN technology is that it can facilitate a range of drug delivery profiles that can be tailored</w:t>
      </w:r>
      <w:r w:rsidR="000077C1" w:rsidRPr="003B42A7">
        <w:rPr>
          <w:color w:val="000000" w:themeColor="text1"/>
        </w:rPr>
        <w:t xml:space="preserve">. For </w:t>
      </w:r>
      <w:r w:rsidR="00D77A1F" w:rsidRPr="003B42A7">
        <w:rPr>
          <w:color w:val="000000" w:themeColor="text1"/>
        </w:rPr>
        <w:t>example,</w:t>
      </w:r>
      <w:r w:rsidR="002C25A6" w:rsidRPr="003B42A7">
        <w:rPr>
          <w:color w:val="000000" w:themeColor="text1"/>
        </w:rPr>
        <w:t xml:space="preserve"> depending on polymeric selection and cross-linking process a rapid high dose release, or slow controlled dose release can be achieved </w:t>
      </w:r>
      <w:r w:rsidR="002C25A6" w:rsidRPr="003B42A7">
        <w:rPr>
          <w:color w:val="FF0000"/>
        </w:rPr>
        <w:t>[</w:t>
      </w:r>
      <w:r w:rsidR="00BE7C1E" w:rsidRPr="003B42A7">
        <w:rPr>
          <w:color w:val="FF0000"/>
        </w:rPr>
        <w:t>9</w:t>
      </w:r>
      <w:r w:rsidR="002C25A6" w:rsidRPr="003B42A7">
        <w:rPr>
          <w:color w:val="FF0000"/>
        </w:rPr>
        <w:t>]</w:t>
      </w:r>
      <w:r w:rsidR="002C25A6" w:rsidRPr="003B42A7">
        <w:rPr>
          <w:color w:val="000000" w:themeColor="text1"/>
        </w:rPr>
        <w:t xml:space="preserve">. </w:t>
      </w:r>
      <w:r w:rsidR="00675264" w:rsidRPr="003B42A7">
        <w:rPr>
          <w:rFonts w:cs="Times New Roman"/>
          <w:color w:val="000000" w:themeColor="text1"/>
          <w:szCs w:val="24"/>
        </w:rPr>
        <w:t>Furthermore,</w:t>
      </w:r>
      <w:r w:rsidR="009626A5" w:rsidRPr="003B42A7">
        <w:rPr>
          <w:rFonts w:cs="Times New Roman"/>
          <w:color w:val="000000" w:themeColor="text1"/>
          <w:szCs w:val="24"/>
        </w:rPr>
        <w:t xml:space="preserve"> this transdermal delivery method of ESK may help to prevent potential abuse and misuse of controlled substance drugs as compared to other routes of delivery such as ESK delivery as a nasal spray.</w:t>
      </w:r>
      <w:r w:rsidR="004774B3" w:rsidRPr="003B42A7">
        <w:rPr>
          <w:rFonts w:cs="Times New Roman"/>
          <w:color w:val="000000" w:themeColor="text1"/>
          <w:szCs w:val="24"/>
        </w:rPr>
        <w:t xml:space="preserve"> Some formulations are prepared in such a way as the drug is difficult to extract by dissolution or with household chemicals, such as bleach, lemon juice, </w:t>
      </w:r>
      <w:proofErr w:type="spellStart"/>
      <w:r w:rsidR="004774B3" w:rsidRPr="003B42A7">
        <w:rPr>
          <w:rFonts w:cs="Times New Roman"/>
          <w:color w:val="000000" w:themeColor="text1"/>
          <w:szCs w:val="24"/>
        </w:rPr>
        <w:t>bicaronate</w:t>
      </w:r>
      <w:proofErr w:type="spellEnd"/>
      <w:r w:rsidR="004774B3" w:rsidRPr="003B42A7">
        <w:rPr>
          <w:rFonts w:cs="Times New Roman"/>
          <w:color w:val="000000" w:themeColor="text1"/>
          <w:szCs w:val="24"/>
        </w:rPr>
        <w:t xml:space="preserve"> of soda solution or vinegar.</w:t>
      </w:r>
      <w:r w:rsidR="009626A5" w:rsidRPr="003B42A7">
        <w:rPr>
          <w:color w:val="000000" w:themeColor="text1"/>
        </w:rPr>
        <w:t xml:space="preserve"> </w:t>
      </w:r>
      <w:r w:rsidR="009626A5" w:rsidRPr="003B42A7">
        <w:rPr>
          <w:rFonts w:cs="Times New Roman"/>
          <w:color w:val="000000" w:themeColor="text1"/>
          <w:szCs w:val="24"/>
        </w:rPr>
        <w:t>A</w:t>
      </w:r>
      <w:r w:rsidR="009626A5" w:rsidRPr="003B42A7">
        <w:rPr>
          <w:rFonts w:cs="Times New Roman"/>
          <w:szCs w:val="24"/>
          <w:shd w:val="clear" w:color="auto" w:fill="FFFFFF"/>
        </w:rPr>
        <w:t>n acknowledged clinical requirement is to ensure patient safety including measures that would reduce abuse or tampering risk, in line with all other controlled drug preparation risk assessments.</w:t>
      </w:r>
    </w:p>
    <w:p w14:paraId="41DF9EC7" w14:textId="03AEDF6C" w:rsidR="002C25A6" w:rsidRPr="003B42A7" w:rsidRDefault="000077C1" w:rsidP="006115CA">
      <w:pPr>
        <w:spacing w:line="360" w:lineRule="auto"/>
        <w:jc w:val="both"/>
        <w:rPr>
          <w:color w:val="000000" w:themeColor="text1"/>
        </w:rPr>
      </w:pPr>
      <w:r w:rsidRPr="003B42A7">
        <w:rPr>
          <w:color w:val="000000" w:themeColor="text1"/>
        </w:rPr>
        <w:t xml:space="preserve">An </w:t>
      </w:r>
      <w:r w:rsidR="00DD13E4" w:rsidRPr="003B42A7">
        <w:rPr>
          <w:color w:val="000000" w:themeColor="text1"/>
        </w:rPr>
        <w:t>initial</w:t>
      </w:r>
      <w:r w:rsidR="002C25A6" w:rsidRPr="003B42A7">
        <w:rPr>
          <w:color w:val="000000" w:themeColor="text1"/>
        </w:rPr>
        <w:t xml:space="preserve"> objective of this work was to achieve therapeutic concentrations of permeated ESK </w:t>
      </w:r>
      <w:r w:rsidR="002C25A6" w:rsidRPr="003B42A7">
        <w:rPr>
          <w:i/>
          <w:color w:val="000000" w:themeColor="text1"/>
        </w:rPr>
        <w:t>in vitro</w:t>
      </w:r>
      <w:r w:rsidR="002C25A6" w:rsidRPr="003B42A7">
        <w:rPr>
          <w:color w:val="000000" w:themeColor="text1"/>
        </w:rPr>
        <w:t xml:space="preserve"> using a Franz diffusion cell apparatus. To achieve this, candidate ESK containing drug reservoirs were formulated, such that they were suitable to combine with hydrogel-forming MN arrays. The candidate ESK-containing reservoirs were assessed visually for mechanical robustness, and assayed using </w:t>
      </w:r>
      <w:r w:rsidR="0010235F" w:rsidRPr="003B42A7">
        <w:rPr>
          <w:color w:val="000000" w:themeColor="text1"/>
        </w:rPr>
        <w:t>RP-</w:t>
      </w:r>
      <w:r w:rsidR="002C25A6" w:rsidRPr="003B42A7">
        <w:rPr>
          <w:color w:val="000000" w:themeColor="text1"/>
        </w:rPr>
        <w:t xml:space="preserve">HPLC for ESK </w:t>
      </w:r>
      <w:r w:rsidR="002E0865" w:rsidRPr="003B42A7">
        <w:rPr>
          <w:color w:val="000000" w:themeColor="text1"/>
        </w:rPr>
        <w:t xml:space="preserve">percentage recovery. </w:t>
      </w:r>
    </w:p>
    <w:p w14:paraId="55D5C125" w14:textId="77777777" w:rsidR="00D77A1F" w:rsidRPr="003B42A7" w:rsidRDefault="00D77A1F" w:rsidP="006115CA">
      <w:pPr>
        <w:spacing w:line="360" w:lineRule="auto"/>
        <w:jc w:val="both"/>
        <w:rPr>
          <w:color w:val="000000" w:themeColor="text1"/>
        </w:rPr>
      </w:pPr>
    </w:p>
    <w:p w14:paraId="12176BFB" w14:textId="7E491C75" w:rsidR="002E0865" w:rsidRPr="003B42A7" w:rsidRDefault="002E0865" w:rsidP="006115CA">
      <w:pPr>
        <w:spacing w:line="360" w:lineRule="auto"/>
        <w:jc w:val="both"/>
        <w:rPr>
          <w:color w:val="000000" w:themeColor="text1"/>
        </w:rPr>
      </w:pPr>
      <w:r w:rsidRPr="003B42A7">
        <w:rPr>
          <w:color w:val="000000" w:themeColor="text1"/>
        </w:rPr>
        <w:t xml:space="preserve">Insertion analysis of MN arrays remains an important aspect of </w:t>
      </w:r>
      <w:r w:rsidRPr="003B42A7">
        <w:rPr>
          <w:i/>
          <w:color w:val="000000" w:themeColor="text1"/>
        </w:rPr>
        <w:t>in vitro</w:t>
      </w:r>
      <w:r w:rsidRPr="003B42A7">
        <w:rPr>
          <w:color w:val="000000" w:themeColor="text1"/>
        </w:rPr>
        <w:t xml:space="preserve"> characterisation. If MN arrays do not penetrate the skin, then interstitial skin fluid cannot be imbibed into the hydrogel and drug permeation across the hydrogel network will not occur – rendering the device useless. MN insertion in skin can be visualised using </w:t>
      </w:r>
      <w:r w:rsidR="00EE2272" w:rsidRPr="003B42A7">
        <w:rPr>
          <w:color w:val="000000" w:themeColor="text1"/>
        </w:rPr>
        <w:t>O</w:t>
      </w:r>
      <w:r w:rsidRPr="003B42A7">
        <w:rPr>
          <w:color w:val="000000" w:themeColor="text1"/>
        </w:rPr>
        <w:t xml:space="preserve">ptical </w:t>
      </w:r>
      <w:r w:rsidR="00EE2272" w:rsidRPr="003B42A7">
        <w:rPr>
          <w:color w:val="000000" w:themeColor="text1"/>
        </w:rPr>
        <w:t>C</w:t>
      </w:r>
      <w:r w:rsidRPr="003B42A7">
        <w:rPr>
          <w:color w:val="000000" w:themeColor="text1"/>
        </w:rPr>
        <w:t xml:space="preserve">oherence </w:t>
      </w:r>
      <w:r w:rsidR="00EE2272" w:rsidRPr="003B42A7">
        <w:rPr>
          <w:color w:val="000000" w:themeColor="text1"/>
        </w:rPr>
        <w:t>T</w:t>
      </w:r>
      <w:r w:rsidRPr="003B42A7">
        <w:rPr>
          <w:color w:val="000000" w:themeColor="text1"/>
        </w:rPr>
        <w:t xml:space="preserve">omography, however, it is unlikely that regulators of MN technology will want to rely on the use of biological tissues in quality control assessment techniques. As such, a widely used material, namely Parafilm M, </w:t>
      </w:r>
      <w:r w:rsidRPr="003B42A7">
        <w:rPr>
          <w:color w:val="000000" w:themeColor="text1"/>
        </w:rPr>
        <w:lastRenderedPageBreak/>
        <w:t>has been developed as a substitute model for MN insertion [</w:t>
      </w:r>
      <w:r w:rsidR="00D56C30" w:rsidRPr="003B42A7">
        <w:rPr>
          <w:color w:val="FF0000"/>
        </w:rPr>
        <w:t>11</w:t>
      </w:r>
      <w:r w:rsidRPr="003B42A7">
        <w:rPr>
          <w:color w:val="000000" w:themeColor="text1"/>
        </w:rPr>
        <w:t xml:space="preserve">]. Figure </w:t>
      </w:r>
      <w:r w:rsidR="006E7CD6" w:rsidRPr="003B42A7">
        <w:rPr>
          <w:color w:val="000000" w:themeColor="text1"/>
        </w:rPr>
        <w:t>2B</w:t>
      </w:r>
      <w:r w:rsidRPr="003B42A7">
        <w:rPr>
          <w:color w:val="000000" w:themeColor="text1"/>
        </w:rPr>
        <w:t xml:space="preserve"> shows the depth of insertion of MN arrays into Parafilm M layers following manual application. In each case, MN insertion is deeper than 200 µm. This is important as the </w:t>
      </w:r>
      <w:r w:rsidRPr="003B42A7">
        <w:rPr>
          <w:i/>
          <w:color w:val="000000" w:themeColor="text1"/>
        </w:rPr>
        <w:t xml:space="preserve">stratum </w:t>
      </w:r>
      <w:proofErr w:type="spellStart"/>
      <w:r w:rsidRPr="003B42A7">
        <w:rPr>
          <w:i/>
          <w:color w:val="000000" w:themeColor="text1"/>
        </w:rPr>
        <w:t>cornium</w:t>
      </w:r>
      <w:proofErr w:type="spellEnd"/>
      <w:r w:rsidRPr="003B42A7">
        <w:rPr>
          <w:color w:val="000000" w:themeColor="text1"/>
        </w:rPr>
        <w:t xml:space="preserve"> is ~50 µm thick, and being the primary barrier to drug diffusion the MN arrays developed here clearly penetrate more deeply and therefore provide a suitable platform for drug delivery.</w:t>
      </w:r>
    </w:p>
    <w:p w14:paraId="27964517" w14:textId="77777777" w:rsidR="002E0865" w:rsidRPr="003B42A7" w:rsidRDefault="002E0865" w:rsidP="006115CA">
      <w:pPr>
        <w:spacing w:line="360" w:lineRule="auto"/>
        <w:jc w:val="both"/>
        <w:rPr>
          <w:color w:val="000000" w:themeColor="text1"/>
        </w:rPr>
      </w:pPr>
    </w:p>
    <w:p w14:paraId="4AE55314" w14:textId="699F6D4A" w:rsidR="00922885" w:rsidRPr="003B42A7" w:rsidRDefault="002E0865" w:rsidP="006115CA">
      <w:pPr>
        <w:spacing w:line="360" w:lineRule="auto"/>
        <w:jc w:val="both"/>
        <w:rPr>
          <w:color w:val="000000" w:themeColor="text1"/>
        </w:rPr>
      </w:pPr>
      <w:r w:rsidRPr="003B42A7">
        <w:rPr>
          <w:color w:val="000000" w:themeColor="text1"/>
        </w:rPr>
        <w:t xml:space="preserve">In order to </w:t>
      </w:r>
      <w:r w:rsidR="00DC286D" w:rsidRPr="003B42A7">
        <w:rPr>
          <w:color w:val="000000" w:themeColor="text1"/>
        </w:rPr>
        <w:t>incorpo</w:t>
      </w:r>
      <w:r w:rsidR="00D77A1F" w:rsidRPr="003B42A7">
        <w:rPr>
          <w:color w:val="000000" w:themeColor="text1"/>
        </w:rPr>
        <w:t>r</w:t>
      </w:r>
      <w:r w:rsidR="00DC286D" w:rsidRPr="003B42A7">
        <w:rPr>
          <w:color w:val="000000" w:themeColor="text1"/>
        </w:rPr>
        <w:t>ate</w:t>
      </w:r>
      <w:r w:rsidR="000077C1" w:rsidRPr="003B42A7">
        <w:rPr>
          <w:color w:val="000000" w:themeColor="text1"/>
        </w:rPr>
        <w:t xml:space="preserve"> </w:t>
      </w:r>
      <w:r w:rsidRPr="003B42A7">
        <w:rPr>
          <w:color w:val="000000" w:themeColor="text1"/>
        </w:rPr>
        <w:t>ESK in</w:t>
      </w:r>
      <w:r w:rsidR="000077C1" w:rsidRPr="003B42A7">
        <w:rPr>
          <w:color w:val="000000" w:themeColor="text1"/>
        </w:rPr>
        <w:t>to</w:t>
      </w:r>
      <w:r w:rsidRPr="003B42A7">
        <w:rPr>
          <w:color w:val="000000" w:themeColor="text1"/>
        </w:rPr>
        <w:t xml:space="preserve"> a MN device it was important to understand the stability of ESK </w:t>
      </w:r>
      <w:r w:rsidRPr="003B42A7">
        <w:rPr>
          <w:i/>
          <w:color w:val="000000" w:themeColor="text1"/>
        </w:rPr>
        <w:t>in vitro</w:t>
      </w:r>
      <w:r w:rsidRPr="003B42A7">
        <w:rPr>
          <w:color w:val="000000" w:themeColor="text1"/>
        </w:rPr>
        <w:t xml:space="preserve">. Therefore, a short stability study of ESK in PBS (pH 7.4), the media used in Franz diffusion cell apparatus, was undertaken. </w:t>
      </w:r>
      <w:r w:rsidR="00922885" w:rsidRPr="003B42A7">
        <w:rPr>
          <w:color w:val="000000" w:themeColor="text1"/>
        </w:rPr>
        <w:t xml:space="preserve">The results show that ESK was stable in PBS (pH 7.4) for up to three days, allowing sufficient time for HPLC analysis of ESK before significant </w:t>
      </w:r>
      <w:r w:rsidR="00DC286D" w:rsidRPr="003B42A7">
        <w:rPr>
          <w:color w:val="000000" w:themeColor="text1"/>
        </w:rPr>
        <w:t>degradation</w:t>
      </w:r>
      <w:r w:rsidR="00922885" w:rsidRPr="003B42A7">
        <w:rPr>
          <w:color w:val="000000" w:themeColor="text1"/>
        </w:rPr>
        <w:t xml:space="preserve"> occurred. </w:t>
      </w:r>
      <w:r w:rsidRPr="003B42A7">
        <w:rPr>
          <w:color w:val="000000" w:themeColor="text1"/>
        </w:rPr>
        <w:t xml:space="preserve">HPLC analysis was carried out </w:t>
      </w:r>
      <w:r w:rsidR="00922885" w:rsidRPr="003B42A7">
        <w:rPr>
          <w:color w:val="000000" w:themeColor="text1"/>
        </w:rPr>
        <w:t xml:space="preserve">immediately after sample processing and within 3 </w:t>
      </w:r>
      <w:r w:rsidRPr="003B42A7">
        <w:rPr>
          <w:color w:val="000000" w:themeColor="text1"/>
        </w:rPr>
        <w:t>days of experimentation</w:t>
      </w:r>
      <w:r w:rsidR="00922885" w:rsidRPr="003B42A7">
        <w:rPr>
          <w:color w:val="000000" w:themeColor="text1"/>
        </w:rPr>
        <w:t xml:space="preserve">. </w:t>
      </w:r>
    </w:p>
    <w:p w14:paraId="5AB10A4B" w14:textId="0E08A6BD" w:rsidR="00922885" w:rsidRPr="003B42A7" w:rsidRDefault="00922885" w:rsidP="006115CA">
      <w:pPr>
        <w:spacing w:line="360" w:lineRule="auto"/>
        <w:jc w:val="both"/>
        <w:rPr>
          <w:color w:val="000000" w:themeColor="text1"/>
        </w:rPr>
      </w:pPr>
      <w:r w:rsidRPr="003B42A7">
        <w:rPr>
          <w:color w:val="000000" w:themeColor="text1"/>
        </w:rPr>
        <w:t xml:space="preserve">The lead film formulations were </w:t>
      </w:r>
      <w:r w:rsidR="006E7CD6" w:rsidRPr="003B42A7">
        <w:rPr>
          <w:color w:val="000000" w:themeColor="text1"/>
        </w:rPr>
        <w:t>F3 and F12</w:t>
      </w:r>
      <w:r w:rsidRPr="003B42A7">
        <w:rPr>
          <w:color w:val="000000" w:themeColor="text1"/>
        </w:rPr>
        <w:t xml:space="preserve">, as these formulations did not demonstrate recrystallisation or precipitation of ESK, provided sufficient flexibility for ease of handling and importantly had good recovery of the active compound 93 ± 1.4 % and 91 ± 2.1%, respectively. Although polymeric formulations are simple to manufacture and can easily be translated to industrial settings, they are limited as drug containing reservoirs by the inherent solubility of the drug in polymer gel formulations. In this case, a balance between the amount of ESK that could be loaded into the films with the resultant brittleness had to be achieved. In many cases, plasticisers were added to improve the flexibility of these films. Recrystallisation </w:t>
      </w:r>
      <w:r w:rsidR="006115CA" w:rsidRPr="003B42A7">
        <w:rPr>
          <w:color w:val="000000" w:themeColor="text1"/>
        </w:rPr>
        <w:t>and precipitation of ESK from</w:t>
      </w:r>
      <w:r w:rsidRPr="003B42A7">
        <w:rPr>
          <w:color w:val="000000" w:themeColor="text1"/>
        </w:rPr>
        <w:t xml:space="preserve"> the films on drying proved to be the limiting factor, however </w:t>
      </w:r>
      <w:r w:rsidR="006E7CD6" w:rsidRPr="003B42A7">
        <w:rPr>
          <w:color w:val="000000" w:themeColor="text1"/>
        </w:rPr>
        <w:t>F</w:t>
      </w:r>
      <w:r w:rsidRPr="003B42A7">
        <w:rPr>
          <w:color w:val="000000" w:themeColor="text1"/>
        </w:rPr>
        <w:t>3 and F</w:t>
      </w:r>
      <w:r w:rsidR="006E7CD6" w:rsidRPr="003B42A7">
        <w:rPr>
          <w:color w:val="000000" w:themeColor="text1"/>
        </w:rPr>
        <w:t>12</w:t>
      </w:r>
      <w:r w:rsidRPr="003B42A7">
        <w:rPr>
          <w:color w:val="000000" w:themeColor="text1"/>
        </w:rPr>
        <w:t xml:space="preserve"> showed promise with regards to ESK loading and a suitable degree of flexibility for handling and patch production.</w:t>
      </w:r>
    </w:p>
    <w:p w14:paraId="54E4CBE4" w14:textId="60370DD9" w:rsidR="002E0865" w:rsidRPr="003B42A7" w:rsidRDefault="00922885" w:rsidP="006115CA">
      <w:pPr>
        <w:spacing w:line="360" w:lineRule="auto"/>
        <w:jc w:val="both"/>
        <w:rPr>
          <w:color w:val="000000" w:themeColor="text1"/>
        </w:rPr>
      </w:pPr>
      <w:r w:rsidRPr="003B42A7">
        <w:rPr>
          <w:color w:val="000000" w:themeColor="text1"/>
        </w:rPr>
        <w:t>Lyophilised reservoirs containing ESK were chosen for their porous and hygroscopic nature</w:t>
      </w:r>
      <w:r w:rsidR="000077C1" w:rsidRPr="003B42A7">
        <w:rPr>
          <w:color w:val="000000" w:themeColor="text1"/>
        </w:rPr>
        <w:t xml:space="preserve"> ensuring </w:t>
      </w:r>
      <w:r w:rsidRPr="003B42A7">
        <w:rPr>
          <w:color w:val="000000" w:themeColor="text1"/>
        </w:rPr>
        <w:t>that</w:t>
      </w:r>
      <w:r w:rsidR="000077C1" w:rsidRPr="003B42A7">
        <w:rPr>
          <w:color w:val="000000" w:themeColor="text1"/>
        </w:rPr>
        <w:t xml:space="preserve"> they</w:t>
      </w:r>
      <w:r w:rsidRPr="003B42A7">
        <w:rPr>
          <w:color w:val="000000" w:themeColor="text1"/>
        </w:rPr>
        <w:t xml:space="preserve"> will readily dissolve in a small quantity of fluid to assist the permeation of drugs through the hydrogel-network [</w:t>
      </w:r>
      <w:r w:rsidR="006115CA" w:rsidRPr="003B42A7">
        <w:rPr>
          <w:color w:val="FF0000"/>
        </w:rPr>
        <w:t>5</w:t>
      </w:r>
      <w:r w:rsidRPr="003B42A7">
        <w:rPr>
          <w:color w:val="000000" w:themeColor="text1"/>
        </w:rPr>
        <w:t xml:space="preserve">]. In order to achieve uniform lyophilised reservoirs with an appropriately porous structure mannitol was used as hygroscopic agent and bulking agent. Structural integrity was achieved by use of </w:t>
      </w:r>
      <w:proofErr w:type="spellStart"/>
      <w:r w:rsidRPr="003B42A7">
        <w:rPr>
          <w:color w:val="000000" w:themeColor="text1"/>
        </w:rPr>
        <w:t>gelatin</w:t>
      </w:r>
      <w:proofErr w:type="spellEnd"/>
      <w:r w:rsidRPr="003B42A7">
        <w:rPr>
          <w:color w:val="000000" w:themeColor="text1"/>
        </w:rPr>
        <w:t xml:space="preserve"> and sodium chloride. Uniform lyophilised reservoirs were produced following the lyophilisation process. This indicated that lyophilisation was a conservative method for the preparation of ESK containing reservoirs and further indicated that the reservoirs would readily dissolve on contact with PBS or water. Again </w:t>
      </w:r>
      <w:r w:rsidRPr="003B42A7">
        <w:rPr>
          <w:color w:val="000000" w:themeColor="text1"/>
        </w:rPr>
        <w:lastRenderedPageBreak/>
        <w:t xml:space="preserve">the authors selected manufacturing processes for which industrial scale equivalence is already available thus enhancing the potential impact of this work. </w:t>
      </w:r>
    </w:p>
    <w:p w14:paraId="686ED233" w14:textId="09D65A2A" w:rsidR="00922885" w:rsidRPr="003B42A7" w:rsidRDefault="00922885" w:rsidP="006115CA">
      <w:pPr>
        <w:spacing w:line="360" w:lineRule="auto"/>
        <w:jc w:val="both"/>
        <w:rPr>
          <w:color w:val="000000" w:themeColor="text1"/>
        </w:rPr>
      </w:pPr>
      <w:r w:rsidRPr="003B42A7">
        <w:rPr>
          <w:color w:val="000000" w:themeColor="text1"/>
        </w:rPr>
        <w:t xml:space="preserve">Consideration to the primary packaging was given, specifically in terms of </w:t>
      </w:r>
      <w:r w:rsidR="0066367D" w:rsidRPr="003B42A7">
        <w:rPr>
          <w:color w:val="000000" w:themeColor="text1"/>
        </w:rPr>
        <w:t>maintenance of structural integrity</w:t>
      </w:r>
      <w:r w:rsidRPr="003B42A7">
        <w:rPr>
          <w:color w:val="000000" w:themeColor="text1"/>
        </w:rPr>
        <w:t>.</w:t>
      </w:r>
      <w:r w:rsidR="00DB6BA3" w:rsidRPr="003B42A7">
        <w:rPr>
          <w:color w:val="000000" w:themeColor="text1"/>
        </w:rPr>
        <w:t xml:space="preserve"> </w:t>
      </w:r>
      <w:r w:rsidRPr="003B42A7">
        <w:rPr>
          <w:color w:val="000000" w:themeColor="text1"/>
        </w:rPr>
        <w:t>In the future</w:t>
      </w:r>
      <w:r w:rsidR="0066367D" w:rsidRPr="003B42A7">
        <w:rPr>
          <w:color w:val="000000" w:themeColor="text1"/>
        </w:rPr>
        <w:t>,</w:t>
      </w:r>
      <w:r w:rsidRPr="003B42A7">
        <w:rPr>
          <w:color w:val="000000" w:themeColor="text1"/>
        </w:rPr>
        <w:t xml:space="preserve"> MN technology may provide individually packed MN arrays with separately packaged drug containing layers. This would significantly reduce the concerns of stability and packaging throughout the manufacturing process. Hydrogel-forming MN arrays, similar to lyophilised reservoirs, are inherently sensitive to increased levels of moisture, therefore it is important to not only structurally protect these components but further ensure they are protected from humidity. To achieve this, a moisture impermeable packaging was used to envelop the weigh boats containing the reservoirs or MN. In all cases the packaging provided an ideal environment, maintaining the integrity of each MN component.  MN arrays were able to penetrate the skin, even after 28 days, and further</w:t>
      </w:r>
      <w:r w:rsidR="00FF4553" w:rsidRPr="003B42A7">
        <w:rPr>
          <w:color w:val="000000" w:themeColor="text1"/>
        </w:rPr>
        <w:t>more,</w:t>
      </w:r>
      <w:r w:rsidRPr="003B42A7">
        <w:rPr>
          <w:color w:val="000000" w:themeColor="text1"/>
        </w:rPr>
        <w:t xml:space="preserve"> </w:t>
      </w:r>
      <w:r w:rsidR="00FF4553" w:rsidRPr="003B42A7">
        <w:rPr>
          <w:color w:val="000000" w:themeColor="text1"/>
        </w:rPr>
        <w:t>ESK</w:t>
      </w:r>
      <w:r w:rsidRPr="003B42A7">
        <w:rPr>
          <w:color w:val="000000" w:themeColor="text1"/>
        </w:rPr>
        <w:t xml:space="preserve"> was recovered at 28 days </w:t>
      </w:r>
      <w:r w:rsidR="006E7CD6" w:rsidRPr="003B42A7">
        <w:rPr>
          <w:color w:val="000000" w:themeColor="text1"/>
        </w:rPr>
        <w:t>F</w:t>
      </w:r>
      <w:r w:rsidRPr="003B42A7">
        <w:rPr>
          <w:color w:val="000000" w:themeColor="text1"/>
        </w:rPr>
        <w:t>3</w:t>
      </w:r>
      <w:r w:rsidR="00FF4553" w:rsidRPr="003B42A7">
        <w:rPr>
          <w:color w:val="000000" w:themeColor="text1"/>
        </w:rPr>
        <w:t xml:space="preserve"> </w:t>
      </w:r>
      <w:r w:rsidRPr="003B42A7">
        <w:rPr>
          <w:color w:val="000000" w:themeColor="text1"/>
        </w:rPr>
        <w:t>98.2 %, F</w:t>
      </w:r>
      <w:r w:rsidR="006E7CD6" w:rsidRPr="003B42A7">
        <w:rPr>
          <w:color w:val="000000" w:themeColor="text1"/>
        </w:rPr>
        <w:t>12</w:t>
      </w:r>
      <w:r w:rsidRPr="003B42A7">
        <w:rPr>
          <w:color w:val="000000" w:themeColor="text1"/>
        </w:rPr>
        <w:t xml:space="preserve"> 90.3 % and </w:t>
      </w:r>
      <w:r w:rsidR="006E7CD6" w:rsidRPr="003B42A7">
        <w:rPr>
          <w:color w:val="000000" w:themeColor="text1"/>
        </w:rPr>
        <w:t>LW</w:t>
      </w:r>
      <w:r w:rsidRPr="003B42A7">
        <w:rPr>
          <w:color w:val="000000" w:themeColor="text1"/>
        </w:rPr>
        <w:t xml:space="preserve">3 97.1 %. The primary packaging </w:t>
      </w:r>
      <w:r w:rsidR="00FF4553" w:rsidRPr="003B42A7">
        <w:rPr>
          <w:color w:val="000000" w:themeColor="text1"/>
        </w:rPr>
        <w:t>t</w:t>
      </w:r>
      <w:r w:rsidRPr="003B42A7">
        <w:rPr>
          <w:color w:val="000000" w:themeColor="text1"/>
        </w:rPr>
        <w:t>herefore served its main purpose in protecting the materials from increased moisture</w:t>
      </w:r>
      <w:r w:rsidR="00FF4553" w:rsidRPr="003B42A7">
        <w:rPr>
          <w:color w:val="000000" w:themeColor="text1"/>
        </w:rPr>
        <w:t>.</w:t>
      </w:r>
    </w:p>
    <w:p w14:paraId="7E82EFB3" w14:textId="77777777" w:rsidR="00FF4553" w:rsidRPr="003B42A7" w:rsidRDefault="00FF4553" w:rsidP="006115CA">
      <w:pPr>
        <w:spacing w:line="360" w:lineRule="auto"/>
        <w:jc w:val="both"/>
        <w:rPr>
          <w:color w:val="000000" w:themeColor="text1"/>
        </w:rPr>
      </w:pPr>
    </w:p>
    <w:p w14:paraId="32FA6D5A" w14:textId="36AB4420" w:rsidR="00FF4553" w:rsidRPr="003B42A7" w:rsidRDefault="00FF4553" w:rsidP="00297C5A">
      <w:pPr>
        <w:spacing w:line="360" w:lineRule="auto"/>
        <w:jc w:val="both"/>
        <w:rPr>
          <w:color w:val="000000" w:themeColor="text1"/>
        </w:rPr>
      </w:pPr>
      <w:r w:rsidRPr="003B42A7">
        <w:rPr>
          <w:color w:val="000000" w:themeColor="text1"/>
        </w:rPr>
        <w:t xml:space="preserve">MN arrays </w:t>
      </w:r>
      <w:r w:rsidR="00297C5A" w:rsidRPr="003B42A7">
        <w:rPr>
          <w:color w:val="000000" w:themeColor="text1"/>
        </w:rPr>
        <w:t xml:space="preserve">facilitated </w:t>
      </w:r>
      <w:r w:rsidRPr="003B42A7">
        <w:rPr>
          <w:color w:val="000000" w:themeColor="text1"/>
        </w:rPr>
        <w:t>deliver</w:t>
      </w:r>
      <w:r w:rsidR="0066367D" w:rsidRPr="003B42A7">
        <w:rPr>
          <w:color w:val="000000" w:themeColor="text1"/>
        </w:rPr>
        <w:t>y</w:t>
      </w:r>
      <w:r w:rsidRPr="003B42A7">
        <w:rPr>
          <w:color w:val="000000" w:themeColor="text1"/>
        </w:rPr>
        <w:t xml:space="preserve"> of ESK across dermatomed neonatal porcine skin in </w:t>
      </w:r>
      <w:r w:rsidR="00D77A1F" w:rsidRPr="003B42A7">
        <w:rPr>
          <w:color w:val="000000" w:themeColor="text1"/>
        </w:rPr>
        <w:t>each experimental set-up</w:t>
      </w:r>
      <w:r w:rsidRPr="003B42A7">
        <w:rPr>
          <w:color w:val="000000" w:themeColor="text1"/>
        </w:rPr>
        <w:t xml:space="preserve">, from every reservoir type (film or lyophilised). It is worth noting that although the highest quantity of ESK delivered across the skin </w:t>
      </w:r>
      <w:r w:rsidRPr="003B42A7">
        <w:rPr>
          <w:i/>
          <w:color w:val="000000" w:themeColor="text1"/>
        </w:rPr>
        <w:t>in vitro</w:t>
      </w:r>
      <w:r w:rsidRPr="003B42A7">
        <w:rPr>
          <w:color w:val="000000" w:themeColor="text1"/>
        </w:rPr>
        <w:t xml:space="preserve"> was from the lyophilised reservoir L</w:t>
      </w:r>
      <w:r w:rsidR="006E7CD6" w:rsidRPr="003B42A7">
        <w:rPr>
          <w:color w:val="000000" w:themeColor="text1"/>
        </w:rPr>
        <w:t>W</w:t>
      </w:r>
      <w:r w:rsidRPr="003B42A7">
        <w:rPr>
          <w:color w:val="000000" w:themeColor="text1"/>
        </w:rPr>
        <w:t>3, due to the higher initial loading of ESK this correlated to the lowest efficiency (21.3 ± 3.4%)</w:t>
      </w:r>
      <w:r w:rsidR="00D426D4" w:rsidRPr="003B42A7">
        <w:rPr>
          <w:color w:val="000000" w:themeColor="text1"/>
        </w:rPr>
        <w:t>,</w:t>
      </w:r>
      <w:r w:rsidRPr="003B42A7">
        <w:rPr>
          <w:color w:val="000000" w:themeColor="text1"/>
        </w:rPr>
        <w:t xml:space="preserve"> compared to film formulations </w:t>
      </w:r>
      <w:r w:rsidR="006E7CD6" w:rsidRPr="003B42A7">
        <w:rPr>
          <w:color w:val="000000" w:themeColor="text1"/>
        </w:rPr>
        <w:t>F</w:t>
      </w:r>
      <w:r w:rsidRPr="003B42A7">
        <w:rPr>
          <w:color w:val="000000" w:themeColor="text1"/>
        </w:rPr>
        <w:t>3 and F</w:t>
      </w:r>
      <w:r w:rsidR="006E7CD6" w:rsidRPr="003B42A7">
        <w:rPr>
          <w:color w:val="000000" w:themeColor="text1"/>
        </w:rPr>
        <w:t>1</w:t>
      </w:r>
      <w:r w:rsidRPr="003B42A7">
        <w:rPr>
          <w:color w:val="000000" w:themeColor="text1"/>
        </w:rPr>
        <w:t xml:space="preserve">2 which delivered less ESK but a higher proportion of their initial loading. The ESK concentrations in the receiver compartment of the Franz diffusion cell apparatus steadily increases </w:t>
      </w:r>
      <w:r w:rsidR="00297C5A" w:rsidRPr="003B42A7">
        <w:rPr>
          <w:color w:val="000000" w:themeColor="text1"/>
        </w:rPr>
        <w:t xml:space="preserve">through </w:t>
      </w:r>
      <w:r w:rsidRPr="003B42A7">
        <w:rPr>
          <w:color w:val="000000" w:themeColor="text1"/>
        </w:rPr>
        <w:t>24 h and so this suggests that these patch systems have not exhausted their ESK reserves. This therefore could indicate potential for sustained delivery of ESK for &gt; 24 h. A permeation plateau would have been expected at the point where minimal further drug permeation is taking place and as this has not been reached within the 24 h period, there could be the potential for extended treatment times</w:t>
      </w:r>
      <w:r w:rsidR="00D77A1F" w:rsidRPr="003B42A7">
        <w:rPr>
          <w:color w:val="000000" w:themeColor="text1"/>
        </w:rPr>
        <w:t xml:space="preserve"> or alternatively higher exposure to ESK </w:t>
      </w:r>
      <w:r w:rsidR="00D77A1F" w:rsidRPr="003B42A7">
        <w:rPr>
          <w:i/>
          <w:color w:val="000000" w:themeColor="text1"/>
        </w:rPr>
        <w:t>in vivo</w:t>
      </w:r>
      <w:r w:rsidRPr="003B42A7">
        <w:rPr>
          <w:color w:val="000000" w:themeColor="text1"/>
        </w:rPr>
        <w:t>.</w:t>
      </w:r>
      <w:r w:rsidR="00D77A1F" w:rsidRPr="003B42A7">
        <w:rPr>
          <w:color w:val="000000" w:themeColor="text1"/>
        </w:rPr>
        <w:t xml:space="preserve"> </w:t>
      </w:r>
    </w:p>
    <w:p w14:paraId="4C41EFC3" w14:textId="77777777" w:rsidR="00FF4553" w:rsidRPr="003B42A7" w:rsidRDefault="00FF4553" w:rsidP="006115CA">
      <w:pPr>
        <w:spacing w:line="360" w:lineRule="auto"/>
        <w:jc w:val="both"/>
        <w:rPr>
          <w:color w:val="000000" w:themeColor="text1"/>
        </w:rPr>
      </w:pPr>
      <w:r w:rsidRPr="003B42A7">
        <w:rPr>
          <w:color w:val="000000" w:themeColor="text1"/>
        </w:rPr>
        <w:t xml:space="preserve">A pilot study was initiated using 3 rats to ensure no adverse effects, signs of toxicity, or general ill health as a result of ESK delivery of MN application were seen. All animals appeared healthy throughout the course of the study and no adverse reactions were observed. Rat 1 which received IV control administration provided a clear demonstration of high to low plasma </w:t>
      </w:r>
      <w:r w:rsidRPr="003B42A7">
        <w:rPr>
          <w:color w:val="000000" w:themeColor="text1"/>
        </w:rPr>
        <w:lastRenderedPageBreak/>
        <w:t>concentrations of ESK. The remaining 2 rats treated with MN patches only showed detectable ESK concentrations at 24 h.</w:t>
      </w:r>
    </w:p>
    <w:p w14:paraId="1897DA71" w14:textId="68170D47" w:rsidR="00FF4553" w:rsidRPr="003B42A7" w:rsidRDefault="00FF4553" w:rsidP="00732E14">
      <w:pPr>
        <w:spacing w:line="360" w:lineRule="auto"/>
        <w:jc w:val="both"/>
        <w:rPr>
          <w:color w:val="000000" w:themeColor="text1"/>
        </w:rPr>
      </w:pPr>
      <w:r w:rsidRPr="003B42A7">
        <w:rPr>
          <w:color w:val="000000" w:themeColor="text1"/>
        </w:rPr>
        <w:t xml:space="preserve">MN applications were visually confirmed at the time of application, ensuring the highest chances of success with each patch applied firmly and retained using a secure adhesive system. In each case the MN patches were held securely in place using a combination of </w:t>
      </w:r>
      <w:proofErr w:type="spellStart"/>
      <w:r w:rsidRPr="003B42A7">
        <w:rPr>
          <w:color w:val="000000" w:themeColor="text1"/>
        </w:rPr>
        <w:t>Microfo</w:t>
      </w:r>
      <w:r w:rsidR="00DD13E4" w:rsidRPr="003B42A7">
        <w:rPr>
          <w:color w:val="000000" w:themeColor="text1"/>
        </w:rPr>
        <w:t>a</w:t>
      </w:r>
      <w:r w:rsidRPr="003B42A7">
        <w:rPr>
          <w:color w:val="000000" w:themeColor="text1"/>
        </w:rPr>
        <w:t>m</w:t>
      </w:r>
      <w:proofErr w:type="spellEnd"/>
      <w:r w:rsidR="00DD13E4" w:rsidRPr="003B42A7">
        <w:rPr>
          <w:rFonts w:cs="Times New Roman"/>
          <w:color w:val="000000" w:themeColor="text1"/>
        </w:rPr>
        <w:t>™</w:t>
      </w:r>
      <w:r w:rsidR="00DD13E4" w:rsidRPr="003B42A7">
        <w:rPr>
          <w:color w:val="000000" w:themeColor="text1"/>
        </w:rPr>
        <w:t xml:space="preserve"> tape, </w:t>
      </w:r>
      <w:proofErr w:type="spellStart"/>
      <w:r w:rsidR="00DD13E4" w:rsidRPr="003B42A7">
        <w:rPr>
          <w:color w:val="000000" w:themeColor="text1"/>
        </w:rPr>
        <w:t>Tega</w:t>
      </w:r>
      <w:r w:rsidRPr="003B42A7">
        <w:rPr>
          <w:color w:val="000000" w:themeColor="text1"/>
        </w:rPr>
        <w:t>derm</w:t>
      </w:r>
      <w:proofErr w:type="spellEnd"/>
      <w:r w:rsidR="00DD13E4" w:rsidRPr="003B42A7">
        <w:rPr>
          <w:rFonts w:cs="Times New Roman"/>
          <w:color w:val="000000" w:themeColor="text1"/>
        </w:rPr>
        <w:t>™</w:t>
      </w:r>
      <w:r w:rsidRPr="003B42A7">
        <w:rPr>
          <w:color w:val="000000" w:themeColor="text1"/>
        </w:rPr>
        <w:t xml:space="preserve"> dressing, and Micropore</w:t>
      </w:r>
      <w:r w:rsidR="00DD13E4" w:rsidRPr="003B42A7">
        <w:rPr>
          <w:rFonts w:cs="Times New Roman"/>
          <w:color w:val="000000" w:themeColor="text1"/>
        </w:rPr>
        <w:t>™</w:t>
      </w:r>
      <w:r w:rsidRPr="003B42A7">
        <w:rPr>
          <w:color w:val="000000" w:themeColor="text1"/>
        </w:rPr>
        <w:t xml:space="preserve"> tape. It was clear that placement of the MN arrays on the rat backs was of high importance. MN that were placed close to the shoulder and hip flexure points were more likely to become loose over the course of 24 h and subsequently be expelled from the skin, leading to patch failure. </w:t>
      </w:r>
      <w:r w:rsidR="006E7CD6" w:rsidRPr="003B42A7">
        <w:rPr>
          <w:color w:val="000000" w:themeColor="text1"/>
        </w:rPr>
        <w:t>Figure 4B(ii)</w:t>
      </w:r>
      <w:r w:rsidRPr="003B42A7">
        <w:rPr>
          <w:color w:val="FF0000"/>
        </w:rPr>
        <w:t xml:space="preserve"> </w:t>
      </w:r>
      <w:r w:rsidRPr="003B42A7">
        <w:rPr>
          <w:color w:val="000000" w:themeColor="text1"/>
        </w:rPr>
        <w:t xml:space="preserve">clearly show successful IV administration of ESK in all test animals with relatively small error bars indicating high reproducibility within the cohort. Figure </w:t>
      </w:r>
      <w:r w:rsidR="006E7CD6" w:rsidRPr="003B42A7">
        <w:rPr>
          <w:color w:val="000000" w:themeColor="text1"/>
        </w:rPr>
        <w:t>4B(</w:t>
      </w:r>
      <w:proofErr w:type="spellStart"/>
      <w:r w:rsidR="006E7CD6" w:rsidRPr="003B42A7">
        <w:rPr>
          <w:color w:val="000000" w:themeColor="text1"/>
        </w:rPr>
        <w:t>i</w:t>
      </w:r>
      <w:proofErr w:type="spellEnd"/>
      <w:r w:rsidR="006E7CD6" w:rsidRPr="003B42A7">
        <w:rPr>
          <w:color w:val="000000" w:themeColor="text1"/>
        </w:rPr>
        <w:t xml:space="preserve">) </w:t>
      </w:r>
      <w:r w:rsidRPr="003B42A7">
        <w:rPr>
          <w:color w:val="000000" w:themeColor="text1"/>
        </w:rPr>
        <w:t xml:space="preserve">shows that the film formulation (F3) was able to achieve the target plasma concentration. Following removal of the patches it was apparent that not all of the film formulations had completely dissolved. This was a phenomenon that was also seen with </w:t>
      </w:r>
      <w:r w:rsidRPr="003B42A7">
        <w:t>the L</w:t>
      </w:r>
      <w:r w:rsidR="006E7CD6" w:rsidRPr="003B42A7">
        <w:t>W</w:t>
      </w:r>
      <w:r w:rsidRPr="003B42A7">
        <w:t>3 lyophilised</w:t>
      </w:r>
      <w:r w:rsidRPr="003B42A7">
        <w:rPr>
          <w:color w:val="000000" w:themeColor="text1"/>
        </w:rPr>
        <w:t xml:space="preserve"> reservoirs, in fact, the </w:t>
      </w:r>
      <w:r w:rsidRPr="003B42A7">
        <w:t>lyophilised reservoirs had only partially dissolved in some cases. The plasma profiles indicated in figure 4</w:t>
      </w:r>
      <w:r w:rsidR="006E7CD6" w:rsidRPr="003B42A7">
        <w:t>B(</w:t>
      </w:r>
      <w:proofErr w:type="spellStart"/>
      <w:r w:rsidR="006E7CD6" w:rsidRPr="003B42A7">
        <w:t>i</w:t>
      </w:r>
      <w:proofErr w:type="spellEnd"/>
      <w:r w:rsidR="006E7CD6" w:rsidRPr="003B42A7">
        <w:t>)</w:t>
      </w:r>
      <w:r w:rsidRPr="003B42A7">
        <w:t xml:space="preserve"> a certain</w:t>
      </w:r>
      <w:r w:rsidRPr="003B42A7">
        <w:rPr>
          <w:color w:val="000000" w:themeColor="text1"/>
        </w:rPr>
        <w:t xml:space="preserve"> degree of fluctuation. This may be as a result of the staggered study design necessitated by Project License limitations. The full pilot study achieved the main aim of ESK plasma concentrations of minimum </w:t>
      </w:r>
      <w:r w:rsidR="00DD13E4" w:rsidRPr="003B42A7">
        <w:rPr>
          <w:color w:val="000000" w:themeColor="text1"/>
        </w:rPr>
        <w:t>0.</w:t>
      </w:r>
      <w:r w:rsidRPr="003B42A7">
        <w:rPr>
          <w:color w:val="000000" w:themeColor="text1"/>
        </w:rPr>
        <w:t xml:space="preserve">15 </w:t>
      </w:r>
      <w:r w:rsidRPr="003B42A7">
        <w:rPr>
          <w:rFonts w:cs="Mangal"/>
          <w:color w:val="000000" w:themeColor="text1"/>
          <w:cs/>
          <w:lang w:bidi="mr-IN"/>
        </w:rPr>
        <w:t>–</w:t>
      </w:r>
      <w:r w:rsidRPr="003B42A7">
        <w:rPr>
          <w:color w:val="000000" w:themeColor="text1"/>
        </w:rPr>
        <w:t xml:space="preserve"> </w:t>
      </w:r>
      <w:r w:rsidR="00DD13E4" w:rsidRPr="003B42A7">
        <w:rPr>
          <w:color w:val="000000" w:themeColor="text1"/>
        </w:rPr>
        <w:t>0.</w:t>
      </w:r>
      <w:r w:rsidRPr="003B42A7">
        <w:rPr>
          <w:color w:val="000000" w:themeColor="text1"/>
        </w:rPr>
        <w:t>3</w:t>
      </w:r>
      <w:r w:rsidR="00DD13E4" w:rsidRPr="003B42A7">
        <w:rPr>
          <w:color w:val="000000" w:themeColor="text1"/>
        </w:rPr>
        <w:t xml:space="preserve"> </w:t>
      </w:r>
      <w:r w:rsidR="00DD13E4" w:rsidRPr="003B42A7">
        <w:rPr>
          <w:rFonts w:cs="Times New Roman"/>
          <w:color w:val="000000" w:themeColor="text1"/>
        </w:rPr>
        <w:t>µ</w:t>
      </w:r>
      <w:r w:rsidRPr="003B42A7">
        <w:rPr>
          <w:color w:val="000000" w:themeColor="text1"/>
        </w:rPr>
        <w:t xml:space="preserve">g/ml sustained over 24 h. Further, although not within the scope of this project, it is possible that the MN patches had not fully depleted in </w:t>
      </w:r>
      <w:r w:rsidR="00D8434E" w:rsidRPr="003B42A7">
        <w:rPr>
          <w:color w:val="000000" w:themeColor="text1"/>
        </w:rPr>
        <w:t>ESK reserves</w:t>
      </w:r>
      <w:r w:rsidRPr="003B42A7">
        <w:rPr>
          <w:color w:val="000000" w:themeColor="text1"/>
        </w:rPr>
        <w:t xml:space="preserve">. It is recommended that future </w:t>
      </w:r>
      <w:r w:rsidRPr="003B42A7">
        <w:rPr>
          <w:i/>
          <w:color w:val="000000" w:themeColor="text1"/>
        </w:rPr>
        <w:t>in vivo</w:t>
      </w:r>
      <w:r w:rsidRPr="003B42A7">
        <w:rPr>
          <w:color w:val="000000" w:themeColor="text1"/>
        </w:rPr>
        <w:t xml:space="preserve"> studies should consider appl</w:t>
      </w:r>
      <w:r w:rsidR="003E0B9A" w:rsidRPr="003B42A7">
        <w:rPr>
          <w:color w:val="000000" w:themeColor="text1"/>
        </w:rPr>
        <w:t xml:space="preserve">ication of </w:t>
      </w:r>
      <w:r w:rsidRPr="003B42A7">
        <w:rPr>
          <w:color w:val="000000" w:themeColor="text1"/>
        </w:rPr>
        <w:t>test MN patches for longer than 24 h to assess the potential for longer term delivery from hydrogel-</w:t>
      </w:r>
      <w:r w:rsidRPr="003B42A7">
        <w:t>forming MN patches</w:t>
      </w:r>
      <w:r w:rsidR="00D77A1F" w:rsidRPr="003B42A7">
        <w:t xml:space="preserve"> and also evaluate full pharmacokinetic profiles in order to estimate ESK bioavailability through MN delivery, to elucidate its full exposure potential</w:t>
      </w:r>
      <w:r w:rsidRPr="003B42A7">
        <w:t xml:space="preserve">. In this study, although the MN patches were removed at 24 h time point, the plasma </w:t>
      </w:r>
      <w:r w:rsidR="00D8434E" w:rsidRPr="003B42A7">
        <w:t xml:space="preserve">ESK </w:t>
      </w:r>
      <w:r w:rsidRPr="003B42A7">
        <w:t xml:space="preserve">concentrations continue to increase for the </w:t>
      </w:r>
      <w:r w:rsidR="00901A9E" w:rsidRPr="003B42A7">
        <w:t>F</w:t>
      </w:r>
      <w:r w:rsidRPr="003B42A7">
        <w:t>3 film MN patches and are maintained at the 30 h time point for the L</w:t>
      </w:r>
      <w:r w:rsidR="00901A9E" w:rsidRPr="003B42A7">
        <w:t>W</w:t>
      </w:r>
      <w:r w:rsidRPr="003B42A7">
        <w:t>3 MN patches. This</w:t>
      </w:r>
      <w:r w:rsidRPr="003B42A7">
        <w:rPr>
          <w:color w:val="000000" w:themeColor="text1"/>
        </w:rPr>
        <w:t xml:space="preserve"> suggests that once the </w:t>
      </w:r>
      <w:r w:rsidR="00D8434E" w:rsidRPr="003B42A7">
        <w:rPr>
          <w:color w:val="000000" w:themeColor="text1"/>
        </w:rPr>
        <w:t>ESK</w:t>
      </w:r>
      <w:r w:rsidRPr="003B42A7">
        <w:rPr>
          <w:color w:val="000000" w:themeColor="text1"/>
        </w:rPr>
        <w:t xml:space="preserve"> has permeated into t</w:t>
      </w:r>
      <w:r w:rsidR="00D77A1F" w:rsidRPr="003B42A7">
        <w:rPr>
          <w:color w:val="000000" w:themeColor="text1"/>
        </w:rPr>
        <w:t xml:space="preserve">he skin it is retained in the </w:t>
      </w:r>
      <w:r w:rsidR="00DD13E4" w:rsidRPr="003B42A7">
        <w:rPr>
          <w:color w:val="000000" w:themeColor="text1"/>
        </w:rPr>
        <w:t>skin</w:t>
      </w:r>
      <w:r w:rsidR="00D77A1F" w:rsidRPr="003B42A7">
        <w:rPr>
          <w:color w:val="000000" w:themeColor="text1"/>
        </w:rPr>
        <w:t xml:space="preserve"> </w:t>
      </w:r>
      <w:r w:rsidRPr="003B42A7">
        <w:rPr>
          <w:color w:val="000000" w:themeColor="text1"/>
        </w:rPr>
        <w:t xml:space="preserve">before being slowly released into the </w:t>
      </w:r>
      <w:r w:rsidR="00732E14" w:rsidRPr="003B42A7">
        <w:rPr>
          <w:color w:val="000000" w:themeColor="text1"/>
        </w:rPr>
        <w:t>systemic</w:t>
      </w:r>
      <w:r w:rsidRPr="003B42A7">
        <w:rPr>
          <w:color w:val="000000" w:themeColor="text1"/>
        </w:rPr>
        <w:t xml:space="preserve"> circulation. Further research is required to fully understand the pharmacokinetic profile of </w:t>
      </w:r>
      <w:r w:rsidR="00D8434E" w:rsidRPr="003B42A7">
        <w:rPr>
          <w:color w:val="000000" w:themeColor="text1"/>
        </w:rPr>
        <w:t>ESK</w:t>
      </w:r>
      <w:r w:rsidRPr="003B42A7">
        <w:rPr>
          <w:color w:val="000000" w:themeColor="text1"/>
        </w:rPr>
        <w:t xml:space="preserve"> </w:t>
      </w:r>
      <w:r w:rsidRPr="003B42A7">
        <w:rPr>
          <w:i/>
          <w:color w:val="000000" w:themeColor="text1"/>
        </w:rPr>
        <w:t>in vivo</w:t>
      </w:r>
      <w:r w:rsidRPr="003B42A7">
        <w:rPr>
          <w:color w:val="000000" w:themeColor="text1"/>
        </w:rPr>
        <w:t xml:space="preserve"> following transdermal delivery using MN arrays. </w:t>
      </w:r>
    </w:p>
    <w:p w14:paraId="7DB1208A" w14:textId="1EA0BF26" w:rsidR="00627626" w:rsidRPr="003B42A7" w:rsidRDefault="00627626" w:rsidP="00732E14">
      <w:pPr>
        <w:spacing w:line="360" w:lineRule="auto"/>
        <w:jc w:val="both"/>
        <w:rPr>
          <w:color w:val="000000" w:themeColor="text1"/>
        </w:rPr>
      </w:pPr>
      <w:r w:rsidRPr="003B42A7">
        <w:rPr>
          <w:color w:val="000000" w:themeColor="text1"/>
        </w:rPr>
        <w:t xml:space="preserve">It is clear that the ESK plasma profiles in MN and IV cohorts are very different with IV dosing indicating the need for regular repeat administration for patients to achieve long term therapeutic concentrations. As demonstrated in figure 4, MN technology can provide sustained </w:t>
      </w:r>
      <w:r w:rsidRPr="003B42A7">
        <w:rPr>
          <w:color w:val="000000" w:themeColor="text1"/>
        </w:rPr>
        <w:lastRenderedPageBreak/>
        <w:t>ESK delivery, here over 24 h, in rats at relevant and equivalent therapeutic concentrations. The main point of note here is that MN patches can be scaled in size to help tailor dosing for patients and achieve tighter controls on ESK delivery and therefore circulating plasma concentrations.</w:t>
      </w:r>
    </w:p>
    <w:p w14:paraId="6F394CE4" w14:textId="622BE589" w:rsidR="00203165" w:rsidRPr="003B42A7" w:rsidRDefault="00B6500D" w:rsidP="006115CA">
      <w:pPr>
        <w:spacing w:line="360" w:lineRule="auto"/>
        <w:jc w:val="both"/>
        <w:rPr>
          <w:color w:val="000000" w:themeColor="text1"/>
        </w:rPr>
      </w:pPr>
      <w:r w:rsidRPr="003B42A7">
        <w:rPr>
          <w:color w:val="000000" w:themeColor="text1"/>
        </w:rPr>
        <w:t xml:space="preserve">To advance patient care, it is important to provide new treatment options that patients can use easily and safely, that provide therapeutic effect, and minimal impact on a </w:t>
      </w:r>
      <w:r w:rsidR="00203165" w:rsidRPr="003B42A7">
        <w:rPr>
          <w:color w:val="000000" w:themeColor="text1"/>
        </w:rPr>
        <w:t>patient’s</w:t>
      </w:r>
      <w:r w:rsidRPr="003B42A7">
        <w:rPr>
          <w:color w:val="000000" w:themeColor="text1"/>
        </w:rPr>
        <w:t xml:space="preserve"> day to day life. Administration of IV medicines is associated with significant resource burdens for healthcare economies</w:t>
      </w:r>
      <w:r w:rsidR="00203165" w:rsidRPr="003B42A7">
        <w:rPr>
          <w:color w:val="000000" w:themeColor="text1"/>
        </w:rPr>
        <w:t xml:space="preserve"> and as such, development of new alternative delivery routes is essential. </w:t>
      </w:r>
      <w:r w:rsidR="00D8434E" w:rsidRPr="003B42A7">
        <w:rPr>
          <w:color w:val="000000" w:themeColor="text1"/>
        </w:rPr>
        <w:t>The next step in development of an ESK delivery system for TRD is to test in larger animal models</w:t>
      </w:r>
      <w:r w:rsidR="00EE2272" w:rsidRPr="003B42A7">
        <w:rPr>
          <w:color w:val="000000" w:themeColor="text1"/>
        </w:rPr>
        <w:t>. For the first time, we outline the development,</w:t>
      </w:r>
      <w:r w:rsidR="00EE2272" w:rsidRPr="003B42A7">
        <w:rPr>
          <w:i/>
          <w:color w:val="000000" w:themeColor="text1"/>
        </w:rPr>
        <w:t xml:space="preserve"> in vitro</w:t>
      </w:r>
      <w:r w:rsidR="00EE2272" w:rsidRPr="003B42A7">
        <w:rPr>
          <w:color w:val="000000" w:themeColor="text1"/>
        </w:rPr>
        <w:t xml:space="preserve"> and </w:t>
      </w:r>
      <w:r w:rsidR="00EE2272" w:rsidRPr="003B42A7">
        <w:rPr>
          <w:i/>
          <w:color w:val="000000" w:themeColor="text1"/>
        </w:rPr>
        <w:t>in vivo</w:t>
      </w:r>
      <w:r w:rsidR="00EE2272" w:rsidRPr="003B42A7">
        <w:rPr>
          <w:color w:val="000000" w:themeColor="text1"/>
        </w:rPr>
        <w:t xml:space="preserve"> assessment of hydrogel-forming MN technology for the delivery of ESK for TRD. This work supports the development of MN technology for transdermal delivery of ESK as a </w:t>
      </w:r>
      <w:r w:rsidR="000077C1" w:rsidRPr="003B42A7">
        <w:rPr>
          <w:color w:val="000000" w:themeColor="text1"/>
        </w:rPr>
        <w:t xml:space="preserve">potential </w:t>
      </w:r>
      <w:r w:rsidR="00EE2272" w:rsidRPr="003B42A7">
        <w:rPr>
          <w:color w:val="000000" w:themeColor="text1"/>
        </w:rPr>
        <w:t>method to circumvent first pass metabolism and achieve rapid dosing in patients</w:t>
      </w:r>
      <w:r w:rsidR="000077C1" w:rsidRPr="003B42A7">
        <w:rPr>
          <w:color w:val="000000" w:themeColor="text1"/>
        </w:rPr>
        <w:t>. C</w:t>
      </w:r>
      <w:r w:rsidR="00EE2272" w:rsidRPr="003B42A7">
        <w:rPr>
          <w:color w:val="000000" w:themeColor="text1"/>
        </w:rPr>
        <w:t xml:space="preserve">onvenient </w:t>
      </w:r>
      <w:r w:rsidR="000077C1" w:rsidRPr="003B42A7">
        <w:rPr>
          <w:color w:val="000000" w:themeColor="text1"/>
        </w:rPr>
        <w:t>systems such as this will ensure patients receive maximum therapeutic benefit and could contribute to improved healthcare outcomes.</w:t>
      </w:r>
      <w:r w:rsidR="000077C1" w:rsidRPr="003B42A7" w:rsidDel="000077C1">
        <w:rPr>
          <w:color w:val="000000" w:themeColor="text1"/>
        </w:rPr>
        <w:t xml:space="preserve"> </w:t>
      </w:r>
    </w:p>
    <w:p w14:paraId="0D05EADF" w14:textId="5FE5F558" w:rsidR="00D8434E" w:rsidRPr="003B42A7" w:rsidRDefault="00D8434E" w:rsidP="006115CA">
      <w:pPr>
        <w:spacing w:line="360" w:lineRule="auto"/>
        <w:jc w:val="both"/>
        <w:rPr>
          <w:rFonts w:cs="Times New Roman"/>
          <w:szCs w:val="24"/>
        </w:rPr>
      </w:pPr>
    </w:p>
    <w:p w14:paraId="14022808" w14:textId="77777777" w:rsidR="008D2C3F" w:rsidRPr="003B42A7" w:rsidRDefault="008D2C3F" w:rsidP="006115CA">
      <w:pPr>
        <w:spacing w:line="360" w:lineRule="auto"/>
        <w:jc w:val="both"/>
        <w:rPr>
          <w:rFonts w:cs="Times New Roman"/>
          <w:szCs w:val="24"/>
        </w:rPr>
      </w:pPr>
    </w:p>
    <w:p w14:paraId="371012DA" w14:textId="77777777" w:rsidR="006502F7" w:rsidRPr="003B42A7" w:rsidRDefault="00A02190" w:rsidP="00F456D2">
      <w:pPr>
        <w:pStyle w:val="Heading1"/>
      </w:pPr>
      <w:r w:rsidRPr="003B42A7">
        <w:t>Conclusion</w:t>
      </w:r>
    </w:p>
    <w:p w14:paraId="4F3DA6E3" w14:textId="6D593322" w:rsidR="00901A9E" w:rsidRPr="003B42A7" w:rsidRDefault="00D8434E" w:rsidP="0022049D">
      <w:pPr>
        <w:spacing w:line="360" w:lineRule="auto"/>
        <w:jc w:val="both"/>
        <w:rPr>
          <w:color w:val="000000" w:themeColor="text1"/>
        </w:rPr>
      </w:pPr>
      <w:r w:rsidRPr="003B42A7">
        <w:rPr>
          <w:color w:val="000000" w:themeColor="text1"/>
        </w:rPr>
        <w:t xml:space="preserve">Hydrogel-forming MN arrays provide an ideal opportunity for enhanced and sustained transdermal delivery of ESK into systemic circulation as a potential therapeutic alternative for patients suffering from TRD. The authors achieved their primary aims by preparing a number polymeric films and lyophilised reservoirs, which underwent rigorous characterisation. Both formulation strategies displayed promise with lead formulations optimised and selected early in the process. </w:t>
      </w:r>
      <w:r w:rsidRPr="003B42A7">
        <w:rPr>
          <w:i/>
          <w:color w:val="000000" w:themeColor="text1"/>
        </w:rPr>
        <w:t>In vitro</w:t>
      </w:r>
      <w:r w:rsidRPr="003B42A7">
        <w:rPr>
          <w:color w:val="000000" w:themeColor="text1"/>
        </w:rPr>
        <w:t xml:space="preserve"> assessment was carried out on reservoirs and hydrogel-forming MN arrays. </w:t>
      </w:r>
      <w:r w:rsidRPr="003B42A7">
        <w:rPr>
          <w:i/>
          <w:color w:val="000000" w:themeColor="text1"/>
        </w:rPr>
        <w:t>In vitro</w:t>
      </w:r>
      <w:r w:rsidRPr="003B42A7">
        <w:rPr>
          <w:color w:val="000000" w:themeColor="text1"/>
        </w:rPr>
        <w:t xml:space="preserve"> permeation experiments were completed using neonatal porcine skin in Franz diffusion cell apparatus. In parallel to this, primary packaging was developed to facilitate transport and delivery of prototype MN devices. Stability studies of the active compound ESK and mechanical characterisation of MN arrays was assessed over 28-day period and suitable moisture impermeable packaging was selected. </w:t>
      </w:r>
      <w:r w:rsidRPr="003B42A7">
        <w:rPr>
          <w:i/>
          <w:color w:val="000000" w:themeColor="text1"/>
        </w:rPr>
        <w:t>In vivo</w:t>
      </w:r>
      <w:r w:rsidRPr="003B42A7">
        <w:rPr>
          <w:color w:val="000000" w:themeColor="text1"/>
        </w:rPr>
        <w:t xml:space="preserve"> assessment of MN-mediated transdermal delivery of ESK was assessed in Sprague Dawley rats with whole blood samples taken, plasma extracted and ESK quantified using </w:t>
      </w:r>
      <w:r w:rsidR="0022049D" w:rsidRPr="003B42A7">
        <w:rPr>
          <w:color w:val="000000" w:themeColor="text1"/>
        </w:rPr>
        <w:t>qualified</w:t>
      </w:r>
      <w:r w:rsidRPr="003B42A7">
        <w:rPr>
          <w:color w:val="000000" w:themeColor="text1"/>
        </w:rPr>
        <w:t xml:space="preserve"> HPLC methods. Hydrogel-forming MN arrays provided sustained delivery of ESK in rats at &gt;</w:t>
      </w:r>
      <w:r w:rsidR="00836688" w:rsidRPr="003B42A7">
        <w:rPr>
          <w:color w:val="000000" w:themeColor="text1"/>
        </w:rPr>
        <w:t>0.</w:t>
      </w:r>
      <w:r w:rsidRPr="003B42A7">
        <w:rPr>
          <w:color w:val="000000" w:themeColor="text1"/>
        </w:rPr>
        <w:t xml:space="preserve">15 – </w:t>
      </w:r>
      <w:r w:rsidR="00836688" w:rsidRPr="003B42A7">
        <w:rPr>
          <w:color w:val="000000" w:themeColor="text1"/>
        </w:rPr>
        <w:t>0.</w:t>
      </w:r>
      <w:r w:rsidRPr="003B42A7">
        <w:rPr>
          <w:color w:val="000000" w:themeColor="text1"/>
        </w:rPr>
        <w:t xml:space="preserve">3 </w:t>
      </w:r>
      <w:r w:rsidR="00836688" w:rsidRPr="003B42A7">
        <w:rPr>
          <w:rFonts w:cs="Times New Roman"/>
          <w:color w:val="000000" w:themeColor="text1"/>
        </w:rPr>
        <w:t>µ</w:t>
      </w:r>
      <w:r w:rsidRPr="003B42A7">
        <w:rPr>
          <w:color w:val="000000" w:themeColor="text1"/>
        </w:rPr>
        <w:t xml:space="preserve">g/ml plasma concentrations over 24 h. Furthermore, it was clear that the ESK-containing MN patches had </w:t>
      </w:r>
      <w:r w:rsidRPr="003B42A7">
        <w:rPr>
          <w:color w:val="000000" w:themeColor="text1"/>
        </w:rPr>
        <w:lastRenderedPageBreak/>
        <w:t xml:space="preserve">not fully exhausted ESK reserves and so displayed the potential for successful use in applications &gt; 24 h. Further research is required to fully understand the pharmacokinetic profile ESK </w:t>
      </w:r>
      <w:r w:rsidRPr="003B42A7">
        <w:rPr>
          <w:i/>
          <w:color w:val="000000" w:themeColor="text1"/>
        </w:rPr>
        <w:t>in vivo</w:t>
      </w:r>
      <w:r w:rsidRPr="003B42A7">
        <w:rPr>
          <w:color w:val="000000" w:themeColor="text1"/>
        </w:rPr>
        <w:t xml:space="preserve"> following transdermal delivery using MN arrays.</w:t>
      </w:r>
    </w:p>
    <w:p w14:paraId="120B86B8" w14:textId="5EB3BBAA" w:rsidR="00BA5455" w:rsidRPr="003B42A7" w:rsidRDefault="00BA5455" w:rsidP="0022049D">
      <w:pPr>
        <w:spacing w:line="360" w:lineRule="auto"/>
        <w:jc w:val="both"/>
        <w:rPr>
          <w:color w:val="000000" w:themeColor="text1"/>
        </w:rPr>
      </w:pPr>
    </w:p>
    <w:p w14:paraId="30334B5D" w14:textId="08B5D39F" w:rsidR="00BA5455" w:rsidRPr="003B42A7" w:rsidRDefault="00BA5455" w:rsidP="00BA5455">
      <w:pPr>
        <w:pStyle w:val="Heading1"/>
      </w:pPr>
      <w:r w:rsidRPr="003B42A7">
        <w:t xml:space="preserve">Acknowledgements </w:t>
      </w:r>
    </w:p>
    <w:p w14:paraId="42842446" w14:textId="509F68F5" w:rsidR="00BA5455" w:rsidRPr="003B42A7" w:rsidRDefault="00BA5455" w:rsidP="00BA5455">
      <w:r w:rsidRPr="003B42A7">
        <w:t>This work has been part funded by TEVA Pharmaceuticals and also supported in part, by Wellcome Trust grant number WT094085MA.</w:t>
      </w:r>
    </w:p>
    <w:p w14:paraId="0E8A4FA1" w14:textId="64BA95C5" w:rsidR="00BA5455" w:rsidRPr="003B42A7" w:rsidRDefault="00BA5455" w:rsidP="00BA5455"/>
    <w:p w14:paraId="6510977B" w14:textId="402BED4E" w:rsidR="00BA5455" w:rsidRPr="003B42A7" w:rsidRDefault="00BA5455" w:rsidP="00BA5455">
      <w:pPr>
        <w:pStyle w:val="Heading1"/>
      </w:pPr>
      <w:r w:rsidRPr="003B42A7">
        <w:t>Conflict of interest</w:t>
      </w:r>
    </w:p>
    <w:p w14:paraId="784FFEAF" w14:textId="7EF906A9" w:rsidR="00BA5455" w:rsidRPr="003B42A7" w:rsidRDefault="00BA5455" w:rsidP="00BA5455">
      <w:r w:rsidRPr="003B42A7">
        <w:t>The authors declare no conflict of interest.</w:t>
      </w:r>
    </w:p>
    <w:p w14:paraId="7EB0049E" w14:textId="1FBB87A8" w:rsidR="00A02190" w:rsidRPr="003B42A7" w:rsidRDefault="00A02190" w:rsidP="00BA5455">
      <w:pPr>
        <w:rPr>
          <w:rFonts w:cs="Times New Roman"/>
          <w:szCs w:val="24"/>
          <w:u w:val="single"/>
        </w:rPr>
      </w:pPr>
      <w:r w:rsidRPr="003B42A7">
        <w:rPr>
          <w:rFonts w:cs="Times New Roman"/>
          <w:szCs w:val="24"/>
          <w:u w:val="single"/>
        </w:rPr>
        <w:br w:type="page"/>
      </w:r>
      <w:r w:rsidR="008D2C3F" w:rsidRPr="003B42A7">
        <w:lastRenderedPageBreak/>
        <w:t>References</w:t>
      </w:r>
    </w:p>
    <w:p w14:paraId="4DA58136" w14:textId="7627FF4F" w:rsidR="00FC78B0" w:rsidRPr="003B42A7" w:rsidRDefault="00FC78B0" w:rsidP="008D2C3F">
      <w:pPr>
        <w:numPr>
          <w:ilvl w:val="0"/>
          <w:numId w:val="6"/>
        </w:numPr>
        <w:shd w:val="clear" w:color="auto" w:fill="FFFFFF"/>
        <w:spacing w:after="0" w:line="360" w:lineRule="auto"/>
        <w:textAlignment w:val="baseline"/>
        <w:rPr>
          <w:rFonts w:ascii="inherit" w:hAnsi="inherit" w:cs="Helvetica"/>
          <w:color w:val="333333"/>
          <w:sz w:val="22"/>
        </w:rPr>
      </w:pPr>
      <w:r w:rsidRPr="003B42A7">
        <w:t>National Institute for Health and Care Excellence. Depression in adults: treatment and management.</w:t>
      </w:r>
      <w:r w:rsidR="008D2C3F" w:rsidRPr="003B42A7">
        <w:t xml:space="preserve"> Available at: </w:t>
      </w:r>
      <w:hyperlink r:id="rId13" w:history="1">
        <w:r w:rsidRPr="003B42A7">
          <w:rPr>
            <w:rStyle w:val="Hyperlink"/>
          </w:rPr>
          <w:t>https://www.nice.org.uk/guidance/gid-cgwave0725/documents/html-content</w:t>
        </w:r>
      </w:hyperlink>
      <w:r w:rsidR="008D2C3F" w:rsidRPr="003B42A7">
        <w:rPr>
          <w:rStyle w:val="Hyperlink"/>
        </w:rPr>
        <w:t xml:space="preserve">. </w:t>
      </w:r>
      <w:r w:rsidR="008D2C3F" w:rsidRPr="003B42A7">
        <w:t>Accessed on 23</w:t>
      </w:r>
      <w:r w:rsidR="008D2C3F" w:rsidRPr="003B42A7">
        <w:rPr>
          <w:vertAlign w:val="superscript"/>
        </w:rPr>
        <w:t>rd</w:t>
      </w:r>
      <w:r w:rsidR="008D2C3F" w:rsidRPr="003B42A7">
        <w:t xml:space="preserve"> September 2019.</w:t>
      </w:r>
    </w:p>
    <w:p w14:paraId="615AE276" w14:textId="6BAC90BA" w:rsidR="00FC78B0" w:rsidRPr="003B42A7" w:rsidRDefault="008D2C3F" w:rsidP="006115CA">
      <w:pPr>
        <w:pStyle w:val="ListParagraph"/>
        <w:numPr>
          <w:ilvl w:val="0"/>
          <w:numId w:val="6"/>
        </w:numPr>
        <w:shd w:val="clear" w:color="auto" w:fill="FFFFFF"/>
        <w:spacing w:line="360" w:lineRule="auto"/>
        <w:textAlignment w:val="baseline"/>
        <w:rPr>
          <w:rStyle w:val="highwire-cite-article-as"/>
          <w:rFonts w:ascii="inherit" w:hAnsi="inherit" w:cs="Helvetica"/>
          <w:color w:val="333333"/>
          <w:sz w:val="22"/>
        </w:rPr>
      </w:pPr>
      <w:r w:rsidRPr="003B42A7">
        <w:t xml:space="preserve">McLachlan, G. et al. </w:t>
      </w:r>
      <w:r w:rsidR="00FC78B0" w:rsidRPr="003B42A7">
        <w:t>2018 Treatment resistant depression: what are the options? B</w:t>
      </w:r>
      <w:r w:rsidRPr="003B42A7">
        <w:t>ritish Medical Journal. DOI</w:t>
      </w:r>
      <w:r w:rsidR="00FC78B0" w:rsidRPr="003B42A7">
        <w:t>:</w:t>
      </w:r>
      <w:r w:rsidR="00FC78B0" w:rsidRPr="003B42A7">
        <w:rPr>
          <w:rStyle w:val="highwire-cite-doi"/>
          <w:rFonts w:ascii="Helvetica" w:hAnsi="Helvetica" w:cs="Helvetica"/>
          <w:color w:val="333333"/>
          <w:bdr w:val="none" w:sz="0" w:space="0" w:color="auto" w:frame="1"/>
          <w:shd w:val="clear" w:color="auto" w:fill="FFFFFF"/>
        </w:rPr>
        <w:t> </w:t>
      </w:r>
      <w:hyperlink r:id="rId14" w:history="1">
        <w:r w:rsidR="00FC78B0" w:rsidRPr="003B42A7">
          <w:rPr>
            <w:rStyle w:val="Hyperlink"/>
          </w:rPr>
          <w:t>https://doi.org/10.1136/bmj.k5354</w:t>
        </w:r>
      </w:hyperlink>
    </w:p>
    <w:p w14:paraId="174F242B" w14:textId="0DCF5386" w:rsidR="00A65209" w:rsidRPr="003B42A7" w:rsidRDefault="00A65209" w:rsidP="00A65209">
      <w:pPr>
        <w:pStyle w:val="ListParagraph"/>
        <w:numPr>
          <w:ilvl w:val="0"/>
          <w:numId w:val="6"/>
        </w:numPr>
        <w:shd w:val="clear" w:color="auto" w:fill="FFFFFF"/>
        <w:spacing w:line="360" w:lineRule="auto"/>
        <w:textAlignment w:val="baseline"/>
        <w:rPr>
          <w:rFonts w:ascii="inherit" w:hAnsi="inherit" w:cs="Helvetica"/>
          <w:color w:val="333333"/>
          <w:sz w:val="22"/>
        </w:rPr>
      </w:pPr>
      <w:r w:rsidRPr="003B42A7">
        <w:t xml:space="preserve">Turner, E.H. 2019 Esketamine for treatment-resistant depression: seven concerns about efficacy and FDA approval. The Lancet Psychiatry, DOI: </w:t>
      </w:r>
      <w:hyperlink r:id="rId15" w:history="1">
        <w:r w:rsidRPr="003B42A7">
          <w:rPr>
            <w:rStyle w:val="Hyperlink"/>
          </w:rPr>
          <w:t>https://doi.org/10.1016/S2215-0366(19)30394-3</w:t>
        </w:r>
      </w:hyperlink>
    </w:p>
    <w:p w14:paraId="2648788C" w14:textId="4E68DA3F" w:rsidR="00FC78B0" w:rsidRPr="003B42A7" w:rsidRDefault="008D2C3F" w:rsidP="006115CA">
      <w:pPr>
        <w:pStyle w:val="ListParagraph"/>
        <w:numPr>
          <w:ilvl w:val="0"/>
          <w:numId w:val="6"/>
        </w:numPr>
        <w:spacing w:line="360" w:lineRule="auto"/>
        <w:jc w:val="both"/>
        <w:rPr>
          <w:rFonts w:cs="Times New Roman"/>
          <w:szCs w:val="24"/>
        </w:rPr>
      </w:pPr>
      <w:r w:rsidRPr="003B42A7">
        <w:t xml:space="preserve">Janssen Announces U.S. FDA Approval of SPRAVATO™ (esketamine) CIII Nasal Spray for Adults with Treatment-Resistant Depression (TRD) Who Have Cycled Through Multiple Treatments Without Relief. </w:t>
      </w:r>
      <w:r w:rsidR="00FC78B0" w:rsidRPr="003B42A7">
        <w:t>Janssen</w:t>
      </w:r>
      <w:r w:rsidRPr="003B42A7">
        <w:rPr>
          <w:rFonts w:cs="Times New Roman"/>
          <w:szCs w:val="24"/>
        </w:rPr>
        <w:t xml:space="preserve"> Website. Available at: </w:t>
      </w:r>
      <w:hyperlink r:id="rId16" w:history="1">
        <w:r w:rsidRPr="003B42A7">
          <w:rPr>
            <w:rStyle w:val="Hyperlink"/>
          </w:rPr>
          <w:t>https://www.janssen.com/janssen-announces-us-fda-approval-spravato-esketamine-ciii-nasal-spray-adults-treatment-resistant</w:t>
        </w:r>
      </w:hyperlink>
      <w:r w:rsidRPr="003B42A7">
        <w:t>. Accessed on 23</w:t>
      </w:r>
      <w:r w:rsidRPr="003B42A7">
        <w:rPr>
          <w:vertAlign w:val="superscript"/>
        </w:rPr>
        <w:t>rd</w:t>
      </w:r>
      <w:r w:rsidRPr="003B42A7">
        <w:t xml:space="preserve"> September 2019.</w:t>
      </w:r>
    </w:p>
    <w:p w14:paraId="45455206" w14:textId="066E35A6" w:rsidR="00156DE1" w:rsidRPr="003B42A7" w:rsidRDefault="00901A9E" w:rsidP="006115CA">
      <w:pPr>
        <w:pStyle w:val="ListParagraph"/>
        <w:numPr>
          <w:ilvl w:val="0"/>
          <w:numId w:val="6"/>
        </w:numPr>
        <w:spacing w:line="360" w:lineRule="auto"/>
        <w:jc w:val="both"/>
        <w:rPr>
          <w:rFonts w:cs="Times New Roman"/>
          <w:szCs w:val="24"/>
        </w:rPr>
      </w:pPr>
      <w:proofErr w:type="spellStart"/>
      <w:r w:rsidRPr="003B42A7">
        <w:rPr>
          <w:rFonts w:cs="Times New Roman"/>
          <w:szCs w:val="24"/>
        </w:rPr>
        <w:t>Migdadi</w:t>
      </w:r>
      <w:proofErr w:type="spellEnd"/>
      <w:r w:rsidRPr="003B42A7">
        <w:rPr>
          <w:rFonts w:cs="Times New Roman"/>
          <w:szCs w:val="24"/>
        </w:rPr>
        <w:t xml:space="preserve">, E.M. </w:t>
      </w:r>
      <w:r w:rsidR="00156DE1" w:rsidRPr="003B42A7">
        <w:rPr>
          <w:rFonts w:cs="Times New Roman"/>
          <w:i/>
          <w:szCs w:val="24"/>
        </w:rPr>
        <w:t>et al</w:t>
      </w:r>
      <w:r w:rsidR="00156DE1" w:rsidRPr="003B42A7">
        <w:rPr>
          <w:rFonts w:cs="Times New Roman"/>
          <w:szCs w:val="24"/>
        </w:rPr>
        <w:t xml:space="preserve"> 2018. Hydrogel-forming microneedles enhance transdermal delivery of metformin hydrochloride. Journal of Controlled Release</w:t>
      </w:r>
      <w:r w:rsidR="008D2C3F" w:rsidRPr="003B42A7">
        <w:rPr>
          <w:rFonts w:cs="Times New Roman"/>
          <w:szCs w:val="24"/>
        </w:rPr>
        <w:t>.</w:t>
      </w:r>
      <w:r w:rsidR="00156DE1" w:rsidRPr="003B42A7">
        <w:rPr>
          <w:rFonts w:cs="Times New Roman"/>
          <w:szCs w:val="24"/>
        </w:rPr>
        <w:t xml:space="preserve"> 285</w:t>
      </w:r>
      <w:r w:rsidR="008D2C3F" w:rsidRPr="003B42A7">
        <w:rPr>
          <w:rFonts w:cs="Times New Roman"/>
          <w:szCs w:val="24"/>
        </w:rPr>
        <w:t>(1)</w:t>
      </w:r>
      <w:r w:rsidR="00156DE1" w:rsidRPr="003B42A7">
        <w:rPr>
          <w:rFonts w:cs="Times New Roman"/>
          <w:szCs w:val="24"/>
        </w:rPr>
        <w:t xml:space="preserve"> 142-151.</w:t>
      </w:r>
    </w:p>
    <w:p w14:paraId="0F688EBE" w14:textId="1E3E3186" w:rsidR="00156DE1" w:rsidRPr="003B42A7" w:rsidRDefault="00156DE1" w:rsidP="006115CA">
      <w:pPr>
        <w:pStyle w:val="ListParagraph"/>
        <w:numPr>
          <w:ilvl w:val="0"/>
          <w:numId w:val="6"/>
        </w:numPr>
        <w:spacing w:line="360" w:lineRule="auto"/>
        <w:jc w:val="both"/>
        <w:rPr>
          <w:rFonts w:cs="Times New Roman"/>
          <w:szCs w:val="24"/>
        </w:rPr>
      </w:pPr>
      <w:r w:rsidRPr="003B42A7">
        <w:rPr>
          <w:rFonts w:cs="Times New Roman"/>
          <w:szCs w:val="24"/>
        </w:rPr>
        <w:t xml:space="preserve">Donnelly, R.F. </w:t>
      </w:r>
      <w:r w:rsidRPr="003B42A7">
        <w:rPr>
          <w:rFonts w:cs="Times New Roman"/>
          <w:i/>
          <w:szCs w:val="24"/>
        </w:rPr>
        <w:t xml:space="preserve">et al. </w:t>
      </w:r>
      <w:r w:rsidRPr="003B42A7">
        <w:rPr>
          <w:rFonts w:cs="Times New Roman"/>
          <w:szCs w:val="24"/>
        </w:rPr>
        <w:t>2014. Hydrogel-forming microneedles prepared from “super swelling” polymers combined with lyophilised wafers fo</w:t>
      </w:r>
      <w:r w:rsidR="008D2C3F" w:rsidRPr="003B42A7">
        <w:rPr>
          <w:rFonts w:cs="Times New Roman"/>
          <w:szCs w:val="24"/>
        </w:rPr>
        <w:t xml:space="preserve">r transdermal drug delivery, </w:t>
      </w:r>
      <w:proofErr w:type="spellStart"/>
      <w:r w:rsidR="008D2C3F" w:rsidRPr="003B42A7">
        <w:rPr>
          <w:rFonts w:cs="Times New Roman"/>
          <w:szCs w:val="24"/>
        </w:rPr>
        <w:t>PLo</w:t>
      </w:r>
      <w:r w:rsidRPr="003B42A7">
        <w:rPr>
          <w:rFonts w:cs="Times New Roman"/>
          <w:szCs w:val="24"/>
        </w:rPr>
        <w:t>S</w:t>
      </w:r>
      <w:r w:rsidR="008D2C3F" w:rsidRPr="003B42A7">
        <w:rPr>
          <w:rFonts w:cs="Times New Roman"/>
          <w:szCs w:val="24"/>
        </w:rPr>
        <w:t>ONE</w:t>
      </w:r>
      <w:proofErr w:type="spellEnd"/>
      <w:r w:rsidRPr="003B42A7">
        <w:rPr>
          <w:rFonts w:cs="Times New Roman"/>
          <w:szCs w:val="24"/>
        </w:rPr>
        <w:t xml:space="preserve">. </w:t>
      </w:r>
      <w:hyperlink r:id="rId17" w:history="1">
        <w:r w:rsidRPr="003B42A7">
          <w:rPr>
            <w:rFonts w:ascii="Helvetica" w:eastAsia="Times New Roman" w:hAnsi="Helvetica" w:cs="Helvetica"/>
            <w:color w:val="202020"/>
            <w:sz w:val="20"/>
            <w:szCs w:val="20"/>
            <w:u w:val="single"/>
            <w:lang w:eastAsia="en-GB"/>
          </w:rPr>
          <w:t>https://doi.org/10.1371/journal.pone.0111547</w:t>
        </w:r>
      </w:hyperlink>
    </w:p>
    <w:p w14:paraId="3938CB57" w14:textId="0DB6EADF" w:rsidR="00156DE1" w:rsidRPr="003B42A7" w:rsidRDefault="00156DE1" w:rsidP="006115CA">
      <w:pPr>
        <w:pStyle w:val="ListParagraph"/>
        <w:numPr>
          <w:ilvl w:val="0"/>
          <w:numId w:val="6"/>
        </w:numPr>
        <w:spacing w:line="360" w:lineRule="auto"/>
        <w:jc w:val="both"/>
        <w:rPr>
          <w:rFonts w:cs="Times New Roman"/>
          <w:szCs w:val="24"/>
        </w:rPr>
      </w:pPr>
      <w:r w:rsidRPr="003B42A7">
        <w:rPr>
          <w:rFonts w:cs="Times New Roman"/>
          <w:szCs w:val="24"/>
        </w:rPr>
        <w:t xml:space="preserve">Courtenay, A.J. </w:t>
      </w:r>
      <w:r w:rsidRPr="003B42A7">
        <w:rPr>
          <w:rFonts w:cs="Times New Roman"/>
          <w:i/>
          <w:szCs w:val="24"/>
        </w:rPr>
        <w:t>et al</w:t>
      </w:r>
      <w:r w:rsidR="008D2C3F" w:rsidRPr="003B42A7">
        <w:rPr>
          <w:rFonts w:cs="Times New Roman"/>
          <w:i/>
          <w:szCs w:val="24"/>
        </w:rPr>
        <w:t>.</w:t>
      </w:r>
      <w:r w:rsidRPr="003B42A7">
        <w:rPr>
          <w:rFonts w:cs="Times New Roman"/>
          <w:szCs w:val="24"/>
        </w:rPr>
        <w:t xml:space="preserve"> 2018 Microneedle-mediated transdermal </w:t>
      </w:r>
      <w:r w:rsidR="008D2C3F" w:rsidRPr="003B42A7">
        <w:rPr>
          <w:rFonts w:cs="Times New Roman"/>
          <w:szCs w:val="24"/>
        </w:rPr>
        <w:t>delivery</w:t>
      </w:r>
      <w:r w:rsidRPr="003B42A7">
        <w:rPr>
          <w:rFonts w:cs="Times New Roman"/>
          <w:szCs w:val="24"/>
        </w:rPr>
        <w:t xml:space="preserve"> of bevacizumab. Molecular </w:t>
      </w:r>
      <w:r w:rsidR="008D2C3F" w:rsidRPr="003B42A7">
        <w:rPr>
          <w:rFonts w:cs="Times New Roman"/>
          <w:szCs w:val="24"/>
        </w:rPr>
        <w:t>Pharmaceutics. 15(</w:t>
      </w:r>
      <w:r w:rsidRPr="003B42A7">
        <w:rPr>
          <w:rFonts w:cs="Times New Roman"/>
          <w:szCs w:val="24"/>
        </w:rPr>
        <w:t>8</w:t>
      </w:r>
      <w:r w:rsidR="008D2C3F" w:rsidRPr="003B42A7">
        <w:rPr>
          <w:rFonts w:cs="Times New Roman"/>
          <w:szCs w:val="24"/>
        </w:rPr>
        <w:t>)</w:t>
      </w:r>
      <w:r w:rsidRPr="003B42A7">
        <w:rPr>
          <w:rFonts w:cs="Times New Roman"/>
          <w:szCs w:val="24"/>
        </w:rPr>
        <w:t xml:space="preserve"> 3545-3556</w:t>
      </w:r>
    </w:p>
    <w:p w14:paraId="50B1B561" w14:textId="58EA08A2" w:rsidR="00D56C30" w:rsidRPr="003B42A7" w:rsidRDefault="00D56C30" w:rsidP="00D56C30">
      <w:pPr>
        <w:pStyle w:val="ListParagraph"/>
        <w:numPr>
          <w:ilvl w:val="0"/>
          <w:numId w:val="6"/>
        </w:numPr>
        <w:spacing w:line="360" w:lineRule="auto"/>
        <w:jc w:val="both"/>
        <w:rPr>
          <w:rFonts w:cs="Times New Roman"/>
          <w:szCs w:val="24"/>
        </w:rPr>
      </w:pPr>
      <w:r w:rsidRPr="003B42A7">
        <w:rPr>
          <w:rFonts w:cs="Times New Roman"/>
          <w:szCs w:val="24"/>
        </w:rPr>
        <w:t>Donnelly, R.F. et al. 2011. Design, optimization and characterisation of polymeric microneedle arrays prepared by a novel laser-based micromoulding technique. Pharmaceutical Research. 28(1) 41-57.</w:t>
      </w:r>
    </w:p>
    <w:p w14:paraId="1E4D39AB" w14:textId="5CE73D9A" w:rsidR="00D56C30" w:rsidRPr="003B42A7" w:rsidRDefault="00D56C30" w:rsidP="00D56C30">
      <w:pPr>
        <w:pStyle w:val="ListParagraph"/>
        <w:numPr>
          <w:ilvl w:val="0"/>
          <w:numId w:val="6"/>
        </w:numPr>
        <w:spacing w:line="360" w:lineRule="auto"/>
        <w:jc w:val="both"/>
        <w:rPr>
          <w:rFonts w:cs="Times New Roman"/>
          <w:szCs w:val="24"/>
        </w:rPr>
      </w:pPr>
      <w:r w:rsidRPr="003B42A7">
        <w:rPr>
          <w:rFonts w:cs="Times New Roman"/>
          <w:szCs w:val="24"/>
        </w:rPr>
        <w:t>Donnelly, R.F. et al. 2012 Hydrogel-forming microneedle arrays for enhanced transdermal drug delivery. Advanced Functional Materials 22(23) 4879-4890.</w:t>
      </w:r>
    </w:p>
    <w:p w14:paraId="52DDAAE9" w14:textId="77777777" w:rsidR="006115CA" w:rsidRPr="003B42A7" w:rsidRDefault="006115CA" w:rsidP="006115CA">
      <w:pPr>
        <w:pStyle w:val="ListParagraph"/>
        <w:numPr>
          <w:ilvl w:val="0"/>
          <w:numId w:val="6"/>
        </w:numPr>
        <w:spacing w:line="360" w:lineRule="auto"/>
        <w:jc w:val="both"/>
        <w:rPr>
          <w:rFonts w:cs="Times New Roman"/>
          <w:szCs w:val="24"/>
        </w:rPr>
      </w:pPr>
      <w:r w:rsidRPr="003B42A7">
        <w:rPr>
          <w:rFonts w:cs="Times New Roman"/>
          <w:szCs w:val="24"/>
        </w:rPr>
        <w:t xml:space="preserve">International Conference on Harmonisation Q2(R1) guidelines. Available at: </w:t>
      </w:r>
      <w:hyperlink r:id="rId18" w:history="1">
        <w:r w:rsidRPr="003B42A7">
          <w:rPr>
            <w:rStyle w:val="Hyperlink"/>
          </w:rPr>
          <w:t>https://www.ich.org/products/guidelines/quality/quality-single/article/validation-of-analytical-procedures-text-and-methodology.html</w:t>
        </w:r>
      </w:hyperlink>
      <w:r w:rsidRPr="003B42A7">
        <w:t>. Accessed 28</w:t>
      </w:r>
      <w:r w:rsidRPr="003B42A7">
        <w:rPr>
          <w:vertAlign w:val="superscript"/>
        </w:rPr>
        <w:t>th</w:t>
      </w:r>
      <w:r w:rsidRPr="003B42A7">
        <w:t xml:space="preserve"> March 2018.</w:t>
      </w:r>
    </w:p>
    <w:p w14:paraId="1CF29279" w14:textId="77777777" w:rsidR="006115CA" w:rsidRPr="003B42A7" w:rsidRDefault="006115CA" w:rsidP="006115CA">
      <w:pPr>
        <w:pStyle w:val="ListParagraph"/>
        <w:numPr>
          <w:ilvl w:val="0"/>
          <w:numId w:val="6"/>
        </w:numPr>
        <w:spacing w:line="360" w:lineRule="auto"/>
        <w:jc w:val="both"/>
        <w:rPr>
          <w:rFonts w:cs="Times New Roman"/>
          <w:szCs w:val="24"/>
        </w:rPr>
      </w:pPr>
      <w:r w:rsidRPr="003B42A7">
        <w:t xml:space="preserve">Larraneta, E. et al. 2014. A proposed model membrane and test </w:t>
      </w:r>
      <w:proofErr w:type="spellStart"/>
      <w:r w:rsidRPr="003B42A7">
        <w:t>nethods</w:t>
      </w:r>
      <w:proofErr w:type="spellEnd"/>
      <w:r w:rsidRPr="003B42A7">
        <w:t xml:space="preserve"> for microneedle insertion studies. International Journal of Pharmaceutics. (1-2) 65-73.</w:t>
      </w:r>
    </w:p>
    <w:p w14:paraId="0F7F925B" w14:textId="039E5A87" w:rsidR="00D56C30" w:rsidRPr="00BE7C1E" w:rsidRDefault="00D56C30" w:rsidP="00BE7C1E">
      <w:pPr>
        <w:spacing w:line="360" w:lineRule="auto"/>
        <w:ind w:left="360"/>
        <w:jc w:val="both"/>
        <w:rPr>
          <w:rFonts w:cs="Times New Roman"/>
          <w:szCs w:val="24"/>
        </w:rPr>
      </w:pPr>
    </w:p>
    <w:sectPr w:rsidR="00D56C30" w:rsidRPr="00BE7C1E" w:rsidSect="0057360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F532C7" w14:textId="77777777" w:rsidR="000C5AED" w:rsidRDefault="000C5AED" w:rsidP="00BD4CD5">
      <w:pPr>
        <w:spacing w:after="0" w:line="240" w:lineRule="auto"/>
      </w:pPr>
      <w:r>
        <w:separator/>
      </w:r>
    </w:p>
  </w:endnote>
  <w:endnote w:type="continuationSeparator" w:id="0">
    <w:p w14:paraId="5C8F4150" w14:textId="77777777" w:rsidR="000C5AED" w:rsidRDefault="000C5AED" w:rsidP="00BD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auto"/>
    <w:pitch w:val="variable"/>
    <w:sig w:usb0="00000000" w:usb1="10000000" w:usb2="00000000" w:usb3="00000000" w:csb0="80000000" w:csb1="00000000"/>
  </w:font>
  <w:font w:name="Times New Roman">
    <w:altName w:val="Titlingmes New Roman PSMT"/>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altName w:val="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Segoe UI">
    <w:altName w:val="Calibri"/>
    <w:charset w:val="00"/>
    <w:family w:val="swiss"/>
    <w:pitch w:val="variable"/>
    <w:sig w:usb0="E10022FF" w:usb1="C000E47F" w:usb2="00000029" w:usb3="00000000" w:csb0="000001DF" w:csb1="00000000"/>
  </w:font>
  <w:font w:name="Tahoma">
    <w:panose1 w:val="020B0604030504040204"/>
    <w:charset w:val="00"/>
    <w:family w:val="auto"/>
    <w:pitch w:val="variable"/>
    <w:sig w:usb0="E1002E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Mangal">
    <w:panose1 w:val="02040503050203030202"/>
    <w:charset w:val="00"/>
    <w:family w:val="auto"/>
    <w:pitch w:val="variable"/>
    <w:sig w:usb0="00008003" w:usb1="00000000" w:usb2="00000000" w:usb3="00000000" w:csb0="00000001"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28948" w14:textId="7372866A" w:rsidR="00922885" w:rsidRDefault="00922885">
    <w:pPr>
      <w:pStyle w:val="Footer"/>
      <w:jc w:val="right"/>
    </w:pPr>
  </w:p>
  <w:p w14:paraId="59094361" w14:textId="77777777" w:rsidR="00922885" w:rsidRDefault="0092288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F4FE9" w14:textId="77777777" w:rsidR="000C5AED" w:rsidRDefault="000C5AED" w:rsidP="00BD4CD5">
      <w:pPr>
        <w:spacing w:after="0" w:line="240" w:lineRule="auto"/>
      </w:pPr>
      <w:r>
        <w:separator/>
      </w:r>
    </w:p>
  </w:footnote>
  <w:footnote w:type="continuationSeparator" w:id="0">
    <w:p w14:paraId="13D6392C" w14:textId="77777777" w:rsidR="000C5AED" w:rsidRDefault="000C5AED" w:rsidP="00BD4CD5">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2351A6"/>
    <w:multiLevelType w:val="hybridMultilevel"/>
    <w:tmpl w:val="2D1AA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FA53C03"/>
    <w:multiLevelType w:val="multilevel"/>
    <w:tmpl w:val="DCF65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D043068"/>
    <w:multiLevelType w:val="multilevel"/>
    <w:tmpl w:val="8264B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BB6FF1"/>
    <w:multiLevelType w:val="multilevel"/>
    <w:tmpl w:val="2982D8DE"/>
    <w:lvl w:ilvl="0">
      <w:start w:val="1"/>
      <w:numFmt w:val="decimal"/>
      <w:lvlText w:val="%1."/>
      <w:lvlJc w:val="left"/>
      <w:pPr>
        <w:ind w:left="720" w:hanging="360"/>
      </w:pPr>
    </w:lvl>
    <w:lvl w:ilvl="1">
      <w:start w:val="7"/>
      <w:numFmt w:val="decimal"/>
      <w:isLgl/>
      <w:lvlText w:val="%1.%2"/>
      <w:lvlJc w:val="left"/>
      <w:pPr>
        <w:ind w:left="860" w:hanging="5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51012F7"/>
    <w:multiLevelType w:val="multilevel"/>
    <w:tmpl w:val="9DDEBACC"/>
    <w:lvl w:ilvl="0">
      <w:start w:val="1"/>
      <w:numFmt w:val="decimal"/>
      <w:lvlText w:val="%1."/>
      <w:lvlJc w:val="left"/>
      <w:pPr>
        <w:ind w:left="720" w:hanging="360"/>
      </w:pPr>
    </w:lvl>
    <w:lvl w:ilvl="1">
      <w:start w:val="18"/>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58C36830"/>
    <w:multiLevelType w:val="multilevel"/>
    <w:tmpl w:val="74F2E70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6BE3416A"/>
    <w:multiLevelType w:val="multilevel"/>
    <w:tmpl w:val="7AB63360"/>
    <w:lvl w:ilvl="0">
      <w:start w:val="1"/>
      <w:numFmt w:val="decimal"/>
      <w:lvlText w:val="%1."/>
      <w:lvlJc w:val="left"/>
      <w:pPr>
        <w:ind w:left="720" w:hanging="360"/>
      </w:pPr>
    </w:lvl>
    <w:lvl w:ilvl="1">
      <w:start w:val="7"/>
      <w:numFmt w:val="decimal"/>
      <w:isLgl/>
      <w:lvlText w:val="%1.%2"/>
      <w:lvlJc w:val="left"/>
      <w:pPr>
        <w:ind w:left="860" w:hanging="5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4"/>
  </w:num>
  <w:num w:numId="3">
    <w:abstractNumId w:val="6"/>
  </w:num>
  <w:num w:numId="4">
    <w:abstractNumId w:val="3"/>
  </w:num>
  <w:num w:numId="5">
    <w:abstractNumId w:val="0"/>
  </w:num>
  <w:num w:numId="6">
    <w:abstractNumId w:val="1"/>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drawingGridHorizontalSpacing w:val="120"/>
  <w:displayHorizontalDrawingGridEvery w:val="2"/>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9EE"/>
    <w:rsid w:val="0000169E"/>
    <w:rsid w:val="000028D4"/>
    <w:rsid w:val="00002CE9"/>
    <w:rsid w:val="00003B14"/>
    <w:rsid w:val="00004899"/>
    <w:rsid w:val="00005FB6"/>
    <w:rsid w:val="00007162"/>
    <w:rsid w:val="000072E8"/>
    <w:rsid w:val="000074ED"/>
    <w:rsid w:val="000077C1"/>
    <w:rsid w:val="000112D8"/>
    <w:rsid w:val="00011475"/>
    <w:rsid w:val="00012453"/>
    <w:rsid w:val="0001428E"/>
    <w:rsid w:val="000222EE"/>
    <w:rsid w:val="000228BF"/>
    <w:rsid w:val="00026B02"/>
    <w:rsid w:val="0003137C"/>
    <w:rsid w:val="00031854"/>
    <w:rsid w:val="00032791"/>
    <w:rsid w:val="00034BCE"/>
    <w:rsid w:val="000354D0"/>
    <w:rsid w:val="00037636"/>
    <w:rsid w:val="00037781"/>
    <w:rsid w:val="00045A80"/>
    <w:rsid w:val="00050626"/>
    <w:rsid w:val="000524A0"/>
    <w:rsid w:val="0005549F"/>
    <w:rsid w:val="0006686D"/>
    <w:rsid w:val="00067FD3"/>
    <w:rsid w:val="00074BC4"/>
    <w:rsid w:val="000763E6"/>
    <w:rsid w:val="00082F58"/>
    <w:rsid w:val="00090D8B"/>
    <w:rsid w:val="0009158A"/>
    <w:rsid w:val="000953B9"/>
    <w:rsid w:val="00095B91"/>
    <w:rsid w:val="000A3218"/>
    <w:rsid w:val="000B18F7"/>
    <w:rsid w:val="000B60DA"/>
    <w:rsid w:val="000B7931"/>
    <w:rsid w:val="000C05EF"/>
    <w:rsid w:val="000C0692"/>
    <w:rsid w:val="000C0C10"/>
    <w:rsid w:val="000C5AED"/>
    <w:rsid w:val="000D3748"/>
    <w:rsid w:val="000D5EA6"/>
    <w:rsid w:val="000E15C0"/>
    <w:rsid w:val="000E294B"/>
    <w:rsid w:val="000E4F79"/>
    <w:rsid w:val="000E6697"/>
    <w:rsid w:val="000E6F6F"/>
    <w:rsid w:val="000E7A26"/>
    <w:rsid w:val="000F1BAB"/>
    <w:rsid w:val="000F2DCD"/>
    <w:rsid w:val="000F2E49"/>
    <w:rsid w:val="000F70EC"/>
    <w:rsid w:val="000F775C"/>
    <w:rsid w:val="000F7BAD"/>
    <w:rsid w:val="001014BC"/>
    <w:rsid w:val="00101982"/>
    <w:rsid w:val="00101CCA"/>
    <w:rsid w:val="0010235F"/>
    <w:rsid w:val="00102959"/>
    <w:rsid w:val="001036FE"/>
    <w:rsid w:val="001039A9"/>
    <w:rsid w:val="0010665E"/>
    <w:rsid w:val="001135AB"/>
    <w:rsid w:val="00114720"/>
    <w:rsid w:val="00123A43"/>
    <w:rsid w:val="001262CA"/>
    <w:rsid w:val="00126524"/>
    <w:rsid w:val="001307DF"/>
    <w:rsid w:val="00130C1C"/>
    <w:rsid w:val="0013311C"/>
    <w:rsid w:val="001351CD"/>
    <w:rsid w:val="00135858"/>
    <w:rsid w:val="001367D5"/>
    <w:rsid w:val="0013707C"/>
    <w:rsid w:val="00137B06"/>
    <w:rsid w:val="001406DC"/>
    <w:rsid w:val="00143748"/>
    <w:rsid w:val="00145325"/>
    <w:rsid w:val="001455AC"/>
    <w:rsid w:val="001476EC"/>
    <w:rsid w:val="00147884"/>
    <w:rsid w:val="00151B0B"/>
    <w:rsid w:val="0015247C"/>
    <w:rsid w:val="0015548C"/>
    <w:rsid w:val="00155DC7"/>
    <w:rsid w:val="00156DE1"/>
    <w:rsid w:val="00156EE5"/>
    <w:rsid w:val="001573E3"/>
    <w:rsid w:val="00157B63"/>
    <w:rsid w:val="00160EB0"/>
    <w:rsid w:val="0016765F"/>
    <w:rsid w:val="001702B5"/>
    <w:rsid w:val="00171778"/>
    <w:rsid w:val="001806D5"/>
    <w:rsid w:val="001818FF"/>
    <w:rsid w:val="00182178"/>
    <w:rsid w:val="00183D8E"/>
    <w:rsid w:val="00184B0D"/>
    <w:rsid w:val="001851AF"/>
    <w:rsid w:val="00187CD7"/>
    <w:rsid w:val="00191857"/>
    <w:rsid w:val="001B42B8"/>
    <w:rsid w:val="001B66B9"/>
    <w:rsid w:val="001B7E18"/>
    <w:rsid w:val="001C32A5"/>
    <w:rsid w:val="001C3C85"/>
    <w:rsid w:val="001C4C79"/>
    <w:rsid w:val="001C6434"/>
    <w:rsid w:val="001C6695"/>
    <w:rsid w:val="001E0CE2"/>
    <w:rsid w:val="001E3A55"/>
    <w:rsid w:val="001E622E"/>
    <w:rsid w:val="001E6FCE"/>
    <w:rsid w:val="001F748A"/>
    <w:rsid w:val="00201E06"/>
    <w:rsid w:val="00203165"/>
    <w:rsid w:val="00204CFA"/>
    <w:rsid w:val="002052C0"/>
    <w:rsid w:val="00205301"/>
    <w:rsid w:val="00206057"/>
    <w:rsid w:val="00211471"/>
    <w:rsid w:val="002144BF"/>
    <w:rsid w:val="00216DD5"/>
    <w:rsid w:val="0022049D"/>
    <w:rsid w:val="002207B1"/>
    <w:rsid w:val="00226557"/>
    <w:rsid w:val="0022765F"/>
    <w:rsid w:val="0023092C"/>
    <w:rsid w:val="00230F52"/>
    <w:rsid w:val="0024586D"/>
    <w:rsid w:val="00251483"/>
    <w:rsid w:val="002525E7"/>
    <w:rsid w:val="0025343B"/>
    <w:rsid w:val="00256481"/>
    <w:rsid w:val="00257314"/>
    <w:rsid w:val="0026200A"/>
    <w:rsid w:val="0026258C"/>
    <w:rsid w:val="00264348"/>
    <w:rsid w:val="00267119"/>
    <w:rsid w:val="00273EEF"/>
    <w:rsid w:val="00281563"/>
    <w:rsid w:val="002815A4"/>
    <w:rsid w:val="00285C60"/>
    <w:rsid w:val="002905C0"/>
    <w:rsid w:val="00297C5A"/>
    <w:rsid w:val="002A216E"/>
    <w:rsid w:val="002A3141"/>
    <w:rsid w:val="002A63AC"/>
    <w:rsid w:val="002A7878"/>
    <w:rsid w:val="002B1ACB"/>
    <w:rsid w:val="002B1B3D"/>
    <w:rsid w:val="002B399A"/>
    <w:rsid w:val="002B4054"/>
    <w:rsid w:val="002B4F52"/>
    <w:rsid w:val="002B7B4A"/>
    <w:rsid w:val="002C25A6"/>
    <w:rsid w:val="002C2CA1"/>
    <w:rsid w:val="002E0865"/>
    <w:rsid w:val="002E3F31"/>
    <w:rsid w:val="002E6EE9"/>
    <w:rsid w:val="002E6F4F"/>
    <w:rsid w:val="002F0D85"/>
    <w:rsid w:val="002F270E"/>
    <w:rsid w:val="002F2B6C"/>
    <w:rsid w:val="002F6D68"/>
    <w:rsid w:val="00302639"/>
    <w:rsid w:val="00305204"/>
    <w:rsid w:val="00311E36"/>
    <w:rsid w:val="003158D8"/>
    <w:rsid w:val="003162AA"/>
    <w:rsid w:val="00321C37"/>
    <w:rsid w:val="0032267B"/>
    <w:rsid w:val="003229A9"/>
    <w:rsid w:val="00324E28"/>
    <w:rsid w:val="00331337"/>
    <w:rsid w:val="00331A7B"/>
    <w:rsid w:val="00333B65"/>
    <w:rsid w:val="003352AD"/>
    <w:rsid w:val="00343B42"/>
    <w:rsid w:val="00343C69"/>
    <w:rsid w:val="00347446"/>
    <w:rsid w:val="00347832"/>
    <w:rsid w:val="003508C3"/>
    <w:rsid w:val="00350F17"/>
    <w:rsid w:val="00352A22"/>
    <w:rsid w:val="00352C74"/>
    <w:rsid w:val="00363042"/>
    <w:rsid w:val="00365BE7"/>
    <w:rsid w:val="003723FE"/>
    <w:rsid w:val="003766A1"/>
    <w:rsid w:val="00381018"/>
    <w:rsid w:val="00381B79"/>
    <w:rsid w:val="003852C5"/>
    <w:rsid w:val="00385A23"/>
    <w:rsid w:val="00387A4E"/>
    <w:rsid w:val="00391609"/>
    <w:rsid w:val="003969C6"/>
    <w:rsid w:val="003A2D76"/>
    <w:rsid w:val="003A5239"/>
    <w:rsid w:val="003A52EF"/>
    <w:rsid w:val="003B208E"/>
    <w:rsid w:val="003B42A7"/>
    <w:rsid w:val="003C206B"/>
    <w:rsid w:val="003C2AA2"/>
    <w:rsid w:val="003C5063"/>
    <w:rsid w:val="003C5917"/>
    <w:rsid w:val="003C64D1"/>
    <w:rsid w:val="003D2E99"/>
    <w:rsid w:val="003D6375"/>
    <w:rsid w:val="003E0B9A"/>
    <w:rsid w:val="003E4414"/>
    <w:rsid w:val="003E4C13"/>
    <w:rsid w:val="003F14CE"/>
    <w:rsid w:val="003F367B"/>
    <w:rsid w:val="00400409"/>
    <w:rsid w:val="00402150"/>
    <w:rsid w:val="004100BC"/>
    <w:rsid w:val="0041445C"/>
    <w:rsid w:val="00417085"/>
    <w:rsid w:val="0041791A"/>
    <w:rsid w:val="004234E8"/>
    <w:rsid w:val="0042397D"/>
    <w:rsid w:val="00427A2D"/>
    <w:rsid w:val="004320D7"/>
    <w:rsid w:val="004329A7"/>
    <w:rsid w:val="00435041"/>
    <w:rsid w:val="00443C64"/>
    <w:rsid w:val="00444430"/>
    <w:rsid w:val="00445FA7"/>
    <w:rsid w:val="0045063D"/>
    <w:rsid w:val="0045100E"/>
    <w:rsid w:val="00457F48"/>
    <w:rsid w:val="0046672C"/>
    <w:rsid w:val="00470C9C"/>
    <w:rsid w:val="00472FFA"/>
    <w:rsid w:val="00475FD1"/>
    <w:rsid w:val="004774B3"/>
    <w:rsid w:val="004826A9"/>
    <w:rsid w:val="00486F49"/>
    <w:rsid w:val="00487F1C"/>
    <w:rsid w:val="0049026A"/>
    <w:rsid w:val="004905DA"/>
    <w:rsid w:val="004913CE"/>
    <w:rsid w:val="00492906"/>
    <w:rsid w:val="00492F05"/>
    <w:rsid w:val="00493304"/>
    <w:rsid w:val="00493882"/>
    <w:rsid w:val="00494387"/>
    <w:rsid w:val="0049461A"/>
    <w:rsid w:val="00496337"/>
    <w:rsid w:val="00497C48"/>
    <w:rsid w:val="004A1451"/>
    <w:rsid w:val="004A2F5B"/>
    <w:rsid w:val="004A3840"/>
    <w:rsid w:val="004A5040"/>
    <w:rsid w:val="004A6530"/>
    <w:rsid w:val="004A682D"/>
    <w:rsid w:val="004A7D8A"/>
    <w:rsid w:val="004B289A"/>
    <w:rsid w:val="004B6FDA"/>
    <w:rsid w:val="004C60D6"/>
    <w:rsid w:val="004C7EB4"/>
    <w:rsid w:val="004E5429"/>
    <w:rsid w:val="004F3010"/>
    <w:rsid w:val="004F55A5"/>
    <w:rsid w:val="005130B0"/>
    <w:rsid w:val="00516AB2"/>
    <w:rsid w:val="005242A0"/>
    <w:rsid w:val="00530ED5"/>
    <w:rsid w:val="00535063"/>
    <w:rsid w:val="005404C7"/>
    <w:rsid w:val="00544A5B"/>
    <w:rsid w:val="0055002A"/>
    <w:rsid w:val="005521F6"/>
    <w:rsid w:val="00552AAF"/>
    <w:rsid w:val="0055566A"/>
    <w:rsid w:val="005561E3"/>
    <w:rsid w:val="00561209"/>
    <w:rsid w:val="00562E85"/>
    <w:rsid w:val="00572480"/>
    <w:rsid w:val="00573609"/>
    <w:rsid w:val="0057385F"/>
    <w:rsid w:val="00580B7B"/>
    <w:rsid w:val="00583601"/>
    <w:rsid w:val="005867C4"/>
    <w:rsid w:val="00587BDF"/>
    <w:rsid w:val="005915CD"/>
    <w:rsid w:val="00594A69"/>
    <w:rsid w:val="00597DB2"/>
    <w:rsid w:val="005A55F3"/>
    <w:rsid w:val="005A5FB8"/>
    <w:rsid w:val="005B38DA"/>
    <w:rsid w:val="005B3DB1"/>
    <w:rsid w:val="005C0642"/>
    <w:rsid w:val="005C0660"/>
    <w:rsid w:val="005C2E51"/>
    <w:rsid w:val="005C5A14"/>
    <w:rsid w:val="005C6AB0"/>
    <w:rsid w:val="005C763D"/>
    <w:rsid w:val="005D10EF"/>
    <w:rsid w:val="005D15D4"/>
    <w:rsid w:val="005D1D31"/>
    <w:rsid w:val="005D2299"/>
    <w:rsid w:val="005D5814"/>
    <w:rsid w:val="005D7738"/>
    <w:rsid w:val="005E2401"/>
    <w:rsid w:val="005E6AD2"/>
    <w:rsid w:val="005F35B7"/>
    <w:rsid w:val="005F3C8E"/>
    <w:rsid w:val="005F744A"/>
    <w:rsid w:val="005F789B"/>
    <w:rsid w:val="00600E5A"/>
    <w:rsid w:val="0060380E"/>
    <w:rsid w:val="006038BD"/>
    <w:rsid w:val="00605DD0"/>
    <w:rsid w:val="00610B80"/>
    <w:rsid w:val="006115CA"/>
    <w:rsid w:val="006123F7"/>
    <w:rsid w:val="00613629"/>
    <w:rsid w:val="00620A8C"/>
    <w:rsid w:val="0062418A"/>
    <w:rsid w:val="00624AA2"/>
    <w:rsid w:val="0062740F"/>
    <w:rsid w:val="00627626"/>
    <w:rsid w:val="00631E79"/>
    <w:rsid w:val="00631F8D"/>
    <w:rsid w:val="00634627"/>
    <w:rsid w:val="00637B84"/>
    <w:rsid w:val="006427E3"/>
    <w:rsid w:val="0064406D"/>
    <w:rsid w:val="006502F7"/>
    <w:rsid w:val="00650919"/>
    <w:rsid w:val="00652E66"/>
    <w:rsid w:val="00655090"/>
    <w:rsid w:val="00656345"/>
    <w:rsid w:val="00661B53"/>
    <w:rsid w:val="0066367D"/>
    <w:rsid w:val="006637E0"/>
    <w:rsid w:val="00663ABD"/>
    <w:rsid w:val="00665E5D"/>
    <w:rsid w:val="00674F4A"/>
    <w:rsid w:val="00675264"/>
    <w:rsid w:val="0067691B"/>
    <w:rsid w:val="006853E8"/>
    <w:rsid w:val="0069303D"/>
    <w:rsid w:val="006938BE"/>
    <w:rsid w:val="00694403"/>
    <w:rsid w:val="0069446C"/>
    <w:rsid w:val="00695502"/>
    <w:rsid w:val="006963F8"/>
    <w:rsid w:val="006975E1"/>
    <w:rsid w:val="006A36A9"/>
    <w:rsid w:val="006A3B1A"/>
    <w:rsid w:val="006A4C0C"/>
    <w:rsid w:val="006A6274"/>
    <w:rsid w:val="006B0099"/>
    <w:rsid w:val="006B2C6E"/>
    <w:rsid w:val="006B3EBF"/>
    <w:rsid w:val="006B4B63"/>
    <w:rsid w:val="006B6BA0"/>
    <w:rsid w:val="006C56B2"/>
    <w:rsid w:val="006C7523"/>
    <w:rsid w:val="006D2CDC"/>
    <w:rsid w:val="006D531A"/>
    <w:rsid w:val="006E7044"/>
    <w:rsid w:val="006E7CD6"/>
    <w:rsid w:val="006F1745"/>
    <w:rsid w:val="006F3F5E"/>
    <w:rsid w:val="00700F91"/>
    <w:rsid w:val="0070195B"/>
    <w:rsid w:val="007114C8"/>
    <w:rsid w:val="00712704"/>
    <w:rsid w:val="0071591B"/>
    <w:rsid w:val="007212A0"/>
    <w:rsid w:val="007228F9"/>
    <w:rsid w:val="00723B26"/>
    <w:rsid w:val="007260E9"/>
    <w:rsid w:val="007301FF"/>
    <w:rsid w:val="007310A1"/>
    <w:rsid w:val="0073263F"/>
    <w:rsid w:val="00732E14"/>
    <w:rsid w:val="00736A02"/>
    <w:rsid w:val="00736B6B"/>
    <w:rsid w:val="00740813"/>
    <w:rsid w:val="0074271C"/>
    <w:rsid w:val="007476C4"/>
    <w:rsid w:val="00753912"/>
    <w:rsid w:val="0075768E"/>
    <w:rsid w:val="00757A2E"/>
    <w:rsid w:val="00761058"/>
    <w:rsid w:val="00764B00"/>
    <w:rsid w:val="007657BC"/>
    <w:rsid w:val="00766146"/>
    <w:rsid w:val="007679D9"/>
    <w:rsid w:val="00770427"/>
    <w:rsid w:val="00770DFC"/>
    <w:rsid w:val="00770F74"/>
    <w:rsid w:val="00790D94"/>
    <w:rsid w:val="00791816"/>
    <w:rsid w:val="00794A71"/>
    <w:rsid w:val="00794D24"/>
    <w:rsid w:val="0079597E"/>
    <w:rsid w:val="007A15C8"/>
    <w:rsid w:val="007A3FA5"/>
    <w:rsid w:val="007A7A2E"/>
    <w:rsid w:val="007B0E7C"/>
    <w:rsid w:val="007B17EB"/>
    <w:rsid w:val="007B3E85"/>
    <w:rsid w:val="007B58A5"/>
    <w:rsid w:val="007B58F6"/>
    <w:rsid w:val="007C05A0"/>
    <w:rsid w:val="007C1582"/>
    <w:rsid w:val="007C2D8F"/>
    <w:rsid w:val="007D2087"/>
    <w:rsid w:val="007D2C06"/>
    <w:rsid w:val="007D328E"/>
    <w:rsid w:val="007D4EB6"/>
    <w:rsid w:val="007E121E"/>
    <w:rsid w:val="007E4C4B"/>
    <w:rsid w:val="007E64F1"/>
    <w:rsid w:val="007E781F"/>
    <w:rsid w:val="007F1F24"/>
    <w:rsid w:val="007F2792"/>
    <w:rsid w:val="007F51A2"/>
    <w:rsid w:val="007F7542"/>
    <w:rsid w:val="00800524"/>
    <w:rsid w:val="00800C3C"/>
    <w:rsid w:val="00802513"/>
    <w:rsid w:val="00803339"/>
    <w:rsid w:val="00803B3B"/>
    <w:rsid w:val="00803B8A"/>
    <w:rsid w:val="00807CD8"/>
    <w:rsid w:val="00807DCF"/>
    <w:rsid w:val="008145CF"/>
    <w:rsid w:val="008219D6"/>
    <w:rsid w:val="00822688"/>
    <w:rsid w:val="00827CC4"/>
    <w:rsid w:val="00836688"/>
    <w:rsid w:val="00836B9F"/>
    <w:rsid w:val="00840322"/>
    <w:rsid w:val="00840D3D"/>
    <w:rsid w:val="00841DB4"/>
    <w:rsid w:val="00842025"/>
    <w:rsid w:val="00842EEB"/>
    <w:rsid w:val="00844D79"/>
    <w:rsid w:val="00845F9E"/>
    <w:rsid w:val="00846756"/>
    <w:rsid w:val="008467C4"/>
    <w:rsid w:val="00856E60"/>
    <w:rsid w:val="0086390C"/>
    <w:rsid w:val="0086458C"/>
    <w:rsid w:val="008711FE"/>
    <w:rsid w:val="008730C5"/>
    <w:rsid w:val="00873336"/>
    <w:rsid w:val="0087496D"/>
    <w:rsid w:val="00875C2A"/>
    <w:rsid w:val="0087697C"/>
    <w:rsid w:val="0088736D"/>
    <w:rsid w:val="00887A5C"/>
    <w:rsid w:val="00892DA5"/>
    <w:rsid w:val="008A0EB1"/>
    <w:rsid w:val="008A6AE2"/>
    <w:rsid w:val="008B0492"/>
    <w:rsid w:val="008B66A1"/>
    <w:rsid w:val="008C1402"/>
    <w:rsid w:val="008C2B23"/>
    <w:rsid w:val="008C41E8"/>
    <w:rsid w:val="008C4F83"/>
    <w:rsid w:val="008C50EF"/>
    <w:rsid w:val="008C6589"/>
    <w:rsid w:val="008D0B37"/>
    <w:rsid w:val="008D10F4"/>
    <w:rsid w:val="008D1C45"/>
    <w:rsid w:val="008D20A4"/>
    <w:rsid w:val="008D2C3F"/>
    <w:rsid w:val="008D3B5F"/>
    <w:rsid w:val="008D42E8"/>
    <w:rsid w:val="008D4478"/>
    <w:rsid w:val="008E45A9"/>
    <w:rsid w:val="008E56F3"/>
    <w:rsid w:val="008E6EDA"/>
    <w:rsid w:val="008F1136"/>
    <w:rsid w:val="008F186F"/>
    <w:rsid w:val="008F644F"/>
    <w:rsid w:val="009014F0"/>
    <w:rsid w:val="00901A9E"/>
    <w:rsid w:val="0090296E"/>
    <w:rsid w:val="00902B27"/>
    <w:rsid w:val="0090491D"/>
    <w:rsid w:val="009105FC"/>
    <w:rsid w:val="00914775"/>
    <w:rsid w:val="00922885"/>
    <w:rsid w:val="00925F74"/>
    <w:rsid w:val="00927772"/>
    <w:rsid w:val="009345EA"/>
    <w:rsid w:val="00936FEE"/>
    <w:rsid w:val="009416C7"/>
    <w:rsid w:val="00945B4D"/>
    <w:rsid w:val="009460EB"/>
    <w:rsid w:val="00950704"/>
    <w:rsid w:val="00961B89"/>
    <w:rsid w:val="009626A5"/>
    <w:rsid w:val="00963125"/>
    <w:rsid w:val="00963244"/>
    <w:rsid w:val="00964355"/>
    <w:rsid w:val="009644A3"/>
    <w:rsid w:val="0096731B"/>
    <w:rsid w:val="009723DD"/>
    <w:rsid w:val="009744E4"/>
    <w:rsid w:val="0097515D"/>
    <w:rsid w:val="009765CD"/>
    <w:rsid w:val="0097725F"/>
    <w:rsid w:val="00987071"/>
    <w:rsid w:val="00991B0A"/>
    <w:rsid w:val="0099252F"/>
    <w:rsid w:val="00992D61"/>
    <w:rsid w:val="0099715E"/>
    <w:rsid w:val="009A1C26"/>
    <w:rsid w:val="009A4B42"/>
    <w:rsid w:val="009A4DB2"/>
    <w:rsid w:val="009A6159"/>
    <w:rsid w:val="009B568E"/>
    <w:rsid w:val="009B70C1"/>
    <w:rsid w:val="009C11C8"/>
    <w:rsid w:val="009D2F29"/>
    <w:rsid w:val="009D406C"/>
    <w:rsid w:val="009D74CF"/>
    <w:rsid w:val="009D7897"/>
    <w:rsid w:val="009E0361"/>
    <w:rsid w:val="009E0681"/>
    <w:rsid w:val="009E2CDD"/>
    <w:rsid w:val="009F25C7"/>
    <w:rsid w:val="009F29F9"/>
    <w:rsid w:val="00A00EDC"/>
    <w:rsid w:val="00A012A3"/>
    <w:rsid w:val="00A0178D"/>
    <w:rsid w:val="00A02190"/>
    <w:rsid w:val="00A02789"/>
    <w:rsid w:val="00A13D68"/>
    <w:rsid w:val="00A165CF"/>
    <w:rsid w:val="00A16B67"/>
    <w:rsid w:val="00A23E15"/>
    <w:rsid w:val="00A266E1"/>
    <w:rsid w:val="00A2771A"/>
    <w:rsid w:val="00A30785"/>
    <w:rsid w:val="00A3343D"/>
    <w:rsid w:val="00A336CF"/>
    <w:rsid w:val="00A33833"/>
    <w:rsid w:val="00A36BCB"/>
    <w:rsid w:val="00A371FA"/>
    <w:rsid w:val="00A37C0B"/>
    <w:rsid w:val="00A404AA"/>
    <w:rsid w:val="00A41050"/>
    <w:rsid w:val="00A423DA"/>
    <w:rsid w:val="00A435D1"/>
    <w:rsid w:val="00A43B67"/>
    <w:rsid w:val="00A50887"/>
    <w:rsid w:val="00A56CF9"/>
    <w:rsid w:val="00A63C53"/>
    <w:rsid w:val="00A65209"/>
    <w:rsid w:val="00A657F4"/>
    <w:rsid w:val="00A676BB"/>
    <w:rsid w:val="00A72B59"/>
    <w:rsid w:val="00A751FE"/>
    <w:rsid w:val="00A81A69"/>
    <w:rsid w:val="00A85F73"/>
    <w:rsid w:val="00A90CE1"/>
    <w:rsid w:val="00A934BD"/>
    <w:rsid w:val="00A9526E"/>
    <w:rsid w:val="00A95DA8"/>
    <w:rsid w:val="00A97484"/>
    <w:rsid w:val="00AA51F7"/>
    <w:rsid w:val="00AA5B52"/>
    <w:rsid w:val="00AA6669"/>
    <w:rsid w:val="00AA74F8"/>
    <w:rsid w:val="00AA7CBF"/>
    <w:rsid w:val="00AB165B"/>
    <w:rsid w:val="00AB1AC3"/>
    <w:rsid w:val="00AB2F7F"/>
    <w:rsid w:val="00AB3662"/>
    <w:rsid w:val="00AB6C23"/>
    <w:rsid w:val="00AB7432"/>
    <w:rsid w:val="00AC1938"/>
    <w:rsid w:val="00AC412E"/>
    <w:rsid w:val="00AC707B"/>
    <w:rsid w:val="00AE0461"/>
    <w:rsid w:val="00AE0C2C"/>
    <w:rsid w:val="00AE0EB6"/>
    <w:rsid w:val="00AE3EC7"/>
    <w:rsid w:val="00AF59AE"/>
    <w:rsid w:val="00B02BA8"/>
    <w:rsid w:val="00B04C76"/>
    <w:rsid w:val="00B075A3"/>
    <w:rsid w:val="00B152E0"/>
    <w:rsid w:val="00B16295"/>
    <w:rsid w:val="00B167EA"/>
    <w:rsid w:val="00B2203D"/>
    <w:rsid w:val="00B23FDB"/>
    <w:rsid w:val="00B3183D"/>
    <w:rsid w:val="00B35658"/>
    <w:rsid w:val="00B40DB4"/>
    <w:rsid w:val="00B41C7E"/>
    <w:rsid w:val="00B471D7"/>
    <w:rsid w:val="00B473E2"/>
    <w:rsid w:val="00B50AA9"/>
    <w:rsid w:val="00B50CB7"/>
    <w:rsid w:val="00B55CA7"/>
    <w:rsid w:val="00B6043F"/>
    <w:rsid w:val="00B60E13"/>
    <w:rsid w:val="00B63AB2"/>
    <w:rsid w:val="00B63C3A"/>
    <w:rsid w:val="00B6500D"/>
    <w:rsid w:val="00B65A38"/>
    <w:rsid w:val="00B666DD"/>
    <w:rsid w:val="00B66C3E"/>
    <w:rsid w:val="00B700F8"/>
    <w:rsid w:val="00B7031F"/>
    <w:rsid w:val="00B71A2F"/>
    <w:rsid w:val="00B72E6F"/>
    <w:rsid w:val="00B731D8"/>
    <w:rsid w:val="00B736D2"/>
    <w:rsid w:val="00B860AC"/>
    <w:rsid w:val="00B8639C"/>
    <w:rsid w:val="00B8748F"/>
    <w:rsid w:val="00B9121B"/>
    <w:rsid w:val="00B93A09"/>
    <w:rsid w:val="00B95CC8"/>
    <w:rsid w:val="00BA0A5A"/>
    <w:rsid w:val="00BA23B1"/>
    <w:rsid w:val="00BA493F"/>
    <w:rsid w:val="00BA5455"/>
    <w:rsid w:val="00BB6667"/>
    <w:rsid w:val="00BB7C26"/>
    <w:rsid w:val="00BC09EE"/>
    <w:rsid w:val="00BC2900"/>
    <w:rsid w:val="00BC689A"/>
    <w:rsid w:val="00BC6A16"/>
    <w:rsid w:val="00BC6EB7"/>
    <w:rsid w:val="00BC7EF9"/>
    <w:rsid w:val="00BD0F6D"/>
    <w:rsid w:val="00BD2807"/>
    <w:rsid w:val="00BD4CD5"/>
    <w:rsid w:val="00BE0DCE"/>
    <w:rsid w:val="00BE38E9"/>
    <w:rsid w:val="00BE7C1E"/>
    <w:rsid w:val="00BF090C"/>
    <w:rsid w:val="00BF6C27"/>
    <w:rsid w:val="00BF6EFC"/>
    <w:rsid w:val="00C0369A"/>
    <w:rsid w:val="00C03FA1"/>
    <w:rsid w:val="00C04AF3"/>
    <w:rsid w:val="00C06A7C"/>
    <w:rsid w:val="00C0701E"/>
    <w:rsid w:val="00C070A0"/>
    <w:rsid w:val="00C07BFE"/>
    <w:rsid w:val="00C10B20"/>
    <w:rsid w:val="00C21EA7"/>
    <w:rsid w:val="00C25408"/>
    <w:rsid w:val="00C35986"/>
    <w:rsid w:val="00C36C47"/>
    <w:rsid w:val="00C4189A"/>
    <w:rsid w:val="00C43AEB"/>
    <w:rsid w:val="00C4499F"/>
    <w:rsid w:val="00C46815"/>
    <w:rsid w:val="00C50E3B"/>
    <w:rsid w:val="00C52664"/>
    <w:rsid w:val="00C538C0"/>
    <w:rsid w:val="00C53A2A"/>
    <w:rsid w:val="00C555D0"/>
    <w:rsid w:val="00C56B73"/>
    <w:rsid w:val="00C60A15"/>
    <w:rsid w:val="00C6260D"/>
    <w:rsid w:val="00C63024"/>
    <w:rsid w:val="00C63CD1"/>
    <w:rsid w:val="00C64191"/>
    <w:rsid w:val="00C654D2"/>
    <w:rsid w:val="00C718C4"/>
    <w:rsid w:val="00C71BE5"/>
    <w:rsid w:val="00C739D1"/>
    <w:rsid w:val="00C74188"/>
    <w:rsid w:val="00C74CEF"/>
    <w:rsid w:val="00C751B3"/>
    <w:rsid w:val="00C75238"/>
    <w:rsid w:val="00C77FE1"/>
    <w:rsid w:val="00C82D51"/>
    <w:rsid w:val="00C8456E"/>
    <w:rsid w:val="00C84F00"/>
    <w:rsid w:val="00C85A6E"/>
    <w:rsid w:val="00C86477"/>
    <w:rsid w:val="00C879D4"/>
    <w:rsid w:val="00C94326"/>
    <w:rsid w:val="00C97622"/>
    <w:rsid w:val="00C97EBE"/>
    <w:rsid w:val="00CA0CDF"/>
    <w:rsid w:val="00CA2882"/>
    <w:rsid w:val="00CB299F"/>
    <w:rsid w:val="00CB2F72"/>
    <w:rsid w:val="00CB79FC"/>
    <w:rsid w:val="00CC122B"/>
    <w:rsid w:val="00CC29DB"/>
    <w:rsid w:val="00CC39E0"/>
    <w:rsid w:val="00CC5EEC"/>
    <w:rsid w:val="00CC6C2B"/>
    <w:rsid w:val="00CD3D77"/>
    <w:rsid w:val="00CD6BB3"/>
    <w:rsid w:val="00CE3E49"/>
    <w:rsid w:val="00CE578D"/>
    <w:rsid w:val="00CF4D13"/>
    <w:rsid w:val="00D0032C"/>
    <w:rsid w:val="00D006B2"/>
    <w:rsid w:val="00D0646D"/>
    <w:rsid w:val="00D066B0"/>
    <w:rsid w:val="00D07C96"/>
    <w:rsid w:val="00D10699"/>
    <w:rsid w:val="00D17DDE"/>
    <w:rsid w:val="00D21549"/>
    <w:rsid w:val="00D23936"/>
    <w:rsid w:val="00D24D61"/>
    <w:rsid w:val="00D25C90"/>
    <w:rsid w:val="00D40D99"/>
    <w:rsid w:val="00D40DA1"/>
    <w:rsid w:val="00D426D4"/>
    <w:rsid w:val="00D43899"/>
    <w:rsid w:val="00D45B93"/>
    <w:rsid w:val="00D46615"/>
    <w:rsid w:val="00D466E7"/>
    <w:rsid w:val="00D470A7"/>
    <w:rsid w:val="00D51FF8"/>
    <w:rsid w:val="00D5319B"/>
    <w:rsid w:val="00D55BD2"/>
    <w:rsid w:val="00D5603F"/>
    <w:rsid w:val="00D56C30"/>
    <w:rsid w:val="00D61D3A"/>
    <w:rsid w:val="00D70B90"/>
    <w:rsid w:val="00D740B6"/>
    <w:rsid w:val="00D77A1F"/>
    <w:rsid w:val="00D80493"/>
    <w:rsid w:val="00D82465"/>
    <w:rsid w:val="00D82F25"/>
    <w:rsid w:val="00D8434E"/>
    <w:rsid w:val="00D84760"/>
    <w:rsid w:val="00D8549E"/>
    <w:rsid w:val="00D8592F"/>
    <w:rsid w:val="00D95429"/>
    <w:rsid w:val="00D96912"/>
    <w:rsid w:val="00DA1964"/>
    <w:rsid w:val="00DA1EB6"/>
    <w:rsid w:val="00DA7135"/>
    <w:rsid w:val="00DB44F6"/>
    <w:rsid w:val="00DB4A25"/>
    <w:rsid w:val="00DB6883"/>
    <w:rsid w:val="00DB6BA3"/>
    <w:rsid w:val="00DB6D4C"/>
    <w:rsid w:val="00DC286D"/>
    <w:rsid w:val="00DC78FA"/>
    <w:rsid w:val="00DC7F37"/>
    <w:rsid w:val="00DD13E4"/>
    <w:rsid w:val="00DE4A1E"/>
    <w:rsid w:val="00DF09F0"/>
    <w:rsid w:val="00DF6021"/>
    <w:rsid w:val="00DF7996"/>
    <w:rsid w:val="00E00B18"/>
    <w:rsid w:val="00E02CFC"/>
    <w:rsid w:val="00E035C6"/>
    <w:rsid w:val="00E04B9F"/>
    <w:rsid w:val="00E1307C"/>
    <w:rsid w:val="00E16377"/>
    <w:rsid w:val="00E16BF3"/>
    <w:rsid w:val="00E20A21"/>
    <w:rsid w:val="00E211B1"/>
    <w:rsid w:val="00E23174"/>
    <w:rsid w:val="00E313AB"/>
    <w:rsid w:val="00E339F4"/>
    <w:rsid w:val="00E36E69"/>
    <w:rsid w:val="00E43DA4"/>
    <w:rsid w:val="00E44697"/>
    <w:rsid w:val="00E45F77"/>
    <w:rsid w:val="00E5060E"/>
    <w:rsid w:val="00E5588C"/>
    <w:rsid w:val="00E565DA"/>
    <w:rsid w:val="00E62E8D"/>
    <w:rsid w:val="00E658B8"/>
    <w:rsid w:val="00E74C66"/>
    <w:rsid w:val="00E753B8"/>
    <w:rsid w:val="00E77645"/>
    <w:rsid w:val="00E82022"/>
    <w:rsid w:val="00E83873"/>
    <w:rsid w:val="00E839E9"/>
    <w:rsid w:val="00E8402B"/>
    <w:rsid w:val="00E91F61"/>
    <w:rsid w:val="00E95310"/>
    <w:rsid w:val="00E95411"/>
    <w:rsid w:val="00E95944"/>
    <w:rsid w:val="00E95A49"/>
    <w:rsid w:val="00E96EF3"/>
    <w:rsid w:val="00EA054B"/>
    <w:rsid w:val="00EA081A"/>
    <w:rsid w:val="00EA1B54"/>
    <w:rsid w:val="00EA4A8C"/>
    <w:rsid w:val="00EB2B82"/>
    <w:rsid w:val="00EB7719"/>
    <w:rsid w:val="00EC0637"/>
    <w:rsid w:val="00EC2347"/>
    <w:rsid w:val="00EC43A4"/>
    <w:rsid w:val="00EC741E"/>
    <w:rsid w:val="00EC74B6"/>
    <w:rsid w:val="00ED125F"/>
    <w:rsid w:val="00EE0E2A"/>
    <w:rsid w:val="00EE2272"/>
    <w:rsid w:val="00EE30C1"/>
    <w:rsid w:val="00EE3288"/>
    <w:rsid w:val="00EE5AB8"/>
    <w:rsid w:val="00EE747B"/>
    <w:rsid w:val="00EF2402"/>
    <w:rsid w:val="00F01C5F"/>
    <w:rsid w:val="00F0371F"/>
    <w:rsid w:val="00F04084"/>
    <w:rsid w:val="00F06CFE"/>
    <w:rsid w:val="00F06EE1"/>
    <w:rsid w:val="00F12F1C"/>
    <w:rsid w:val="00F1393A"/>
    <w:rsid w:val="00F13CCC"/>
    <w:rsid w:val="00F17FFD"/>
    <w:rsid w:val="00F234E9"/>
    <w:rsid w:val="00F23B77"/>
    <w:rsid w:val="00F2522D"/>
    <w:rsid w:val="00F26316"/>
    <w:rsid w:val="00F456D2"/>
    <w:rsid w:val="00F46E1A"/>
    <w:rsid w:val="00F47A0B"/>
    <w:rsid w:val="00F47D44"/>
    <w:rsid w:val="00F518F2"/>
    <w:rsid w:val="00F57BAD"/>
    <w:rsid w:val="00F7435A"/>
    <w:rsid w:val="00F75CA5"/>
    <w:rsid w:val="00F83B82"/>
    <w:rsid w:val="00F8688F"/>
    <w:rsid w:val="00F9606A"/>
    <w:rsid w:val="00F96DB4"/>
    <w:rsid w:val="00FA1597"/>
    <w:rsid w:val="00FB4DF8"/>
    <w:rsid w:val="00FB5B06"/>
    <w:rsid w:val="00FB6267"/>
    <w:rsid w:val="00FC29C0"/>
    <w:rsid w:val="00FC3042"/>
    <w:rsid w:val="00FC4292"/>
    <w:rsid w:val="00FC5566"/>
    <w:rsid w:val="00FC5D63"/>
    <w:rsid w:val="00FC78B0"/>
    <w:rsid w:val="00FD76AC"/>
    <w:rsid w:val="00FE1927"/>
    <w:rsid w:val="00FE1D0A"/>
    <w:rsid w:val="00FE4CD2"/>
    <w:rsid w:val="00FF4553"/>
    <w:rsid w:val="00FF5EC1"/>
    <w:rsid w:val="00FF7D6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4:docId w14:val="2325CDD2"/>
  <w15:docId w15:val="{E410522D-9A1D-483C-85F9-BEFA110AF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3969C6"/>
    <w:rPr>
      <w:rFonts w:ascii="Times New Roman" w:hAnsi="Times New Roman"/>
      <w:sz w:val="24"/>
    </w:rPr>
  </w:style>
  <w:style w:type="paragraph" w:styleId="Heading1">
    <w:name w:val="heading 1"/>
    <w:next w:val="Normal"/>
    <w:link w:val="Heading1Char"/>
    <w:autoRedefine/>
    <w:uiPriority w:val="9"/>
    <w:qFormat/>
    <w:rsid w:val="00F456D2"/>
    <w:pPr>
      <w:numPr>
        <w:numId w:val="1"/>
      </w:numPr>
      <w:spacing w:before="120" w:after="120" w:line="360" w:lineRule="auto"/>
      <w:jc w:val="both"/>
      <w:outlineLvl w:val="0"/>
    </w:pPr>
    <w:rPr>
      <w:rFonts w:ascii="Times New Roman" w:hAnsi="Times New Roman" w:cs="Times New Roman"/>
      <w:b/>
      <w:sz w:val="24"/>
      <w:szCs w:val="24"/>
    </w:rPr>
  </w:style>
  <w:style w:type="paragraph" w:styleId="Heading2">
    <w:name w:val="heading 2"/>
    <w:basedOn w:val="Heading1"/>
    <w:next w:val="Normal"/>
    <w:link w:val="Heading2Char"/>
    <w:uiPriority w:val="9"/>
    <w:unhideWhenUsed/>
    <w:qFormat/>
    <w:rsid w:val="008D4478"/>
    <w:pPr>
      <w:numPr>
        <w:ilvl w:val="1"/>
      </w:numPr>
      <w:outlineLvl w:val="1"/>
    </w:pPr>
    <w:rPr>
      <w:b w:val="0"/>
      <w:i/>
    </w:rPr>
  </w:style>
  <w:style w:type="paragraph" w:styleId="Heading3">
    <w:name w:val="heading 3"/>
    <w:basedOn w:val="Normal"/>
    <w:next w:val="Normal"/>
    <w:link w:val="Heading3Char"/>
    <w:uiPriority w:val="9"/>
    <w:semiHidden/>
    <w:unhideWhenUsed/>
    <w:qFormat/>
    <w:rsid w:val="00827CC4"/>
    <w:pPr>
      <w:keepNext/>
      <w:keepLines/>
      <w:numPr>
        <w:ilvl w:val="2"/>
        <w:numId w:val="1"/>
      </w:numPr>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8D4478"/>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D4478"/>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D4478"/>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D447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D447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D447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09EE"/>
    <w:pPr>
      <w:ind w:left="720"/>
      <w:contextualSpacing/>
    </w:pPr>
  </w:style>
  <w:style w:type="table" w:styleId="TableGrid">
    <w:name w:val="Table Grid"/>
    <w:basedOn w:val="TableNormal"/>
    <w:uiPriority w:val="39"/>
    <w:rsid w:val="009E2C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B7B4A"/>
    <w:pPr>
      <w:spacing w:before="100" w:beforeAutospacing="1" w:after="100" w:afterAutospacing="1" w:line="240" w:lineRule="auto"/>
    </w:pPr>
    <w:rPr>
      <w:rFonts w:eastAsia="Times New Roman" w:cs="Times New Roman"/>
      <w:szCs w:val="24"/>
      <w:lang w:eastAsia="en-GB"/>
    </w:rPr>
  </w:style>
  <w:style w:type="table" w:customStyle="1" w:styleId="GridTable1Light-Accent31">
    <w:name w:val="Grid Table 1 Light - Accent 31"/>
    <w:basedOn w:val="TableNormal"/>
    <w:uiPriority w:val="46"/>
    <w:rsid w:val="00A37C0B"/>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37C0B"/>
    <w:rPr>
      <w:sz w:val="16"/>
      <w:szCs w:val="16"/>
    </w:rPr>
  </w:style>
  <w:style w:type="paragraph" w:styleId="CommentText">
    <w:name w:val="annotation text"/>
    <w:basedOn w:val="Normal"/>
    <w:link w:val="CommentTextChar"/>
    <w:uiPriority w:val="99"/>
    <w:semiHidden/>
    <w:unhideWhenUsed/>
    <w:rsid w:val="00A37C0B"/>
    <w:pPr>
      <w:spacing w:line="240" w:lineRule="auto"/>
    </w:pPr>
    <w:rPr>
      <w:sz w:val="20"/>
      <w:szCs w:val="20"/>
    </w:rPr>
  </w:style>
  <w:style w:type="character" w:customStyle="1" w:styleId="CommentTextChar">
    <w:name w:val="Comment Text Char"/>
    <w:basedOn w:val="DefaultParagraphFont"/>
    <w:link w:val="CommentText"/>
    <w:uiPriority w:val="99"/>
    <w:semiHidden/>
    <w:rsid w:val="00A37C0B"/>
    <w:rPr>
      <w:sz w:val="20"/>
      <w:szCs w:val="20"/>
    </w:rPr>
  </w:style>
  <w:style w:type="paragraph" w:styleId="CommentSubject">
    <w:name w:val="annotation subject"/>
    <w:basedOn w:val="CommentText"/>
    <w:next w:val="CommentText"/>
    <w:link w:val="CommentSubjectChar"/>
    <w:uiPriority w:val="99"/>
    <w:semiHidden/>
    <w:unhideWhenUsed/>
    <w:rsid w:val="00A37C0B"/>
    <w:rPr>
      <w:b/>
      <w:bCs/>
    </w:rPr>
  </w:style>
  <w:style w:type="character" w:customStyle="1" w:styleId="CommentSubjectChar">
    <w:name w:val="Comment Subject Char"/>
    <w:basedOn w:val="CommentTextChar"/>
    <w:link w:val="CommentSubject"/>
    <w:uiPriority w:val="99"/>
    <w:semiHidden/>
    <w:rsid w:val="00A37C0B"/>
    <w:rPr>
      <w:b/>
      <w:bCs/>
      <w:sz w:val="20"/>
      <w:szCs w:val="20"/>
    </w:rPr>
  </w:style>
  <w:style w:type="paragraph" w:styleId="BalloonText">
    <w:name w:val="Balloon Text"/>
    <w:basedOn w:val="Normal"/>
    <w:link w:val="BalloonTextChar"/>
    <w:uiPriority w:val="99"/>
    <w:semiHidden/>
    <w:unhideWhenUsed/>
    <w:rsid w:val="00A37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C0B"/>
    <w:rPr>
      <w:rFonts w:ascii="Segoe UI" w:hAnsi="Segoe UI" w:cs="Segoe UI"/>
      <w:sz w:val="18"/>
      <w:szCs w:val="18"/>
    </w:rPr>
  </w:style>
  <w:style w:type="paragraph" w:styleId="Header">
    <w:name w:val="header"/>
    <w:basedOn w:val="Normal"/>
    <w:link w:val="HeaderChar"/>
    <w:uiPriority w:val="99"/>
    <w:unhideWhenUsed/>
    <w:rsid w:val="00BD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CD5"/>
  </w:style>
  <w:style w:type="paragraph" w:styleId="Footer">
    <w:name w:val="footer"/>
    <w:basedOn w:val="Normal"/>
    <w:link w:val="FooterChar"/>
    <w:uiPriority w:val="99"/>
    <w:unhideWhenUsed/>
    <w:rsid w:val="00BD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CD5"/>
  </w:style>
  <w:style w:type="character" w:customStyle="1" w:styleId="Heading1Char">
    <w:name w:val="Heading 1 Char"/>
    <w:basedOn w:val="DefaultParagraphFont"/>
    <w:link w:val="Heading1"/>
    <w:uiPriority w:val="9"/>
    <w:rsid w:val="00F456D2"/>
    <w:rPr>
      <w:rFonts w:ascii="Times New Roman" w:hAnsi="Times New Roman" w:cs="Times New Roman"/>
      <w:b/>
      <w:sz w:val="24"/>
      <w:szCs w:val="24"/>
    </w:rPr>
  </w:style>
  <w:style w:type="paragraph" w:styleId="DocumentMap">
    <w:name w:val="Document Map"/>
    <w:basedOn w:val="Normal"/>
    <w:link w:val="DocumentMapChar"/>
    <w:uiPriority w:val="99"/>
    <w:semiHidden/>
    <w:unhideWhenUsed/>
    <w:rsid w:val="00D2154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21549"/>
    <w:rPr>
      <w:rFonts w:ascii="Tahoma" w:hAnsi="Tahoma" w:cs="Tahoma"/>
      <w:sz w:val="16"/>
      <w:szCs w:val="16"/>
    </w:rPr>
  </w:style>
  <w:style w:type="paragraph" w:styleId="NoSpacing">
    <w:name w:val="No Spacing"/>
    <w:link w:val="NoSpacingChar"/>
    <w:uiPriority w:val="1"/>
    <w:qFormat/>
    <w:rsid w:val="003969C6"/>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8D4478"/>
    <w:rPr>
      <w:rFonts w:ascii="Times New Roman" w:hAnsi="Times New Roman" w:cs="Times New Roman"/>
      <w:i/>
      <w:sz w:val="24"/>
      <w:szCs w:val="24"/>
    </w:rPr>
  </w:style>
  <w:style w:type="character" w:customStyle="1" w:styleId="Heading3Char">
    <w:name w:val="Heading 3 Char"/>
    <w:basedOn w:val="DefaultParagraphFont"/>
    <w:link w:val="Heading3"/>
    <w:uiPriority w:val="9"/>
    <w:semiHidden/>
    <w:rsid w:val="00827CC4"/>
    <w:rPr>
      <w:rFonts w:ascii="Times New Roman" w:eastAsiaTheme="majorEastAsia" w:hAnsi="Times New Roman" w:cstheme="majorBidi"/>
      <w:b/>
      <w:bCs/>
      <w:sz w:val="24"/>
    </w:rPr>
  </w:style>
  <w:style w:type="character" w:customStyle="1" w:styleId="NoSpacingChar">
    <w:name w:val="No Spacing Char"/>
    <w:basedOn w:val="DefaultParagraphFont"/>
    <w:link w:val="NoSpacing"/>
    <w:uiPriority w:val="1"/>
    <w:rsid w:val="000C05EF"/>
    <w:rPr>
      <w:rFonts w:ascii="Times New Roman" w:hAnsi="Times New Roman"/>
      <w:sz w:val="24"/>
    </w:rPr>
  </w:style>
  <w:style w:type="paragraph" w:customStyle="1" w:styleId="Default">
    <w:name w:val="Default"/>
    <w:rsid w:val="004C60D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semiHidden/>
    <w:rsid w:val="008D4478"/>
    <w:rPr>
      <w:rFonts w:asciiTheme="majorHAnsi" w:eastAsiaTheme="majorEastAsia" w:hAnsiTheme="majorHAnsi" w:cstheme="majorBidi"/>
      <w:b/>
      <w:bCs/>
      <w:i/>
      <w:iCs/>
      <w:color w:val="4472C4" w:themeColor="accent1"/>
      <w:sz w:val="24"/>
    </w:rPr>
  </w:style>
  <w:style w:type="character" w:customStyle="1" w:styleId="Heading5Char">
    <w:name w:val="Heading 5 Char"/>
    <w:basedOn w:val="DefaultParagraphFont"/>
    <w:link w:val="Heading5"/>
    <w:uiPriority w:val="9"/>
    <w:semiHidden/>
    <w:rsid w:val="008D4478"/>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semiHidden/>
    <w:rsid w:val="008D4478"/>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semiHidden/>
    <w:rsid w:val="008D4478"/>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8D44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D4478"/>
    <w:rPr>
      <w:rFonts w:asciiTheme="majorHAnsi" w:eastAsiaTheme="majorEastAsia" w:hAnsiTheme="majorHAnsi" w:cstheme="majorBidi"/>
      <w:i/>
      <w:iCs/>
      <w:color w:val="404040" w:themeColor="text1" w:themeTint="BF"/>
      <w:sz w:val="20"/>
      <w:szCs w:val="20"/>
    </w:rPr>
  </w:style>
  <w:style w:type="table" w:customStyle="1" w:styleId="PlainTable21">
    <w:name w:val="Plain Table 21"/>
    <w:basedOn w:val="TableNormal"/>
    <w:uiPriority w:val="42"/>
    <w:rsid w:val="00CA0CDF"/>
    <w:pPr>
      <w:spacing w:after="0" w:line="240" w:lineRule="auto"/>
    </w:pPr>
    <w:rPr>
      <w:sz w:val="24"/>
      <w:szCs w:val="24"/>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TMLCite">
    <w:name w:val="HTML Cite"/>
    <w:basedOn w:val="DefaultParagraphFont"/>
    <w:uiPriority w:val="99"/>
    <w:semiHidden/>
    <w:unhideWhenUsed/>
    <w:rsid w:val="00FC78B0"/>
    <w:rPr>
      <w:i/>
      <w:iCs/>
    </w:rPr>
  </w:style>
  <w:style w:type="character" w:customStyle="1" w:styleId="highwire-cite-article-type">
    <w:name w:val="highwire-cite-article-type"/>
    <w:basedOn w:val="DefaultParagraphFont"/>
    <w:rsid w:val="00FC78B0"/>
  </w:style>
  <w:style w:type="character" w:customStyle="1" w:styleId="highwire-cite-journal">
    <w:name w:val="highwire-cite-journal"/>
    <w:basedOn w:val="DefaultParagraphFont"/>
    <w:rsid w:val="00FC78B0"/>
  </w:style>
  <w:style w:type="character" w:customStyle="1" w:styleId="highwire-cite-published-year">
    <w:name w:val="highwire-cite-published-year"/>
    <w:basedOn w:val="DefaultParagraphFont"/>
    <w:rsid w:val="00FC78B0"/>
  </w:style>
  <w:style w:type="character" w:customStyle="1" w:styleId="highwire-cite-volume-issue">
    <w:name w:val="highwire-cite-volume-issue"/>
    <w:basedOn w:val="DefaultParagraphFont"/>
    <w:rsid w:val="00FC78B0"/>
  </w:style>
  <w:style w:type="character" w:customStyle="1" w:styleId="highwire-cite-doi">
    <w:name w:val="highwire-cite-doi"/>
    <w:basedOn w:val="DefaultParagraphFont"/>
    <w:rsid w:val="00FC78B0"/>
  </w:style>
  <w:style w:type="character" w:styleId="Hyperlink">
    <w:name w:val="Hyperlink"/>
    <w:basedOn w:val="DefaultParagraphFont"/>
    <w:uiPriority w:val="99"/>
    <w:unhideWhenUsed/>
    <w:rsid w:val="00FC78B0"/>
    <w:rPr>
      <w:color w:val="0000FF"/>
      <w:u w:val="single"/>
    </w:rPr>
  </w:style>
  <w:style w:type="character" w:customStyle="1" w:styleId="highwire-cite-date">
    <w:name w:val="highwire-cite-date"/>
    <w:basedOn w:val="DefaultParagraphFont"/>
    <w:rsid w:val="00FC78B0"/>
  </w:style>
  <w:style w:type="character" w:customStyle="1" w:styleId="highwire-cite-article-as">
    <w:name w:val="highwire-cite-article-as"/>
    <w:basedOn w:val="DefaultParagraphFont"/>
    <w:rsid w:val="00FC78B0"/>
  </w:style>
  <w:style w:type="character" w:customStyle="1" w:styleId="italic">
    <w:name w:val="italic"/>
    <w:basedOn w:val="DefaultParagraphFont"/>
    <w:rsid w:val="00FC78B0"/>
  </w:style>
  <w:style w:type="character" w:customStyle="1" w:styleId="name">
    <w:name w:val="name"/>
    <w:basedOn w:val="DefaultParagraphFont"/>
    <w:rsid w:val="00FC78B0"/>
  </w:style>
  <w:style w:type="paragraph" w:styleId="Revision">
    <w:name w:val="Revision"/>
    <w:hidden/>
    <w:uiPriority w:val="99"/>
    <w:semiHidden/>
    <w:rsid w:val="008D10F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586887">
      <w:bodyDiv w:val="1"/>
      <w:marLeft w:val="0"/>
      <w:marRight w:val="0"/>
      <w:marTop w:val="0"/>
      <w:marBottom w:val="0"/>
      <w:divBdr>
        <w:top w:val="none" w:sz="0" w:space="0" w:color="auto"/>
        <w:left w:val="none" w:sz="0" w:space="0" w:color="auto"/>
        <w:bottom w:val="none" w:sz="0" w:space="0" w:color="auto"/>
        <w:right w:val="none" w:sz="0" w:space="0" w:color="auto"/>
      </w:divBdr>
    </w:div>
    <w:div w:id="305403233">
      <w:bodyDiv w:val="1"/>
      <w:marLeft w:val="0"/>
      <w:marRight w:val="0"/>
      <w:marTop w:val="0"/>
      <w:marBottom w:val="0"/>
      <w:divBdr>
        <w:top w:val="none" w:sz="0" w:space="0" w:color="auto"/>
        <w:left w:val="none" w:sz="0" w:space="0" w:color="auto"/>
        <w:bottom w:val="none" w:sz="0" w:space="0" w:color="auto"/>
        <w:right w:val="none" w:sz="0" w:space="0" w:color="auto"/>
      </w:divBdr>
    </w:div>
    <w:div w:id="378168041">
      <w:bodyDiv w:val="1"/>
      <w:marLeft w:val="0"/>
      <w:marRight w:val="0"/>
      <w:marTop w:val="0"/>
      <w:marBottom w:val="0"/>
      <w:divBdr>
        <w:top w:val="none" w:sz="0" w:space="0" w:color="auto"/>
        <w:left w:val="none" w:sz="0" w:space="0" w:color="auto"/>
        <w:bottom w:val="none" w:sz="0" w:space="0" w:color="auto"/>
        <w:right w:val="none" w:sz="0" w:space="0" w:color="auto"/>
      </w:divBdr>
    </w:div>
    <w:div w:id="450629691">
      <w:bodyDiv w:val="1"/>
      <w:marLeft w:val="0"/>
      <w:marRight w:val="0"/>
      <w:marTop w:val="0"/>
      <w:marBottom w:val="0"/>
      <w:divBdr>
        <w:top w:val="none" w:sz="0" w:space="0" w:color="auto"/>
        <w:left w:val="none" w:sz="0" w:space="0" w:color="auto"/>
        <w:bottom w:val="none" w:sz="0" w:space="0" w:color="auto"/>
        <w:right w:val="none" w:sz="0" w:space="0" w:color="auto"/>
      </w:divBdr>
    </w:div>
    <w:div w:id="559559595">
      <w:bodyDiv w:val="1"/>
      <w:marLeft w:val="0"/>
      <w:marRight w:val="0"/>
      <w:marTop w:val="0"/>
      <w:marBottom w:val="0"/>
      <w:divBdr>
        <w:top w:val="none" w:sz="0" w:space="0" w:color="auto"/>
        <w:left w:val="none" w:sz="0" w:space="0" w:color="auto"/>
        <w:bottom w:val="none" w:sz="0" w:space="0" w:color="auto"/>
        <w:right w:val="none" w:sz="0" w:space="0" w:color="auto"/>
      </w:divBdr>
      <w:divsChild>
        <w:div w:id="1479300447">
          <w:marLeft w:val="0"/>
          <w:marRight w:val="0"/>
          <w:marTop w:val="0"/>
          <w:marBottom w:val="0"/>
          <w:divBdr>
            <w:top w:val="none" w:sz="0" w:space="0" w:color="auto"/>
            <w:left w:val="none" w:sz="0" w:space="0" w:color="auto"/>
            <w:bottom w:val="none" w:sz="0" w:space="0" w:color="auto"/>
            <w:right w:val="none" w:sz="0" w:space="0" w:color="auto"/>
          </w:divBdr>
          <w:divsChild>
            <w:div w:id="398599967">
              <w:marLeft w:val="0"/>
              <w:marRight w:val="0"/>
              <w:marTop w:val="0"/>
              <w:marBottom w:val="0"/>
              <w:divBdr>
                <w:top w:val="none" w:sz="0" w:space="0" w:color="auto"/>
                <w:left w:val="none" w:sz="0" w:space="0" w:color="auto"/>
                <w:bottom w:val="none" w:sz="0" w:space="0" w:color="auto"/>
                <w:right w:val="none" w:sz="0" w:space="0" w:color="auto"/>
              </w:divBdr>
              <w:divsChild>
                <w:div w:id="16636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119618">
          <w:marLeft w:val="0"/>
          <w:marRight w:val="0"/>
          <w:marTop w:val="0"/>
          <w:marBottom w:val="0"/>
          <w:divBdr>
            <w:top w:val="none" w:sz="0" w:space="0" w:color="auto"/>
            <w:left w:val="none" w:sz="0" w:space="0" w:color="auto"/>
            <w:bottom w:val="none" w:sz="0" w:space="0" w:color="auto"/>
            <w:right w:val="none" w:sz="0" w:space="0" w:color="auto"/>
          </w:divBdr>
          <w:divsChild>
            <w:div w:id="1435054751">
              <w:marLeft w:val="0"/>
              <w:marRight w:val="0"/>
              <w:marTop w:val="0"/>
              <w:marBottom w:val="0"/>
              <w:divBdr>
                <w:top w:val="none" w:sz="0" w:space="0" w:color="auto"/>
                <w:left w:val="none" w:sz="0" w:space="0" w:color="auto"/>
                <w:bottom w:val="none" w:sz="0" w:space="0" w:color="auto"/>
                <w:right w:val="none" w:sz="0" w:space="0" w:color="auto"/>
              </w:divBdr>
            </w:div>
          </w:divsChild>
        </w:div>
        <w:div w:id="1650329157">
          <w:marLeft w:val="0"/>
          <w:marRight w:val="0"/>
          <w:marTop w:val="0"/>
          <w:marBottom w:val="0"/>
          <w:divBdr>
            <w:top w:val="none" w:sz="0" w:space="0" w:color="auto"/>
            <w:left w:val="none" w:sz="0" w:space="0" w:color="auto"/>
            <w:bottom w:val="none" w:sz="0" w:space="0" w:color="auto"/>
            <w:right w:val="none" w:sz="0" w:space="0" w:color="auto"/>
          </w:divBdr>
          <w:divsChild>
            <w:div w:id="27292746">
              <w:marLeft w:val="0"/>
              <w:marRight w:val="0"/>
              <w:marTop w:val="0"/>
              <w:marBottom w:val="0"/>
              <w:divBdr>
                <w:top w:val="none" w:sz="0" w:space="0" w:color="auto"/>
                <w:left w:val="none" w:sz="0" w:space="0" w:color="auto"/>
                <w:bottom w:val="none" w:sz="0" w:space="0" w:color="auto"/>
                <w:right w:val="none" w:sz="0" w:space="0" w:color="auto"/>
              </w:divBdr>
              <w:divsChild>
                <w:div w:id="621108390">
                  <w:marLeft w:val="0"/>
                  <w:marRight w:val="0"/>
                  <w:marTop w:val="0"/>
                  <w:marBottom w:val="0"/>
                  <w:divBdr>
                    <w:top w:val="none" w:sz="0" w:space="0" w:color="auto"/>
                    <w:left w:val="none" w:sz="0" w:space="0" w:color="auto"/>
                    <w:bottom w:val="none" w:sz="0" w:space="0" w:color="auto"/>
                    <w:right w:val="none" w:sz="0" w:space="0" w:color="auto"/>
                  </w:divBdr>
                  <w:divsChild>
                    <w:div w:id="2025549102">
                      <w:marLeft w:val="0"/>
                      <w:marRight w:val="0"/>
                      <w:marTop w:val="0"/>
                      <w:marBottom w:val="0"/>
                      <w:divBdr>
                        <w:top w:val="none" w:sz="0" w:space="0" w:color="auto"/>
                        <w:left w:val="none" w:sz="0" w:space="0" w:color="auto"/>
                        <w:bottom w:val="none" w:sz="0" w:space="0" w:color="auto"/>
                        <w:right w:val="none" w:sz="0" w:space="0" w:color="auto"/>
                      </w:divBdr>
                      <w:divsChild>
                        <w:div w:id="232088169">
                          <w:marLeft w:val="0"/>
                          <w:marRight w:val="0"/>
                          <w:marTop w:val="0"/>
                          <w:marBottom w:val="0"/>
                          <w:divBdr>
                            <w:top w:val="none" w:sz="0" w:space="0" w:color="auto"/>
                            <w:left w:val="none" w:sz="0" w:space="0" w:color="auto"/>
                            <w:bottom w:val="none" w:sz="0" w:space="0" w:color="auto"/>
                            <w:right w:val="none" w:sz="0" w:space="0" w:color="auto"/>
                          </w:divBdr>
                          <w:divsChild>
                            <w:div w:id="1590843098">
                              <w:marLeft w:val="0"/>
                              <w:marRight w:val="0"/>
                              <w:marTop w:val="0"/>
                              <w:marBottom w:val="0"/>
                              <w:divBdr>
                                <w:top w:val="none" w:sz="0" w:space="0" w:color="auto"/>
                                <w:left w:val="none" w:sz="0" w:space="0" w:color="auto"/>
                                <w:bottom w:val="none" w:sz="0" w:space="0" w:color="auto"/>
                                <w:right w:val="none" w:sz="0" w:space="0" w:color="auto"/>
                              </w:divBdr>
                              <w:divsChild>
                                <w:div w:id="2076706595">
                                  <w:marLeft w:val="0"/>
                                  <w:marRight w:val="0"/>
                                  <w:marTop w:val="0"/>
                                  <w:marBottom w:val="0"/>
                                  <w:divBdr>
                                    <w:top w:val="none" w:sz="0" w:space="0" w:color="auto"/>
                                    <w:left w:val="none" w:sz="0" w:space="0" w:color="auto"/>
                                    <w:bottom w:val="none" w:sz="0" w:space="0" w:color="auto"/>
                                    <w:right w:val="none" w:sz="0" w:space="0" w:color="auto"/>
                                  </w:divBdr>
                                  <w:divsChild>
                                    <w:div w:id="1846939258">
                                      <w:marLeft w:val="0"/>
                                      <w:marRight w:val="0"/>
                                      <w:marTop w:val="0"/>
                                      <w:marBottom w:val="0"/>
                                      <w:divBdr>
                                        <w:top w:val="none" w:sz="0" w:space="0" w:color="auto"/>
                                        <w:left w:val="none" w:sz="0" w:space="0" w:color="auto"/>
                                        <w:bottom w:val="none" w:sz="0" w:space="0" w:color="auto"/>
                                        <w:right w:val="none" w:sz="0" w:space="0" w:color="auto"/>
                                      </w:divBdr>
                                      <w:divsChild>
                                        <w:div w:id="163011396">
                                          <w:marLeft w:val="0"/>
                                          <w:marRight w:val="0"/>
                                          <w:marTop w:val="0"/>
                                          <w:marBottom w:val="0"/>
                                          <w:divBdr>
                                            <w:top w:val="none" w:sz="0" w:space="0" w:color="auto"/>
                                            <w:left w:val="none" w:sz="0" w:space="0" w:color="auto"/>
                                            <w:bottom w:val="none" w:sz="0" w:space="0" w:color="auto"/>
                                            <w:right w:val="none" w:sz="0" w:space="0" w:color="auto"/>
                                          </w:divBdr>
                                          <w:divsChild>
                                            <w:div w:id="688335428">
                                              <w:marLeft w:val="0"/>
                                              <w:marRight w:val="0"/>
                                              <w:marTop w:val="0"/>
                                              <w:marBottom w:val="0"/>
                                              <w:divBdr>
                                                <w:top w:val="none" w:sz="0" w:space="0" w:color="auto"/>
                                                <w:left w:val="none" w:sz="0" w:space="0" w:color="auto"/>
                                                <w:bottom w:val="none" w:sz="0" w:space="0" w:color="auto"/>
                                                <w:right w:val="none" w:sz="0" w:space="0" w:color="auto"/>
                                              </w:divBdr>
                                              <w:divsChild>
                                                <w:div w:id="621765837">
                                                  <w:marLeft w:val="0"/>
                                                  <w:marRight w:val="0"/>
                                                  <w:marTop w:val="0"/>
                                                  <w:marBottom w:val="0"/>
                                                  <w:divBdr>
                                                    <w:top w:val="none" w:sz="0" w:space="0" w:color="auto"/>
                                                    <w:left w:val="none" w:sz="0" w:space="0" w:color="auto"/>
                                                    <w:bottom w:val="none" w:sz="0" w:space="0" w:color="auto"/>
                                                    <w:right w:val="none" w:sz="0" w:space="0" w:color="auto"/>
                                                  </w:divBdr>
                                                  <w:divsChild>
                                                    <w:div w:id="48069645">
                                                      <w:marLeft w:val="0"/>
                                                      <w:marRight w:val="0"/>
                                                      <w:marTop w:val="0"/>
                                                      <w:marBottom w:val="0"/>
                                                      <w:divBdr>
                                                        <w:top w:val="none" w:sz="0" w:space="0" w:color="auto"/>
                                                        <w:left w:val="none" w:sz="0" w:space="0" w:color="auto"/>
                                                        <w:bottom w:val="none" w:sz="0" w:space="0" w:color="auto"/>
                                                        <w:right w:val="none" w:sz="0" w:space="0" w:color="auto"/>
                                                      </w:divBdr>
                                                      <w:divsChild>
                                                        <w:div w:id="231281155">
                                                          <w:marLeft w:val="0"/>
                                                          <w:marRight w:val="0"/>
                                                          <w:marTop w:val="0"/>
                                                          <w:marBottom w:val="150"/>
                                                          <w:divBdr>
                                                            <w:top w:val="none" w:sz="0" w:space="0" w:color="auto"/>
                                                            <w:left w:val="none" w:sz="0" w:space="0" w:color="auto"/>
                                                            <w:bottom w:val="single" w:sz="6" w:space="8" w:color="D6D6D6"/>
                                                            <w:right w:val="none" w:sz="0" w:space="0" w:color="auto"/>
                                                          </w:divBdr>
                                                        </w:div>
                                                        <w:div w:id="337200851">
                                                          <w:marLeft w:val="0"/>
                                                          <w:marRight w:val="0"/>
                                                          <w:marTop w:val="0"/>
                                                          <w:marBottom w:val="0"/>
                                                          <w:divBdr>
                                                            <w:top w:val="none" w:sz="0" w:space="0" w:color="auto"/>
                                                            <w:left w:val="none" w:sz="0" w:space="0" w:color="auto"/>
                                                            <w:bottom w:val="none" w:sz="0" w:space="0" w:color="auto"/>
                                                            <w:right w:val="none" w:sz="0" w:space="0" w:color="auto"/>
                                                          </w:divBdr>
                                                        </w:div>
                                                        <w:div w:id="786587139">
                                                          <w:marLeft w:val="0"/>
                                                          <w:marRight w:val="0"/>
                                                          <w:marTop w:val="0"/>
                                                          <w:marBottom w:val="0"/>
                                                          <w:divBdr>
                                                            <w:top w:val="none" w:sz="0" w:space="0" w:color="auto"/>
                                                            <w:left w:val="none" w:sz="0" w:space="0" w:color="auto"/>
                                                            <w:bottom w:val="none" w:sz="0" w:space="0" w:color="auto"/>
                                                            <w:right w:val="none" w:sz="0" w:space="0" w:color="auto"/>
                                                          </w:divBdr>
                                                        </w:div>
                                                        <w:div w:id="794449760">
                                                          <w:marLeft w:val="0"/>
                                                          <w:marRight w:val="0"/>
                                                          <w:marTop w:val="0"/>
                                                          <w:marBottom w:val="0"/>
                                                          <w:divBdr>
                                                            <w:top w:val="none" w:sz="0" w:space="0" w:color="auto"/>
                                                            <w:left w:val="none" w:sz="0" w:space="0" w:color="auto"/>
                                                            <w:bottom w:val="none" w:sz="0" w:space="0" w:color="auto"/>
                                                            <w:right w:val="none" w:sz="0" w:space="0" w:color="auto"/>
                                                          </w:divBdr>
                                                        </w:div>
                                                        <w:div w:id="1705205406">
                                                          <w:marLeft w:val="0"/>
                                                          <w:marRight w:val="0"/>
                                                          <w:marTop w:val="0"/>
                                                          <w:marBottom w:val="0"/>
                                                          <w:divBdr>
                                                            <w:top w:val="none" w:sz="0" w:space="0" w:color="auto"/>
                                                            <w:left w:val="none" w:sz="0" w:space="0" w:color="auto"/>
                                                            <w:bottom w:val="none" w:sz="0" w:space="0" w:color="auto"/>
                                                            <w:right w:val="none" w:sz="0" w:space="0" w:color="auto"/>
                                                          </w:divBdr>
                                                          <w:divsChild>
                                                            <w:div w:id="1082144364">
                                                              <w:marLeft w:val="0"/>
                                                              <w:marRight w:val="0"/>
                                                              <w:marTop w:val="0"/>
                                                              <w:marBottom w:val="0"/>
                                                              <w:divBdr>
                                                                <w:top w:val="none" w:sz="0" w:space="0" w:color="auto"/>
                                                                <w:left w:val="none" w:sz="0" w:space="0" w:color="auto"/>
                                                                <w:bottom w:val="none" w:sz="0" w:space="0" w:color="auto"/>
                                                                <w:right w:val="none" w:sz="0" w:space="0" w:color="auto"/>
                                                              </w:divBdr>
                                                              <w:divsChild>
                                                                <w:div w:id="7755854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1252153">
      <w:bodyDiv w:val="1"/>
      <w:marLeft w:val="0"/>
      <w:marRight w:val="0"/>
      <w:marTop w:val="0"/>
      <w:marBottom w:val="0"/>
      <w:divBdr>
        <w:top w:val="none" w:sz="0" w:space="0" w:color="auto"/>
        <w:left w:val="none" w:sz="0" w:space="0" w:color="auto"/>
        <w:bottom w:val="none" w:sz="0" w:space="0" w:color="auto"/>
        <w:right w:val="none" w:sz="0" w:space="0" w:color="auto"/>
      </w:divBdr>
    </w:div>
    <w:div w:id="810899649">
      <w:bodyDiv w:val="1"/>
      <w:marLeft w:val="0"/>
      <w:marRight w:val="0"/>
      <w:marTop w:val="0"/>
      <w:marBottom w:val="0"/>
      <w:divBdr>
        <w:top w:val="none" w:sz="0" w:space="0" w:color="auto"/>
        <w:left w:val="none" w:sz="0" w:space="0" w:color="auto"/>
        <w:bottom w:val="none" w:sz="0" w:space="0" w:color="auto"/>
        <w:right w:val="none" w:sz="0" w:space="0" w:color="auto"/>
      </w:divBdr>
    </w:div>
    <w:div w:id="1163473644">
      <w:bodyDiv w:val="1"/>
      <w:marLeft w:val="0"/>
      <w:marRight w:val="0"/>
      <w:marTop w:val="0"/>
      <w:marBottom w:val="0"/>
      <w:divBdr>
        <w:top w:val="none" w:sz="0" w:space="0" w:color="auto"/>
        <w:left w:val="none" w:sz="0" w:space="0" w:color="auto"/>
        <w:bottom w:val="none" w:sz="0" w:space="0" w:color="auto"/>
        <w:right w:val="none" w:sz="0" w:space="0" w:color="auto"/>
      </w:divBdr>
    </w:div>
    <w:div w:id="1448698113">
      <w:bodyDiv w:val="1"/>
      <w:marLeft w:val="0"/>
      <w:marRight w:val="0"/>
      <w:marTop w:val="0"/>
      <w:marBottom w:val="0"/>
      <w:divBdr>
        <w:top w:val="none" w:sz="0" w:space="0" w:color="auto"/>
        <w:left w:val="none" w:sz="0" w:space="0" w:color="auto"/>
        <w:bottom w:val="none" w:sz="0" w:space="0" w:color="auto"/>
        <w:right w:val="none" w:sz="0" w:space="0" w:color="auto"/>
      </w:divBdr>
    </w:div>
    <w:div w:id="1733769281">
      <w:bodyDiv w:val="1"/>
      <w:marLeft w:val="0"/>
      <w:marRight w:val="0"/>
      <w:marTop w:val="0"/>
      <w:marBottom w:val="0"/>
      <w:divBdr>
        <w:top w:val="none" w:sz="0" w:space="0" w:color="auto"/>
        <w:left w:val="none" w:sz="0" w:space="0" w:color="auto"/>
        <w:bottom w:val="none" w:sz="0" w:space="0" w:color="auto"/>
        <w:right w:val="none" w:sz="0" w:space="0" w:color="auto"/>
      </w:divBdr>
    </w:div>
    <w:div w:id="1801872899">
      <w:bodyDiv w:val="1"/>
      <w:marLeft w:val="0"/>
      <w:marRight w:val="0"/>
      <w:marTop w:val="0"/>
      <w:marBottom w:val="0"/>
      <w:divBdr>
        <w:top w:val="none" w:sz="0" w:space="0" w:color="auto"/>
        <w:left w:val="none" w:sz="0" w:space="0" w:color="auto"/>
        <w:bottom w:val="none" w:sz="0" w:space="0" w:color="auto"/>
        <w:right w:val="none" w:sz="0" w:space="0" w:color="auto"/>
      </w:divBdr>
    </w:div>
    <w:div w:id="1982492830">
      <w:bodyDiv w:val="1"/>
      <w:marLeft w:val="0"/>
      <w:marRight w:val="0"/>
      <w:marTop w:val="0"/>
      <w:marBottom w:val="0"/>
      <w:divBdr>
        <w:top w:val="none" w:sz="0" w:space="0" w:color="auto"/>
        <w:left w:val="none" w:sz="0" w:space="0" w:color="auto"/>
        <w:bottom w:val="none" w:sz="0" w:space="0" w:color="auto"/>
        <w:right w:val="none" w:sz="0" w:space="0" w:color="auto"/>
      </w:divBdr>
    </w:div>
    <w:div w:id="200508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yperlink" Target="https://www.nice.org.uk/guidance/gid-cgwave0725/documents/html-content" TargetMode="External"/><Relationship Id="rId14" Type="http://schemas.openxmlformats.org/officeDocument/2006/relationships/hyperlink" Target="https://doi.org/10.1136/bmj.k5354" TargetMode="External"/><Relationship Id="rId15" Type="http://schemas.openxmlformats.org/officeDocument/2006/relationships/hyperlink" Target="https://doi.org/10.1016/S2215-0366(19)30394-3" TargetMode="External"/><Relationship Id="rId16" Type="http://schemas.openxmlformats.org/officeDocument/2006/relationships/hyperlink" Target="https://www.janssen.com/janssen-announces-us-fda-approval-spravato-esketamine-ciii-nasal-spray-adults-treatment-resistant" TargetMode="External"/><Relationship Id="rId17" Type="http://schemas.openxmlformats.org/officeDocument/2006/relationships/hyperlink" Target="https://doi.org/10.1371/journal.pone.0111547" TargetMode="External"/><Relationship Id="rId18" Type="http://schemas.openxmlformats.org/officeDocument/2006/relationships/hyperlink" Target="https://www.ich.org/products/guidelines/quality/quality-single/article/validation-of-analytical-procedures-text-and-methodology.html"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1E21B-237E-E04C-87E3-A33BFAA37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30</Pages>
  <Words>8937</Words>
  <Characters>50941</Characters>
  <Application>Microsoft Macintosh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McAlister</dc:creator>
  <cp:lastModifiedBy>Microsoft Office User</cp:lastModifiedBy>
  <cp:revision>10</cp:revision>
  <cp:lastPrinted>2019-09-20T11:22:00Z</cp:lastPrinted>
  <dcterms:created xsi:type="dcterms:W3CDTF">2020-02-11T22:11:00Z</dcterms:created>
  <dcterms:modified xsi:type="dcterms:W3CDTF">2020-03-24T22:23:00Z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6th edition</vt:lpwstr>
  </property>
  <property fmtid="{D5CDD505-2E9C-101B-9397-08002B2CF9AE}" pid="7" name="Mendeley Recent Style Id 2_1">
    <vt:lpwstr>http://csl.mendeley.com/styles/28231691/Keith1</vt:lpwstr>
  </property>
  <property fmtid="{D5CDD505-2E9C-101B-9397-08002B2CF9AE}" pid="8" name="Mendeley Recent Style Name 2_1">
    <vt:lpwstr>Cite Them Right 10th edition - Harvard - Keith - Emma McAlister</vt:lpwstr>
  </property>
  <property fmtid="{D5CDD505-2E9C-101B-9397-08002B2CF9AE}" pid="9" name="Mendeley Recent Style Id 3_1">
    <vt:lpwstr>http://csl.mendeley.com/styles/28231691/harvard-cite-them-right-KM2</vt:lpwstr>
  </property>
  <property fmtid="{D5CDD505-2E9C-101B-9397-08002B2CF9AE}" pid="10" name="Mendeley Recent Style Name 3_1">
    <vt:lpwstr>Cite Them Right 10th edition - Harvard - Keith - Emma McAlister</vt:lpwstr>
  </property>
  <property fmtid="{D5CDD505-2E9C-101B-9397-08002B2CF9AE}" pid="11" name="Mendeley Recent Style Id 4_1">
    <vt:lpwstr>http://csl.mendeley.com/styles/28231691/Thefinalgo</vt:lpwstr>
  </property>
  <property fmtid="{D5CDD505-2E9C-101B-9397-08002B2CF9AE}" pid="12" name="Mendeley Recent Style Name 4_1">
    <vt:lpwstr>Cite Them Right 10th edition - Harvard - Murphy - Emma McAlister</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8th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http://www.zotero.org/styles/vancouver</vt:lpwstr>
  </property>
  <property fmtid="{D5CDD505-2E9C-101B-9397-08002B2CF9AE}" pid="24" name="Mendeley Unique User Id_1">
    <vt:lpwstr>0caeaf40-63c9-3a3d-9c7e-8cb444b9bf24</vt:lpwstr>
  </property>
</Properties>
</file>