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2A972" w14:textId="77777777" w:rsidR="009C2C98" w:rsidRPr="002D43CE" w:rsidRDefault="009C2C98" w:rsidP="009C2C98">
      <w:pPr>
        <w:spacing w:line="360" w:lineRule="auto"/>
        <w:jc w:val="center"/>
        <w:rPr>
          <w:color w:val="auto"/>
        </w:rPr>
      </w:pPr>
    </w:p>
    <w:p w14:paraId="561B84CE" w14:textId="77777777" w:rsidR="009C2C98" w:rsidRPr="002D43CE" w:rsidRDefault="009C2C98" w:rsidP="009C2C98">
      <w:pPr>
        <w:spacing w:line="360" w:lineRule="auto"/>
        <w:jc w:val="center"/>
        <w:rPr>
          <w:color w:val="auto"/>
        </w:rPr>
      </w:pPr>
    </w:p>
    <w:p w14:paraId="78C2BF8E" w14:textId="77777777" w:rsidR="009C2C98" w:rsidRPr="002D43CE" w:rsidRDefault="009C2C98" w:rsidP="009C2C98">
      <w:pPr>
        <w:spacing w:line="360" w:lineRule="auto"/>
        <w:jc w:val="center"/>
        <w:rPr>
          <w:color w:val="auto"/>
        </w:rPr>
      </w:pPr>
    </w:p>
    <w:p w14:paraId="623B99ED" w14:textId="77777777" w:rsidR="009C2C98" w:rsidRPr="002D43CE" w:rsidRDefault="009C2C98" w:rsidP="009C2C98">
      <w:pPr>
        <w:spacing w:line="360" w:lineRule="auto"/>
        <w:jc w:val="center"/>
        <w:rPr>
          <w:color w:val="auto"/>
        </w:rPr>
      </w:pPr>
    </w:p>
    <w:p w14:paraId="238D164E" w14:textId="77777777" w:rsidR="009C2C98" w:rsidRPr="002D43CE" w:rsidRDefault="009C2C98" w:rsidP="009C2C98">
      <w:pPr>
        <w:spacing w:line="360" w:lineRule="auto"/>
        <w:jc w:val="center"/>
        <w:rPr>
          <w:color w:val="auto"/>
        </w:rPr>
      </w:pPr>
    </w:p>
    <w:p w14:paraId="769D75D1" w14:textId="77777777" w:rsidR="009C2C98" w:rsidRPr="002D43CE" w:rsidRDefault="009C2C98" w:rsidP="009C2C98">
      <w:pPr>
        <w:spacing w:line="360" w:lineRule="auto"/>
        <w:jc w:val="center"/>
        <w:rPr>
          <w:color w:val="auto"/>
        </w:rPr>
      </w:pPr>
    </w:p>
    <w:p w14:paraId="11BDB7B5" w14:textId="77777777" w:rsidR="009C2C98" w:rsidRPr="002D43CE" w:rsidRDefault="009C2C98" w:rsidP="009C2C98">
      <w:pPr>
        <w:spacing w:line="360" w:lineRule="auto"/>
        <w:jc w:val="center"/>
        <w:rPr>
          <w:color w:val="auto"/>
        </w:rPr>
      </w:pPr>
    </w:p>
    <w:p w14:paraId="363D5A12" w14:textId="77777777" w:rsidR="009C2C98" w:rsidRPr="002D43CE" w:rsidRDefault="009C2C98" w:rsidP="009C2C98">
      <w:pPr>
        <w:spacing w:line="360" w:lineRule="auto"/>
        <w:jc w:val="center"/>
        <w:rPr>
          <w:color w:val="auto"/>
        </w:rPr>
      </w:pPr>
      <w:r w:rsidRPr="002D43CE">
        <w:rPr>
          <w:color w:val="auto"/>
        </w:rPr>
        <w:t>The structure of ICD-11 PTSD and Complex PTSD in adolescents exposed to potentially traumatic experiences</w:t>
      </w:r>
    </w:p>
    <w:p w14:paraId="6AB52AAB" w14:textId="77777777" w:rsidR="009C2C98" w:rsidRPr="002D43CE" w:rsidRDefault="009C2C98" w:rsidP="009C2C98">
      <w:pPr>
        <w:spacing w:line="360" w:lineRule="auto"/>
        <w:jc w:val="center"/>
        <w:rPr>
          <w:color w:val="auto"/>
        </w:rPr>
      </w:pPr>
    </w:p>
    <w:p w14:paraId="4332E2EC" w14:textId="77777777" w:rsidR="009C2C98" w:rsidRPr="002D43CE" w:rsidRDefault="009C2C98" w:rsidP="009C2C98">
      <w:pPr>
        <w:spacing w:line="360" w:lineRule="auto"/>
        <w:jc w:val="center"/>
        <w:rPr>
          <w:color w:val="auto"/>
        </w:rPr>
      </w:pPr>
      <w:proofErr w:type="spellStart"/>
      <w:r w:rsidRPr="002D43CE">
        <w:rPr>
          <w:color w:val="auto"/>
        </w:rPr>
        <w:t>Evaldas</w:t>
      </w:r>
      <w:proofErr w:type="spellEnd"/>
      <w:r w:rsidRPr="002D43CE">
        <w:rPr>
          <w:color w:val="auto"/>
        </w:rPr>
        <w:t xml:space="preserve"> </w:t>
      </w:r>
      <w:proofErr w:type="spellStart"/>
      <w:r w:rsidRPr="002D43CE">
        <w:rPr>
          <w:color w:val="auto"/>
        </w:rPr>
        <w:t>Kazlauskas</w:t>
      </w:r>
      <w:proofErr w:type="spellEnd"/>
      <w:r w:rsidRPr="002D43CE">
        <w:rPr>
          <w:color w:val="auto"/>
        </w:rPr>
        <w:t xml:space="preserve"> </w:t>
      </w:r>
      <w:r w:rsidRPr="002D43CE">
        <w:rPr>
          <w:color w:val="auto"/>
          <w:vertAlign w:val="superscript"/>
        </w:rPr>
        <w:t>a</w:t>
      </w:r>
      <w:r w:rsidRPr="002D43CE">
        <w:rPr>
          <w:color w:val="auto"/>
        </w:rPr>
        <w:t xml:space="preserve">*, Paulina </w:t>
      </w:r>
      <w:proofErr w:type="spellStart"/>
      <w:r w:rsidRPr="002D43CE">
        <w:rPr>
          <w:color w:val="auto"/>
        </w:rPr>
        <w:t>Zelviene</w:t>
      </w:r>
      <w:proofErr w:type="spellEnd"/>
      <w:r w:rsidRPr="002D43CE">
        <w:rPr>
          <w:color w:val="auto"/>
        </w:rPr>
        <w:t xml:space="preserve"> </w:t>
      </w:r>
      <w:r w:rsidRPr="002D43CE">
        <w:rPr>
          <w:color w:val="auto"/>
          <w:vertAlign w:val="superscript"/>
        </w:rPr>
        <w:t>a</w:t>
      </w:r>
      <w:r w:rsidRPr="002D43CE">
        <w:rPr>
          <w:color w:val="auto"/>
        </w:rPr>
        <w:t xml:space="preserve">, </w:t>
      </w:r>
      <w:proofErr w:type="spellStart"/>
      <w:r w:rsidRPr="002D43CE">
        <w:rPr>
          <w:color w:val="auto"/>
        </w:rPr>
        <w:t>Ieva</w:t>
      </w:r>
      <w:proofErr w:type="spellEnd"/>
      <w:r w:rsidRPr="002D43CE">
        <w:rPr>
          <w:color w:val="auto"/>
        </w:rPr>
        <w:t xml:space="preserve"> </w:t>
      </w:r>
      <w:proofErr w:type="spellStart"/>
      <w:r w:rsidRPr="002D43CE">
        <w:rPr>
          <w:color w:val="auto"/>
        </w:rPr>
        <w:t>Daniunaite</w:t>
      </w:r>
      <w:proofErr w:type="spellEnd"/>
      <w:r w:rsidRPr="002D43CE">
        <w:rPr>
          <w:color w:val="auto"/>
        </w:rPr>
        <w:t xml:space="preserve"> </w:t>
      </w:r>
      <w:r w:rsidRPr="002D43CE">
        <w:rPr>
          <w:color w:val="auto"/>
          <w:vertAlign w:val="superscript"/>
        </w:rPr>
        <w:t>a</w:t>
      </w:r>
      <w:r w:rsidRPr="002D43CE">
        <w:rPr>
          <w:color w:val="auto"/>
        </w:rPr>
        <w:t xml:space="preserve">, Philip Hyland </w:t>
      </w:r>
      <w:r w:rsidRPr="002D43CE">
        <w:rPr>
          <w:color w:val="auto"/>
          <w:vertAlign w:val="superscript"/>
        </w:rPr>
        <w:t>b</w:t>
      </w:r>
      <w:r w:rsidRPr="002D43CE">
        <w:rPr>
          <w:color w:val="auto"/>
        </w:rPr>
        <w:t xml:space="preserve">, Monika </w:t>
      </w:r>
      <w:proofErr w:type="spellStart"/>
      <w:r w:rsidRPr="002D43CE">
        <w:rPr>
          <w:color w:val="auto"/>
        </w:rPr>
        <w:t>Kvedaraite</w:t>
      </w:r>
      <w:proofErr w:type="spellEnd"/>
      <w:r w:rsidRPr="002D43CE">
        <w:rPr>
          <w:color w:val="auto"/>
        </w:rPr>
        <w:t xml:space="preserve"> </w:t>
      </w:r>
      <w:r w:rsidRPr="002D43CE">
        <w:rPr>
          <w:color w:val="auto"/>
          <w:vertAlign w:val="superscript"/>
        </w:rPr>
        <w:t>a</w:t>
      </w:r>
      <w:r w:rsidRPr="002D43CE">
        <w:rPr>
          <w:color w:val="auto"/>
        </w:rPr>
        <w:t xml:space="preserve">, Mark </w:t>
      </w:r>
      <w:proofErr w:type="spellStart"/>
      <w:r w:rsidRPr="002D43CE">
        <w:rPr>
          <w:color w:val="auto"/>
        </w:rPr>
        <w:t>Shevlin</w:t>
      </w:r>
      <w:proofErr w:type="spellEnd"/>
      <w:r w:rsidRPr="002D43CE">
        <w:rPr>
          <w:color w:val="auto"/>
        </w:rPr>
        <w:t xml:space="preserve"> </w:t>
      </w:r>
      <w:r w:rsidRPr="002D43CE">
        <w:rPr>
          <w:color w:val="auto"/>
          <w:vertAlign w:val="superscript"/>
        </w:rPr>
        <w:t>c</w:t>
      </w:r>
      <w:r w:rsidRPr="002D43CE">
        <w:rPr>
          <w:color w:val="auto"/>
        </w:rPr>
        <w:t xml:space="preserve">, </w:t>
      </w:r>
      <w:proofErr w:type="spellStart"/>
      <w:r w:rsidRPr="002D43CE">
        <w:rPr>
          <w:color w:val="auto"/>
        </w:rPr>
        <w:t>Marylene</w:t>
      </w:r>
      <w:proofErr w:type="spellEnd"/>
      <w:r w:rsidRPr="002D43CE">
        <w:rPr>
          <w:color w:val="auto"/>
        </w:rPr>
        <w:t xml:space="preserve"> </w:t>
      </w:r>
      <w:proofErr w:type="spellStart"/>
      <w:r w:rsidRPr="002D43CE">
        <w:rPr>
          <w:color w:val="auto"/>
        </w:rPr>
        <w:t>Cloitre</w:t>
      </w:r>
      <w:proofErr w:type="spellEnd"/>
      <w:r w:rsidRPr="002D43CE">
        <w:rPr>
          <w:color w:val="auto"/>
        </w:rPr>
        <w:t xml:space="preserve"> </w:t>
      </w:r>
      <w:proofErr w:type="spellStart"/>
      <w:proofErr w:type="gramStart"/>
      <w:r w:rsidRPr="002D43CE">
        <w:rPr>
          <w:color w:val="auto"/>
          <w:vertAlign w:val="superscript"/>
        </w:rPr>
        <w:t>d,e</w:t>
      </w:r>
      <w:proofErr w:type="spellEnd"/>
      <w:proofErr w:type="gramEnd"/>
    </w:p>
    <w:p w14:paraId="12385ACB" w14:textId="77777777" w:rsidR="009C2C98" w:rsidRPr="002D43CE" w:rsidRDefault="009C2C98" w:rsidP="009C2C98">
      <w:pPr>
        <w:spacing w:line="360" w:lineRule="auto"/>
        <w:jc w:val="center"/>
        <w:rPr>
          <w:color w:val="auto"/>
        </w:rPr>
      </w:pPr>
    </w:p>
    <w:p w14:paraId="16FFD62C" w14:textId="77777777" w:rsidR="009C2C98" w:rsidRPr="002D43CE" w:rsidRDefault="009C2C98" w:rsidP="009C2C98">
      <w:pPr>
        <w:spacing w:line="360" w:lineRule="auto"/>
        <w:jc w:val="center"/>
        <w:rPr>
          <w:color w:val="auto"/>
        </w:rPr>
      </w:pPr>
    </w:p>
    <w:p w14:paraId="6FC800D7" w14:textId="77777777" w:rsidR="009C2C98" w:rsidRPr="002D43CE" w:rsidRDefault="009C2C98" w:rsidP="009C2C98">
      <w:pPr>
        <w:spacing w:line="360" w:lineRule="auto"/>
        <w:jc w:val="center"/>
        <w:rPr>
          <w:color w:val="auto"/>
        </w:rPr>
      </w:pPr>
    </w:p>
    <w:p w14:paraId="66D53469" w14:textId="77777777" w:rsidR="009C2C98" w:rsidRPr="002D43CE" w:rsidRDefault="009C2C98" w:rsidP="009C2C98">
      <w:pPr>
        <w:spacing w:line="360" w:lineRule="auto"/>
        <w:jc w:val="center"/>
        <w:rPr>
          <w:color w:val="auto"/>
        </w:rPr>
      </w:pPr>
    </w:p>
    <w:p w14:paraId="1C48872C" w14:textId="77777777" w:rsidR="009C2C98" w:rsidRPr="002D43CE" w:rsidRDefault="009C2C98" w:rsidP="009C2C98">
      <w:pPr>
        <w:spacing w:line="360" w:lineRule="auto"/>
        <w:jc w:val="center"/>
        <w:rPr>
          <w:color w:val="auto"/>
        </w:rPr>
      </w:pPr>
    </w:p>
    <w:p w14:paraId="25767376" w14:textId="77777777" w:rsidR="009C2C98" w:rsidRPr="002D43CE" w:rsidRDefault="009C2C98" w:rsidP="009C2C98">
      <w:pPr>
        <w:spacing w:line="360" w:lineRule="auto"/>
        <w:ind w:firstLine="720"/>
        <w:rPr>
          <w:color w:val="auto"/>
        </w:rPr>
      </w:pPr>
      <w:r w:rsidRPr="002D43CE">
        <w:rPr>
          <w:color w:val="auto"/>
          <w:vertAlign w:val="superscript"/>
        </w:rPr>
        <w:t xml:space="preserve">a </w:t>
      </w:r>
      <w:r w:rsidRPr="002D43CE">
        <w:rPr>
          <w:color w:val="auto"/>
        </w:rPr>
        <w:t xml:space="preserve">Center for </w:t>
      </w:r>
      <w:proofErr w:type="spellStart"/>
      <w:r w:rsidRPr="002D43CE">
        <w:rPr>
          <w:color w:val="auto"/>
        </w:rPr>
        <w:t>Psychotraumatology</w:t>
      </w:r>
      <w:proofErr w:type="spellEnd"/>
      <w:r w:rsidRPr="002D43CE">
        <w:rPr>
          <w:color w:val="auto"/>
        </w:rPr>
        <w:t xml:space="preserve">, Institute of Psychology, Vilnius University, Vilnius, Lithuania </w:t>
      </w:r>
    </w:p>
    <w:p w14:paraId="4C382C7D" w14:textId="77777777" w:rsidR="009C2C98" w:rsidRPr="002D43CE" w:rsidRDefault="009C2C98" w:rsidP="009C2C98">
      <w:pPr>
        <w:spacing w:line="360" w:lineRule="auto"/>
        <w:ind w:firstLine="720"/>
        <w:rPr>
          <w:color w:val="auto"/>
        </w:rPr>
      </w:pPr>
      <w:r w:rsidRPr="002D43CE">
        <w:rPr>
          <w:color w:val="auto"/>
          <w:vertAlign w:val="superscript"/>
        </w:rPr>
        <w:t xml:space="preserve">b </w:t>
      </w:r>
      <w:r w:rsidRPr="002D43CE">
        <w:rPr>
          <w:color w:val="auto"/>
        </w:rPr>
        <w:t xml:space="preserve">School of Psychology, </w:t>
      </w:r>
      <w:proofErr w:type="spellStart"/>
      <w:r w:rsidRPr="002D43CE">
        <w:rPr>
          <w:color w:val="auto"/>
        </w:rPr>
        <w:t>Maynooth</w:t>
      </w:r>
      <w:proofErr w:type="spellEnd"/>
      <w:r w:rsidRPr="002D43CE">
        <w:rPr>
          <w:color w:val="auto"/>
        </w:rPr>
        <w:t xml:space="preserve"> University, Kildare, Ireland</w:t>
      </w:r>
    </w:p>
    <w:p w14:paraId="220FA136" w14:textId="77777777" w:rsidR="009C2C98" w:rsidRPr="002D43CE" w:rsidRDefault="009C2C98" w:rsidP="009C2C98">
      <w:pPr>
        <w:spacing w:line="360" w:lineRule="auto"/>
        <w:ind w:firstLine="720"/>
        <w:rPr>
          <w:color w:val="auto"/>
        </w:rPr>
      </w:pPr>
      <w:r w:rsidRPr="002D43CE">
        <w:rPr>
          <w:color w:val="auto"/>
          <w:vertAlign w:val="superscript"/>
        </w:rPr>
        <w:t xml:space="preserve">c </w:t>
      </w:r>
      <w:r w:rsidRPr="002D43CE">
        <w:rPr>
          <w:color w:val="auto"/>
        </w:rPr>
        <w:t>School of Psychology, Ulster University, Coleraine, UK</w:t>
      </w:r>
    </w:p>
    <w:p w14:paraId="4CA85A60" w14:textId="77777777" w:rsidR="009C2C98" w:rsidRPr="002D43CE" w:rsidRDefault="009C2C98" w:rsidP="009C2C98">
      <w:pPr>
        <w:spacing w:line="360" w:lineRule="auto"/>
        <w:ind w:firstLine="720"/>
        <w:rPr>
          <w:color w:val="auto"/>
        </w:rPr>
      </w:pPr>
      <w:r w:rsidRPr="002D43CE">
        <w:rPr>
          <w:color w:val="auto"/>
          <w:vertAlign w:val="superscript"/>
        </w:rPr>
        <w:t xml:space="preserve">d </w:t>
      </w:r>
      <w:r w:rsidRPr="002D43CE">
        <w:rPr>
          <w:color w:val="auto"/>
        </w:rPr>
        <w:t>Department of Psychiatry and Behavioral Sciences, Stanford University, California, USA</w:t>
      </w:r>
    </w:p>
    <w:p w14:paraId="719FF2D5" w14:textId="77777777" w:rsidR="009C2C98" w:rsidRPr="002D43CE" w:rsidRDefault="009C2C98" w:rsidP="009C2C98">
      <w:pPr>
        <w:spacing w:line="360" w:lineRule="auto"/>
        <w:ind w:firstLine="720"/>
        <w:rPr>
          <w:color w:val="auto"/>
        </w:rPr>
      </w:pPr>
      <w:r w:rsidRPr="002D43CE">
        <w:rPr>
          <w:color w:val="auto"/>
          <w:vertAlign w:val="superscript"/>
        </w:rPr>
        <w:t xml:space="preserve">e </w:t>
      </w:r>
      <w:r w:rsidRPr="002D43CE">
        <w:rPr>
          <w:color w:val="auto"/>
        </w:rPr>
        <w:t>National Center for PTSD, Veterans Affairs Palo Alto Health Care System, Palo Alto, CA, USA</w:t>
      </w:r>
    </w:p>
    <w:p w14:paraId="2033CD0B" w14:textId="77777777" w:rsidR="009C2C98" w:rsidRPr="002D43CE" w:rsidRDefault="009C2C98" w:rsidP="009C2C98">
      <w:pPr>
        <w:spacing w:line="360" w:lineRule="auto"/>
        <w:ind w:firstLine="720"/>
        <w:rPr>
          <w:color w:val="auto"/>
        </w:rPr>
      </w:pPr>
    </w:p>
    <w:p w14:paraId="7E4DD59E" w14:textId="77777777" w:rsidR="009C2C98" w:rsidRPr="002D43CE" w:rsidRDefault="009C2C98" w:rsidP="009C2C98">
      <w:pPr>
        <w:spacing w:line="360" w:lineRule="auto"/>
        <w:ind w:firstLine="720"/>
        <w:rPr>
          <w:color w:val="auto"/>
        </w:rPr>
      </w:pPr>
    </w:p>
    <w:p w14:paraId="0B08F833" w14:textId="77777777" w:rsidR="009C2C98" w:rsidRPr="002D43CE" w:rsidRDefault="009C2C98" w:rsidP="009C2C98">
      <w:pPr>
        <w:spacing w:line="360" w:lineRule="auto"/>
        <w:ind w:firstLine="720"/>
        <w:rPr>
          <w:color w:val="auto"/>
        </w:rPr>
      </w:pPr>
      <w:r w:rsidRPr="002D43CE">
        <w:rPr>
          <w:color w:val="auto"/>
        </w:rPr>
        <w:t xml:space="preserve">* Correspondence concerning this article should be addressed to </w:t>
      </w:r>
      <w:proofErr w:type="spellStart"/>
      <w:r w:rsidRPr="002D43CE">
        <w:rPr>
          <w:color w:val="auto"/>
        </w:rPr>
        <w:t>Evaldas</w:t>
      </w:r>
      <w:proofErr w:type="spellEnd"/>
      <w:r w:rsidRPr="002D43CE">
        <w:rPr>
          <w:color w:val="auto"/>
        </w:rPr>
        <w:t xml:space="preserve"> </w:t>
      </w:r>
      <w:proofErr w:type="spellStart"/>
      <w:r w:rsidRPr="002D43CE">
        <w:rPr>
          <w:color w:val="auto"/>
        </w:rPr>
        <w:t>Kazlauskas</w:t>
      </w:r>
      <w:proofErr w:type="spellEnd"/>
      <w:r w:rsidRPr="002D43CE">
        <w:rPr>
          <w:color w:val="auto"/>
        </w:rPr>
        <w:t xml:space="preserve">, Center for </w:t>
      </w:r>
      <w:proofErr w:type="spellStart"/>
      <w:r w:rsidRPr="002D43CE">
        <w:rPr>
          <w:color w:val="auto"/>
        </w:rPr>
        <w:t>Psychotraumatology</w:t>
      </w:r>
      <w:proofErr w:type="spellEnd"/>
      <w:r w:rsidRPr="002D43CE">
        <w:rPr>
          <w:color w:val="auto"/>
        </w:rPr>
        <w:t xml:space="preserve">, Institute of Psychology, Vilnius University, </w:t>
      </w:r>
      <w:proofErr w:type="spellStart"/>
      <w:r w:rsidRPr="002D43CE">
        <w:rPr>
          <w:color w:val="auto"/>
        </w:rPr>
        <w:t>Ciurlionio</w:t>
      </w:r>
      <w:proofErr w:type="spellEnd"/>
      <w:r w:rsidRPr="002D43CE">
        <w:rPr>
          <w:color w:val="auto"/>
        </w:rPr>
        <w:t xml:space="preserve"> 29-203, Vilnius, LT-01300 Lithuania.</w:t>
      </w:r>
    </w:p>
    <w:p w14:paraId="72268248" w14:textId="77777777" w:rsidR="009C2C98" w:rsidRPr="002D43CE" w:rsidRDefault="009C2C98" w:rsidP="009C2C98">
      <w:pPr>
        <w:spacing w:line="360" w:lineRule="auto"/>
        <w:rPr>
          <w:color w:val="auto"/>
        </w:rPr>
      </w:pPr>
      <w:r w:rsidRPr="002D43CE">
        <w:rPr>
          <w:color w:val="auto"/>
        </w:rPr>
        <w:t>E-mail: evaldas.</w:t>
      </w:r>
      <w:hyperlink r:id="rId8" w:history="1">
        <w:r w:rsidRPr="002D43CE">
          <w:rPr>
            <w:rStyle w:val="Hyperlink"/>
            <w:color w:val="auto"/>
            <w:u w:val="none"/>
          </w:rPr>
          <w:t>kazlauskas@fsf.vu.lt</w:t>
        </w:r>
      </w:hyperlink>
    </w:p>
    <w:p w14:paraId="4A61087B" w14:textId="77777777" w:rsidR="009C2C98" w:rsidRPr="002D43CE" w:rsidRDefault="009C2C98" w:rsidP="009C2C98">
      <w:pPr>
        <w:suppressAutoHyphens w:val="0"/>
        <w:spacing w:line="360" w:lineRule="auto"/>
        <w:rPr>
          <w:color w:val="auto"/>
        </w:rPr>
      </w:pPr>
    </w:p>
    <w:p w14:paraId="671A80F8" w14:textId="77777777" w:rsidR="009C2C98" w:rsidRPr="002D43CE" w:rsidRDefault="009C2C98">
      <w:pPr>
        <w:suppressAutoHyphens w:val="0"/>
        <w:spacing w:line="240" w:lineRule="auto"/>
        <w:rPr>
          <w:b/>
          <w:color w:val="auto"/>
        </w:rPr>
      </w:pPr>
      <w:r w:rsidRPr="002D43CE">
        <w:rPr>
          <w:b/>
          <w:color w:val="auto"/>
        </w:rPr>
        <w:br w:type="page"/>
      </w:r>
    </w:p>
    <w:p w14:paraId="301E901C" w14:textId="47CEE456" w:rsidR="00563BE5" w:rsidRPr="002D43CE" w:rsidRDefault="00563BE5" w:rsidP="00563BE5">
      <w:pPr>
        <w:spacing w:line="360" w:lineRule="auto"/>
        <w:rPr>
          <w:b/>
          <w:color w:val="auto"/>
        </w:rPr>
      </w:pPr>
      <w:r w:rsidRPr="002D43CE">
        <w:rPr>
          <w:b/>
          <w:color w:val="auto"/>
        </w:rPr>
        <w:lastRenderedPageBreak/>
        <w:t>Highlights</w:t>
      </w:r>
    </w:p>
    <w:p w14:paraId="40C5CBB8" w14:textId="77777777" w:rsidR="00563BE5" w:rsidRPr="002D43CE" w:rsidRDefault="00563BE5" w:rsidP="00563BE5">
      <w:pPr>
        <w:pStyle w:val="ListParagraph"/>
        <w:numPr>
          <w:ilvl w:val="0"/>
          <w:numId w:val="10"/>
        </w:numPr>
        <w:spacing w:line="360" w:lineRule="auto"/>
        <w:rPr>
          <w:color w:val="auto"/>
        </w:rPr>
      </w:pPr>
      <w:r w:rsidRPr="002D43CE">
        <w:rPr>
          <w:color w:val="auto"/>
        </w:rPr>
        <w:t>This is the first study to explore the construct validity of the Child and Adolescent version of International Trauma Questionnaire (ITQ-CA) as a measure of ICD-11 Complex PTSD symptoms.</w:t>
      </w:r>
    </w:p>
    <w:p w14:paraId="7F2523F6" w14:textId="77777777" w:rsidR="00563BE5" w:rsidRPr="002D43CE" w:rsidRDefault="00563BE5" w:rsidP="00563BE5">
      <w:pPr>
        <w:pStyle w:val="ListParagraph"/>
        <w:numPr>
          <w:ilvl w:val="0"/>
          <w:numId w:val="10"/>
        </w:numPr>
        <w:spacing w:line="360" w:lineRule="auto"/>
        <w:rPr>
          <w:color w:val="auto"/>
        </w:rPr>
      </w:pPr>
      <w:r w:rsidRPr="002D43CE">
        <w:rPr>
          <w:color w:val="auto"/>
        </w:rPr>
        <w:t>Confirmatory factor analysis and Latent class analysis were used to test factor structure and validity of ICD-11 PTSD symptoms in a sample of 932 adolescents exposed to traumatic experiences from general population.</w:t>
      </w:r>
    </w:p>
    <w:p w14:paraId="4EE19791" w14:textId="6F304C71" w:rsidR="009C2C98" w:rsidRPr="002D43CE" w:rsidRDefault="00563BE5" w:rsidP="00563BE5">
      <w:pPr>
        <w:pStyle w:val="ListParagraph"/>
        <w:numPr>
          <w:ilvl w:val="0"/>
          <w:numId w:val="10"/>
        </w:numPr>
        <w:spacing w:line="360" w:lineRule="auto"/>
        <w:rPr>
          <w:color w:val="auto"/>
        </w:rPr>
      </w:pPr>
      <w:r w:rsidRPr="002D43CE">
        <w:rPr>
          <w:color w:val="auto"/>
        </w:rPr>
        <w:t>Findings of the study provide support for the construct validity of the ICD-11 PTSD and CPTSD among adolescents.</w:t>
      </w:r>
    </w:p>
    <w:p w14:paraId="2AF179DF" w14:textId="77777777" w:rsidR="009C2C98" w:rsidRPr="002D43CE" w:rsidRDefault="009C2C98">
      <w:pPr>
        <w:suppressAutoHyphens w:val="0"/>
        <w:spacing w:line="240" w:lineRule="auto"/>
        <w:rPr>
          <w:color w:val="auto"/>
        </w:rPr>
      </w:pPr>
      <w:r w:rsidRPr="002D43CE">
        <w:rPr>
          <w:color w:val="auto"/>
        </w:rPr>
        <w:br w:type="page"/>
      </w:r>
    </w:p>
    <w:p w14:paraId="3D936901" w14:textId="77777777" w:rsidR="00563BE5" w:rsidRPr="002D43CE" w:rsidRDefault="00563BE5" w:rsidP="00563BE5">
      <w:pPr>
        <w:spacing w:line="360" w:lineRule="auto"/>
        <w:jc w:val="center"/>
        <w:rPr>
          <w:b/>
          <w:color w:val="auto"/>
        </w:rPr>
      </w:pPr>
      <w:r w:rsidRPr="002D43CE">
        <w:rPr>
          <w:b/>
          <w:color w:val="auto"/>
        </w:rPr>
        <w:lastRenderedPageBreak/>
        <w:t>Abstract</w:t>
      </w:r>
    </w:p>
    <w:p w14:paraId="5B302474" w14:textId="77777777" w:rsidR="00563BE5" w:rsidRPr="002D43CE" w:rsidRDefault="00563BE5" w:rsidP="00563BE5">
      <w:pPr>
        <w:spacing w:line="360" w:lineRule="auto"/>
        <w:rPr>
          <w:color w:val="auto"/>
        </w:rPr>
      </w:pPr>
      <w:r w:rsidRPr="002D43CE">
        <w:rPr>
          <w:b/>
          <w:color w:val="auto"/>
        </w:rPr>
        <w:t xml:space="preserve">Background: </w:t>
      </w:r>
      <w:r w:rsidRPr="002D43CE">
        <w:rPr>
          <w:color w:val="auto"/>
        </w:rPr>
        <w:t>The recently released 11</w:t>
      </w:r>
      <w:r w:rsidRPr="002D43CE">
        <w:rPr>
          <w:color w:val="auto"/>
          <w:vertAlign w:val="superscript"/>
        </w:rPr>
        <w:t>th</w:t>
      </w:r>
      <w:r w:rsidRPr="002D43CE">
        <w:rPr>
          <w:color w:val="auto"/>
        </w:rPr>
        <w:t xml:space="preserve"> edition of International Classification of Diseases (ICD-11) included new definitions of disorders specifically associated with stress. Complex post-traumatic stress disorder (CPTSD) was included in ICD-11 as a new trauma-related disorder which could develop following prolonged or reoccurring traumatic experiences. Research on ICD-11 PTSD and CPTSD validity and epidemiology has, so far, mostly been conducted in adult population. This is the first study to explore the construct validity of the Child and Adolescent version of International Trauma Questionnaire (ITQ-CA) as a measure of ICD-11 CPTSD symptoms. </w:t>
      </w:r>
    </w:p>
    <w:p w14:paraId="60F34EDB" w14:textId="77777777" w:rsidR="00563BE5" w:rsidRPr="002D43CE" w:rsidRDefault="00563BE5" w:rsidP="00563BE5">
      <w:pPr>
        <w:spacing w:line="360" w:lineRule="auto"/>
        <w:rPr>
          <w:color w:val="auto"/>
        </w:rPr>
      </w:pPr>
    </w:p>
    <w:p w14:paraId="712503CB" w14:textId="77777777" w:rsidR="00563BE5" w:rsidRPr="002D43CE" w:rsidRDefault="00563BE5" w:rsidP="00563BE5">
      <w:pPr>
        <w:spacing w:line="360" w:lineRule="auto"/>
        <w:rPr>
          <w:color w:val="auto"/>
        </w:rPr>
      </w:pPr>
      <w:r w:rsidRPr="002D43CE">
        <w:rPr>
          <w:b/>
          <w:color w:val="auto"/>
        </w:rPr>
        <w:t xml:space="preserve">Methods: </w:t>
      </w:r>
      <w:r w:rsidRPr="002D43CE">
        <w:rPr>
          <w:color w:val="auto"/>
        </w:rPr>
        <w:t>The study was based on a sample of 932 adolescents from the general population aged 12 to 16 (</w:t>
      </w:r>
      <w:r w:rsidRPr="002D43CE">
        <w:rPr>
          <w:i/>
          <w:color w:val="auto"/>
        </w:rPr>
        <w:t>M</w:t>
      </w:r>
      <w:r w:rsidRPr="002D43CE">
        <w:rPr>
          <w:color w:val="auto"/>
        </w:rPr>
        <w:t xml:space="preserve"> = 14.25, </w:t>
      </w:r>
      <w:r w:rsidRPr="002D43CE">
        <w:rPr>
          <w:i/>
          <w:color w:val="auto"/>
        </w:rPr>
        <w:t>SD</w:t>
      </w:r>
      <w:r w:rsidRPr="002D43CE">
        <w:rPr>
          <w:color w:val="auto"/>
        </w:rPr>
        <w:t xml:space="preserve"> = 1.27) years exposed to various traumatic experiences. We used confirmatory factor analysis (CFA) and latent class analysis (LCA) to test validity of the ITQ-CA</w:t>
      </w:r>
      <w:r w:rsidRPr="002D43CE" w:rsidDel="0015357F">
        <w:rPr>
          <w:color w:val="auto"/>
        </w:rPr>
        <w:t xml:space="preserve"> </w:t>
      </w:r>
      <w:r w:rsidRPr="002D43CE">
        <w:rPr>
          <w:color w:val="auto"/>
        </w:rPr>
        <w:t xml:space="preserve">scores from adolescents. </w:t>
      </w:r>
    </w:p>
    <w:p w14:paraId="340F7397" w14:textId="77777777" w:rsidR="00563BE5" w:rsidRPr="002D43CE" w:rsidRDefault="00563BE5" w:rsidP="00563BE5">
      <w:pPr>
        <w:spacing w:line="360" w:lineRule="auto"/>
        <w:rPr>
          <w:color w:val="auto"/>
        </w:rPr>
      </w:pPr>
    </w:p>
    <w:p w14:paraId="4FD2309C" w14:textId="77777777" w:rsidR="00563BE5" w:rsidRPr="002D43CE" w:rsidRDefault="00563BE5" w:rsidP="00563BE5">
      <w:pPr>
        <w:spacing w:line="360" w:lineRule="auto"/>
        <w:rPr>
          <w:color w:val="auto"/>
        </w:rPr>
      </w:pPr>
      <w:r w:rsidRPr="002D43CE">
        <w:rPr>
          <w:b/>
          <w:color w:val="auto"/>
        </w:rPr>
        <w:t xml:space="preserve">Results: </w:t>
      </w:r>
      <w:r w:rsidRPr="002D43CE">
        <w:rPr>
          <w:color w:val="auto"/>
        </w:rPr>
        <w:t xml:space="preserve">The best fitting measurement model included six correlated factors representing the three PTSD and three DSO symptom clusters. LCA analysis revealed four classes whose symptom profiles were reflective of ‘CPTSD’, ‘PTSD’, ‘DSO only’, and ‘Baseline’. </w:t>
      </w:r>
    </w:p>
    <w:p w14:paraId="4D9FB8D2" w14:textId="77777777" w:rsidR="00563BE5" w:rsidRPr="002D43CE" w:rsidRDefault="00563BE5" w:rsidP="00563BE5">
      <w:pPr>
        <w:spacing w:line="360" w:lineRule="auto"/>
        <w:rPr>
          <w:color w:val="auto"/>
        </w:rPr>
      </w:pPr>
    </w:p>
    <w:p w14:paraId="0FC4068D" w14:textId="23797FC4" w:rsidR="00563BE5" w:rsidRPr="002D43CE" w:rsidRDefault="00563BE5" w:rsidP="00563BE5">
      <w:pPr>
        <w:spacing w:line="360" w:lineRule="auto"/>
        <w:rPr>
          <w:color w:val="auto"/>
        </w:rPr>
      </w:pPr>
      <w:r w:rsidRPr="002D43CE">
        <w:rPr>
          <w:b/>
          <w:color w:val="auto"/>
        </w:rPr>
        <w:t xml:space="preserve">Conclusions: </w:t>
      </w:r>
      <w:r w:rsidRPr="002D43CE">
        <w:rPr>
          <w:color w:val="auto"/>
        </w:rPr>
        <w:t xml:space="preserve">Findings of the study provide support for the construct validity of the ICD-11 PTSD and CPTSD among adolescents. </w:t>
      </w:r>
      <w:r w:rsidRPr="002D43CE">
        <w:rPr>
          <w:color w:val="auto"/>
        </w:rPr>
        <w:br w:type="page"/>
      </w:r>
    </w:p>
    <w:p w14:paraId="5CDFAA0C" w14:textId="6ED29B8B" w:rsidR="009C2C98" w:rsidRPr="002D43CE" w:rsidRDefault="009C2C98" w:rsidP="002D43CE">
      <w:pPr>
        <w:spacing w:line="360" w:lineRule="auto"/>
        <w:jc w:val="center"/>
        <w:rPr>
          <w:color w:val="auto"/>
        </w:rPr>
      </w:pPr>
      <w:r w:rsidRPr="002D43CE">
        <w:rPr>
          <w:color w:val="auto"/>
        </w:rPr>
        <w:lastRenderedPageBreak/>
        <w:t>The structure of ICD-11 PTSD and Complex PTSD in adolescents exposed to potentially</w:t>
      </w:r>
    </w:p>
    <w:p w14:paraId="20098419" w14:textId="04B454D6" w:rsidR="009C2C98" w:rsidRPr="002D43CE" w:rsidRDefault="009C2C98" w:rsidP="002D43CE">
      <w:pPr>
        <w:spacing w:line="360" w:lineRule="auto"/>
        <w:jc w:val="center"/>
        <w:rPr>
          <w:color w:val="auto"/>
        </w:rPr>
      </w:pPr>
      <w:r w:rsidRPr="002D43CE">
        <w:rPr>
          <w:color w:val="auto"/>
        </w:rPr>
        <w:t>traumatic experiences</w:t>
      </w:r>
    </w:p>
    <w:p w14:paraId="1527531D" w14:textId="77777777" w:rsidR="009C2C98" w:rsidRPr="002D43CE" w:rsidRDefault="009C2C98" w:rsidP="009C2C98">
      <w:pPr>
        <w:spacing w:line="360" w:lineRule="auto"/>
        <w:rPr>
          <w:color w:val="auto"/>
        </w:rPr>
      </w:pPr>
    </w:p>
    <w:p w14:paraId="4EEA0ECB" w14:textId="63ADDD23" w:rsidR="00D02C7B" w:rsidRPr="002D43CE" w:rsidRDefault="00D02C7B" w:rsidP="00365F1C">
      <w:pPr>
        <w:spacing w:line="360" w:lineRule="auto"/>
        <w:rPr>
          <w:color w:val="auto"/>
        </w:rPr>
      </w:pPr>
      <w:r w:rsidRPr="002D43CE">
        <w:rPr>
          <w:color w:val="auto"/>
        </w:rPr>
        <w:t xml:space="preserve">1. </w:t>
      </w:r>
      <w:r w:rsidR="00AF7FDD" w:rsidRPr="002D43CE">
        <w:rPr>
          <w:color w:val="auto"/>
        </w:rPr>
        <w:t>Introduction</w:t>
      </w:r>
    </w:p>
    <w:p w14:paraId="0F7B8769" w14:textId="77777777" w:rsidR="00AF7FDD" w:rsidRPr="002D43CE" w:rsidRDefault="00AF7FDD" w:rsidP="00365F1C">
      <w:pPr>
        <w:spacing w:line="360" w:lineRule="auto"/>
        <w:rPr>
          <w:color w:val="auto"/>
        </w:rPr>
      </w:pPr>
    </w:p>
    <w:p w14:paraId="24F2DB6E" w14:textId="59C98D71" w:rsidR="003B2B0D" w:rsidRPr="002D43CE" w:rsidRDefault="006D671D" w:rsidP="00365F1C">
      <w:pPr>
        <w:suppressAutoHyphens w:val="0"/>
        <w:spacing w:line="360" w:lineRule="auto"/>
        <w:ind w:firstLine="720"/>
        <w:rPr>
          <w:color w:val="auto"/>
        </w:rPr>
      </w:pPr>
      <w:r w:rsidRPr="002D43CE">
        <w:rPr>
          <w:color w:val="auto"/>
        </w:rPr>
        <w:t>The recently released 11</w:t>
      </w:r>
      <w:r w:rsidRPr="002D43CE">
        <w:rPr>
          <w:color w:val="auto"/>
          <w:vertAlign w:val="superscript"/>
        </w:rPr>
        <w:t>th</w:t>
      </w:r>
      <w:r w:rsidRPr="002D43CE">
        <w:rPr>
          <w:color w:val="auto"/>
        </w:rPr>
        <w:t xml:space="preserve"> edition of International Classification of Diseases (ICD-11) included </w:t>
      </w:r>
      <w:r w:rsidR="003B2B0D" w:rsidRPr="002D43CE">
        <w:rPr>
          <w:color w:val="auto"/>
        </w:rPr>
        <w:t xml:space="preserve">a </w:t>
      </w:r>
      <w:r w:rsidRPr="002D43CE">
        <w:rPr>
          <w:color w:val="auto"/>
        </w:rPr>
        <w:t xml:space="preserve">chapter </w:t>
      </w:r>
      <w:r w:rsidR="003B2B0D" w:rsidRPr="002D43CE">
        <w:rPr>
          <w:color w:val="auto"/>
        </w:rPr>
        <w:t>‘</w:t>
      </w:r>
      <w:r w:rsidR="007617D6" w:rsidRPr="002D43CE">
        <w:rPr>
          <w:color w:val="auto"/>
        </w:rPr>
        <w:t>06: D</w:t>
      </w:r>
      <w:r w:rsidRPr="002D43CE">
        <w:rPr>
          <w:color w:val="auto"/>
        </w:rPr>
        <w:t xml:space="preserve">isorders </w:t>
      </w:r>
      <w:r w:rsidR="007617D6" w:rsidRPr="002D43CE">
        <w:rPr>
          <w:color w:val="auto"/>
        </w:rPr>
        <w:t>S</w:t>
      </w:r>
      <w:r w:rsidRPr="002D43CE">
        <w:rPr>
          <w:color w:val="auto"/>
        </w:rPr>
        <w:t xml:space="preserve">pecifically </w:t>
      </w:r>
      <w:r w:rsidR="007617D6" w:rsidRPr="002D43CE">
        <w:rPr>
          <w:color w:val="auto"/>
        </w:rPr>
        <w:t>A</w:t>
      </w:r>
      <w:r w:rsidRPr="002D43CE">
        <w:rPr>
          <w:color w:val="auto"/>
        </w:rPr>
        <w:t xml:space="preserve">ssociated with </w:t>
      </w:r>
      <w:r w:rsidR="007617D6" w:rsidRPr="002D43CE">
        <w:rPr>
          <w:color w:val="auto"/>
        </w:rPr>
        <w:t>S</w:t>
      </w:r>
      <w:r w:rsidRPr="002D43CE">
        <w:rPr>
          <w:color w:val="auto"/>
        </w:rPr>
        <w:t>tress</w:t>
      </w:r>
      <w:r w:rsidR="003B2B0D" w:rsidRPr="002D43CE">
        <w:rPr>
          <w:color w:val="auto"/>
        </w:rPr>
        <w:t>’</w:t>
      </w:r>
      <w:r w:rsidR="00AD036A" w:rsidRPr="002D43CE">
        <w:rPr>
          <w:color w:val="auto"/>
        </w:rPr>
        <w:t xml:space="preserve"> </w:t>
      </w:r>
      <w:r w:rsidR="00AD036A" w:rsidRPr="002D43CE">
        <w:rPr>
          <w:color w:val="auto"/>
        </w:rPr>
        <w:fldChar w:fldCharType="begin" w:fldLock="1"/>
      </w:r>
      <w:r w:rsidR="00AD036A" w:rsidRPr="002D43CE">
        <w:rPr>
          <w:color w:val="auto"/>
        </w:rPr>
        <w:instrText>ADDIN CSL_CITATION {"citationItems":[{"id":"ITEM-1","itemData":{"author":[{"dropping-particle":"","family":"World Health Organization","given":"","non-dropping-particle":"","parse-names":false,"suffix":""}],"id":"ITEM-1","issued":{"date-parts":[["2018"]]},"title":"International classification of diseases for mortality and morbidity statistics (11th Revision).","type":"book"},"uris":["http://www.mendeley.com/documents/?uuid=e77bc4a2-17fc-4c1a-bb74-449bf72d0481"]}],"mendeley":{"formattedCitation":"(World Health Organization, 2018)","plainTextFormattedCitation":"(World Health Organization, 2018)","previouslyFormattedCitation":"(World Health Organization, 2018)"},"properties":{"noteIndex":0},"schema":"https://github.com/citation-style-language/schema/raw/master/csl-citation.json"}</w:instrText>
      </w:r>
      <w:r w:rsidR="00AD036A" w:rsidRPr="002D43CE">
        <w:rPr>
          <w:color w:val="auto"/>
        </w:rPr>
        <w:fldChar w:fldCharType="separate"/>
      </w:r>
      <w:r w:rsidR="00AD036A" w:rsidRPr="002D43CE">
        <w:rPr>
          <w:noProof/>
          <w:color w:val="auto"/>
        </w:rPr>
        <w:t>(World Health Organization, 2018)</w:t>
      </w:r>
      <w:r w:rsidR="00AD036A" w:rsidRPr="002D43CE">
        <w:rPr>
          <w:color w:val="auto"/>
        </w:rPr>
        <w:fldChar w:fldCharType="end"/>
      </w:r>
      <w:r w:rsidRPr="002D43CE">
        <w:rPr>
          <w:color w:val="auto"/>
        </w:rPr>
        <w:t xml:space="preserve">. Complex post-traumatic stress disorder (CPTSD) was included in ICD-11 as a new trauma-related disorder which could develop following prolonged </w:t>
      </w:r>
      <w:r w:rsidR="00175921" w:rsidRPr="002D43CE">
        <w:rPr>
          <w:color w:val="auto"/>
        </w:rPr>
        <w:t xml:space="preserve">or reoccurring </w:t>
      </w:r>
      <w:r w:rsidRPr="002D43CE">
        <w:rPr>
          <w:color w:val="auto"/>
        </w:rPr>
        <w:t xml:space="preserve">traumatic experiences </w:t>
      </w:r>
      <w:r w:rsidRPr="002D43CE">
        <w:rPr>
          <w:color w:val="auto"/>
        </w:rPr>
        <w:fldChar w:fldCharType="begin" w:fldLock="1"/>
      </w:r>
      <w:r w:rsidR="000D0EB4" w:rsidRPr="002D43CE">
        <w:rPr>
          <w:color w:val="auto"/>
        </w:rPr>
        <w:instrText>ADDIN CSL_CITATION {"citationItems":[{"id":"ITEM-1","itemData":{"DOI":"10.1192/bja.2019.48","ISSN":"2056-4678","abstract":"The World Health Organization's proposals in ICD-11, released for comment by member states in 2018, introduce for the first time in a major diagnostic system a distinction between post-traumatic stress disorder (PTSD) and complex post-traumatic stress disorder (CPTSD). This article sets the new diagnosis of CPTSD within the context of previous similar formulations, describes its definition and requirements, and reviews the evidence concerning its epidemiology, differential diagnosis, assessment and treatment.","author":[{"dropping-particle":"","family":"Brewin","given":"Chris R.","non-dropping-particle":"","parse-names":false,"suffix":""}],"container-title":"BJPsych Advances","id":"ITEM-1","issued":{"date-parts":[["2019"]]},"page":"1-8","title":"Complex post-traumatic stress disorder: a new diagnosis in ICD-11","type":"article-journal"},"uris":["http://www.mendeley.com/documents/?uuid=52847091-9583-4c09-a883-415b7bf4d5cd"]}],"mendeley":{"formattedCitation":"(Brewin, 2019)","plainTextFormattedCitation":"(Brewin, 2019)","previouslyFormattedCitation":"(Brewin, 2019)"},"properties":{"noteIndex":0},"schema":"https://github.com/citation-style-language/schema/raw/master/csl-citation.json"}</w:instrText>
      </w:r>
      <w:r w:rsidRPr="002D43CE">
        <w:rPr>
          <w:color w:val="auto"/>
        </w:rPr>
        <w:fldChar w:fldCharType="separate"/>
      </w:r>
      <w:r w:rsidRPr="002D43CE">
        <w:rPr>
          <w:noProof/>
          <w:color w:val="auto"/>
        </w:rPr>
        <w:t>(Brewin, 2019)</w:t>
      </w:r>
      <w:r w:rsidRPr="002D43CE">
        <w:rPr>
          <w:color w:val="auto"/>
        </w:rPr>
        <w:fldChar w:fldCharType="end"/>
      </w:r>
      <w:r w:rsidRPr="002D43CE">
        <w:rPr>
          <w:color w:val="auto"/>
        </w:rPr>
        <w:t>. CPTSD</w:t>
      </w:r>
      <w:r w:rsidR="003B2B0D" w:rsidRPr="002D43CE">
        <w:rPr>
          <w:color w:val="auto"/>
        </w:rPr>
        <w:t>,</w:t>
      </w:r>
      <w:r w:rsidRPr="002D43CE">
        <w:rPr>
          <w:color w:val="auto"/>
        </w:rPr>
        <w:t xml:space="preserve"> </w:t>
      </w:r>
      <w:r w:rsidR="0050051D" w:rsidRPr="002D43CE">
        <w:rPr>
          <w:color w:val="auto"/>
        </w:rPr>
        <w:t>according to the ICD-11</w:t>
      </w:r>
      <w:r w:rsidR="003B2B0D" w:rsidRPr="002D43CE">
        <w:rPr>
          <w:color w:val="auto"/>
        </w:rPr>
        <w:t>,</w:t>
      </w:r>
      <w:r w:rsidR="0050051D" w:rsidRPr="002D43CE">
        <w:rPr>
          <w:color w:val="auto"/>
        </w:rPr>
        <w:t xml:space="preserve"> </w:t>
      </w:r>
      <w:r w:rsidRPr="002D43CE">
        <w:rPr>
          <w:color w:val="auto"/>
        </w:rPr>
        <w:t xml:space="preserve">can be diagnosed if a person </w:t>
      </w:r>
      <w:r w:rsidR="003B2B0D" w:rsidRPr="002D43CE">
        <w:rPr>
          <w:color w:val="auto"/>
        </w:rPr>
        <w:t>is trauma exposed, meets</w:t>
      </w:r>
      <w:r w:rsidRPr="002D43CE">
        <w:rPr>
          <w:color w:val="auto"/>
        </w:rPr>
        <w:t xml:space="preserve"> all diagnostic criteria for PTSD</w:t>
      </w:r>
      <w:r w:rsidR="007B77F6" w:rsidRPr="002D43CE">
        <w:rPr>
          <w:color w:val="auto"/>
        </w:rPr>
        <w:t xml:space="preserve"> </w:t>
      </w:r>
      <w:r w:rsidR="003B2B0D" w:rsidRPr="002D43CE">
        <w:rPr>
          <w:color w:val="auto"/>
        </w:rPr>
        <w:t xml:space="preserve">(i.e., </w:t>
      </w:r>
      <w:r w:rsidR="009A0822" w:rsidRPr="002D43CE">
        <w:rPr>
          <w:color w:val="auto"/>
        </w:rPr>
        <w:t xml:space="preserve">symptoms of </w:t>
      </w:r>
      <w:r w:rsidR="00791A17" w:rsidRPr="002D43CE">
        <w:rPr>
          <w:color w:val="auto"/>
        </w:rPr>
        <w:t xml:space="preserve">(1) </w:t>
      </w:r>
      <w:r w:rsidR="009A0822" w:rsidRPr="002D43CE">
        <w:rPr>
          <w:color w:val="auto"/>
        </w:rPr>
        <w:t xml:space="preserve">re-experiencing, </w:t>
      </w:r>
      <w:r w:rsidR="00791A17" w:rsidRPr="002D43CE">
        <w:rPr>
          <w:color w:val="auto"/>
        </w:rPr>
        <w:t xml:space="preserve">(2) </w:t>
      </w:r>
      <w:r w:rsidR="009A0822" w:rsidRPr="002D43CE">
        <w:rPr>
          <w:color w:val="auto"/>
        </w:rPr>
        <w:t xml:space="preserve">avoidance, and </w:t>
      </w:r>
      <w:r w:rsidR="00791A17" w:rsidRPr="002D43CE">
        <w:rPr>
          <w:color w:val="auto"/>
        </w:rPr>
        <w:t xml:space="preserve">(3) </w:t>
      </w:r>
      <w:r w:rsidR="009A0822" w:rsidRPr="002D43CE">
        <w:rPr>
          <w:color w:val="auto"/>
        </w:rPr>
        <w:t>sense of threat, and functional impairment associated with these symptoms</w:t>
      </w:r>
      <w:r w:rsidR="003B2B0D" w:rsidRPr="002D43CE">
        <w:rPr>
          <w:color w:val="auto"/>
        </w:rPr>
        <w:t>)</w:t>
      </w:r>
      <w:r w:rsidR="00A40779" w:rsidRPr="002D43CE">
        <w:rPr>
          <w:color w:val="auto"/>
        </w:rPr>
        <w:t xml:space="preserve">, </w:t>
      </w:r>
      <w:r w:rsidR="000D0EB4" w:rsidRPr="002D43CE">
        <w:rPr>
          <w:color w:val="auto"/>
        </w:rPr>
        <w:t xml:space="preserve">and has </w:t>
      </w:r>
      <w:r w:rsidR="00A40779" w:rsidRPr="002D43CE">
        <w:rPr>
          <w:color w:val="auto"/>
        </w:rPr>
        <w:t xml:space="preserve">additional </w:t>
      </w:r>
      <w:r w:rsidR="009A0822" w:rsidRPr="002D43CE">
        <w:rPr>
          <w:color w:val="auto"/>
        </w:rPr>
        <w:t xml:space="preserve">symptoms </w:t>
      </w:r>
      <w:r w:rsidR="00D771AD" w:rsidRPr="002D43CE">
        <w:rPr>
          <w:color w:val="auto"/>
        </w:rPr>
        <w:t xml:space="preserve">of disorganized self-organization (DSO) </w:t>
      </w:r>
      <w:r w:rsidR="009A0822" w:rsidRPr="002D43CE">
        <w:rPr>
          <w:color w:val="auto"/>
        </w:rPr>
        <w:t>from three</w:t>
      </w:r>
      <w:r w:rsidR="000D0EB4" w:rsidRPr="002D43CE">
        <w:rPr>
          <w:color w:val="auto"/>
        </w:rPr>
        <w:t xml:space="preserve"> </w:t>
      </w:r>
      <w:r w:rsidR="00D771AD" w:rsidRPr="002D43CE">
        <w:rPr>
          <w:color w:val="auto"/>
        </w:rPr>
        <w:t xml:space="preserve">symptom </w:t>
      </w:r>
      <w:r w:rsidR="009A0822" w:rsidRPr="002D43CE">
        <w:rPr>
          <w:color w:val="auto"/>
        </w:rPr>
        <w:t>clusters</w:t>
      </w:r>
      <w:r w:rsidR="003B2B0D" w:rsidRPr="002D43CE">
        <w:rPr>
          <w:color w:val="auto"/>
        </w:rPr>
        <w:t>;</w:t>
      </w:r>
      <w:r w:rsidR="009A0822" w:rsidRPr="002D43CE">
        <w:rPr>
          <w:color w:val="auto"/>
        </w:rPr>
        <w:t xml:space="preserve"> (</w:t>
      </w:r>
      <w:r w:rsidR="00D771AD" w:rsidRPr="002D43CE">
        <w:rPr>
          <w:color w:val="auto"/>
        </w:rPr>
        <w:t>4</w:t>
      </w:r>
      <w:r w:rsidRPr="002D43CE">
        <w:rPr>
          <w:color w:val="auto"/>
        </w:rPr>
        <w:t>)</w:t>
      </w:r>
      <w:r w:rsidR="000D0EB4" w:rsidRPr="002D43CE">
        <w:rPr>
          <w:color w:val="auto"/>
        </w:rPr>
        <w:t xml:space="preserve"> affective </w:t>
      </w:r>
      <w:r w:rsidR="000D25BA" w:rsidRPr="002D43CE">
        <w:rPr>
          <w:color w:val="auto"/>
        </w:rPr>
        <w:t>dysregulation</w:t>
      </w:r>
      <w:r w:rsidR="000D0EB4" w:rsidRPr="002D43CE">
        <w:rPr>
          <w:color w:val="auto"/>
        </w:rPr>
        <w:t xml:space="preserve">; </w:t>
      </w:r>
      <w:r w:rsidR="006C0BBF" w:rsidRPr="002D43CE">
        <w:rPr>
          <w:color w:val="auto"/>
        </w:rPr>
        <w:t>(</w:t>
      </w:r>
      <w:r w:rsidR="00D771AD" w:rsidRPr="002D43CE">
        <w:rPr>
          <w:color w:val="auto"/>
        </w:rPr>
        <w:t>5</w:t>
      </w:r>
      <w:r w:rsidR="000D0EB4" w:rsidRPr="002D43CE">
        <w:rPr>
          <w:color w:val="auto"/>
        </w:rPr>
        <w:t>) negative self-concept</w:t>
      </w:r>
      <w:r w:rsidRPr="002D43CE">
        <w:rPr>
          <w:color w:val="auto"/>
        </w:rPr>
        <w:t xml:space="preserve"> </w:t>
      </w:r>
      <w:r w:rsidR="000D0EB4" w:rsidRPr="002D43CE">
        <w:rPr>
          <w:color w:val="auto"/>
        </w:rPr>
        <w:t xml:space="preserve">and </w:t>
      </w:r>
      <w:r w:rsidR="006C0BBF" w:rsidRPr="002D43CE">
        <w:rPr>
          <w:color w:val="auto"/>
        </w:rPr>
        <w:t>(</w:t>
      </w:r>
      <w:r w:rsidR="00D771AD" w:rsidRPr="002D43CE">
        <w:rPr>
          <w:color w:val="auto"/>
        </w:rPr>
        <w:t>6</w:t>
      </w:r>
      <w:r w:rsidR="000D0EB4" w:rsidRPr="002D43CE">
        <w:rPr>
          <w:color w:val="auto"/>
        </w:rPr>
        <w:t>) disturbances in relationships</w:t>
      </w:r>
      <w:r w:rsidR="006C0BBF" w:rsidRPr="002D43CE">
        <w:rPr>
          <w:color w:val="auto"/>
        </w:rPr>
        <w:t>,</w:t>
      </w:r>
      <w:r w:rsidR="009A0822" w:rsidRPr="002D43CE">
        <w:rPr>
          <w:color w:val="auto"/>
        </w:rPr>
        <w:t xml:space="preserve"> plus impairment in functioning associated with these </w:t>
      </w:r>
      <w:r w:rsidR="00A40779" w:rsidRPr="002D43CE">
        <w:rPr>
          <w:color w:val="auto"/>
        </w:rPr>
        <w:t xml:space="preserve">DSO </w:t>
      </w:r>
      <w:r w:rsidR="009A0822" w:rsidRPr="002D43CE">
        <w:rPr>
          <w:color w:val="auto"/>
        </w:rPr>
        <w:t>symptoms</w:t>
      </w:r>
      <w:r w:rsidR="00F114EB" w:rsidRPr="002D43CE">
        <w:rPr>
          <w:color w:val="auto"/>
        </w:rPr>
        <w:t xml:space="preserve"> </w:t>
      </w:r>
      <w:r w:rsidR="00F114EB" w:rsidRPr="002D43CE">
        <w:rPr>
          <w:color w:val="auto"/>
        </w:rPr>
        <w:fldChar w:fldCharType="begin" w:fldLock="1"/>
      </w:r>
      <w:r w:rsidR="00392C63" w:rsidRPr="002D43CE">
        <w:rPr>
          <w:color w:val="auto"/>
        </w:rPr>
        <w:instrText>ADDIN CSL_CITATION {"citationItems":[{"id":"ITEM-1","itemData":{"author":[{"dropping-particle":"","family":"World Health Organization","given":"","non-dropping-particle":"","parse-names":false,"suffix":""}],"id":"ITEM-1","issued":{"date-parts":[["2018"]]},"title":"International classification of diseases for mortality and morbidity statistics (11th Revision).","type":"book"},"uris":["http://www.mendeley.com/documents/?uuid=e77bc4a2-17fc-4c1a-bb74-449bf72d0481"]}],"mendeley":{"formattedCitation":"(World Health Organization, 2018)","plainTextFormattedCitation":"(World Health Organization, 2018)","previouslyFormattedCitation":"(World Health Organization, 2018)"},"properties":{"noteIndex":0},"schema":"https://github.com/citation-style-language/schema/raw/master/csl-citation.json"}</w:instrText>
      </w:r>
      <w:r w:rsidR="00F114EB" w:rsidRPr="002D43CE">
        <w:rPr>
          <w:color w:val="auto"/>
        </w:rPr>
        <w:fldChar w:fldCharType="separate"/>
      </w:r>
      <w:r w:rsidR="00F114EB" w:rsidRPr="002D43CE">
        <w:rPr>
          <w:noProof/>
          <w:color w:val="auto"/>
        </w:rPr>
        <w:t>(World Health Organization, 2018)</w:t>
      </w:r>
      <w:r w:rsidR="00F114EB" w:rsidRPr="002D43CE">
        <w:rPr>
          <w:color w:val="auto"/>
        </w:rPr>
        <w:fldChar w:fldCharType="end"/>
      </w:r>
      <w:r w:rsidR="006247DB" w:rsidRPr="002D43CE">
        <w:rPr>
          <w:color w:val="auto"/>
        </w:rPr>
        <w:t xml:space="preserve">. </w:t>
      </w:r>
    </w:p>
    <w:p w14:paraId="47E8EA65" w14:textId="5461456B" w:rsidR="004D51A0" w:rsidRPr="002D43CE" w:rsidRDefault="006D671D" w:rsidP="00604321">
      <w:pPr>
        <w:suppressAutoHyphens w:val="0"/>
        <w:spacing w:line="360" w:lineRule="auto"/>
        <w:ind w:firstLine="720"/>
        <w:rPr>
          <w:color w:val="auto"/>
        </w:rPr>
      </w:pPr>
      <w:r w:rsidRPr="002D43CE">
        <w:rPr>
          <w:color w:val="auto"/>
        </w:rPr>
        <w:t xml:space="preserve">Findings from </w:t>
      </w:r>
      <w:r w:rsidR="000D0EB4" w:rsidRPr="002D43CE">
        <w:rPr>
          <w:color w:val="auto"/>
        </w:rPr>
        <w:t xml:space="preserve"> around the world </w:t>
      </w:r>
      <w:r w:rsidR="003B2B0D" w:rsidRPr="002D43CE">
        <w:rPr>
          <w:color w:val="auto"/>
        </w:rPr>
        <w:t xml:space="preserve">have provide empirical support for the construct </w:t>
      </w:r>
      <w:r w:rsidR="00AD036A" w:rsidRPr="002D43CE">
        <w:rPr>
          <w:color w:val="auto"/>
        </w:rPr>
        <w:t>validity of</w:t>
      </w:r>
      <w:r w:rsidR="00175921" w:rsidRPr="002D43CE">
        <w:rPr>
          <w:color w:val="auto"/>
        </w:rPr>
        <w:t xml:space="preserve"> ICD</w:t>
      </w:r>
      <w:r w:rsidR="002171CF" w:rsidRPr="002D43CE">
        <w:rPr>
          <w:color w:val="auto"/>
        </w:rPr>
        <w:t>-11</w:t>
      </w:r>
      <w:r w:rsidR="00175921" w:rsidRPr="002D43CE">
        <w:rPr>
          <w:color w:val="auto"/>
        </w:rPr>
        <w:t xml:space="preserve"> PTSD and CPTSD </w:t>
      </w:r>
      <w:r w:rsidR="000D0EB4" w:rsidRPr="002D43CE">
        <w:rPr>
          <w:color w:val="auto"/>
        </w:rPr>
        <w:t>using</w:t>
      </w:r>
      <w:r w:rsidR="003B2B0D" w:rsidRPr="002D43CE">
        <w:rPr>
          <w:color w:val="auto"/>
        </w:rPr>
        <w:t xml:space="preserve"> multiple methodologies including</w:t>
      </w:r>
      <w:r w:rsidR="000D0EB4" w:rsidRPr="002D43CE">
        <w:rPr>
          <w:color w:val="auto"/>
        </w:rPr>
        <w:t xml:space="preserve"> latent class analysis, confirmatory factor analysis</w:t>
      </w:r>
      <w:r w:rsidR="00BD72E9" w:rsidRPr="002D43CE">
        <w:rPr>
          <w:color w:val="auto"/>
        </w:rPr>
        <w:t xml:space="preserve"> </w:t>
      </w:r>
      <w:r w:rsidR="00BD72E9" w:rsidRPr="002D43CE">
        <w:rPr>
          <w:color w:val="auto"/>
        </w:rPr>
        <w:fldChar w:fldCharType="begin" w:fldLock="1"/>
      </w:r>
      <w:r w:rsidR="00BD72E9" w:rsidRPr="002D43CE">
        <w:rPr>
          <w:color w:val="auto"/>
        </w:rPr>
        <w:instrText>ADDIN CSL_CITATION {"citationItems":[{"id":"ITEM-1","itemData":{"DOI":"10.1016/j.cpr.2017.09.001","ISSN":"18737811","abstract":"The World Health Organization's proposals for posttraumatic stress disorder (PTSD) in the 11th edition of the International Classification of Diseases, scheduled for release in 2018, involve a very brief set of symptoms and a distinction between two sibling disorders, PTSD and Complex PTSD. This review of studies conducted to test the validity and implications of the diagnostic proposals generally supports the proposed 3-factor structure of PTSD symptoms, the 6-factor structure of Complex PTSD symptoms, and the distinction between PTSD and Complex PTSD. Estimates derived from DSM-based items suggest the likely prevalence of ICD-11 PTSD in adults is lower than ICD-10 PTSD and lower than DSM-IV or DSM-5 PTSD, but this may change with the development of items that directly measure the ICD-11 re-experiencing requirement. Preliminary evidence suggests the prevalence of ICD-11 PTSD in community samples of children and adolescents is similar to DSM-IV and DSM-5. ICD-11 PTSD detects some individuals with significant impairment who would not receive a diagnosis under DSM-IV or DSM-5. ICD-11 CPTSD identifies a distinct group who have more often experienced multiple and sustained traumas and have greater functional impairment than those with PTSD.","author":[{"dropping-particle":"","family":"Brewin","given":"Chris R.","non-dropping-particle":"","parse-names":false,"suffix":""},{"dropping-particle":"","family":"Cloitre","given":"Marylène","non-dropping-particle":"","parse-names":false,"suffix":""},{"dropping-particle":"","family":"Hyland","given":"Philip","non-dropping-particle":"","parse-names":false,"suffix":""},{"dropping-particle":"","family":"Shevlin","given":"Mark","non-dropping-particle":"","parse-names":false,"suffix":""},{"dropping-particle":"","family":"Maercker","given":"Andreas","non-dropping-particle":"","parse-names":false,"suffix":""},{"dropping-particle":"","family":"Bryant","given":"Richard A.","non-dropping-particle":"","parse-names":false,"suffix":""},{"dropping-particle":"","family":"Humayun","given":"Asma","non-dropping-particle":"","parse-names":false,"suffix":""},{"dropping-particle":"","family":"Jones","given":"Lynne M.","non-dropping-particle":"","parse-names":false,"suffix":""},{"dropping-particle":"","family":"Kagee","given":"Ashraf","non-dropping-particle":"","parse-names":false,"suffix":""},{"dropping-particle":"","family":"Rousseau","given":"Cécile","non-dropping-particle":"","parse-names":false,"suffix":""},{"dropping-particle":"","family":"Somasundaram","given":"Daya","non-dropping-particle":"","parse-names":false,"suffix":""},{"dropping-particle":"","family":"Suzuki","given":"Yuriko","non-dropping-particle":"","parse-names":false,"suffix":""},{"dropping-particle":"","family":"Wessely","given":"Simon","non-dropping-particle":"","parse-names":false,"suffix":""},{"dropping-particle":"","family":"Ommeren","given":"Mark","non-dropping-particle":"van","parse-names":false,"suffix":""},{"dropping-particle":"","family":"Reed","given":"Geoffrey M.","non-dropping-particle":"","parse-names":false,"suffix":""}],"container-title":"Clinical Psychology Review","id":"ITEM-1","issue":"September","issued":{"date-parts":[["2017"]]},"page":"1-15","publisher":"Elsevier Ltd","title":"A review of current evidence regarding the ICD-11 proposals for diagnosing PTSD and complex PTSD","type":"article-journal","volume":"58"},"uris":["http://www.mendeley.com/documents/?uuid=14b90a65-a5c4-490e-a40f-90f04ee43e4a"]}],"mendeley":{"formattedCitation":"(Brewin et al., 2017)","plainTextFormattedCitation":"(Brewin et al., 2017)","previouslyFormattedCitation":"(Brewin et al., 2017)"},"properties":{"noteIndex":0},"schema":"https://github.com/citation-style-language/schema/raw/master/csl-citation.json"}</w:instrText>
      </w:r>
      <w:r w:rsidR="00BD72E9" w:rsidRPr="002D43CE">
        <w:rPr>
          <w:color w:val="auto"/>
        </w:rPr>
        <w:fldChar w:fldCharType="separate"/>
      </w:r>
      <w:r w:rsidR="00BD72E9" w:rsidRPr="002D43CE">
        <w:rPr>
          <w:noProof/>
          <w:color w:val="auto"/>
        </w:rPr>
        <w:t>(Brewin et al., 2017)</w:t>
      </w:r>
      <w:r w:rsidR="00BD72E9" w:rsidRPr="002D43CE">
        <w:rPr>
          <w:color w:val="auto"/>
        </w:rPr>
        <w:fldChar w:fldCharType="end"/>
      </w:r>
      <w:r w:rsidR="00175921" w:rsidRPr="002D43CE">
        <w:rPr>
          <w:color w:val="auto"/>
        </w:rPr>
        <w:t>, and</w:t>
      </w:r>
      <w:r w:rsidR="000D0EB4" w:rsidRPr="002D43CE">
        <w:rPr>
          <w:color w:val="auto"/>
        </w:rPr>
        <w:t xml:space="preserve"> network analysis</w:t>
      </w:r>
      <w:r w:rsidR="00BD72E9" w:rsidRPr="002D43CE">
        <w:rPr>
          <w:color w:val="auto"/>
        </w:rPr>
        <w:t xml:space="preserve"> </w:t>
      </w:r>
      <w:r w:rsidR="00BD72E9" w:rsidRPr="002D43CE">
        <w:rPr>
          <w:color w:val="auto"/>
        </w:rPr>
        <w:fldChar w:fldCharType="begin" w:fldLock="1"/>
      </w:r>
      <w:r w:rsidR="00BD72E9" w:rsidRPr="002D43CE">
        <w:rPr>
          <w:color w:val="auto"/>
        </w:rPr>
        <w:instrText>ADDIN CSL_CITATION {"citationItems":[{"id":"ITEM-1","itemData":{"DOI":"10.1002/jts.22361","ISSN":"15736598","abstract":"The 11th revision of the World Health Organization's International Classification of Diseases (ICD-11) includes a new disorder, complex posttraumatic stress disorder (CPTSD). The network approach to psychopathology enables investigation of the structure of disorders at the symptom level, which allows for analysis of direct symptom interactions. The network structure of ICD-11 CPTSD has not yet been studied, and it remains unclear whether similar networks replicate across different samples. We investigated the network models of four different trauma samples that included a total of 879 participants (M age = 47.17 years, SD = 11.92; 59.04% women) drawn from Austria, Lithuania, and Scotland and Wales in the United Kingdom. The International Trauma Questionnaire was used to assess symptoms of ICD-11 CPTSD in all samples. The prevalence of PTSD and CPTSD ranged from 23.7% to 37.3% and from 9.3% to 53.1%, respectively. Regularized partial correlation networks were estimated and the resulting networks compared. Despite several differences in the symptom presentation and cultural background, the networks across the four samples were considerably similar, with high correlations between symptom profiles (ρs = .48-.87), network structures (ρs = .69-.75), and centrality estimates (ρs = .59-.82). These results support the replicability of CPTSD network models across different samples and provide further evidence about the robust structure of CPTSD. The most central symptom in all four sample-specific networks and the overall network was \"feelings of worthlessness.\" Implications of the network approach in research and practice are discussed.","author":[{"dropping-particle":"","family":"Knefel","given":"Matthias","non-dropping-particle":"","parse-names":false,"suffix":""},{"dropping-particle":"","family":"Lueger-Schuster","given":"Brigitte","non-dropping-particle":"","parse-names":false,"suffix":""},{"dropping-particle":"","family":"Bisson","given":"Jonathan","non-dropping-particle":"","parse-names":false,"suffix":""},{"dropping-particle":"","family":"Karatzias","given":"Thanos","non-dropping-particle":"","parse-names":false,"suffix":""},{"dropping-particle":"","family":"Kazlauskas","given":"Evaldas","non-dropping-particle":"","parse-names":false,"suffix":""},{"dropping-particle":"","family":"Roberts","given":"Neil P.","non-dropping-particle":"","parse-names":false,"suffix":""}],"container-title":"Journal of Traumatic Stress","id":"ITEM-1","issued":{"date-parts":[["2019"]]},"title":"A Cross-Cultural Comparison of ICD-11 Complex Posttraumatic Stress Disorder Symptom Networks in Austria, the United Kingdom, and Lithuania","type":"article-journal"},"uris":["http://www.mendeley.com/documents/?uuid=b94489c6-be6f-397f-adf0-e13ae2d9a8e4"]}],"mendeley":{"formattedCitation":"(Knefel et al., 2019)","plainTextFormattedCitation":"(Knefel et al., 2019)","previouslyFormattedCitation":"(Knefel et al., 2019)"},"properties":{"noteIndex":0},"schema":"https://github.com/citation-style-language/schema/raw/master/csl-citation.json"}</w:instrText>
      </w:r>
      <w:r w:rsidR="00BD72E9" w:rsidRPr="002D43CE">
        <w:rPr>
          <w:color w:val="auto"/>
        </w:rPr>
        <w:fldChar w:fldCharType="separate"/>
      </w:r>
      <w:r w:rsidR="00BD72E9" w:rsidRPr="002D43CE">
        <w:rPr>
          <w:noProof/>
          <w:color w:val="auto"/>
        </w:rPr>
        <w:t>(Knefel et al., 2019)</w:t>
      </w:r>
      <w:r w:rsidR="00BD72E9" w:rsidRPr="002D43CE">
        <w:rPr>
          <w:color w:val="auto"/>
        </w:rPr>
        <w:fldChar w:fldCharType="end"/>
      </w:r>
      <w:r w:rsidR="000D0EB4" w:rsidRPr="002D43CE">
        <w:rPr>
          <w:color w:val="auto"/>
        </w:rPr>
        <w:t xml:space="preserve">. </w:t>
      </w:r>
      <w:r w:rsidR="00C374DD" w:rsidRPr="002D43CE">
        <w:rPr>
          <w:color w:val="auto"/>
        </w:rPr>
        <w:t>Research on</w:t>
      </w:r>
      <w:r w:rsidR="003B2B0D" w:rsidRPr="002D43CE">
        <w:rPr>
          <w:color w:val="auto"/>
        </w:rPr>
        <w:t xml:space="preserve"> the epidemiology and construct validity of</w:t>
      </w:r>
      <w:r w:rsidR="00C374DD" w:rsidRPr="002D43CE">
        <w:rPr>
          <w:color w:val="auto"/>
        </w:rPr>
        <w:t xml:space="preserve"> ICD-11 PTSD and CPTSD has, so far, </w:t>
      </w:r>
      <w:r w:rsidR="003B2B0D" w:rsidRPr="002D43CE">
        <w:rPr>
          <w:color w:val="auto"/>
        </w:rPr>
        <w:t xml:space="preserve">primarily </w:t>
      </w:r>
      <w:r w:rsidR="00C374DD" w:rsidRPr="002D43CE">
        <w:rPr>
          <w:color w:val="auto"/>
        </w:rPr>
        <w:t xml:space="preserve">been conducted </w:t>
      </w:r>
      <w:r w:rsidR="003B2B0D" w:rsidRPr="002D43CE">
        <w:rPr>
          <w:color w:val="auto"/>
        </w:rPr>
        <w:t xml:space="preserve">with </w:t>
      </w:r>
      <w:r w:rsidR="00C374DD" w:rsidRPr="002D43CE">
        <w:rPr>
          <w:color w:val="auto"/>
        </w:rPr>
        <w:t xml:space="preserve">adult populations </w:t>
      </w:r>
      <w:r w:rsidR="00C374DD" w:rsidRPr="002D43CE">
        <w:rPr>
          <w:color w:val="auto"/>
        </w:rPr>
        <w:fldChar w:fldCharType="begin" w:fldLock="1"/>
      </w:r>
      <w:r w:rsidR="00FB617D" w:rsidRPr="002D43CE">
        <w:rPr>
          <w:color w:val="auto"/>
        </w:rPr>
        <w:instrText>ADDIN CSL_CITATION {"citationItems":[{"id":"ITEM-1","itemData":{"DOI":"10.1111/acps.12771","ISSN":"16000447","abstract":"The 11th version of the International Classification of Diseases (ICD-11) has proposed two related trauma diagnoses: Post-traumatic stress disorder (PTSD) and Complex PTSD (CPTSD). Using a newly developed, disorder-specific measure of PTSD and CPTSD called the International Trauma Questionnaire (ITQ) the current study will (i) assess the factorial validity of ICD-11 PTSD and CPTSD; (ii) provide the first test of the discriminant validity of these constructs; and (iii) provide the first comparison of ICD-11, and Diagnostic and Statistical Manual, Fifth Edition (DSM-5), PTSD diagnostic rates using disorder-specific measures. ICD-11 and DSM-5 PTSD-specific measures were completed by a British clinical sample of trauma-exposed patients (N = 171). The structure and validity of ICD-11 PTSD and CPTSD were assessed by means of factor analysis and assessing relationships with criterion variables. Diagnostic rates under ICD-11 were significantly lower than those under DSM-5. A two-factor second-order model reflecting the distinction between PTSD and CPTSD best represented the data from the ITQ; and the PTSD and CPTSD factors differentially predicted multiple psychological variables. The factorial and discriminant validity of ICD-11 PTSD and CPTSD was supported, and ICD-11 produces fewer diagnostic cases than DSM-5.","author":[{"dropping-particle":"","family":"Hyland","given":"Philip","non-dropping-particle":"","parse-names":false,"suffix":""},{"dropping-particle":"","family":"Shevlin","given":"Mark","non-dropping-particle":"","parse-names":false,"suffix":""},{"dropping-particle":"","family":"Brewin","given":"Chris R.","non-dropping-particle":"","parse-names":false,"suffix":""},{"dropping-particle":"","family":"Cloitre","given":"Marylene","non-dropping-particle":"","parse-names":false,"suffix":""},{"dropping-particle":"","family":"Downes","given":"Ant J.","non-dropping-particle":"","parse-names":false,"suffix":""},{"dropping-particle":"","family":"Jumbe","given":"Sim","non-dropping-particle":"","parse-names":false,"suffix":""},{"dropping-particle":"","family":"Karatzias","given":"Thanos","non-dropping-particle":"","parse-names":false,"suffix":""},{"dropping-particle":"","family":"Bisson","given":"John I.","non-dropping-particle":"","parse-names":false,"suffix":""},{"dropping-particle":"","family":"Roberts","given":"Neil P.","non-dropping-particle":"","parse-names":false,"suffix":""}],"container-title":"Acta Psychiatrica Scandinavica","id":"ITEM-1","issue":"3","issued":{"date-parts":[["2017","7","11"]]},"page":"313-322","title":"Validation of post-traumatic stress disorder (PTSD) and complex PTSD using the International Trauma Questionnaire","type":"article-journal","volume":"136"},"uris":["http://www.mendeley.com/documents/?uuid=39277b8e-c504-3ca1-9545-8a91a1def227"]},{"id":"ITEM-2","itemData":{"DOI":"10.1080/20008198.2017.1414559","ISSN":"20008066","abstract":"© 2018 The Author(s). Published by Informa UK Limited, trading as Taylor &amp; Francis Group. Background: The updated 11 th edition of International Classification of Diseases (ICD-11) is expected to be released by the WHO in 2018. Disorders specifically associated with stress will be included in a separate chapter in ICD-11, and will include a revision of ICD-10 PTSD as well as a new diagnosis of complex posttraumatic stress disorder (CPTSD). The proposed symptom structures of ICD-11 PTSD and CPTSD have been validated in several studies previously, however few studies have used the International Trauma Questionnaire (ITQ), a specific measure for ICD-11 PTSD and CPTSD. Given that ICD-11 PTSD and CPTSD diagnoses are intended to be applicable across different cultures and nations, it is important that the constructs be evaluated across diverse populations and languages. Objective: Study of the psychological impact of trauma is relatively new in Lithuania, coinciding with its independence from the Soviet Union in the 1990s. Studies thus far reveal a population suffering from the effects of long-term and systematic political oppression and violence. The aim of this study was to assess the validity of the symptoms and structure of PTSD and CPTSD in a Lithuanian treatment-seeking sample as measured by the ITQ. Method: A total of 280 patients from outpatient mental health centres participated in this study. PTSD and CPTSD symptoms were measured with the ITQ. We applied confirmatory factor analysis (CFA) and latent class analysis (LCA) for analysis of data. Results and conclusions: Our study supported the ICD-11 factor structure of CPTSD, and a three-class model was supported in LCA analysis with a PTSD class, a CPTSD class, and a low symptom class. Findings support the factorial and discriminant validity of the ICD-11 proposals for PTSD and CPTSD in a unique clinical population.","author":[{"dropping-particle":"","family":"Kazlauskas","given":"Evaldas","non-dropping-particle":"","parse-names":false,"suffix":""},{"dropping-particle":"","family":"Gegieckaite","given":"Goda","non-dropping-particle":"","parse-names":false,"suffix":""},{"dropping-particle":"","family":"Hyland","given":"Philip","non-dropping-particle":"","parse-names":false,"suffix":""},{"dropping-particle":"","family":"Zelviene","given":"Paulina","non-dropping-particle":"","parse-names":false,"suffix":""},{"dropping-particle":"","family":"Cloitre","given":"Marylene","non-dropping-particle":"","parse-names":false,"suffix":""}],"container-title":"European Journal of Psychotraumatology","id":"ITEM-2","issue":"1","issued":{"date-parts":[["2018"]]},"title":"The structure of ICD-11 PTSD and complex PTSD in Lithuanian mental health services","type":"article-journal","volume":"9"},"uris":["http://www.mendeley.com/documents/?uuid=0a18982c-4df4-3a44-9858-230f7585bdbb"]},{"id":"ITEM-3","itemData":{"DOI":"10.1002/da.22723","ISSN":"15206394","abstract":"© 2018 Wiley Periodicals, Inc. Background: The current study sought to advance the existing literature by providing the first assessment of the factorial and discriminant validity of the ICD-11 proposals for posttraumatic stress disorder (PTSD) and complex PTSD (CPTSD) in a nationwide level. Methods: A nationally representative sample from Israel (n = 1,003) using a disorder-specific measure (ITQ; International Trauma Questionnaire) in order to assess PTSD and CPTSD along with the Life Events Checklist and the World Health Organization Well-Being Index. Results: Estimated prevalence rates of PTSD and CPTSD were 9.0 and 2.6%, respectively. The structural analyses indicated that PTSD and disturbances in self-organization symptom clusters were multidimensional, but not necessarily hierarchical, in nature and there were distinct classes that were consistent with PTSD and CPTSD. Conclusions: These results partially support the factorial validity and strongly support the discriminant validity of the ICD-11 proposals for PTSD and CPTSD in a nationally representative sample using a disorder-specific measure; findings also supported the international applicability of these diagnoses. Further research is required to determine the prevalence rates of PTSD and CPTSD in national representative samples across different countries and explore the predictive utility of different types of traumatic life events on PTSD and CPTSD.","author":[{"dropping-particle":"","family":"Ben-Ezra","given":"Menachem","non-dropping-particle":"","parse-names":false,"suffix":""},{"dropping-particle":"","family":"Karatzias","given":"Thanos","non-dropping-particle":"","parse-names":false,"suffix":""},{"dropping-particle":"","family":"Hyland","given":"Philip","non-dropping-particle":"","parse-names":false,"suffix":""},{"dropping-particle":"","family":"Brewin","given":"Chris R.","non-dropping-particle":"","parse-names":false,"suffix":""},{"dropping-particle":"","family":"Cloitre","given":"Marylene","non-dropping-particle":"","parse-names":false,"suffix":""},{"dropping-particle":"","family":"Bisson","given":"Jonathan I.","non-dropping-particle":"","parse-names":false,"suffix":""},{"dropping-particle":"","family":"Roberts","given":"Neil P.","non-dropping-particle":"","parse-names":false,"suffix":""},{"dropping-particle":"","family":"Lueger-Schuster","given":"Brigitte","non-dropping-particle":"","parse-names":false,"suffix":""},{"dropping-particle":"","family":"Shevlin","given":"Mark","non-dropping-particle":"","parse-names":false,"suffix":""}],"container-title":"Depression and Anxiety","id":"ITEM-3","issue":"3","issued":{"date-parts":[["2018"]]},"page":"264-274","title":"Posttraumatic stress disorder (PTSD) and complex PTSD (CPTSD) as per ICD-11 proposals: A population study in Israel","type":"article-journal","volume":"35"},"uris":["http://www.mendeley.com/documents/?uuid=b198bf7b-8708-432e-9bed-07b170b60de9"]},{"id":"ITEM-4","itemData":{"DOI":"10.1080/20008198.2019.1608718","ISSN":"2000-8198","abstract":"Objective: The primary aim of this study was to develop a Chinese version of the ITQ and assess its content, construct, and concurrent validity.\r\n\r\nMethods: Six mental health practitioners and experts rated the Chinese translated and back-translated items to assess content validity. A sample of 423 Chinese young adults completed the ITQ, the WHO Adverse Childhood Experiences International Questionnaire, and the Hospital Anxiety and Depression Scale. Among them, 31 participants also completed the English and Chinese versions of the ITQ administered in random order at retest. Four alternative confirmatory factor analysis models were tested using data from participants who reported at least one adverse childhood experience (ACE; N = 314).\r\n\r\nResults: The Chinese ITQ received excellent ratings on relevance and appropriateness. Test–retest reliability and semantic equivalence across English and Chinese versions were acceptable. The correlated first-order six-factor model and a second-order two-factor (PTSD and DSO) both provided an acceptable model fit. The six ITQ symptoms clusters were all significantly correlated with anxiety, depression, and the number of ACEs.\r\n\r\nConclusions: The Chinese ITQ generates scores with acceptable psychometric properties and provides evidence for including PTSD and CPTSD as separate diagnoses in ICD-11.","author":[{"dropping-particle":"","family":"Ho","given":"Grace W. K.","non-dropping-particle":"","parse-names":false,"suffix":""},{"dropping-particle":"","family":"Karatzias","given":"Thanos","non-dropping-particle":"","parse-names":false,"suffix":""},{"dropping-particle":"","family":"Cloitre","given":"Marylene","non-dropping-particle":"","parse-names":false,"suffix":""},{"dropping-particle":"","family":"Chan","given":"Athena C. Y.","non-dropping-particle":"","parse-names":false,"suffix":""},{"dropping-particle":"","family":"Bressington","given":"Daniel","non-dropping-particle":"","parse-names":false,"suffix":""},{"dropping-particle":"","family":"Chien","given":"Wai Tong","non-dropping-particle":"","parse-names":false,"suffix":""},{"dropping-particle":"","family":"Hyland","given":"Philip","non-dropping-particle":"","parse-names":false,"suffix":""},{"dropping-particle":"","family":"Shevlin","given":"Mark","non-dropping-particle":"","parse-names":false,"suffix":""}],"container-title":"European Journal of Psychotraumatology","id":"ITEM-4","issue":"1","issued":{"date-parts":[["2019"]]},"page":"1608718","publisher":"Taylor &amp; Francis","title":"Translation and validation of the Chinese ICD-11 International Trauma Questionnaire (ITQ) for the Assessment of Posttraumatic Stress Disorder (PTSD) and Complex PTSD (CPTSD)","type":"article-journal","volume":"10"},"uris":["http://www.mendeley.com/documents/?uuid=bf079661-b8dc-4c24-8b7d-1bc4b1367117"]},{"id":"ITEM-5","itemData":{"DOI":"10.1111/acps.12695","ISSN":"16000447","PMID":"28134442","abstract":"Objective Although there is emerging evidence for the factorial validity of the distinction between post-traumatic stress disorder (PTSD) and complex PTSD (CPTSD) proposed in ICD-11, such evidence has been predominantly based on using selected items from individual scales that describe these factors. We have attempted to address this gap in the literature by testing a range of alternative models of disorders of traumatic stress using a broader range of symptoms and standardized measures. Method Participants in this cross-sectional study were a sample of individuals who were referred for psychological therapy to a National Health Service (NHS) trauma centre in Scotland (N = 195). Participants were recruited over a period of 18 months and completed measures of stressful life events, DSM-5 PTSD, emotion dysregulation, self-esteem and interpersonal difficulties. Results Overall, results indicate that a structural model incorporating six first-order factors (re-experiencing, avoidance of traumatic reminders, sense of threat, affective dysregulation, negative self-concept and disturbances in relationships) and two second-order factors (PTSD and disturbances in self-organization [DSO]) was the best fitting. The model presented with good concurrent validity. Childhood trauma was found to be more strongly associated with DSO than with PTSD. Conclusion Our results are in support of the ICD-11 proposals for PTSD and CPTSD.","author":[{"dropping-particle":"","family":"Shevlin","given":"M.","non-dropping-particle":"","parse-names":false,"suffix":""},{"dropping-particle":"","family":"Hyland","given":"P.","non-dropping-particle":"","parse-names":false,"suffix":""},{"dropping-particle":"","family":"Karatzias","given":"T.","non-dropping-particle":"","parse-names":false,"suffix":""},{"dropping-particle":"","family":"Fyvie","given":"C.","non-dropping-particle":"","parse-names":false,"suffix":""},{"dropping-particle":"","family":"Roberts","given":"N.","non-dropping-particle":"","parse-names":false,"suffix":""},{"dropping-particle":"","family":"Bisson","given":"J. I.","non-dropping-particle":"","parse-names":false,"suffix":""},{"dropping-particle":"","family":"Brewin","given":"C. R.","non-dropping-particle":"","parse-names":false,"suffix":""},{"dropping-particle":"","family":"Cloitre","given":"M.","non-dropping-particle":"","parse-names":false,"suffix":""}],"container-title":"Acta Psychiatrica Scandinavica","id":"ITEM-5","issue":"5","issued":{"date-parts":[["2017"]]},"page":"419-428","title":"Alternative models of disorders of traumatic stress based on the new ICD-11 proposals","type":"article-journal","volume":"135"},"uris":["http://www.mendeley.com/documents/?uuid=2695ca93-c202-40fc-a5dc-f45055c237ff"]},{"id":"ITEM-6","itemData":{"DOI":"10.1002/jts.22454","ISSN":"15736598","abstract":"The primary aim of this study was to provide an assessment of the current prevalence rates of International Classification of Diseases (11th rev.) posttraumatic stress disorder (PTSD) and complex PTSD (CPTSD) among the adult population of the United States and to identify characteristics and correlates associated with each disorder. A total of 7.2% of the sample met criteria for either PTSD or CPTSD, and the prevalence rates were 3.4% for PTSD and 3.8% for CPTSD. Women were more likely than men to meet criteria for both PTSD and CPTSD. Cumulative adulthood trauma was associated with both PTSD and CPTSD; however, cumulative childhood trauma was more strongly associated with CPTSD than PTSD. Among traumatic stressors occurring in childhood, sexual and physical abuse by caregivers were identified as events associated with risk for CPTSD, whereas sexual assault by noncaregivers and abduction were risk factors for PTSD. Adverse childhood events were associated with both PTSD and CPTSD, and equally so. Individuals with CPTSD reported substantially higher psychiatric burden and lower levels of psychological well-being compared to those with PTSD and those with neither diagnosis.","author":[{"dropping-particle":"","family":"Cloitre","given":"Marylène","non-dropping-particle":"","parse-names":false,"suffix":""},{"dropping-particle":"","family":"Hyland","given":"Philip","non-dropping-particle":"","parse-names":false,"suffix":""},{"dropping-particle":"","family":"Bisson","given":"Jonathan I.","non-dropping-particle":"","parse-names":false,"suffix":""},{"dropping-particle":"","family":"Brewin","given":"Chris R.","non-dropping-particle":"","parse-names":false,"suffix":""},{"dropping-particle":"","family":"Roberts","given":"Neil P.","non-dropping-particle":"","parse-names":false,"suffix":""},{"dropping-particle":"","family":"Karatzias","given":"Thanos","non-dropping-particle":"","parse-names":false,"suffix":""},{"dropping-particle":"","family":"Shevlin","given":"Mark","non-dropping-particle":"","parse-names":false,"suffix":""}],"container-title":"Journal of Traumatic Stress","id":"ITEM-6","issued":{"date-parts":[["2019"]]},"page":"833-842","title":"ICD-11 Posttraumatic Stress Disorder and Complex Posttraumatic Stress Disorder in the United States: A Population-Based Study","type":"article-journal","volume":"32"},"uris":["http://www.mendeley.com/documents/?uuid=8b6b1e50-9384-41bc-9983-90f25fbc3642"]}],"mendeley":{"formattedCitation":"(Ben-Ezra et al., 2018; Marylène Cloitre et al., 2019; Ho et al., 2019; Hyland et al., 2017; Kazlauskas, Gegieckaite, Hyland, Zelviene, &amp; Cloitre, 2018; Shevlin et al., 2017)","manualFormatting":"(e.g., Ben-Ezra et al., 2018; Cloitre et al.,2019; Ho et al., 2019; Hyland et al., 2017; Kazlauskas, Gegieckaite, Hyland, Zelviene, &amp; Cloitre, 2018; Shevlin et al., 2017)","plainTextFormattedCitation":"(Ben-Ezra et al., 2018; Marylène Cloitre et al., 2019; Ho et al., 2019; Hyland et al., 2017; Kazlauskas, Gegieckaite, Hyland, Zelviene, &amp; Cloitre, 2018; Shevlin et al., 2017)","previouslyFormattedCitation":"(Ben-Ezra et al., 2018; Marylène Cloitre et al., 2019; Ho et al., 2019; Hyland et al., 2017; Kazlauskas, Gegieckaite, Hyland, Zelviene, &amp; Cloitre, 2018; Shevlin et al., 2017)"},"properties":{"noteIndex":0},"schema":"https://github.com/citation-style-language/schema/raw/master/csl-citation.json"}</w:instrText>
      </w:r>
      <w:r w:rsidR="00C374DD" w:rsidRPr="002D43CE">
        <w:rPr>
          <w:color w:val="auto"/>
        </w:rPr>
        <w:fldChar w:fldCharType="separate"/>
      </w:r>
      <w:r w:rsidR="00C374DD" w:rsidRPr="002D43CE">
        <w:rPr>
          <w:noProof/>
          <w:color w:val="auto"/>
        </w:rPr>
        <w:t>(e.g., Ben-Ezra et al., 2018; Cloitre et al.,</w:t>
      </w:r>
      <w:r w:rsidR="00FB617D" w:rsidRPr="002D43CE">
        <w:rPr>
          <w:noProof/>
          <w:color w:val="auto"/>
        </w:rPr>
        <w:t xml:space="preserve"> 2019</w:t>
      </w:r>
      <w:r w:rsidR="00C374DD" w:rsidRPr="002D43CE">
        <w:rPr>
          <w:noProof/>
          <w:color w:val="auto"/>
        </w:rPr>
        <w:t>; Ho et al., 2019; Hyland et al., 2017; Kazlauskas, Gegieckaite, Hyland, Zelviene, &amp; Cloitre, 2018; Shevlin et al., 2017)</w:t>
      </w:r>
      <w:r w:rsidR="00C374DD" w:rsidRPr="002D43CE">
        <w:rPr>
          <w:color w:val="auto"/>
        </w:rPr>
        <w:fldChar w:fldCharType="end"/>
      </w:r>
      <w:r w:rsidR="00C374DD" w:rsidRPr="002D43CE">
        <w:rPr>
          <w:color w:val="auto"/>
        </w:rPr>
        <w:t xml:space="preserve">. </w:t>
      </w:r>
      <w:r w:rsidR="003B2B0D" w:rsidRPr="002D43CE">
        <w:rPr>
          <w:color w:val="auto"/>
        </w:rPr>
        <w:t>These studies have used the</w:t>
      </w:r>
      <w:r w:rsidR="000D0EB4" w:rsidRPr="002D43CE">
        <w:rPr>
          <w:color w:val="auto"/>
        </w:rPr>
        <w:t xml:space="preserve"> International Trauma Questionnaire (ITQ)</w:t>
      </w:r>
      <w:r w:rsidR="0078697F" w:rsidRPr="002D43CE">
        <w:rPr>
          <w:color w:val="auto"/>
        </w:rPr>
        <w:t xml:space="preserve"> </w:t>
      </w:r>
      <w:r w:rsidR="0078697F" w:rsidRPr="002D43CE">
        <w:rPr>
          <w:color w:val="auto"/>
        </w:rPr>
        <w:fldChar w:fldCharType="begin" w:fldLock="1"/>
      </w:r>
      <w:r w:rsidR="00FB617D" w:rsidRPr="002D43CE">
        <w:rPr>
          <w:color w:val="auto"/>
        </w:rPr>
        <w:instrText xml:space="preserve">ADDIN CSL_CITATION {"citationItems":[{"id":"ITEM-1","itemData":{"DOI":"10.1111/acps.12956","ISSN":"16000447","abstract":"OBJECTIVE The purpose of this study was to finalize the development of the International Trauma Questionnaire (ITQ), a self-report diagnostic measure of post-traumatic stress disorder (PTSD) and complex PTSD (CPTSD), as defined in the 11th version of the International Classification of Diseases (ICD-11). METHOD The optimal symptom indicators of PTSD and CPTSD were identified by applying item response theory (IRT) analysis to data from a trauma-exposed community sample (n = 1051) and a trauma-exposed clinical sample (n = 247) from the United Kingdom. The validity of the optimized 12-item ITQ was assessed with confirmatory factor analyses. Diagnostic rates were estimated and compared to previous validation studies. RESULTS The latent structure of the 12-item, optimized ITQ was consistent with prior findings, and diagnostic rates of PTSD and CPTSD were in line with previous estimates. CONCLUSION The ITQ is a brief, simply worded measure of the core features of PTSD and CPTSD. It is consistent with the organizing principles of the ICD-11 to maximize clinical utility and international applicability through a focus on a limited but central set of symptoms. The measure is freely available and can be found in the body of this paper.","author":[{"dropping-particle":"","family":"Cloitre","given":"M.","non-dropping-particle":"","parse-names":false,"suffix":""},{"dropping-particle":"","family":"Shevlin","given":"M.","non-dropping-particle":"","parse-names":false,"suffix":""},{"dropping-particle":"","family":"Brewin","given":"C. R.","non-dropping-particle":"","parse-names":false,"suffix":""},{"dropping-particle":"","family":"Bisson","given":"J. I.","non-dropping-particle":"","parse-names":false,"suffix":""},{"dropping-particle":"","family":"Roberts","given":"N. P.","non-dropping-particle":"","parse-names":false,"suffix":""},{"dropping-particle":"","family":"Maercker","given":"A.","non-dropping-particle":"","parse-names":false,"suffix":""},{"dropping-particle":"","family":"Karatzias","given":"T.","non-dropping-particle":"","parse-names":false,"suffix":""},{"dropping-particle":"","family":"Hyland","given":"P.","non-dropping-particle":"","parse-names":false,"suffix":""}],"container-title":"Acta Psychiatrica Scandinavica","id":"ITEM-1","issue":"6","issued":{"date-parts":[["2018"]]},"page":"536-546","title":"The International Trauma Questionnaire: development of a self-report measure of ICD-11 PTSD and complex PTSD","type":"article-journal","volume":"138"},"uris":["http://www.mendeley.com/documents/?uuid=969e4af6-a079-47f6-8e88-26d09080983b"]},{"id":"ITEM-2","itemData":{"DOI":"10.1080/20008198.2017.1418103","ISSN":"2000-8198","abstract":"The 11th revision to the World Health Organization's International Classification of Diseases (ICD-11) proposes two distinct sibling conditions: Posttraumatic Stress Disorder (PTSD) and Complex PTSD (CPTSD). In this paper, we aim to provide an update on the latest research regarding the conceptual structure and measurement of PTSD and CPTSD using the International Trauma Questionnaire (ITQ) as per ICD-11 proposals in the USA, UK, Germany and Lithuania. Preliminary findings suggest that CPTSD is common in clinical and population samples, although there may be variations across countries in prevalence rates. In clinical samples, preliminary evidence suggests that CPTSD is a more commonly observed condition than PTSD. Preliminary evidence also suggests that the ITQ scores are reliable and valid and can adequately distinguish between PTSD and CPTSD. Further cross-cultural work is proposed to explore differences in PTSD and CPTSD across different countries with regard to prevalence, incidence, and predictors of PTSD and CPTSD. La 11ª revisión de la Clasificación Internacional de Enfermedades (CIE-11) de la Organización Mundial de la Salud propone dos afecciones hermanas distintas, el trastorno por estrés postraumático (TEPT) y el TEPT Complejo (TEPT-C). En este artículo, nuestro objetivo es proporcionar una actualización sobre las últimas investigaciones relacionadas con la estructura conceptual y la medición de TEPT y TEPT-C utilizando el Cuestionario Internacional de Trauma (ITQ, siglas en inglés de International Trauma Questionnaire) según las propuestas de la CIE-11 en los Estados Unidos, el Reino Unido, Alemania y Lituania. Los hallazgos preliminares sugieren que el TEPT-C es frecuente en muestras clínicas y de población, aunque puede haber variaciones entre países en las tasas de prevalencia. En muestras clínicas, la evidencia preliminar sugiere que el TEPT-C es una condición más comúnmente observada que el TEPT. La evidencia preliminar también sugiere que las puntuaciones del ITQ son fiables y válidas y pueden distinguir adecuadamente entre TEPT y TEPT-C Se propone un trabajo intercultural adicional para explorar las diferencias en el TEPT y el TEPT-C en los diferentes países con respecto a la prevalencia, la incidencia y los predictores del TEPT y el TEPT-C. </w:instrText>
      </w:r>
      <w:r w:rsidR="00FB617D" w:rsidRPr="002D43CE">
        <w:rPr>
          <w:rFonts w:ascii="MS Gothic" w:eastAsia="MS Gothic" w:hAnsi="MS Gothic" w:cs="MS Gothic" w:hint="eastAsia"/>
          <w:color w:val="auto"/>
        </w:rPr>
        <w:instrText>世界</w:instrText>
      </w:r>
      <w:r w:rsidR="00FB617D" w:rsidRPr="002D43CE">
        <w:rPr>
          <w:rFonts w:ascii="SimSun" w:eastAsia="SimSun" w:hAnsi="SimSun" w:cs="SimSun" w:hint="eastAsia"/>
          <w:color w:val="auto"/>
        </w:rPr>
        <w:instrText>卫生组织发布的第</w:instrText>
      </w:r>
      <w:r w:rsidR="00FB617D" w:rsidRPr="002D43CE">
        <w:rPr>
          <w:color w:val="auto"/>
        </w:rPr>
        <w:instrText>11</w:instrText>
      </w:r>
      <w:r w:rsidR="00FB617D" w:rsidRPr="002D43CE">
        <w:rPr>
          <w:rFonts w:ascii="MS Gothic" w:eastAsia="MS Gothic" w:hAnsi="MS Gothic" w:cs="MS Gothic" w:hint="eastAsia"/>
          <w:color w:val="auto"/>
        </w:rPr>
        <w:instrText>版国</w:instrText>
      </w:r>
      <w:r w:rsidR="00FB617D" w:rsidRPr="002D43CE">
        <w:rPr>
          <w:rFonts w:ascii="SimSun" w:eastAsia="SimSun" w:hAnsi="SimSun" w:cs="SimSun" w:hint="eastAsia"/>
          <w:color w:val="auto"/>
        </w:rPr>
        <w:instrText>际疾病分类（</w:instrText>
      </w:r>
      <w:r w:rsidR="00FB617D" w:rsidRPr="002D43CE">
        <w:rPr>
          <w:color w:val="auto"/>
        </w:rPr>
        <w:instrText>ICD</w:instrText>
      </w:r>
      <w:r w:rsidR="00FB617D" w:rsidRPr="002D43CE">
        <w:rPr>
          <w:rFonts w:ascii="MS Gothic" w:eastAsia="MS Gothic" w:hAnsi="MS Gothic" w:cs="MS Gothic" w:hint="eastAsia"/>
          <w:color w:val="auto"/>
        </w:rPr>
        <w:instrText>－</w:instrText>
      </w:r>
      <w:r w:rsidR="00FB617D" w:rsidRPr="002D43CE">
        <w:rPr>
          <w:color w:val="auto"/>
        </w:rPr>
        <w:instrText>11</w:instrText>
      </w:r>
      <w:r w:rsidR="00FB617D" w:rsidRPr="002D43CE">
        <w:rPr>
          <w:rFonts w:ascii="MS Gothic" w:eastAsia="MS Gothic" w:hAnsi="MS Gothic" w:cs="MS Gothic" w:hint="eastAsia"/>
          <w:color w:val="auto"/>
        </w:rPr>
        <w:instrText>）提出了两种不同但相仿的疾病：</w:instrText>
      </w:r>
      <w:r w:rsidR="00FB617D" w:rsidRPr="002D43CE">
        <w:rPr>
          <w:rFonts w:ascii="SimSun" w:eastAsia="SimSun" w:hAnsi="SimSun" w:cs="SimSun" w:hint="eastAsia"/>
          <w:color w:val="auto"/>
        </w:rPr>
        <w:instrText>创伤后应激障碍（</w:instrText>
      </w:r>
      <w:r w:rsidR="00FB617D" w:rsidRPr="002D43CE">
        <w:rPr>
          <w:color w:val="auto"/>
        </w:rPr>
        <w:instrText>PTSD</w:instrText>
      </w:r>
      <w:r w:rsidR="00FB617D" w:rsidRPr="002D43CE">
        <w:rPr>
          <w:rFonts w:ascii="MS Gothic" w:eastAsia="MS Gothic" w:hAnsi="MS Gothic" w:cs="MS Gothic" w:hint="eastAsia"/>
          <w:color w:val="auto"/>
        </w:rPr>
        <w:instrText>）和复</w:instrText>
      </w:r>
      <w:r w:rsidR="00FB617D" w:rsidRPr="002D43CE">
        <w:rPr>
          <w:rFonts w:ascii="SimSun" w:eastAsia="SimSun" w:hAnsi="SimSun" w:cs="SimSun" w:hint="eastAsia"/>
          <w:color w:val="auto"/>
        </w:rPr>
        <w:instrText>杂</w:instrText>
      </w:r>
      <w:r w:rsidR="00FB617D" w:rsidRPr="002D43CE">
        <w:rPr>
          <w:color w:val="auto"/>
        </w:rPr>
        <w:instrText>PTSD</w:instrText>
      </w:r>
      <w:r w:rsidR="00FB617D" w:rsidRPr="002D43CE">
        <w:rPr>
          <w:rFonts w:ascii="MS Gothic" w:eastAsia="MS Gothic" w:hAnsi="MS Gothic" w:cs="MS Gothic" w:hint="eastAsia"/>
          <w:color w:val="auto"/>
        </w:rPr>
        <w:instrText>（</w:instrText>
      </w:r>
      <w:r w:rsidR="00FB617D" w:rsidRPr="002D43CE">
        <w:rPr>
          <w:color w:val="auto"/>
        </w:rPr>
        <w:instrText>CPTSD</w:instrText>
      </w:r>
      <w:r w:rsidR="00FB617D" w:rsidRPr="002D43CE">
        <w:rPr>
          <w:rFonts w:ascii="MS Gothic" w:eastAsia="MS Gothic" w:hAnsi="MS Gothic" w:cs="MS Gothic" w:hint="eastAsia"/>
          <w:color w:val="auto"/>
        </w:rPr>
        <w:instrText>）。在本文中，我</w:instrText>
      </w:r>
      <w:r w:rsidR="00FB617D" w:rsidRPr="002D43CE">
        <w:rPr>
          <w:rFonts w:ascii="SimSun" w:eastAsia="SimSun" w:hAnsi="SimSun" w:cs="SimSun" w:hint="eastAsia"/>
          <w:color w:val="auto"/>
        </w:rPr>
        <w:instrText>们目标是更新关于</w:instrText>
      </w:r>
      <w:r w:rsidR="00FB617D" w:rsidRPr="002D43CE">
        <w:rPr>
          <w:color w:val="auto"/>
        </w:rPr>
        <w:instrText xml:space="preserve"> PTSD</w:instrText>
      </w:r>
      <w:r w:rsidR="00FB617D" w:rsidRPr="002D43CE">
        <w:rPr>
          <w:rFonts w:ascii="MS Gothic" w:eastAsia="MS Gothic" w:hAnsi="MS Gothic" w:cs="MS Gothic" w:hint="eastAsia"/>
          <w:color w:val="auto"/>
        </w:rPr>
        <w:instrText>和</w:instrText>
      </w:r>
      <w:r w:rsidR="00FB617D" w:rsidRPr="002D43CE">
        <w:rPr>
          <w:color w:val="auto"/>
        </w:rPr>
        <w:instrText xml:space="preserve"> CPTSD </w:instrText>
      </w:r>
      <w:r w:rsidR="00FB617D" w:rsidRPr="002D43CE">
        <w:rPr>
          <w:rFonts w:ascii="MS Gothic" w:eastAsia="MS Gothic" w:hAnsi="MS Gothic" w:cs="MS Gothic" w:hint="eastAsia"/>
          <w:color w:val="auto"/>
        </w:rPr>
        <w:instrText>在概念</w:instrText>
      </w:r>
      <w:r w:rsidR="00FB617D" w:rsidRPr="002D43CE">
        <w:rPr>
          <w:rFonts w:ascii="SimSun" w:eastAsia="SimSun" w:hAnsi="SimSun" w:cs="SimSun" w:hint="eastAsia"/>
          <w:color w:val="auto"/>
        </w:rPr>
        <w:instrText>结构和测量上的研究进展。我们在英国、美国、</w:instrText>
      </w:r>
      <w:r w:rsidR="00FB617D" w:rsidRPr="002D43CE">
        <w:rPr>
          <w:rFonts w:ascii="MS Gothic" w:eastAsia="MS Gothic" w:hAnsi="MS Gothic" w:cs="MS Gothic" w:hint="eastAsia"/>
          <w:color w:val="auto"/>
        </w:rPr>
        <w:instrText>德国和立陶宛根据</w:instrText>
      </w:r>
      <w:r w:rsidR="00FB617D" w:rsidRPr="002D43CE">
        <w:rPr>
          <w:color w:val="auto"/>
        </w:rPr>
        <w:instrText xml:space="preserve"> ICD-11</w:instrText>
      </w:r>
      <w:r w:rsidR="00FB617D" w:rsidRPr="002D43CE">
        <w:rPr>
          <w:rFonts w:ascii="MS Gothic" w:eastAsia="MS Gothic" w:hAnsi="MS Gothic" w:cs="MS Gothic" w:hint="eastAsia"/>
          <w:color w:val="auto"/>
        </w:rPr>
        <w:instrText>使用国</w:instrText>
      </w:r>
      <w:r w:rsidR="00FB617D" w:rsidRPr="002D43CE">
        <w:rPr>
          <w:rFonts w:ascii="SimSun" w:eastAsia="SimSun" w:hAnsi="SimSun" w:cs="SimSun" w:hint="eastAsia"/>
          <w:color w:val="auto"/>
        </w:rPr>
        <w:instrText>际创伤问卷（</w:instrText>
      </w:r>
      <w:r w:rsidR="00FB617D" w:rsidRPr="002D43CE">
        <w:rPr>
          <w:color w:val="auto"/>
        </w:rPr>
        <w:instrText>ITQ</w:instrText>
      </w:r>
      <w:r w:rsidR="00FB617D" w:rsidRPr="002D43CE">
        <w:rPr>
          <w:rFonts w:ascii="MS Gothic" w:eastAsia="MS Gothic" w:hAnsi="MS Gothic" w:cs="MS Gothic" w:hint="eastAsia"/>
          <w:color w:val="auto"/>
        </w:rPr>
        <w:instrText>）。初步研究</w:instrText>
      </w:r>
      <w:r w:rsidR="00FB617D" w:rsidRPr="002D43CE">
        <w:rPr>
          <w:rFonts w:ascii="SimSun" w:eastAsia="SimSun" w:hAnsi="SimSun" w:cs="SimSun" w:hint="eastAsia"/>
          <w:color w:val="auto"/>
        </w:rPr>
        <w:instrText>发现显示</w:instrText>
      </w:r>
      <w:r w:rsidR="00FB617D" w:rsidRPr="002D43CE">
        <w:rPr>
          <w:color w:val="auto"/>
        </w:rPr>
        <w:instrText xml:space="preserve"> CPTSD </w:instrText>
      </w:r>
      <w:r w:rsidR="00FB617D" w:rsidRPr="002D43CE">
        <w:rPr>
          <w:rFonts w:ascii="MS Gothic" w:eastAsia="MS Gothic" w:hAnsi="MS Gothic" w:cs="MS Gothic" w:hint="eastAsia"/>
          <w:color w:val="auto"/>
        </w:rPr>
        <w:instrText>在</w:instrText>
      </w:r>
      <w:r w:rsidR="00FB617D" w:rsidRPr="002D43CE">
        <w:rPr>
          <w:rFonts w:ascii="SimSun" w:eastAsia="SimSun" w:hAnsi="SimSun" w:cs="SimSun" w:hint="eastAsia"/>
          <w:color w:val="auto"/>
        </w:rPr>
        <w:instrText>临床和普通人群中普遍存在，尽管在不同国家之间的流行率可能有所</w:instrText>
      </w:r>
      <w:r w:rsidR="00FB617D" w:rsidRPr="002D43CE">
        <w:rPr>
          <w:color w:val="auto"/>
        </w:rPr>
        <w:instrText>…","author":[{"dropping-particle":"","family":"Karatzias","given":"Thanos","non-dropping-particle":"","parse-names":false,"suffix":""},{"dropping-particle":"","family":"Cloitre","given":"Marylene","non-dropping-particle":"","parse-names":false,"suffix":""},{"dropping-particle":"","family":"Maercker","given":"Andreas","non-dropping-particle":"","parse-names":false,"suffix":""},{"dropping-particle":"","family":"Kazlauskas","given":"Evaldas","non-dropping-particle":"","parse-names":false,"suffix":""},{"dropping-particle":"","family":"Shevlin","given":"Mark","non-dropping-particle":"","parse-names":false,"suffix":""},{"dropping-particle":"","family":"Hyland","given":"Philip","non-dropping-particle":"","parse-names":false,"suffix":""},{"dropping-particle":"","family":"Bisson","given":"Jonathan I.","non-dropping-particle":"","parse-names":false,"suffix":""},{"dropping-particle":"","family":"Roberts","given":"Neil P.","non-dropping-particle":"","parse-names":false,"suffix":""},{"dropping-particle":"","family":"Brewin","given":"Chris R.","non-dropping-particle":"","parse-names":false,"suffix":""}],"container-title":"European Journal of Psychotraumatology","id":"ITEM-2","issue":"sup7","issued":{"date-parts":[["2017"]]},"page":"1418103","title":"PTSD and Complex PTSD: ICD-11 updates on concept and measurement in the UK, USA, Germany and Lithuania","type":"article-journal","volume":"8"},"uris":["http://www.mendeley.com/documents/?uuid=1d80e090-703f-4cfe-914b-fe9631b20413"]}],"mendeley":{"formattedCitation":"(M. Cloitre et al., 2018; Karatzias et al., 2017)","plainTextFormattedCitation":"(M. Cloitre et al., 2018; Karatzias et al., 2017)","previouslyFormattedCitation":"(M. Cloitre, Shevlin, et al., 2018; Karatzias et al., 2017)"},"properties":{"noteIndex":0},"schema":"https://github.com/citation-style-language/schema/raw/master/csl-citation.json"}</w:instrText>
      </w:r>
      <w:r w:rsidR="0078697F" w:rsidRPr="002D43CE">
        <w:rPr>
          <w:color w:val="auto"/>
        </w:rPr>
        <w:fldChar w:fldCharType="separate"/>
      </w:r>
      <w:r w:rsidR="00FB617D" w:rsidRPr="002D43CE">
        <w:rPr>
          <w:noProof/>
          <w:color w:val="auto"/>
        </w:rPr>
        <w:t>(Cloitre et al., 2018; Karatzias et al., 2017)</w:t>
      </w:r>
      <w:r w:rsidR="0078697F" w:rsidRPr="002D43CE">
        <w:rPr>
          <w:color w:val="auto"/>
        </w:rPr>
        <w:fldChar w:fldCharType="end"/>
      </w:r>
      <w:r w:rsidR="003B2B0D" w:rsidRPr="002D43CE">
        <w:rPr>
          <w:color w:val="auto"/>
        </w:rPr>
        <w:t xml:space="preserve"> to measure symptoms of PTSD/CPTSD, as per the ICD-11 guidelines</w:t>
      </w:r>
      <w:r w:rsidR="007B77F6" w:rsidRPr="002D43CE">
        <w:rPr>
          <w:color w:val="auto"/>
        </w:rPr>
        <w:t>.</w:t>
      </w:r>
      <w:r w:rsidR="004D51A0" w:rsidRPr="002D43CE">
        <w:rPr>
          <w:color w:val="auto"/>
        </w:rPr>
        <w:t xml:space="preserve"> Notably, very few studies have assessed </w:t>
      </w:r>
      <w:r w:rsidR="00930685" w:rsidRPr="002D43CE">
        <w:rPr>
          <w:color w:val="auto"/>
        </w:rPr>
        <w:t xml:space="preserve">the </w:t>
      </w:r>
      <w:r w:rsidR="0078697F" w:rsidRPr="002D43CE">
        <w:rPr>
          <w:color w:val="auto"/>
        </w:rPr>
        <w:t xml:space="preserve">validity of </w:t>
      </w:r>
      <w:r w:rsidR="00930685" w:rsidRPr="002D43CE">
        <w:rPr>
          <w:color w:val="auto"/>
        </w:rPr>
        <w:t>these</w:t>
      </w:r>
      <w:r w:rsidR="0078697F" w:rsidRPr="002D43CE">
        <w:rPr>
          <w:color w:val="auto"/>
        </w:rPr>
        <w:t xml:space="preserve"> </w:t>
      </w:r>
      <w:r w:rsidR="004D51A0" w:rsidRPr="002D43CE">
        <w:rPr>
          <w:color w:val="auto"/>
        </w:rPr>
        <w:t xml:space="preserve">constructs </w:t>
      </w:r>
      <w:r w:rsidR="0078697F" w:rsidRPr="002D43CE">
        <w:rPr>
          <w:color w:val="auto"/>
        </w:rPr>
        <w:t xml:space="preserve">among children and adolescents. </w:t>
      </w:r>
    </w:p>
    <w:p w14:paraId="072E2C47" w14:textId="63665DA4" w:rsidR="004D51A0" w:rsidRPr="002D43CE" w:rsidRDefault="003664F3" w:rsidP="00604321">
      <w:pPr>
        <w:suppressAutoHyphens w:val="0"/>
        <w:spacing w:line="360" w:lineRule="auto"/>
        <w:ind w:firstLine="720"/>
        <w:rPr>
          <w:color w:val="auto"/>
        </w:rPr>
      </w:pPr>
      <w:r w:rsidRPr="002D43CE">
        <w:rPr>
          <w:color w:val="auto"/>
        </w:rPr>
        <w:t>A recent study</w:t>
      </w:r>
      <w:r w:rsidR="004D51A0" w:rsidRPr="002D43CE">
        <w:rPr>
          <w:color w:val="auto"/>
        </w:rPr>
        <w:t xml:space="preserve"> in Germany used archival data from 155 children and adolescents and found evidence of separate groups of children and adolescents whose symptoms were consistent with the distinction between PTSD and CPTSD </w:t>
      </w:r>
      <w:r w:rsidRPr="002D43CE">
        <w:rPr>
          <w:color w:val="auto"/>
        </w:rPr>
        <w:fldChar w:fldCharType="begin" w:fldLock="1"/>
      </w:r>
      <w:r w:rsidRPr="002D43CE">
        <w:rPr>
          <w:color w:val="auto"/>
        </w:rPr>
        <w:instrText>ADDIN CSL_CITATION {"citationItems":[{"id":"ITEM-1","itemData":{"DOI":"10.1111/jcpp.12640","ISSN":"14697610","abstract":"Objective: To provide a contemporary institutional comparative analysis of expedient correction of acute catastrophes of the descending thoracic aorta (ACDTA) by traditional direct thoracic aortic repair (DTAR) or thoracic endovascular aortic repair (TEVAR). Design: Single-center retrospective review (April 2001-January 2010). Setting: Academic medical center. Patients: One hundred patients with ACDTA treated with either TEVAR (n=76) or DTAR (n=24). Indications for repair included ruptured degenerative aneurysm (n=41), traumatic transection (n=27), complicated acute type B dissection (n=20), penetrating ulcer (n=4), intramural hematoma (n=3), penetrating injury (n=3), and embolizing lesion (n=2). Main Outcome Measures: Demographics and 30-day and late outcomes were analyzed using multivariate analysis over a mean follow-up of 33.8 months. Results: Among the 100 patients, mean (SD) age was 58.5 (17.3) years (range, 18-87 years). Demographics and comorbid conditions were similar between the 2 groups, except more patients in the DTAR group had prior aortic surgery (P=.02) and were older (P=.01). Overall 30-day mortality was significantly better among the TEVAR group (8% vs 29%; P=.007). Incidence of postoperative myocardial infarction, acute renal failure, stroke, and paraplegia/paresis was similar between the 2 treatment groups (TEVAR, 5%, 12%, 8%, and 8% vs DTAR, 13%, 13%, 9%, and 13%, respectively). Major respiratory complications were lower in the TEVAR group (16% vs 48%; P&lt;.05). Mean length of hospital stay was also shorter after TEVAR (13.5 vs 16.3 days; P=.30). Independent predictors of patient mortality included age (P=.004) and DTAR (P=.001). Conclusion: Patients presenting with ACDTA are best treated with TEVAR whenever feasible. 2012 American Medical Association. All rights reserved.","author":[{"dropping-particle":"","family":"Sachser","given":"Cedric","non-dropping-particle":"","parse-names":false,"suffix":""},{"dropping-particle":"","family":"Keller","given":"Ferdinand","non-dropping-particle":"","parse-names":false,"suffix":""},{"dropping-particle":"","family":"Goldbeck","given":"Lutz","non-dropping-particle":"","parse-names":false,"suffix":""}],"container-title":"Journal of Child Psychology and Psychiatry and Allied Disciplines","id":"ITEM-1","issue":"2","issued":{"date-parts":[["2017"]]},"page":"160-168","title":"Complex PTSD as proposed for ICD-11: validation of a new disorder in children and adolescents and their response to Trauma-Focused Cognitive Behavioral Therapy","type":"article-journal","volume":"58"},"uris":["http://www.mendeley.com/documents/?uuid=830cd304-c143-48cb-97ea-5d47d9fcc189"]}],"mendeley":{"formattedCitation":"(Sachser, Keller, &amp; Goldbeck, 2017)","plainTextFormattedCitation":"(Sachser, Keller, &amp; Goldbeck, 2017)","previouslyFormattedCitation":"(Sachser, Keller, &amp; Goldbeck, 2017)"},"properties":{"noteIndex":0},"schema":"https://github.com/citation-style-language/schema/raw/master/csl-citation.json"}</w:instrText>
      </w:r>
      <w:r w:rsidRPr="002D43CE">
        <w:rPr>
          <w:color w:val="auto"/>
        </w:rPr>
        <w:fldChar w:fldCharType="separate"/>
      </w:r>
      <w:r w:rsidRPr="002D43CE">
        <w:rPr>
          <w:noProof/>
          <w:color w:val="auto"/>
        </w:rPr>
        <w:t>(Sachser, Keller, &amp; Goldbeck, 2017)</w:t>
      </w:r>
      <w:r w:rsidRPr="002D43CE">
        <w:rPr>
          <w:color w:val="auto"/>
        </w:rPr>
        <w:fldChar w:fldCharType="end"/>
      </w:r>
      <w:r w:rsidRPr="002D43CE">
        <w:rPr>
          <w:color w:val="auto"/>
        </w:rPr>
        <w:t xml:space="preserve">. </w:t>
      </w:r>
      <w:r w:rsidR="004D51A0" w:rsidRPr="002D43CE">
        <w:rPr>
          <w:color w:val="auto"/>
        </w:rPr>
        <w:t xml:space="preserve">More recently, </w:t>
      </w:r>
      <w:r w:rsidR="004D51A0" w:rsidRPr="002D43CE">
        <w:rPr>
          <w:color w:val="auto"/>
        </w:rPr>
        <w:fldChar w:fldCharType="begin" w:fldLock="1"/>
      </w:r>
      <w:r w:rsidR="00FB617D" w:rsidRPr="002D43CE">
        <w:rPr>
          <w:color w:val="auto"/>
        </w:rPr>
        <w:instrText>ADDIN CSL_CITATION {"citationItems":[{"id":"ITEM-1","itemData":{"DOI":"10.1111/acps.13100","ISSN":"16000447","abstract":"Objective: ICD-11 introduces post-traumatic stress disorder (PTSD) and complex PTSD (CPTSD) as two distinct trauma-related disorders. Using the International Trauma Questionnaire (ITQ) as disorder-specific measure, this study is the first to examine the factorial and construct validity of ICD-11 PTSD, CPTSD and the ITQs’ applicability in children. Methods: Two hundred and eight Austrian foster children completed a set of standardized measures. Excluding participants who reported not having experienced any kind of trauma, a final sample of 136 children completed the ITQ. Factorial and construct validity of ICD-11 CPTSD and psychometric properties of ITQ scales were assessed by factor analysis and latent class analysis. Results: Confirmatory factor analysis supported the two-factor higher-order model of ICD-11 CPTSD in children by high factor loadings and excellent model fit. Reliability and regression analysis evidenced psychometric adequacy and discriminant validity of ITQ scales. Latent class analysis substantiated construct validity of ICD-11 CPTSD, identifying a CPTSD (22.8%), PTSD (31.6%) and low symptoms class (45.6%). The CPTSD class showed highest rates of childhood trauma, comorbid psychopathology and functional impairment. Conclusion: Factorial and construct validity of ICD-11 CPTSD was evidenced in children for the first time using precise descriptions of ICD-11 symptom content, supporting the reliability and validity of the ITQ in children.","author":[{"dropping-particle":"","family":"Haselgruber","given":"A.","non-dropping-particle":"","parse-names":false,"suffix":""},{"dropping-particle":"","family":"Sölva","given":"K.","non-dropping-particle":"","parse-names":false,"suffix":""},{"dropping-particle":"","family":"Lueger-Schuster","given":"B.","non-dropping-particle":"","parse-names":false,"suffix":""}],"container-title":"Acta Psychiatrica Scandinavica","id":"ITEM-1","issued":{"date-parts":[["2020"]]},"page":"60-73","title":"Validation of ICD-11 PTSD and complex PTSD in foster children using the International Trauma Questionnaire","type":"article-journal","volume":"141"},"uris":["http://www.mendeley.com/documents/?uuid=93762350-71ca-45cb-8129-2eef1504f13d"]}],"mendeley":{"formattedCitation":"(Haselgruber, Sölva, &amp; Lueger-Schuster, 2020)","manualFormatting":"Haselgruber, Solva, and Luager-Schuster (2020)","plainTextFormattedCitation":"(Haselgruber, Sölva, &amp; Lueger-Schuster, 2020)","previouslyFormattedCitation":"(Haselgruber, Sölva, &amp; Lueger-Schuster, 2020)"},"properties":{"noteIndex":0},"schema":"https://github.com/citation-style-language/schema/raw/master/csl-citation.json"}</w:instrText>
      </w:r>
      <w:r w:rsidR="004D51A0" w:rsidRPr="002D43CE">
        <w:rPr>
          <w:color w:val="auto"/>
        </w:rPr>
        <w:fldChar w:fldCharType="separate"/>
      </w:r>
      <w:r w:rsidR="004D51A0" w:rsidRPr="002D43CE">
        <w:rPr>
          <w:noProof/>
          <w:color w:val="auto"/>
        </w:rPr>
        <w:t>Haselgruber, Solva, and Luager-Schuster (20</w:t>
      </w:r>
      <w:r w:rsidR="00FB617D" w:rsidRPr="002D43CE">
        <w:rPr>
          <w:noProof/>
          <w:color w:val="auto"/>
        </w:rPr>
        <w:t>20</w:t>
      </w:r>
      <w:r w:rsidR="004D51A0" w:rsidRPr="002D43CE">
        <w:rPr>
          <w:noProof/>
          <w:color w:val="auto"/>
        </w:rPr>
        <w:t>)</w:t>
      </w:r>
      <w:r w:rsidR="004D51A0" w:rsidRPr="002D43CE">
        <w:rPr>
          <w:color w:val="auto"/>
        </w:rPr>
        <w:fldChar w:fldCharType="end"/>
      </w:r>
      <w:r w:rsidR="004D51A0" w:rsidRPr="002D43CE">
        <w:rPr>
          <w:color w:val="auto"/>
        </w:rPr>
        <w:t xml:space="preserve"> analyzed data from </w:t>
      </w:r>
      <w:r w:rsidRPr="002D43CE">
        <w:rPr>
          <w:color w:val="auto"/>
        </w:rPr>
        <w:t xml:space="preserve"> 136 Austrian foster </w:t>
      </w:r>
      <w:r w:rsidR="004D51A0" w:rsidRPr="002D43CE">
        <w:rPr>
          <w:color w:val="auto"/>
        </w:rPr>
        <w:t>adolescents who completed the</w:t>
      </w:r>
      <w:r w:rsidRPr="002D43CE">
        <w:rPr>
          <w:color w:val="auto"/>
        </w:rPr>
        <w:t xml:space="preserve"> </w:t>
      </w:r>
      <w:r w:rsidR="006247DB" w:rsidRPr="002D43CE">
        <w:rPr>
          <w:color w:val="auto"/>
        </w:rPr>
        <w:t xml:space="preserve">adult version of </w:t>
      </w:r>
      <w:r w:rsidR="00B93439" w:rsidRPr="002D43CE">
        <w:rPr>
          <w:color w:val="auto"/>
        </w:rPr>
        <w:t xml:space="preserve">the </w:t>
      </w:r>
      <w:r w:rsidRPr="002D43CE">
        <w:rPr>
          <w:color w:val="auto"/>
        </w:rPr>
        <w:t>ITQ</w:t>
      </w:r>
      <w:r w:rsidR="006247DB" w:rsidRPr="002D43CE">
        <w:rPr>
          <w:color w:val="auto"/>
        </w:rPr>
        <w:t xml:space="preserve">. </w:t>
      </w:r>
      <w:r w:rsidR="004D51A0" w:rsidRPr="002D43CE">
        <w:rPr>
          <w:color w:val="auto"/>
        </w:rPr>
        <w:t xml:space="preserve">Consistent with the </w:t>
      </w:r>
      <w:proofErr w:type="spellStart"/>
      <w:r w:rsidR="004D51A0" w:rsidRPr="002D43CE">
        <w:rPr>
          <w:color w:val="auto"/>
        </w:rPr>
        <w:t>Sachser</w:t>
      </w:r>
      <w:proofErr w:type="spellEnd"/>
      <w:r w:rsidR="004D51A0" w:rsidRPr="002D43CE">
        <w:rPr>
          <w:color w:val="auto"/>
        </w:rPr>
        <w:t xml:space="preserve"> et al.’s results, distinct groups of adolescent with PTSD and CPTSD symptoms were identified</w:t>
      </w:r>
      <w:r w:rsidR="00C00112" w:rsidRPr="002D43CE">
        <w:rPr>
          <w:color w:val="auto"/>
        </w:rPr>
        <w:t xml:space="preserve"> </w:t>
      </w:r>
      <w:r w:rsidR="00C00112" w:rsidRPr="002D43CE">
        <w:rPr>
          <w:color w:val="auto"/>
        </w:rPr>
        <w:fldChar w:fldCharType="begin" w:fldLock="1"/>
      </w:r>
      <w:r w:rsidR="002C261F" w:rsidRPr="002D43CE">
        <w:rPr>
          <w:color w:val="auto"/>
        </w:rPr>
        <w:instrText>ADDIN CSL_CITATION {"citationItems":[{"id":"ITEM-1","itemData":{"DOI":"10.1111/jcpp.12640","ISSN":"14697610","abstract":"Objective: To provide a contemporary institutional comparative analysis of expedient correction of acute catastrophes of the descending thoracic aorta (ACDTA) by traditional direct thoracic aortic repair (DTAR) or thoracic endovascular aortic repair (TEVAR). Design: Single-center retrospective review (April 2001-January 2010). Setting: Academic medical center. Patients: One hundred patients with ACDTA treated with either TEVAR (n=76) or DTAR (n=24). Indications for repair included ruptured degenerative aneurysm (n=41), traumatic transection (n=27), complicated acute type B dissection (n=20), penetrating ulcer (n=4), intramural hematoma (n=3), penetrating injury (n=3), and embolizing lesion (n=2). Main Outcome Measures: Demographics and 30-day and late outcomes were analyzed using multivariate analysis over a mean follow-up of 33.8 months. Results: Among the 100 patients, mean (SD) age was 58.5 (17.3) years (range, 18-87 years). Demographics and comorbid conditions were similar between the 2 groups, except more patients in the DTAR group had prior aortic surgery (P=.02) and were older (P=.01). Overall 30-day mortality was significantly better among the TEVAR group (8% vs 29%; P=.007). Incidence of postoperative myocardial infarction, acute renal failure, stroke, and paraplegia/paresis was similar between the 2 treatment groups (TEVAR, 5%, 12%, 8%, and 8% vs DTAR, 13%, 13%, 9%, and 13%, respectively). Major respiratory complications were lower in the TEVAR group (16% vs 48%; P&lt;.05). Mean length of hospital stay was also shorter after TEVAR (13.5 vs 16.3 days; P=.30). Independent predictors of patient mortality included age (P=.004) and DTAR (P=.001). Conclusion: Patients presenting with ACDTA are best treated with TEVAR whenever feasible. 2012 American Medical Association. All rights reserved.","author":[{"dropping-particle":"","family":"Sachser","given":"Cedric","non-dropping-particle":"","parse-names":false,"suffix":""},{"dropping-particle":"","family":"Keller","given":"Ferdinand","non-dropping-particle":"","parse-names":false,"suffix":""},{"dropping-particle":"","family":"Goldbeck","given":"Lutz","non-dropping-particle":"","parse-names":false,"suffix":""}],"container-title":"Journal of Child Psychology and Psychiatry and Allied Disciplines","id":"ITEM-1","issue":"2","issued":{"date-parts":[["2017"]]},"page":"160-168","title":"Complex PTSD as proposed for ICD-11: validation of a new disorder in children and adolescents and their response to Trauma-Focused Cognitive Behavioral Therapy","type":"article-journal","volume":"58"},"uris":["http://www.mendeley.com/documents/?uuid=830cd304-c143-48cb-97ea-5d47d9fcc189"]}],"mendeley":{"formattedCitation":"(Sachser, Keller, et al., 2017)","plainTextFormattedCitation":"(Sachser, Keller, et al., 2017)","previouslyFormattedCitation":"(Sachser, Keller, et al., 2017)"},"properties":{"noteIndex":0},"schema":"https://github.com/citation-style-language/schema/raw/master/csl-citation.json"}</w:instrText>
      </w:r>
      <w:r w:rsidR="00C00112" w:rsidRPr="002D43CE">
        <w:rPr>
          <w:color w:val="auto"/>
        </w:rPr>
        <w:fldChar w:fldCharType="separate"/>
      </w:r>
      <w:r w:rsidR="00C00112" w:rsidRPr="002D43CE">
        <w:rPr>
          <w:noProof/>
          <w:color w:val="auto"/>
        </w:rPr>
        <w:t>(Sachser, Keller, et al., 2017)</w:t>
      </w:r>
      <w:r w:rsidR="00C00112" w:rsidRPr="002D43CE">
        <w:rPr>
          <w:color w:val="auto"/>
        </w:rPr>
        <w:fldChar w:fldCharType="end"/>
      </w:r>
      <w:r w:rsidR="004D51A0" w:rsidRPr="002D43CE">
        <w:rPr>
          <w:color w:val="auto"/>
        </w:rPr>
        <w:t xml:space="preserve">. Additionally, </w:t>
      </w:r>
      <w:r w:rsidR="00E807CB" w:rsidRPr="002D43CE">
        <w:rPr>
          <w:color w:val="auto"/>
        </w:rPr>
        <w:t xml:space="preserve">and in line with much of the adult literature (Brewin et al., 2017), the latent structure of the ITQ was best explained by two </w:t>
      </w:r>
      <w:r w:rsidR="00E807CB" w:rsidRPr="002D43CE">
        <w:rPr>
          <w:color w:val="auto"/>
        </w:rPr>
        <w:lastRenderedPageBreak/>
        <w:t>second-order factors (PTSD and DSO) explaining covariation between six first-order factors (Re-experiencing, avoidance, Threat, Affective Dysregulation, Negative Self-Concept, and Disturbed Relationships). To facilitate additional research with children and adolescents, a Child and Adolescent version of International Trauma Questionnaire (ITQ-CA) has been developed</w:t>
      </w:r>
      <w:r w:rsidR="00C00112" w:rsidRPr="002D43CE">
        <w:rPr>
          <w:color w:val="auto"/>
        </w:rPr>
        <w:t xml:space="preserve"> </w:t>
      </w:r>
      <w:r w:rsidR="002C261F" w:rsidRPr="002D43CE">
        <w:rPr>
          <w:color w:val="auto"/>
        </w:rPr>
        <w:fldChar w:fldCharType="begin" w:fldLock="1"/>
      </w:r>
      <w:r w:rsidR="00FB617D" w:rsidRPr="002D43CE">
        <w:rPr>
          <w:color w:val="auto"/>
        </w:rPr>
        <w:instrText>ADDIN CSL_CITATION {"citationItems":[{"id":"ITEM-1","itemData":{"author":[{"dropping-particle":"","family":"Cloitre","given":"M","non-dropping-particle":"","parse-names":false,"suffix":""},{"dropping-particle":"","family":"Roberts","given":"Neil","non-dropping-particle":"","parse-names":false,"suffix":""},{"dropping-particle":"","family":"Bisson","given":"Jonathan","non-dropping-particle":"","parse-names":false,"suffix":""},{"dropping-particle":"","family":"Brewin","given":"Chris","non-dropping-particle":"","parse-names":false,"suffix":""}],"id":"ITEM-1","issued":{"date-parts":[["2018"]]},"title":"International Trauma Questionnaire – Child and Adolescent Version (ITQ-CA)","type":"article"},"uris":["http://www.mendeley.com/documents/?uuid=6c74f79e-d833-47bb-a0ff-1b4f5ae30cc2"]}],"mendeley":{"formattedCitation":"(M Cloitre, Roberts, Bisson, &amp; Brewin, 2018)","plainTextFormattedCitation":"(M Cloitre, Roberts, Bisson, &amp; Brewin, 2018)","previouslyFormattedCitation":"(M Cloitre, Roberts, Bisson, &amp; Brewin, 2018)"},"properties":{"noteIndex":0},"schema":"https://github.com/citation-style-language/schema/raw/master/csl-citation.json"}</w:instrText>
      </w:r>
      <w:r w:rsidR="002C261F" w:rsidRPr="002D43CE">
        <w:rPr>
          <w:color w:val="auto"/>
        </w:rPr>
        <w:fldChar w:fldCharType="separate"/>
      </w:r>
      <w:r w:rsidR="00FB617D" w:rsidRPr="002D43CE">
        <w:rPr>
          <w:noProof/>
          <w:color w:val="auto"/>
        </w:rPr>
        <w:t>(M Cloitre, Roberts, Bisson, &amp; Brewin, 2018)</w:t>
      </w:r>
      <w:r w:rsidR="002C261F" w:rsidRPr="002D43CE">
        <w:rPr>
          <w:color w:val="auto"/>
        </w:rPr>
        <w:fldChar w:fldCharType="end"/>
      </w:r>
      <w:r w:rsidR="00E807CB" w:rsidRPr="002D43CE">
        <w:rPr>
          <w:color w:val="auto"/>
        </w:rPr>
        <w:t xml:space="preserve">. </w:t>
      </w:r>
    </w:p>
    <w:p w14:paraId="457988C2" w14:textId="4324C08D" w:rsidR="00FC620F" w:rsidRPr="002D43CE" w:rsidRDefault="00E860F5" w:rsidP="00365F1C">
      <w:pPr>
        <w:suppressAutoHyphens w:val="0"/>
        <w:spacing w:line="360" w:lineRule="auto"/>
        <w:ind w:firstLine="720"/>
        <w:rPr>
          <w:color w:val="auto"/>
        </w:rPr>
      </w:pPr>
      <w:r w:rsidRPr="002D43CE">
        <w:rPr>
          <w:color w:val="auto"/>
        </w:rPr>
        <w:t xml:space="preserve">This is </w:t>
      </w:r>
      <w:r w:rsidR="0026626F" w:rsidRPr="002D43CE">
        <w:rPr>
          <w:color w:val="auto"/>
        </w:rPr>
        <w:t>the</w:t>
      </w:r>
      <w:r w:rsidRPr="002D43CE">
        <w:rPr>
          <w:color w:val="auto"/>
        </w:rPr>
        <w:t xml:space="preserve"> first stud</w:t>
      </w:r>
      <w:r w:rsidR="00E807CB" w:rsidRPr="002D43CE">
        <w:rPr>
          <w:color w:val="auto"/>
        </w:rPr>
        <w:t>y</w:t>
      </w:r>
      <w:r w:rsidRPr="002D43CE">
        <w:rPr>
          <w:color w:val="auto"/>
        </w:rPr>
        <w:t xml:space="preserve"> to explore the </w:t>
      </w:r>
      <w:r w:rsidR="00301643" w:rsidRPr="002D43CE">
        <w:rPr>
          <w:color w:val="auto"/>
        </w:rPr>
        <w:t xml:space="preserve">factor </w:t>
      </w:r>
      <w:r w:rsidRPr="002D43CE">
        <w:rPr>
          <w:color w:val="auto"/>
        </w:rPr>
        <w:t xml:space="preserve">structure of </w:t>
      </w:r>
      <w:r w:rsidR="00E807CB" w:rsidRPr="002D43CE">
        <w:rPr>
          <w:color w:val="auto"/>
        </w:rPr>
        <w:t>the ITQ-CA</w:t>
      </w:r>
      <w:r w:rsidRPr="002D43CE">
        <w:rPr>
          <w:color w:val="auto"/>
        </w:rPr>
        <w:t xml:space="preserve"> in </w:t>
      </w:r>
      <w:r w:rsidR="00E807CB" w:rsidRPr="002D43CE">
        <w:rPr>
          <w:color w:val="auto"/>
        </w:rPr>
        <w:t xml:space="preserve">a </w:t>
      </w:r>
      <w:r w:rsidRPr="002D43CE">
        <w:rPr>
          <w:color w:val="auto"/>
        </w:rPr>
        <w:t xml:space="preserve">sample of adolescents </w:t>
      </w:r>
      <w:r w:rsidR="00523974" w:rsidRPr="002D43CE">
        <w:rPr>
          <w:color w:val="auto"/>
        </w:rPr>
        <w:t>from general population</w:t>
      </w:r>
      <w:r w:rsidR="00FD7A59" w:rsidRPr="002D43CE">
        <w:rPr>
          <w:color w:val="auto"/>
        </w:rPr>
        <w:t>.</w:t>
      </w:r>
      <w:r w:rsidR="00301643" w:rsidRPr="002D43CE">
        <w:rPr>
          <w:color w:val="auto"/>
        </w:rPr>
        <w:t xml:space="preserve"> We used confirmatory factor analysis (CFA) to test </w:t>
      </w:r>
      <w:r w:rsidR="00FC620F" w:rsidRPr="002D43CE">
        <w:rPr>
          <w:color w:val="auto"/>
        </w:rPr>
        <w:t xml:space="preserve">four </w:t>
      </w:r>
      <w:r w:rsidR="00E807CB" w:rsidRPr="002D43CE">
        <w:rPr>
          <w:color w:val="auto"/>
        </w:rPr>
        <w:t xml:space="preserve">alternative </w:t>
      </w:r>
      <w:r w:rsidR="00301643" w:rsidRPr="002D43CE">
        <w:rPr>
          <w:color w:val="auto"/>
        </w:rPr>
        <w:t xml:space="preserve">models of </w:t>
      </w:r>
      <w:r w:rsidR="00E807CB" w:rsidRPr="002D43CE">
        <w:rPr>
          <w:color w:val="auto"/>
        </w:rPr>
        <w:t xml:space="preserve">the latent structure of the ITQ-CA </w:t>
      </w:r>
      <w:r w:rsidR="00301643" w:rsidRPr="002D43CE">
        <w:rPr>
          <w:color w:val="auto"/>
        </w:rPr>
        <w:t xml:space="preserve">based on findings </w:t>
      </w:r>
      <w:r w:rsidR="00E807CB" w:rsidRPr="002D43CE">
        <w:rPr>
          <w:color w:val="auto"/>
        </w:rPr>
        <w:t xml:space="preserve">from </w:t>
      </w:r>
      <w:r w:rsidR="00301643" w:rsidRPr="002D43CE">
        <w:rPr>
          <w:color w:val="auto"/>
        </w:rPr>
        <w:t>previous studies</w:t>
      </w:r>
      <w:r w:rsidR="00930685" w:rsidRPr="002D43CE">
        <w:rPr>
          <w:color w:val="auto"/>
        </w:rPr>
        <w:t xml:space="preserve"> </w:t>
      </w:r>
      <w:r w:rsidR="00E807CB" w:rsidRPr="002D43CE">
        <w:rPr>
          <w:color w:val="auto"/>
        </w:rPr>
        <w:t>with the ITQ</w:t>
      </w:r>
      <w:r w:rsidR="00FC620F" w:rsidRPr="002D43CE">
        <w:rPr>
          <w:color w:val="auto"/>
        </w:rPr>
        <w:t>. We hypothesized that the latent structure of the ITQ-CA would be best explained by one of the two-models that are consistently supported in the adult ITQ literature: either a correlated six</w:t>
      </w:r>
      <w:r w:rsidR="008476AE" w:rsidRPr="002D43CE">
        <w:rPr>
          <w:color w:val="auto"/>
        </w:rPr>
        <w:t xml:space="preserve"> </w:t>
      </w:r>
      <w:r w:rsidR="00FC620F" w:rsidRPr="002D43CE">
        <w:rPr>
          <w:color w:val="auto"/>
        </w:rPr>
        <w:t>factor model or a two</w:t>
      </w:r>
      <w:r w:rsidR="008476AE" w:rsidRPr="002D43CE">
        <w:rPr>
          <w:color w:val="auto"/>
        </w:rPr>
        <w:t xml:space="preserve"> </w:t>
      </w:r>
      <w:r w:rsidR="00FC620F" w:rsidRPr="002D43CE">
        <w:rPr>
          <w:color w:val="auto"/>
        </w:rPr>
        <w:t>factor higher order model, both of which capture the distinction between PTSD and DSO symptoms. Second, we hypothesized consistent with the ICD-11 PTSD and CPTSD studies that distinct groups of adolescents would be identified with a symptom profiles consistent with the distinction between PTSD and CPTSD.</w:t>
      </w:r>
    </w:p>
    <w:p w14:paraId="74A2837B" w14:textId="44706D01" w:rsidR="00B6389C" w:rsidRPr="002D43CE" w:rsidRDefault="00B6389C" w:rsidP="00365F1C">
      <w:pPr>
        <w:suppressAutoHyphens w:val="0"/>
        <w:spacing w:line="360" w:lineRule="auto"/>
        <w:rPr>
          <w:color w:val="auto"/>
        </w:rPr>
      </w:pPr>
    </w:p>
    <w:p w14:paraId="4E0759DB" w14:textId="6FE215D9" w:rsidR="007E6CF0" w:rsidRPr="002D43CE" w:rsidRDefault="00AF7FDD" w:rsidP="00AF7FDD">
      <w:pPr>
        <w:spacing w:line="360" w:lineRule="auto"/>
        <w:rPr>
          <w:rFonts w:eastAsia="Times New Roman Bold"/>
          <w:color w:val="auto"/>
        </w:rPr>
      </w:pPr>
      <w:r w:rsidRPr="002D43CE">
        <w:rPr>
          <w:color w:val="auto"/>
        </w:rPr>
        <w:t xml:space="preserve">2. </w:t>
      </w:r>
      <w:r w:rsidR="007E6CF0" w:rsidRPr="002D43CE">
        <w:rPr>
          <w:color w:val="auto"/>
        </w:rPr>
        <w:t>Method</w:t>
      </w:r>
    </w:p>
    <w:p w14:paraId="620DC9F4" w14:textId="23FE66CB" w:rsidR="00B6389C" w:rsidRPr="002D43CE" w:rsidRDefault="00B6389C" w:rsidP="00365F1C">
      <w:pPr>
        <w:spacing w:line="360" w:lineRule="auto"/>
        <w:rPr>
          <w:b/>
          <w:color w:val="auto"/>
        </w:rPr>
      </w:pPr>
    </w:p>
    <w:p w14:paraId="0B1FFE26" w14:textId="02D9A1B6" w:rsidR="00DD556E" w:rsidRPr="002D43CE" w:rsidRDefault="00AF7FDD" w:rsidP="00365F1C">
      <w:pPr>
        <w:spacing w:line="360" w:lineRule="auto"/>
        <w:rPr>
          <w:i/>
          <w:color w:val="auto"/>
        </w:rPr>
      </w:pPr>
      <w:r w:rsidRPr="002D43CE">
        <w:rPr>
          <w:i/>
          <w:color w:val="auto"/>
        </w:rPr>
        <w:t xml:space="preserve">2.1. </w:t>
      </w:r>
      <w:r w:rsidR="00DD556E" w:rsidRPr="002D43CE">
        <w:rPr>
          <w:i/>
          <w:color w:val="auto"/>
        </w:rPr>
        <w:t>Participants and procedures</w:t>
      </w:r>
    </w:p>
    <w:p w14:paraId="3CB14BB6" w14:textId="77777777" w:rsidR="00DE2BF4" w:rsidRPr="002D43CE" w:rsidRDefault="00DE2BF4" w:rsidP="00365F1C">
      <w:pPr>
        <w:spacing w:line="360" w:lineRule="auto"/>
        <w:rPr>
          <w:i/>
          <w:color w:val="auto"/>
        </w:rPr>
      </w:pPr>
    </w:p>
    <w:p w14:paraId="6565C07C" w14:textId="09587681" w:rsidR="00DD556E" w:rsidRPr="002D43CE" w:rsidRDefault="00111B72" w:rsidP="00365F1C">
      <w:pPr>
        <w:suppressAutoHyphens w:val="0"/>
        <w:spacing w:line="360" w:lineRule="auto"/>
        <w:ind w:firstLine="720"/>
        <w:rPr>
          <w:color w:val="auto"/>
        </w:rPr>
      </w:pPr>
      <w:r w:rsidRPr="002D43CE">
        <w:rPr>
          <w:color w:val="auto"/>
        </w:rPr>
        <w:t xml:space="preserve">Data for this study </w:t>
      </w:r>
      <w:r w:rsidR="009E248D" w:rsidRPr="002D43CE">
        <w:rPr>
          <w:color w:val="auto"/>
        </w:rPr>
        <w:t>was</w:t>
      </w:r>
      <w:r w:rsidR="00A0763D" w:rsidRPr="002D43CE">
        <w:rPr>
          <w:color w:val="auto"/>
        </w:rPr>
        <w:t xml:space="preserve"> </w:t>
      </w:r>
      <w:r w:rsidR="003E79E8" w:rsidRPr="002D43CE">
        <w:rPr>
          <w:color w:val="auto"/>
        </w:rPr>
        <w:t xml:space="preserve">from the first wave </w:t>
      </w:r>
      <w:r w:rsidR="00A0763D" w:rsidRPr="002D43CE">
        <w:rPr>
          <w:color w:val="auto"/>
        </w:rPr>
        <w:t xml:space="preserve">of the </w:t>
      </w:r>
      <w:r w:rsidR="00DD556E" w:rsidRPr="002D43CE">
        <w:rPr>
          <w:color w:val="auto"/>
        </w:rPr>
        <w:t xml:space="preserve">longitudinal study </w:t>
      </w:r>
      <w:r w:rsidR="00DD556E" w:rsidRPr="002D43CE">
        <w:rPr>
          <w:i/>
          <w:color w:val="auto"/>
        </w:rPr>
        <w:t xml:space="preserve">Stress and Resilience in Adolescence </w:t>
      </w:r>
      <w:r w:rsidR="00DD556E" w:rsidRPr="002D43CE">
        <w:rPr>
          <w:color w:val="auto"/>
        </w:rPr>
        <w:t xml:space="preserve">(STAR-A) </w:t>
      </w:r>
      <w:r w:rsidR="00D128B7" w:rsidRPr="002D43CE">
        <w:rPr>
          <w:color w:val="auto"/>
        </w:rPr>
        <w:t xml:space="preserve">conducted </w:t>
      </w:r>
      <w:r w:rsidR="00F23672" w:rsidRPr="002D43CE">
        <w:rPr>
          <w:color w:val="auto"/>
        </w:rPr>
        <w:t xml:space="preserve">by </w:t>
      </w:r>
      <w:r w:rsidR="00DD556E" w:rsidRPr="002D43CE">
        <w:rPr>
          <w:color w:val="auto"/>
        </w:rPr>
        <w:t xml:space="preserve">the Center for </w:t>
      </w:r>
      <w:proofErr w:type="spellStart"/>
      <w:r w:rsidR="00DD556E" w:rsidRPr="002D43CE">
        <w:rPr>
          <w:color w:val="auto"/>
        </w:rPr>
        <w:t>Psychotraumatology</w:t>
      </w:r>
      <w:proofErr w:type="spellEnd"/>
      <w:r w:rsidR="006A03CF" w:rsidRPr="002D43CE">
        <w:rPr>
          <w:color w:val="auto"/>
        </w:rPr>
        <w:t xml:space="preserve"> at</w:t>
      </w:r>
      <w:r w:rsidR="00F23672" w:rsidRPr="002D43CE">
        <w:rPr>
          <w:color w:val="auto"/>
        </w:rPr>
        <w:t xml:space="preserve"> </w:t>
      </w:r>
      <w:r w:rsidR="00DD556E" w:rsidRPr="002D43CE">
        <w:rPr>
          <w:color w:val="auto"/>
        </w:rPr>
        <w:t>Vilnius University</w:t>
      </w:r>
      <w:r w:rsidR="00D128B7" w:rsidRPr="002D43CE">
        <w:rPr>
          <w:color w:val="auto"/>
        </w:rPr>
        <w:t xml:space="preserve"> in Lithuania</w:t>
      </w:r>
      <w:r w:rsidR="00DD556E" w:rsidRPr="002D43CE">
        <w:rPr>
          <w:color w:val="auto"/>
        </w:rPr>
        <w:t xml:space="preserve">. </w:t>
      </w:r>
      <w:r w:rsidR="00EC6A36" w:rsidRPr="002D43CE">
        <w:rPr>
          <w:color w:val="auto"/>
        </w:rPr>
        <w:t xml:space="preserve">The </w:t>
      </w:r>
      <w:r w:rsidR="00DD556E" w:rsidRPr="002D43CE">
        <w:rPr>
          <w:color w:val="auto"/>
        </w:rPr>
        <w:t>STAR-A study was approved by the Ethic</w:t>
      </w:r>
      <w:r w:rsidR="00DA6377" w:rsidRPr="002D43CE">
        <w:rPr>
          <w:color w:val="auto"/>
        </w:rPr>
        <w:t>s</w:t>
      </w:r>
      <w:r w:rsidR="00DD556E" w:rsidRPr="002D43CE">
        <w:rPr>
          <w:color w:val="auto"/>
        </w:rPr>
        <w:t xml:space="preserve"> Committee for Psychological Research </w:t>
      </w:r>
      <w:r w:rsidRPr="002D43CE">
        <w:rPr>
          <w:color w:val="auto"/>
        </w:rPr>
        <w:t xml:space="preserve">at </w:t>
      </w:r>
      <w:r w:rsidR="00DD556E" w:rsidRPr="002D43CE">
        <w:rPr>
          <w:color w:val="auto"/>
        </w:rPr>
        <w:t xml:space="preserve">Vilnius University. The data were collected using self-report measures from adolescents in 15 randomly selected </w:t>
      </w:r>
      <w:r w:rsidR="00D20E18" w:rsidRPr="002D43CE">
        <w:rPr>
          <w:color w:val="auto"/>
        </w:rPr>
        <w:t xml:space="preserve">public </w:t>
      </w:r>
      <w:r w:rsidR="00DD556E" w:rsidRPr="002D43CE">
        <w:rPr>
          <w:color w:val="auto"/>
        </w:rPr>
        <w:t xml:space="preserve">schools </w:t>
      </w:r>
      <w:r w:rsidR="00D20E18" w:rsidRPr="002D43CE">
        <w:rPr>
          <w:color w:val="auto"/>
        </w:rPr>
        <w:t xml:space="preserve">from four different regions across the country </w:t>
      </w:r>
      <w:r w:rsidR="00DD556E" w:rsidRPr="002D43CE">
        <w:rPr>
          <w:color w:val="auto"/>
        </w:rPr>
        <w:t>in Lithuania between March and June</w:t>
      </w:r>
      <w:r w:rsidR="00B84913" w:rsidRPr="002D43CE">
        <w:rPr>
          <w:color w:val="auto"/>
        </w:rPr>
        <w:t>,</w:t>
      </w:r>
      <w:r w:rsidR="00DD556E" w:rsidRPr="002D43CE">
        <w:rPr>
          <w:color w:val="auto"/>
        </w:rPr>
        <w:t xml:space="preserve"> 2019. In total, 1</w:t>
      </w:r>
      <w:r w:rsidR="006C5CE5" w:rsidRPr="002D43CE">
        <w:rPr>
          <w:color w:val="auto"/>
        </w:rPr>
        <w:t>,</w:t>
      </w:r>
      <w:r w:rsidR="00AD33E9" w:rsidRPr="002D43CE">
        <w:rPr>
          <w:color w:val="auto"/>
        </w:rPr>
        <w:t>299</w:t>
      </w:r>
      <w:r w:rsidR="00DD556E" w:rsidRPr="002D43CE">
        <w:rPr>
          <w:color w:val="auto"/>
        </w:rPr>
        <w:t xml:space="preserve"> adolescents participated in </w:t>
      </w:r>
      <w:r w:rsidR="00D128B7" w:rsidRPr="002D43CE">
        <w:rPr>
          <w:color w:val="auto"/>
        </w:rPr>
        <w:t>the study</w:t>
      </w:r>
      <w:r w:rsidR="00DD556E" w:rsidRPr="002D43CE">
        <w:rPr>
          <w:color w:val="auto"/>
        </w:rPr>
        <w:t xml:space="preserve">. </w:t>
      </w:r>
    </w:p>
    <w:p w14:paraId="0BBC1448" w14:textId="54EEDFAD" w:rsidR="00A17B11" w:rsidRPr="002D43CE" w:rsidRDefault="00DD556E" w:rsidP="00365F1C">
      <w:pPr>
        <w:suppressAutoHyphens w:val="0"/>
        <w:spacing w:line="360" w:lineRule="auto"/>
        <w:ind w:firstLine="720"/>
        <w:rPr>
          <w:color w:val="auto"/>
        </w:rPr>
      </w:pPr>
      <w:r w:rsidRPr="002D43CE">
        <w:rPr>
          <w:color w:val="auto"/>
        </w:rPr>
        <w:t xml:space="preserve">Invitations to participate in the study were distributed to </w:t>
      </w:r>
      <w:r w:rsidR="00970687" w:rsidRPr="002D43CE">
        <w:rPr>
          <w:color w:val="auto"/>
        </w:rPr>
        <w:t>all 12</w:t>
      </w:r>
      <w:r w:rsidR="009E248D" w:rsidRPr="002D43CE">
        <w:rPr>
          <w:color w:val="auto"/>
        </w:rPr>
        <w:t xml:space="preserve"> to</w:t>
      </w:r>
      <w:r w:rsidR="00970687" w:rsidRPr="002D43CE">
        <w:rPr>
          <w:color w:val="auto"/>
        </w:rPr>
        <w:t>16 year</w:t>
      </w:r>
      <w:r w:rsidR="009315B8" w:rsidRPr="002D43CE">
        <w:rPr>
          <w:color w:val="auto"/>
        </w:rPr>
        <w:t xml:space="preserve"> </w:t>
      </w:r>
      <w:r w:rsidR="00970687" w:rsidRPr="002D43CE">
        <w:rPr>
          <w:color w:val="auto"/>
        </w:rPr>
        <w:t xml:space="preserve">old </w:t>
      </w:r>
      <w:r w:rsidR="003C6D04" w:rsidRPr="002D43CE">
        <w:rPr>
          <w:color w:val="auto"/>
        </w:rPr>
        <w:t>adolescents</w:t>
      </w:r>
      <w:r w:rsidR="00970687" w:rsidRPr="002D43CE">
        <w:rPr>
          <w:color w:val="auto"/>
        </w:rPr>
        <w:t xml:space="preserve"> </w:t>
      </w:r>
      <w:r w:rsidR="00D128B7" w:rsidRPr="002D43CE">
        <w:rPr>
          <w:color w:val="auto"/>
        </w:rPr>
        <w:t xml:space="preserve">and their parents </w:t>
      </w:r>
      <w:r w:rsidR="009E248D" w:rsidRPr="002D43CE">
        <w:rPr>
          <w:color w:val="auto"/>
        </w:rPr>
        <w:t>from</w:t>
      </w:r>
      <w:r w:rsidR="00111B72" w:rsidRPr="002D43CE">
        <w:rPr>
          <w:color w:val="auto"/>
        </w:rPr>
        <w:t xml:space="preserve"> the</w:t>
      </w:r>
      <w:r w:rsidRPr="002D43CE">
        <w:rPr>
          <w:color w:val="auto"/>
        </w:rPr>
        <w:t xml:space="preserve"> selected schools. Written informed consent from</w:t>
      </w:r>
      <w:r w:rsidR="00111B72" w:rsidRPr="002D43CE">
        <w:rPr>
          <w:color w:val="auto"/>
        </w:rPr>
        <w:t xml:space="preserve"> at least</w:t>
      </w:r>
      <w:r w:rsidRPr="002D43CE">
        <w:rPr>
          <w:color w:val="auto"/>
        </w:rPr>
        <w:t xml:space="preserve"> </w:t>
      </w:r>
      <w:r w:rsidR="00D128B7" w:rsidRPr="002D43CE">
        <w:rPr>
          <w:color w:val="auto"/>
        </w:rPr>
        <w:t xml:space="preserve">one </w:t>
      </w:r>
      <w:r w:rsidRPr="002D43CE">
        <w:rPr>
          <w:color w:val="auto"/>
        </w:rPr>
        <w:t>parent</w:t>
      </w:r>
      <w:r w:rsidR="00111B72" w:rsidRPr="002D43CE">
        <w:rPr>
          <w:color w:val="auto"/>
        </w:rPr>
        <w:t>,</w:t>
      </w:r>
      <w:r w:rsidR="00D128B7" w:rsidRPr="002D43CE">
        <w:rPr>
          <w:color w:val="auto"/>
        </w:rPr>
        <w:t xml:space="preserve"> </w:t>
      </w:r>
      <w:r w:rsidRPr="002D43CE">
        <w:rPr>
          <w:color w:val="auto"/>
        </w:rPr>
        <w:t xml:space="preserve">and </w:t>
      </w:r>
      <w:r w:rsidR="00111B72" w:rsidRPr="002D43CE">
        <w:rPr>
          <w:color w:val="auto"/>
        </w:rPr>
        <w:t xml:space="preserve">from the </w:t>
      </w:r>
      <w:r w:rsidRPr="002D43CE">
        <w:rPr>
          <w:color w:val="auto"/>
        </w:rPr>
        <w:t>adolescent</w:t>
      </w:r>
      <w:r w:rsidR="00111B72" w:rsidRPr="002D43CE">
        <w:rPr>
          <w:color w:val="auto"/>
        </w:rPr>
        <w:t>,</w:t>
      </w:r>
      <w:r w:rsidRPr="002D43CE">
        <w:rPr>
          <w:color w:val="auto"/>
        </w:rPr>
        <w:t xml:space="preserve"> </w:t>
      </w:r>
      <w:r w:rsidR="00111B72" w:rsidRPr="002D43CE">
        <w:rPr>
          <w:color w:val="auto"/>
        </w:rPr>
        <w:t xml:space="preserve">was </w:t>
      </w:r>
      <w:r w:rsidRPr="002D43CE">
        <w:rPr>
          <w:color w:val="auto"/>
        </w:rPr>
        <w:t>obtained prior to data collection</w:t>
      </w:r>
      <w:r w:rsidR="00111B72" w:rsidRPr="002D43CE">
        <w:rPr>
          <w:color w:val="auto"/>
        </w:rPr>
        <w:t xml:space="preserve">. In total, </w:t>
      </w:r>
      <w:r w:rsidR="000C28F2" w:rsidRPr="002D43CE">
        <w:rPr>
          <w:color w:val="auto"/>
        </w:rPr>
        <w:t>5</w:t>
      </w:r>
      <w:r w:rsidR="0079355C" w:rsidRPr="002D43CE">
        <w:rPr>
          <w:color w:val="auto"/>
        </w:rPr>
        <w:t>6.</w:t>
      </w:r>
      <w:r w:rsidR="000C28F2" w:rsidRPr="002D43CE">
        <w:rPr>
          <w:color w:val="auto"/>
        </w:rPr>
        <w:t xml:space="preserve">8% of invited parents agreed to participate, </w:t>
      </w:r>
      <w:r w:rsidR="0079355C" w:rsidRPr="002D43CE">
        <w:rPr>
          <w:color w:val="auto"/>
        </w:rPr>
        <w:t>28.3</w:t>
      </w:r>
      <w:r w:rsidR="000C28F2" w:rsidRPr="002D43CE">
        <w:rPr>
          <w:color w:val="auto"/>
        </w:rPr>
        <w:t xml:space="preserve">% </w:t>
      </w:r>
      <w:r w:rsidR="00111B72" w:rsidRPr="002D43CE">
        <w:rPr>
          <w:color w:val="auto"/>
        </w:rPr>
        <w:t xml:space="preserve">did not </w:t>
      </w:r>
      <w:r w:rsidR="000C28F2" w:rsidRPr="002D43CE">
        <w:rPr>
          <w:color w:val="auto"/>
        </w:rPr>
        <w:t>respon</w:t>
      </w:r>
      <w:r w:rsidR="00EC6A36" w:rsidRPr="002D43CE">
        <w:rPr>
          <w:color w:val="auto"/>
        </w:rPr>
        <w:t>d</w:t>
      </w:r>
      <w:r w:rsidR="000C28F2" w:rsidRPr="002D43CE">
        <w:rPr>
          <w:color w:val="auto"/>
        </w:rPr>
        <w:t>,</w:t>
      </w:r>
      <w:r w:rsidR="00111B72" w:rsidRPr="002D43CE">
        <w:rPr>
          <w:color w:val="auto"/>
        </w:rPr>
        <w:t xml:space="preserve"> and</w:t>
      </w:r>
      <w:r w:rsidR="000C28F2" w:rsidRPr="002D43CE">
        <w:rPr>
          <w:color w:val="auto"/>
        </w:rPr>
        <w:t xml:space="preserve"> 1</w:t>
      </w:r>
      <w:r w:rsidR="0079355C" w:rsidRPr="002D43CE">
        <w:rPr>
          <w:color w:val="auto"/>
        </w:rPr>
        <w:t>4</w:t>
      </w:r>
      <w:r w:rsidR="000C28F2" w:rsidRPr="002D43CE">
        <w:rPr>
          <w:color w:val="auto"/>
        </w:rPr>
        <w:t>.</w:t>
      </w:r>
      <w:r w:rsidR="0079355C" w:rsidRPr="002D43CE">
        <w:rPr>
          <w:color w:val="auto"/>
        </w:rPr>
        <w:t>9</w:t>
      </w:r>
      <w:r w:rsidR="000C28F2" w:rsidRPr="002D43CE">
        <w:rPr>
          <w:color w:val="auto"/>
        </w:rPr>
        <w:t xml:space="preserve">% declined </w:t>
      </w:r>
      <w:r w:rsidR="00111B72" w:rsidRPr="002D43CE">
        <w:rPr>
          <w:color w:val="auto"/>
        </w:rPr>
        <w:t xml:space="preserve">the </w:t>
      </w:r>
      <w:r w:rsidR="000C28F2" w:rsidRPr="002D43CE">
        <w:rPr>
          <w:color w:val="auto"/>
        </w:rPr>
        <w:t>invitation</w:t>
      </w:r>
      <w:r w:rsidRPr="002D43CE">
        <w:rPr>
          <w:color w:val="auto"/>
        </w:rPr>
        <w:t>. Adolescents were given option</w:t>
      </w:r>
      <w:r w:rsidR="00CC53C8" w:rsidRPr="002D43CE">
        <w:rPr>
          <w:color w:val="auto"/>
        </w:rPr>
        <w:t>s</w:t>
      </w:r>
      <w:r w:rsidRPr="002D43CE">
        <w:rPr>
          <w:color w:val="auto"/>
        </w:rPr>
        <w:t xml:space="preserve"> of participating in the study or declining. None of the adolescents </w:t>
      </w:r>
      <w:r w:rsidR="00D128B7" w:rsidRPr="002D43CE">
        <w:rPr>
          <w:color w:val="auto"/>
        </w:rPr>
        <w:t>with</w:t>
      </w:r>
      <w:r w:rsidR="00BC229C" w:rsidRPr="002D43CE">
        <w:rPr>
          <w:color w:val="auto"/>
        </w:rPr>
        <w:t xml:space="preserve"> </w:t>
      </w:r>
      <w:r w:rsidR="00D128B7" w:rsidRPr="002D43CE">
        <w:rPr>
          <w:color w:val="auto"/>
        </w:rPr>
        <w:t xml:space="preserve">parental consent for enrolment in the study </w:t>
      </w:r>
      <w:r w:rsidRPr="002D43CE">
        <w:rPr>
          <w:color w:val="auto"/>
        </w:rPr>
        <w:t xml:space="preserve">refused to participate. </w:t>
      </w:r>
      <w:r w:rsidR="00111B72" w:rsidRPr="002D43CE">
        <w:rPr>
          <w:color w:val="auto"/>
        </w:rPr>
        <w:t>No incentives were offered for participation.</w:t>
      </w:r>
    </w:p>
    <w:p w14:paraId="0B96363B" w14:textId="52974C6A" w:rsidR="00DD556E" w:rsidRPr="002D43CE" w:rsidRDefault="00DD556E" w:rsidP="00365F1C">
      <w:pPr>
        <w:suppressAutoHyphens w:val="0"/>
        <w:spacing w:line="360" w:lineRule="auto"/>
        <w:ind w:firstLine="720"/>
        <w:rPr>
          <w:color w:val="auto"/>
        </w:rPr>
      </w:pPr>
      <w:r w:rsidRPr="002D43CE">
        <w:rPr>
          <w:color w:val="auto"/>
        </w:rPr>
        <w:lastRenderedPageBreak/>
        <w:t>Data were collected by two experienced clinical psychologists with</w:t>
      </w:r>
      <w:r w:rsidR="00111B72" w:rsidRPr="002D43CE">
        <w:rPr>
          <w:color w:val="auto"/>
        </w:rPr>
        <w:t xml:space="preserve"> the</w:t>
      </w:r>
      <w:r w:rsidRPr="002D43CE">
        <w:rPr>
          <w:color w:val="auto"/>
        </w:rPr>
        <w:t xml:space="preserve"> assistance of six clinical psychology master program students who were trained and supervised during the data collection process.</w:t>
      </w:r>
      <w:r w:rsidR="008514DC" w:rsidRPr="002D43CE">
        <w:rPr>
          <w:color w:val="auto"/>
        </w:rPr>
        <w:t xml:space="preserve"> </w:t>
      </w:r>
      <w:r w:rsidR="0077711B" w:rsidRPr="002D43CE">
        <w:rPr>
          <w:color w:val="auto"/>
        </w:rPr>
        <w:t xml:space="preserve">Data collection </w:t>
      </w:r>
      <w:r w:rsidR="00A74C7A" w:rsidRPr="002D43CE">
        <w:rPr>
          <w:color w:val="auto"/>
        </w:rPr>
        <w:t xml:space="preserve">and coding </w:t>
      </w:r>
      <w:r w:rsidR="0077711B" w:rsidRPr="002D43CE">
        <w:rPr>
          <w:color w:val="auto"/>
        </w:rPr>
        <w:t xml:space="preserve">was managed </w:t>
      </w:r>
      <w:r w:rsidR="00A74C7A" w:rsidRPr="002D43CE">
        <w:rPr>
          <w:color w:val="auto"/>
        </w:rPr>
        <w:t xml:space="preserve">in a way that </w:t>
      </w:r>
      <w:r w:rsidR="0077711B" w:rsidRPr="002D43CE">
        <w:rPr>
          <w:color w:val="auto"/>
        </w:rPr>
        <w:t>ensure</w:t>
      </w:r>
      <w:r w:rsidR="00A74C7A" w:rsidRPr="002D43CE">
        <w:rPr>
          <w:color w:val="auto"/>
        </w:rPr>
        <w:t>d</w:t>
      </w:r>
      <w:r w:rsidR="0077711B" w:rsidRPr="002D43CE">
        <w:rPr>
          <w:color w:val="auto"/>
        </w:rPr>
        <w:t xml:space="preserve"> </w:t>
      </w:r>
      <w:r w:rsidR="00D43C87" w:rsidRPr="002D43CE">
        <w:rPr>
          <w:color w:val="auto"/>
        </w:rPr>
        <w:t>protection of participant</w:t>
      </w:r>
      <w:r w:rsidR="0067128D" w:rsidRPr="002D43CE">
        <w:rPr>
          <w:color w:val="auto"/>
        </w:rPr>
        <w:t>s’</w:t>
      </w:r>
      <w:r w:rsidR="00D43C87" w:rsidRPr="002D43CE">
        <w:rPr>
          <w:color w:val="auto"/>
        </w:rPr>
        <w:t xml:space="preserve"> identity</w:t>
      </w:r>
      <w:r w:rsidR="007C1618" w:rsidRPr="002D43CE">
        <w:rPr>
          <w:color w:val="auto"/>
        </w:rPr>
        <w:t>. N</w:t>
      </w:r>
      <w:r w:rsidR="0077711B" w:rsidRPr="002D43CE">
        <w:rPr>
          <w:color w:val="auto"/>
        </w:rPr>
        <w:t xml:space="preserve">one of the research team </w:t>
      </w:r>
      <w:r w:rsidR="00A17B11" w:rsidRPr="002D43CE">
        <w:rPr>
          <w:color w:val="auto"/>
        </w:rPr>
        <w:t xml:space="preserve">members </w:t>
      </w:r>
      <w:r w:rsidR="00D43C87" w:rsidRPr="002D43CE">
        <w:rPr>
          <w:color w:val="auto"/>
        </w:rPr>
        <w:t xml:space="preserve">or school staff </w:t>
      </w:r>
      <w:r w:rsidR="0077711B" w:rsidRPr="002D43CE">
        <w:rPr>
          <w:color w:val="auto"/>
        </w:rPr>
        <w:t xml:space="preserve">could </w:t>
      </w:r>
      <w:r w:rsidR="00556A1D" w:rsidRPr="002D43CE">
        <w:rPr>
          <w:color w:val="auto"/>
        </w:rPr>
        <w:t xml:space="preserve">identify </w:t>
      </w:r>
      <w:r w:rsidR="00111B72" w:rsidRPr="002D43CE">
        <w:rPr>
          <w:color w:val="auto"/>
        </w:rPr>
        <w:t>the respondent</w:t>
      </w:r>
      <w:r w:rsidR="0077711B" w:rsidRPr="002D43CE">
        <w:rPr>
          <w:color w:val="auto"/>
        </w:rPr>
        <w:t>.</w:t>
      </w:r>
      <w:r w:rsidR="00556A1D" w:rsidRPr="002D43CE">
        <w:rPr>
          <w:color w:val="auto"/>
        </w:rPr>
        <w:t xml:space="preserve"> </w:t>
      </w:r>
      <w:r w:rsidR="00A17B11" w:rsidRPr="002D43CE">
        <w:rPr>
          <w:color w:val="auto"/>
        </w:rPr>
        <w:t>Adolescents</w:t>
      </w:r>
      <w:r w:rsidR="008514DC" w:rsidRPr="002D43CE">
        <w:rPr>
          <w:color w:val="auto"/>
        </w:rPr>
        <w:t xml:space="preserve"> </w:t>
      </w:r>
      <w:r w:rsidR="00564D05" w:rsidRPr="002D43CE">
        <w:rPr>
          <w:color w:val="auto"/>
        </w:rPr>
        <w:t xml:space="preserve">returned enclosed questionnaires into </w:t>
      </w:r>
      <w:r w:rsidR="006F377A" w:rsidRPr="002D43CE">
        <w:rPr>
          <w:color w:val="auto"/>
        </w:rPr>
        <w:t xml:space="preserve">sealed </w:t>
      </w:r>
      <w:r w:rsidR="00564D05" w:rsidRPr="002D43CE">
        <w:rPr>
          <w:color w:val="auto"/>
        </w:rPr>
        <w:t>envelopes without identif</w:t>
      </w:r>
      <w:r w:rsidR="00111B72" w:rsidRPr="002D43CE">
        <w:rPr>
          <w:color w:val="auto"/>
        </w:rPr>
        <w:t>ying</w:t>
      </w:r>
      <w:r w:rsidR="00564D05" w:rsidRPr="002D43CE">
        <w:rPr>
          <w:color w:val="auto"/>
        </w:rPr>
        <w:t xml:space="preserve"> information after </w:t>
      </w:r>
      <w:r w:rsidR="008514DC" w:rsidRPr="002D43CE">
        <w:rPr>
          <w:color w:val="auto"/>
        </w:rPr>
        <w:t>fill</w:t>
      </w:r>
      <w:r w:rsidR="00564D05" w:rsidRPr="002D43CE">
        <w:rPr>
          <w:color w:val="auto"/>
        </w:rPr>
        <w:t>ing</w:t>
      </w:r>
      <w:r w:rsidR="00111B72" w:rsidRPr="002D43CE">
        <w:rPr>
          <w:color w:val="auto"/>
        </w:rPr>
        <w:t xml:space="preserve"> </w:t>
      </w:r>
      <w:r w:rsidR="008514DC" w:rsidRPr="002D43CE">
        <w:rPr>
          <w:color w:val="auto"/>
        </w:rPr>
        <w:t xml:space="preserve">in printed questionnaires </w:t>
      </w:r>
      <w:r w:rsidR="00835D59" w:rsidRPr="002D43CE">
        <w:rPr>
          <w:color w:val="auto"/>
        </w:rPr>
        <w:t xml:space="preserve">marked with </w:t>
      </w:r>
      <w:r w:rsidR="008514DC" w:rsidRPr="002D43CE">
        <w:rPr>
          <w:color w:val="auto"/>
        </w:rPr>
        <w:t>randomly assigned ID’s. Data collectors were</w:t>
      </w:r>
      <w:r w:rsidR="00A74C7A" w:rsidRPr="002D43CE">
        <w:rPr>
          <w:color w:val="auto"/>
        </w:rPr>
        <w:t xml:space="preserve"> strictly</w:t>
      </w:r>
      <w:r w:rsidR="008514DC" w:rsidRPr="002D43CE">
        <w:rPr>
          <w:color w:val="auto"/>
        </w:rPr>
        <w:t xml:space="preserve"> instructed to ensure they did not see responses </w:t>
      </w:r>
      <w:r w:rsidR="00384F1D" w:rsidRPr="002D43CE">
        <w:rPr>
          <w:color w:val="auto"/>
        </w:rPr>
        <w:t xml:space="preserve">of participants’ </w:t>
      </w:r>
      <w:r w:rsidR="008514DC" w:rsidRPr="002D43CE">
        <w:rPr>
          <w:color w:val="auto"/>
        </w:rPr>
        <w:t>during data collection. All participants received printed leaflets with information about counselling services at their school and</w:t>
      </w:r>
      <w:r w:rsidR="00111B72" w:rsidRPr="002D43CE">
        <w:rPr>
          <w:color w:val="auto"/>
        </w:rPr>
        <w:t xml:space="preserve"> in their</w:t>
      </w:r>
      <w:r w:rsidR="008514DC" w:rsidRPr="002D43CE">
        <w:rPr>
          <w:color w:val="auto"/>
        </w:rPr>
        <w:t xml:space="preserve"> local community.</w:t>
      </w:r>
    </w:p>
    <w:p w14:paraId="2FF3F6F9" w14:textId="22DED18E" w:rsidR="00111B72" w:rsidRPr="002D43CE" w:rsidRDefault="00384F1D" w:rsidP="00365F1C">
      <w:pPr>
        <w:suppressAutoHyphens w:val="0"/>
        <w:spacing w:line="360" w:lineRule="auto"/>
        <w:ind w:firstLine="720"/>
        <w:rPr>
          <w:color w:val="auto"/>
        </w:rPr>
      </w:pPr>
      <w:r w:rsidRPr="002D43CE">
        <w:rPr>
          <w:color w:val="auto"/>
        </w:rPr>
        <w:t>P</w:t>
      </w:r>
      <w:r w:rsidR="00DD556E" w:rsidRPr="002D43CE">
        <w:rPr>
          <w:color w:val="auto"/>
        </w:rPr>
        <w:t>articipants were</w:t>
      </w:r>
      <w:r w:rsidR="003F7FEB" w:rsidRPr="002D43CE">
        <w:rPr>
          <w:color w:val="auto"/>
        </w:rPr>
        <w:t xml:space="preserve"> selected for data analysis </w:t>
      </w:r>
      <w:r w:rsidR="00DD556E" w:rsidRPr="002D43CE">
        <w:rPr>
          <w:color w:val="auto"/>
        </w:rPr>
        <w:t xml:space="preserve">if they met the inclusion criteria for this study: </w:t>
      </w:r>
      <w:r w:rsidR="00B84913" w:rsidRPr="002D43CE">
        <w:rPr>
          <w:color w:val="auto"/>
        </w:rPr>
        <w:t xml:space="preserve">(1) </w:t>
      </w:r>
      <w:r w:rsidR="00DD556E" w:rsidRPr="002D43CE">
        <w:rPr>
          <w:color w:val="auto"/>
        </w:rPr>
        <w:t>aged 12</w:t>
      </w:r>
      <w:r w:rsidR="000410FF" w:rsidRPr="002D43CE">
        <w:rPr>
          <w:color w:val="auto"/>
        </w:rPr>
        <w:t>–</w:t>
      </w:r>
      <w:r w:rsidR="00DD556E" w:rsidRPr="002D43CE">
        <w:rPr>
          <w:color w:val="auto"/>
        </w:rPr>
        <w:t xml:space="preserve">16 years, </w:t>
      </w:r>
      <w:r w:rsidR="00B84913" w:rsidRPr="002D43CE">
        <w:rPr>
          <w:color w:val="auto"/>
        </w:rPr>
        <w:t xml:space="preserve">(2) </w:t>
      </w:r>
      <w:r w:rsidR="00DD556E" w:rsidRPr="002D43CE">
        <w:rPr>
          <w:color w:val="auto"/>
        </w:rPr>
        <w:t xml:space="preserve">reported exposure to at least one traumatic event, and </w:t>
      </w:r>
      <w:r w:rsidR="00B84913" w:rsidRPr="002D43CE">
        <w:rPr>
          <w:color w:val="auto"/>
        </w:rPr>
        <w:t xml:space="preserve">(3) </w:t>
      </w:r>
      <w:r w:rsidR="00DD556E" w:rsidRPr="002D43CE">
        <w:rPr>
          <w:color w:val="auto"/>
        </w:rPr>
        <w:t xml:space="preserve">completed </w:t>
      </w:r>
      <w:r w:rsidR="0099372F" w:rsidRPr="002D43CE">
        <w:rPr>
          <w:color w:val="auto"/>
        </w:rPr>
        <w:t>the ITQ-CA</w:t>
      </w:r>
      <w:r w:rsidR="00DD556E" w:rsidRPr="002D43CE">
        <w:rPr>
          <w:color w:val="auto"/>
        </w:rPr>
        <w:t xml:space="preserve">. </w:t>
      </w:r>
      <w:r w:rsidR="003F7FEB" w:rsidRPr="002D43CE">
        <w:rPr>
          <w:color w:val="auto"/>
        </w:rPr>
        <w:t xml:space="preserve">In total, </w:t>
      </w:r>
      <w:r w:rsidR="00DD556E" w:rsidRPr="002D43CE">
        <w:rPr>
          <w:color w:val="auto"/>
        </w:rPr>
        <w:t>9</w:t>
      </w:r>
      <w:r w:rsidR="003C6D04" w:rsidRPr="002D43CE">
        <w:rPr>
          <w:color w:val="auto"/>
        </w:rPr>
        <w:t>34</w:t>
      </w:r>
      <w:r w:rsidR="00DD556E" w:rsidRPr="002D43CE">
        <w:rPr>
          <w:color w:val="auto"/>
        </w:rPr>
        <w:t xml:space="preserve"> </w:t>
      </w:r>
      <w:r w:rsidR="00A70058" w:rsidRPr="002D43CE">
        <w:rPr>
          <w:color w:val="auto"/>
        </w:rPr>
        <w:t xml:space="preserve">adolescents </w:t>
      </w:r>
      <w:r w:rsidR="00DD556E" w:rsidRPr="002D43CE">
        <w:rPr>
          <w:color w:val="auto"/>
        </w:rPr>
        <w:t xml:space="preserve">(71.9%) reported exposure to at least one </w:t>
      </w:r>
      <w:r w:rsidR="00464A42" w:rsidRPr="002D43CE">
        <w:rPr>
          <w:color w:val="auto"/>
        </w:rPr>
        <w:t xml:space="preserve">lifetime </w:t>
      </w:r>
      <w:r w:rsidR="00DD556E" w:rsidRPr="002D43CE">
        <w:rPr>
          <w:color w:val="auto"/>
        </w:rPr>
        <w:t>potentially traumatic event</w:t>
      </w:r>
      <w:r w:rsidR="00111B72" w:rsidRPr="002D43CE">
        <w:rPr>
          <w:color w:val="auto"/>
        </w:rPr>
        <w:t>. T</w:t>
      </w:r>
      <w:r w:rsidR="00E46A91" w:rsidRPr="002D43CE">
        <w:rPr>
          <w:color w:val="auto"/>
        </w:rPr>
        <w:t xml:space="preserve">wo </w:t>
      </w:r>
      <w:r w:rsidR="00DD556E" w:rsidRPr="002D43CE">
        <w:rPr>
          <w:color w:val="auto"/>
        </w:rPr>
        <w:t xml:space="preserve">of these participants were excluded because of missing data on all </w:t>
      </w:r>
      <w:r w:rsidR="0099372F" w:rsidRPr="002D43CE">
        <w:rPr>
          <w:color w:val="auto"/>
        </w:rPr>
        <w:t xml:space="preserve">the ITQ-CA items. </w:t>
      </w:r>
    </w:p>
    <w:p w14:paraId="71BA4E90" w14:textId="54759DF5" w:rsidR="00DD556E" w:rsidRPr="002D43CE" w:rsidRDefault="00111B72" w:rsidP="00365F1C">
      <w:pPr>
        <w:suppressAutoHyphens w:val="0"/>
        <w:spacing w:line="360" w:lineRule="auto"/>
        <w:ind w:firstLine="720"/>
        <w:rPr>
          <w:b/>
          <w:color w:val="auto"/>
        </w:rPr>
      </w:pPr>
      <w:r w:rsidRPr="002D43CE">
        <w:rPr>
          <w:color w:val="auto"/>
        </w:rPr>
        <w:t>The final sample of</w:t>
      </w:r>
      <w:r w:rsidR="00DD556E" w:rsidRPr="002D43CE">
        <w:rPr>
          <w:color w:val="auto"/>
        </w:rPr>
        <w:t xml:space="preserve"> 932 adolescents</w:t>
      </w:r>
      <w:r w:rsidRPr="002D43CE">
        <w:rPr>
          <w:color w:val="auto"/>
        </w:rPr>
        <w:t xml:space="preserve"> include</w:t>
      </w:r>
      <w:r w:rsidR="00DD556E" w:rsidRPr="002D43CE">
        <w:rPr>
          <w:color w:val="auto"/>
        </w:rPr>
        <w:t xml:space="preserve"> </w:t>
      </w:r>
      <w:r w:rsidR="00256A42" w:rsidRPr="002D43CE">
        <w:rPr>
          <w:color w:val="auto"/>
        </w:rPr>
        <w:t>56.8% girls (</w:t>
      </w:r>
      <w:r w:rsidR="00256A42" w:rsidRPr="002D43CE">
        <w:rPr>
          <w:i/>
          <w:color w:val="auto"/>
        </w:rPr>
        <w:t>n</w:t>
      </w:r>
      <w:r w:rsidR="00256A42" w:rsidRPr="002D43CE">
        <w:rPr>
          <w:color w:val="auto"/>
        </w:rPr>
        <w:t xml:space="preserve"> = 529),</w:t>
      </w:r>
      <w:r w:rsidRPr="002D43CE">
        <w:rPr>
          <w:color w:val="auto"/>
        </w:rPr>
        <w:t xml:space="preserve"> with a</w:t>
      </w:r>
      <w:r w:rsidR="00256A42" w:rsidRPr="002D43CE">
        <w:rPr>
          <w:color w:val="auto"/>
        </w:rPr>
        <w:t xml:space="preserve"> mean </w:t>
      </w:r>
      <w:r w:rsidR="00A70058" w:rsidRPr="002D43CE">
        <w:rPr>
          <w:color w:val="auto"/>
        </w:rPr>
        <w:t xml:space="preserve">age </w:t>
      </w:r>
      <w:r w:rsidRPr="002D43CE">
        <w:rPr>
          <w:color w:val="auto"/>
        </w:rPr>
        <w:t xml:space="preserve">of </w:t>
      </w:r>
      <w:r w:rsidR="00A70058" w:rsidRPr="002D43CE">
        <w:rPr>
          <w:color w:val="auto"/>
        </w:rPr>
        <w:t>14.25 (</w:t>
      </w:r>
      <w:r w:rsidR="00A70058" w:rsidRPr="002D43CE">
        <w:rPr>
          <w:i/>
          <w:color w:val="auto"/>
        </w:rPr>
        <w:t>SD</w:t>
      </w:r>
      <w:r w:rsidR="00A70058" w:rsidRPr="002D43CE">
        <w:rPr>
          <w:color w:val="auto"/>
        </w:rPr>
        <w:t xml:space="preserve"> = 1.27) years</w:t>
      </w:r>
      <w:r w:rsidR="00DD556E" w:rsidRPr="002D43CE">
        <w:rPr>
          <w:color w:val="auto"/>
        </w:rPr>
        <w:t xml:space="preserve">. </w:t>
      </w:r>
      <w:r w:rsidRPr="002D43CE">
        <w:rPr>
          <w:color w:val="auto"/>
        </w:rPr>
        <w:t>The m</w:t>
      </w:r>
      <w:r w:rsidR="00DD556E" w:rsidRPr="002D43CE">
        <w:rPr>
          <w:color w:val="auto"/>
        </w:rPr>
        <w:t xml:space="preserve">ajority of participants were </w:t>
      </w:r>
      <w:r w:rsidR="00410BE3" w:rsidRPr="002D43CE">
        <w:rPr>
          <w:color w:val="auto"/>
        </w:rPr>
        <w:t xml:space="preserve">born in Lithuania </w:t>
      </w:r>
      <w:r w:rsidRPr="002D43CE">
        <w:rPr>
          <w:color w:val="auto"/>
        </w:rPr>
        <w:t>(</w:t>
      </w:r>
      <w:r w:rsidR="00410BE3" w:rsidRPr="002D43CE">
        <w:rPr>
          <w:color w:val="auto"/>
        </w:rPr>
        <w:t>98.4%</w:t>
      </w:r>
      <w:r w:rsidRPr="002D43CE">
        <w:rPr>
          <w:color w:val="auto"/>
        </w:rPr>
        <w:t xml:space="preserve">, </w:t>
      </w:r>
      <w:r w:rsidR="00410BE3" w:rsidRPr="002D43CE">
        <w:rPr>
          <w:i/>
          <w:color w:val="auto"/>
        </w:rPr>
        <w:t>n</w:t>
      </w:r>
      <w:r w:rsidR="00410BE3" w:rsidRPr="002D43CE">
        <w:rPr>
          <w:color w:val="auto"/>
        </w:rPr>
        <w:t xml:space="preserve"> = 917) and were </w:t>
      </w:r>
      <w:r w:rsidR="00DD556E" w:rsidRPr="002D43CE">
        <w:rPr>
          <w:color w:val="auto"/>
        </w:rPr>
        <w:t>of Lithuanian nationality 93.1%</w:t>
      </w:r>
      <w:r w:rsidR="00410BE3" w:rsidRPr="002D43CE">
        <w:rPr>
          <w:color w:val="auto"/>
        </w:rPr>
        <w:t xml:space="preserve"> (</w:t>
      </w:r>
      <w:r w:rsidR="00410BE3" w:rsidRPr="002D43CE">
        <w:rPr>
          <w:i/>
          <w:color w:val="auto"/>
        </w:rPr>
        <w:t>n</w:t>
      </w:r>
      <w:r w:rsidR="00410BE3" w:rsidRPr="002D43CE">
        <w:rPr>
          <w:color w:val="auto"/>
        </w:rPr>
        <w:t xml:space="preserve"> = 869</w:t>
      </w:r>
      <w:r w:rsidR="00DD556E" w:rsidRPr="002D43CE">
        <w:rPr>
          <w:color w:val="auto"/>
        </w:rPr>
        <w:t>). Around two thirds (69.4%</w:t>
      </w:r>
      <w:r w:rsidR="001C7C0C" w:rsidRPr="002D43CE">
        <w:rPr>
          <w:color w:val="auto"/>
        </w:rPr>
        <w:t xml:space="preserve">, </w:t>
      </w:r>
      <w:r w:rsidR="001C7C0C" w:rsidRPr="002D43CE">
        <w:rPr>
          <w:i/>
          <w:color w:val="auto"/>
        </w:rPr>
        <w:t>n</w:t>
      </w:r>
      <w:r w:rsidR="001C7C0C" w:rsidRPr="002D43CE">
        <w:rPr>
          <w:color w:val="auto"/>
        </w:rPr>
        <w:t xml:space="preserve"> = 647</w:t>
      </w:r>
      <w:r w:rsidR="00DD556E" w:rsidRPr="002D43CE">
        <w:rPr>
          <w:color w:val="auto"/>
        </w:rPr>
        <w:t xml:space="preserve">) were from two-parent families, 29.5% </w:t>
      </w:r>
      <w:r w:rsidR="00BA7B16" w:rsidRPr="002D43CE">
        <w:rPr>
          <w:color w:val="auto"/>
        </w:rPr>
        <w:t>(</w:t>
      </w:r>
      <w:r w:rsidR="00BA7B16" w:rsidRPr="002D43CE">
        <w:rPr>
          <w:i/>
          <w:color w:val="auto"/>
        </w:rPr>
        <w:t>n</w:t>
      </w:r>
      <w:r w:rsidR="00BA7B16" w:rsidRPr="002D43CE">
        <w:rPr>
          <w:color w:val="auto"/>
        </w:rPr>
        <w:t xml:space="preserve"> = 275) </w:t>
      </w:r>
      <w:r w:rsidRPr="002D43CE">
        <w:rPr>
          <w:color w:val="auto"/>
        </w:rPr>
        <w:t xml:space="preserve">were from </w:t>
      </w:r>
      <w:r w:rsidR="00DD556E" w:rsidRPr="002D43CE">
        <w:rPr>
          <w:color w:val="auto"/>
        </w:rPr>
        <w:t xml:space="preserve">single-parent families, and 1.1% </w:t>
      </w:r>
      <w:r w:rsidR="00BA7B16" w:rsidRPr="002D43CE">
        <w:rPr>
          <w:color w:val="auto"/>
        </w:rPr>
        <w:t>(</w:t>
      </w:r>
      <w:r w:rsidR="00BA7B16" w:rsidRPr="002D43CE">
        <w:rPr>
          <w:i/>
          <w:color w:val="auto"/>
        </w:rPr>
        <w:t>n</w:t>
      </w:r>
      <w:r w:rsidR="00BA7B16" w:rsidRPr="002D43CE">
        <w:rPr>
          <w:color w:val="auto"/>
        </w:rPr>
        <w:t xml:space="preserve"> = 10)</w:t>
      </w:r>
      <w:r w:rsidRPr="002D43CE">
        <w:rPr>
          <w:color w:val="auto"/>
        </w:rPr>
        <w:t xml:space="preserve"> reported</w:t>
      </w:r>
      <w:r w:rsidR="00BA7B16" w:rsidRPr="002D43CE">
        <w:rPr>
          <w:color w:val="auto"/>
        </w:rPr>
        <w:t xml:space="preserve"> </w:t>
      </w:r>
      <w:r w:rsidR="00DD556E" w:rsidRPr="002D43CE">
        <w:rPr>
          <w:color w:val="auto"/>
        </w:rPr>
        <w:t>living with other relatives or</w:t>
      </w:r>
      <w:r w:rsidRPr="002D43CE">
        <w:rPr>
          <w:color w:val="auto"/>
        </w:rPr>
        <w:t xml:space="preserve"> were</w:t>
      </w:r>
      <w:r w:rsidR="00DD556E" w:rsidRPr="002D43CE">
        <w:rPr>
          <w:color w:val="auto"/>
        </w:rPr>
        <w:t xml:space="preserve"> in foster care. Financial difficulties in families were reported by 42.6% </w:t>
      </w:r>
      <w:r w:rsidR="006D4EC0" w:rsidRPr="002D43CE">
        <w:rPr>
          <w:color w:val="auto"/>
        </w:rPr>
        <w:t>(</w:t>
      </w:r>
      <w:r w:rsidR="006D4EC0" w:rsidRPr="002D43CE">
        <w:rPr>
          <w:i/>
          <w:color w:val="auto"/>
        </w:rPr>
        <w:t>n</w:t>
      </w:r>
      <w:r w:rsidR="006D4EC0" w:rsidRPr="002D43CE">
        <w:rPr>
          <w:color w:val="auto"/>
        </w:rPr>
        <w:t xml:space="preserve"> = 396) </w:t>
      </w:r>
      <w:r w:rsidR="00DD556E" w:rsidRPr="002D43CE">
        <w:rPr>
          <w:color w:val="auto"/>
        </w:rPr>
        <w:t>of the sample</w:t>
      </w:r>
      <w:r w:rsidRPr="002D43CE">
        <w:rPr>
          <w:color w:val="auto"/>
        </w:rPr>
        <w:t>;</w:t>
      </w:r>
      <w:r w:rsidR="008E0C93" w:rsidRPr="002D43CE">
        <w:rPr>
          <w:color w:val="auto"/>
        </w:rPr>
        <w:t xml:space="preserve"> </w:t>
      </w:r>
      <w:r w:rsidRPr="002D43CE">
        <w:rPr>
          <w:color w:val="auto"/>
        </w:rPr>
        <w:t xml:space="preserve">maternal </w:t>
      </w:r>
      <w:r w:rsidR="008E0C93" w:rsidRPr="002D43CE">
        <w:rPr>
          <w:color w:val="auto"/>
        </w:rPr>
        <w:t>unemploy</w:t>
      </w:r>
      <w:r w:rsidRPr="002D43CE">
        <w:rPr>
          <w:color w:val="auto"/>
        </w:rPr>
        <w:t>ment was reported by</w:t>
      </w:r>
      <w:r w:rsidR="008E0C93" w:rsidRPr="002D43CE">
        <w:rPr>
          <w:color w:val="auto"/>
        </w:rPr>
        <w:t xml:space="preserve"> 9.4% (n = 88)</w:t>
      </w:r>
      <w:r w:rsidRPr="002D43CE">
        <w:rPr>
          <w:color w:val="auto"/>
        </w:rPr>
        <w:t>; and</w:t>
      </w:r>
      <w:r w:rsidR="008E0C93" w:rsidRPr="002D43CE">
        <w:rPr>
          <w:color w:val="auto"/>
        </w:rPr>
        <w:t xml:space="preserve"> </w:t>
      </w:r>
      <w:r w:rsidRPr="002D43CE">
        <w:rPr>
          <w:color w:val="auto"/>
        </w:rPr>
        <w:t xml:space="preserve">paternal </w:t>
      </w:r>
      <w:r w:rsidR="008E0C93" w:rsidRPr="002D43CE">
        <w:rPr>
          <w:color w:val="auto"/>
        </w:rPr>
        <w:t>unemploy</w:t>
      </w:r>
      <w:r w:rsidRPr="002D43CE">
        <w:rPr>
          <w:color w:val="auto"/>
        </w:rPr>
        <w:t>ment was reported by</w:t>
      </w:r>
      <w:r w:rsidR="008E0C93" w:rsidRPr="002D43CE">
        <w:rPr>
          <w:color w:val="auto"/>
        </w:rPr>
        <w:t xml:space="preserve"> 5.0% (</w:t>
      </w:r>
      <w:r w:rsidR="008E0C93" w:rsidRPr="002D43CE">
        <w:rPr>
          <w:i/>
          <w:color w:val="auto"/>
        </w:rPr>
        <w:t>n</w:t>
      </w:r>
      <w:r w:rsidR="008E0C93" w:rsidRPr="002D43CE">
        <w:rPr>
          <w:color w:val="auto"/>
        </w:rPr>
        <w:t xml:space="preserve"> = 47)</w:t>
      </w:r>
      <w:r w:rsidR="00DD556E" w:rsidRPr="002D43CE">
        <w:rPr>
          <w:color w:val="auto"/>
        </w:rPr>
        <w:t xml:space="preserve">. </w:t>
      </w:r>
      <w:r w:rsidR="00DF3847" w:rsidRPr="002D43CE">
        <w:rPr>
          <w:color w:val="auto"/>
        </w:rPr>
        <w:t xml:space="preserve">Around </w:t>
      </w:r>
      <w:r w:rsidRPr="002D43CE">
        <w:rPr>
          <w:color w:val="auto"/>
        </w:rPr>
        <w:t>one-</w:t>
      </w:r>
      <w:r w:rsidR="00DF3847" w:rsidRPr="002D43CE">
        <w:rPr>
          <w:color w:val="auto"/>
        </w:rPr>
        <w:t xml:space="preserve">third of the adolescents </w:t>
      </w:r>
      <w:r w:rsidRPr="002D43CE">
        <w:rPr>
          <w:color w:val="auto"/>
        </w:rPr>
        <w:t xml:space="preserve">reported that </w:t>
      </w:r>
      <w:r w:rsidR="00DF3847" w:rsidRPr="002D43CE">
        <w:rPr>
          <w:color w:val="auto"/>
        </w:rPr>
        <w:t>at least one parent had</w:t>
      </w:r>
      <w:r w:rsidRPr="002D43CE">
        <w:rPr>
          <w:color w:val="auto"/>
        </w:rPr>
        <w:t xml:space="preserve"> a</w:t>
      </w:r>
      <w:r w:rsidR="00DF3847" w:rsidRPr="002D43CE">
        <w:rPr>
          <w:color w:val="auto"/>
        </w:rPr>
        <w:t xml:space="preserve"> university degree (32.2%, </w:t>
      </w:r>
      <w:r w:rsidR="00DF3847" w:rsidRPr="002D43CE">
        <w:rPr>
          <w:i/>
          <w:color w:val="auto"/>
        </w:rPr>
        <w:t>n</w:t>
      </w:r>
      <w:r w:rsidR="00DF3847" w:rsidRPr="002D43CE">
        <w:rPr>
          <w:color w:val="auto"/>
        </w:rPr>
        <w:t xml:space="preserve"> = 300), </w:t>
      </w:r>
      <w:r w:rsidRPr="002D43CE">
        <w:rPr>
          <w:color w:val="auto"/>
        </w:rPr>
        <w:t xml:space="preserve">and </w:t>
      </w:r>
      <w:r w:rsidR="00DF3847" w:rsidRPr="002D43CE">
        <w:rPr>
          <w:color w:val="auto"/>
        </w:rPr>
        <w:t>37.7% (</w:t>
      </w:r>
      <w:r w:rsidR="00DF3847" w:rsidRPr="002D43CE">
        <w:rPr>
          <w:i/>
          <w:color w:val="auto"/>
        </w:rPr>
        <w:t>n</w:t>
      </w:r>
      <w:r w:rsidR="00DF3847" w:rsidRPr="002D43CE">
        <w:rPr>
          <w:color w:val="auto"/>
        </w:rPr>
        <w:t xml:space="preserve"> = 351)</w:t>
      </w:r>
      <w:r w:rsidRPr="002D43CE">
        <w:rPr>
          <w:color w:val="auto"/>
        </w:rPr>
        <w:t xml:space="preserve"> reported that</w:t>
      </w:r>
      <w:r w:rsidR="00DF3847" w:rsidRPr="002D43CE">
        <w:rPr>
          <w:color w:val="auto"/>
        </w:rPr>
        <w:t xml:space="preserve"> both parents had</w:t>
      </w:r>
      <w:r w:rsidRPr="002D43CE">
        <w:rPr>
          <w:color w:val="auto"/>
        </w:rPr>
        <w:t xml:space="preserve"> a</w:t>
      </w:r>
      <w:r w:rsidR="00DF3847" w:rsidRPr="002D43CE">
        <w:rPr>
          <w:color w:val="auto"/>
        </w:rPr>
        <w:t xml:space="preserve"> university degree.</w:t>
      </w:r>
    </w:p>
    <w:p w14:paraId="23A6472A" w14:textId="77777777" w:rsidR="009173C0" w:rsidRPr="002D43CE" w:rsidRDefault="009173C0" w:rsidP="00365F1C">
      <w:pPr>
        <w:spacing w:line="360" w:lineRule="auto"/>
        <w:rPr>
          <w:b/>
          <w:color w:val="auto"/>
        </w:rPr>
      </w:pPr>
    </w:p>
    <w:p w14:paraId="6BA3E7DB" w14:textId="3D49D6F3" w:rsidR="00E40EA9" w:rsidRPr="002D43CE" w:rsidRDefault="00AF7FDD" w:rsidP="00365F1C">
      <w:pPr>
        <w:spacing w:line="360" w:lineRule="auto"/>
        <w:rPr>
          <w:rFonts w:eastAsia="Arial Unicode MS"/>
          <w:i/>
          <w:color w:val="auto"/>
        </w:rPr>
      </w:pPr>
      <w:r w:rsidRPr="002D43CE">
        <w:rPr>
          <w:rFonts w:eastAsia="Arial Unicode MS"/>
          <w:i/>
          <w:color w:val="auto"/>
        </w:rPr>
        <w:t xml:space="preserve">2.2. </w:t>
      </w:r>
      <w:r w:rsidR="00E40EA9" w:rsidRPr="002D43CE">
        <w:rPr>
          <w:rFonts w:eastAsia="Arial Unicode MS"/>
          <w:i/>
          <w:color w:val="auto"/>
        </w:rPr>
        <w:t>Measu</w:t>
      </w:r>
      <w:r w:rsidR="0041413C" w:rsidRPr="002D43CE">
        <w:rPr>
          <w:rFonts w:eastAsia="Arial Unicode MS"/>
          <w:i/>
          <w:color w:val="auto"/>
        </w:rPr>
        <w:t>res</w:t>
      </w:r>
    </w:p>
    <w:p w14:paraId="753F7799" w14:textId="77777777" w:rsidR="00C87BA5" w:rsidRPr="002D43CE" w:rsidRDefault="00C87BA5" w:rsidP="00365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i/>
          <w:iCs/>
          <w:color w:val="auto"/>
          <w:bdr w:val="none" w:sz="0" w:space="0" w:color="auto"/>
        </w:rPr>
      </w:pPr>
    </w:p>
    <w:p w14:paraId="0737C4CE" w14:textId="231A7DB7" w:rsidR="00BA1B51" w:rsidRPr="002D43CE" w:rsidRDefault="00C33B1D" w:rsidP="00AF7FD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r w:rsidRPr="002D43CE">
        <w:rPr>
          <w:i/>
          <w:iCs/>
          <w:color w:val="auto"/>
          <w:bdr w:val="none" w:sz="0" w:space="0" w:color="auto"/>
        </w:rPr>
        <w:t>International Trauma Questionnaire</w:t>
      </w:r>
      <w:r w:rsidR="00AF7FDD" w:rsidRPr="002D43CE">
        <w:rPr>
          <w:i/>
          <w:iCs/>
          <w:color w:val="auto"/>
          <w:bdr w:val="none" w:sz="0" w:space="0" w:color="auto"/>
        </w:rPr>
        <w:t xml:space="preserve">. </w:t>
      </w:r>
      <w:r w:rsidR="00A85763" w:rsidRPr="002D43CE">
        <w:rPr>
          <w:color w:val="auto"/>
        </w:rPr>
        <w:t xml:space="preserve">The ITQ-CA </w:t>
      </w:r>
      <w:r w:rsidR="0016297E" w:rsidRPr="002D43CE">
        <w:rPr>
          <w:color w:val="auto"/>
        </w:rPr>
        <w:fldChar w:fldCharType="begin" w:fldLock="1"/>
      </w:r>
      <w:r w:rsidR="00FB617D" w:rsidRPr="002D43CE">
        <w:rPr>
          <w:color w:val="auto"/>
        </w:rPr>
        <w:instrText>ADDIN CSL_CITATION {"citationItems":[{"id":"ITEM-1","itemData":{"author":[{"dropping-particle":"","family":"Cloitre","given":"M","non-dropping-particle":"","parse-names":false,"suffix":""},{"dropping-particle":"","family":"Roberts","given":"Neil","non-dropping-particle":"","parse-names":false,"suffix":""},{"dropping-particle":"","family":"Bisson","given":"Jonathan","non-dropping-particle":"","parse-names":false,"suffix":""},{"dropping-particle":"","family":"Brewin","given":"Chris","non-dropping-particle":"","parse-names":false,"suffix":""}],"id":"ITEM-1","issued":{"date-parts":[["2018"]]},"title":"International Trauma Questionnaire – Child and Adolescent Version (ITQ-CA)","type":"article"},"uris":["http://www.mendeley.com/documents/?uuid=6c74f79e-d833-47bb-a0ff-1b4f5ae30cc2"]}],"mendeley":{"formattedCitation":"(M Cloitre et al., 2018)","plainTextFormattedCitation":"(M Cloitre et al., 2018)","previouslyFormattedCitation":"(M Cloitre, Roberts, et al., 2018)"},"properties":{"noteIndex":0},"schema":"https://github.com/citation-style-language/schema/raw/master/csl-citation.json"}</w:instrText>
      </w:r>
      <w:r w:rsidR="0016297E" w:rsidRPr="002D43CE">
        <w:rPr>
          <w:color w:val="auto"/>
        </w:rPr>
        <w:fldChar w:fldCharType="separate"/>
      </w:r>
      <w:r w:rsidR="00FB617D" w:rsidRPr="002D43CE">
        <w:rPr>
          <w:noProof/>
          <w:color w:val="auto"/>
        </w:rPr>
        <w:t>(Cloitre et al., 2018)</w:t>
      </w:r>
      <w:r w:rsidR="0016297E" w:rsidRPr="002D43CE">
        <w:rPr>
          <w:color w:val="auto"/>
        </w:rPr>
        <w:fldChar w:fldCharType="end"/>
      </w:r>
      <w:r w:rsidR="0016297E" w:rsidRPr="002D43CE">
        <w:rPr>
          <w:color w:val="auto"/>
        </w:rPr>
        <w:t xml:space="preserve"> </w:t>
      </w:r>
      <w:r w:rsidR="00BA1B51" w:rsidRPr="002D43CE">
        <w:rPr>
          <w:color w:val="auto"/>
        </w:rPr>
        <w:t xml:space="preserve">is a revision of </w:t>
      </w:r>
      <w:r w:rsidR="007B096A" w:rsidRPr="002D43CE">
        <w:rPr>
          <w:color w:val="auto"/>
        </w:rPr>
        <w:t xml:space="preserve">the </w:t>
      </w:r>
      <w:r w:rsidR="00BA1B51" w:rsidRPr="002D43CE">
        <w:rPr>
          <w:color w:val="auto"/>
        </w:rPr>
        <w:t xml:space="preserve">adult version of ITQ </w:t>
      </w:r>
      <w:r w:rsidR="00BA1B51" w:rsidRPr="002D43CE">
        <w:rPr>
          <w:color w:val="auto"/>
        </w:rPr>
        <w:fldChar w:fldCharType="begin" w:fldLock="1"/>
      </w:r>
      <w:r w:rsidR="00FB617D" w:rsidRPr="002D43CE">
        <w:rPr>
          <w:color w:val="auto"/>
        </w:rPr>
        <w:instrText>ADDIN CSL_CITATION {"citationItems":[{"id":"ITEM-1","itemData":{"DOI":"10.1111/acps.12956","ISSN":"16000447","abstract":"OBJECTIVE The purpose of this study was to finalize the development of the International Trauma Questionnaire (ITQ), a self-report diagnostic measure of post-traumatic stress disorder (PTSD) and complex PTSD (CPTSD), as defined in the 11th version of the International Classification of Diseases (ICD-11). METHOD The optimal symptom indicators of PTSD and CPTSD were identified by applying item response theory (IRT) analysis to data from a trauma-exposed community sample (n = 1051) and a trauma-exposed clinical sample (n = 247) from the United Kingdom. The validity of the optimized 12-item ITQ was assessed with confirmatory factor analyses. Diagnostic rates were estimated and compared to previous validation studies. RESULTS The latent structure of the 12-item, optimized ITQ was consistent with prior findings, and diagnostic rates of PTSD and CPTSD were in line with previous estimates. CONCLUSION The ITQ is a brief, simply worded measure of the core features of PTSD and CPTSD. It is consistent with the organizing principles of the ICD-11 to maximize clinical utility and international applicability through a focus on a limited but central set of symptoms. The measure is freely available and can be found in the body of this paper.","author":[{"dropping-particle":"","family":"Cloitre","given":"M.","non-dropping-particle":"","parse-names":false,"suffix":""},{"dropping-particle":"","family":"Shevlin","given":"M.","non-dropping-particle":"","parse-names":false,"suffix":""},{"dropping-particle":"","family":"Brewin","given":"C. R.","non-dropping-particle":"","parse-names":false,"suffix":""},{"dropping-particle":"","family":"Bisson","given":"J. I.","non-dropping-particle":"","parse-names":false,"suffix":""},{"dropping-particle":"","family":"Roberts","given":"N. P.","non-dropping-particle":"","parse-names":false,"suffix":""},{"dropping-particle":"","family":"Maercker","given":"A.","non-dropping-particle":"","parse-names":false,"suffix":""},{"dropping-particle":"","family":"Karatzias","given":"T.","non-dropping-particle":"","parse-names":false,"suffix":""},{"dropping-particle":"","family":"Hyland","given":"P.","non-dropping-particle":"","parse-names":false,"suffix":""}],"container-title":"Acta Psychiatrica Scandinavica","id":"ITEM-1","issue":"6","issued":{"date-parts":[["2018"]]},"page":"536-546","title":"The International Trauma Questionnaire: development of a self-report measure of ICD-11 PTSD and complex PTSD","type":"article-journal","volume":"138"},"uris":["http://www.mendeley.com/documents/?uuid=969e4af6-a079-47f6-8e88-26d09080983b"]}],"mendeley":{"formattedCitation":"(M. Cloitre et al., 2018)","plainTextFormattedCitation":"(M. Cloitre et al., 2018)","previouslyFormattedCitation":"(M. Cloitre, Shevlin, et al., 2018)"},"properties":{"noteIndex":0},"schema":"https://github.com/citation-style-language/schema/raw/master/csl-citation.json"}</w:instrText>
      </w:r>
      <w:r w:rsidR="00BA1B51" w:rsidRPr="002D43CE">
        <w:rPr>
          <w:color w:val="auto"/>
        </w:rPr>
        <w:fldChar w:fldCharType="separate"/>
      </w:r>
      <w:r w:rsidR="00FB617D" w:rsidRPr="002D43CE">
        <w:rPr>
          <w:noProof/>
          <w:color w:val="auto"/>
        </w:rPr>
        <w:t>(Cloitre et al., 2018)</w:t>
      </w:r>
      <w:r w:rsidR="00BA1B51" w:rsidRPr="002D43CE">
        <w:rPr>
          <w:color w:val="auto"/>
        </w:rPr>
        <w:fldChar w:fldCharType="end"/>
      </w:r>
      <w:r w:rsidR="00BA1B51" w:rsidRPr="002D43CE">
        <w:rPr>
          <w:color w:val="auto"/>
        </w:rPr>
        <w:t xml:space="preserve"> </w:t>
      </w:r>
      <w:r w:rsidR="008D51B0" w:rsidRPr="002D43CE">
        <w:rPr>
          <w:color w:val="auto"/>
        </w:rPr>
        <w:t xml:space="preserve">in consultation with experts </w:t>
      </w:r>
      <w:r w:rsidR="007B096A" w:rsidRPr="002D43CE">
        <w:rPr>
          <w:color w:val="auto"/>
        </w:rPr>
        <w:t>i</w:t>
      </w:r>
      <w:r w:rsidR="008D51B0" w:rsidRPr="002D43CE">
        <w:rPr>
          <w:color w:val="auto"/>
        </w:rPr>
        <w:t xml:space="preserve">n child and adolescent trauma assessment. </w:t>
      </w:r>
      <w:r w:rsidR="00BA1B51" w:rsidRPr="002D43CE">
        <w:rPr>
          <w:color w:val="auto"/>
        </w:rPr>
        <w:t xml:space="preserve">The ITQ-CA resembles </w:t>
      </w:r>
      <w:r w:rsidR="007B096A" w:rsidRPr="002D43CE">
        <w:rPr>
          <w:color w:val="auto"/>
        </w:rPr>
        <w:t xml:space="preserve">the </w:t>
      </w:r>
      <w:r w:rsidR="00BA1B51" w:rsidRPr="002D43CE">
        <w:rPr>
          <w:color w:val="auto"/>
        </w:rPr>
        <w:t>ITQ adult version</w:t>
      </w:r>
      <w:r w:rsidR="00FD4D1A" w:rsidRPr="002D43CE">
        <w:rPr>
          <w:color w:val="auto"/>
        </w:rPr>
        <w:t xml:space="preserve"> in that it includes the same</w:t>
      </w:r>
      <w:r w:rsidR="00BA1B51" w:rsidRPr="002D43CE">
        <w:rPr>
          <w:color w:val="auto"/>
        </w:rPr>
        <w:t xml:space="preserve"> number of items, and</w:t>
      </w:r>
      <w:r w:rsidR="00FD4D1A" w:rsidRPr="002D43CE">
        <w:rPr>
          <w:color w:val="auto"/>
        </w:rPr>
        <w:t xml:space="preserve"> the</w:t>
      </w:r>
      <w:r w:rsidR="00BA1B51" w:rsidRPr="002D43CE">
        <w:rPr>
          <w:color w:val="auto"/>
        </w:rPr>
        <w:t xml:space="preserve"> scoring</w:t>
      </w:r>
      <w:r w:rsidR="00FD4D1A" w:rsidRPr="002D43CE">
        <w:rPr>
          <w:color w:val="auto"/>
        </w:rPr>
        <w:t xml:space="preserve"> scheme</w:t>
      </w:r>
      <w:r w:rsidR="00BA1B51" w:rsidRPr="002D43CE">
        <w:rPr>
          <w:color w:val="auto"/>
        </w:rPr>
        <w:t xml:space="preserve"> is</w:t>
      </w:r>
      <w:r w:rsidR="00711EE0" w:rsidRPr="002D43CE">
        <w:rPr>
          <w:color w:val="auto"/>
        </w:rPr>
        <w:t xml:space="preserve"> the same</w:t>
      </w:r>
      <w:r w:rsidR="00BA1B51" w:rsidRPr="002D43CE">
        <w:rPr>
          <w:color w:val="auto"/>
        </w:rPr>
        <w:t>. However, formulation of the ITQ-CA items differs from the ITQ adult version in order to make items comprehensible to children and adolescents.</w:t>
      </w:r>
    </w:p>
    <w:p w14:paraId="4484951F" w14:textId="4A55AC52" w:rsidR="00A85763" w:rsidRPr="002D43CE" w:rsidRDefault="00BA1B51" w:rsidP="00365F1C">
      <w:pPr>
        <w:suppressAutoHyphens w:val="0"/>
        <w:spacing w:line="360" w:lineRule="auto"/>
        <w:ind w:firstLine="720"/>
        <w:rPr>
          <w:color w:val="auto"/>
        </w:rPr>
      </w:pPr>
      <w:r w:rsidRPr="002D43CE">
        <w:rPr>
          <w:color w:val="auto"/>
        </w:rPr>
        <w:t>The ITQ-CA items were</w:t>
      </w:r>
      <w:r w:rsidR="00A85763" w:rsidRPr="002D43CE">
        <w:rPr>
          <w:color w:val="auto"/>
        </w:rPr>
        <w:t xml:space="preserve"> translated into Lithuanian</w:t>
      </w:r>
      <w:r w:rsidR="00FD4D1A" w:rsidRPr="002D43CE">
        <w:rPr>
          <w:color w:val="auto"/>
        </w:rPr>
        <w:t xml:space="preserve"> and then</w:t>
      </w:r>
      <w:r w:rsidR="00A85763" w:rsidRPr="002D43CE">
        <w:rPr>
          <w:color w:val="auto"/>
        </w:rPr>
        <w:t xml:space="preserve"> back-translat</w:t>
      </w:r>
      <w:r w:rsidR="00FD4D1A" w:rsidRPr="002D43CE">
        <w:rPr>
          <w:color w:val="auto"/>
        </w:rPr>
        <w:t xml:space="preserve">ed into English and </w:t>
      </w:r>
      <w:r w:rsidR="00A85763" w:rsidRPr="002D43CE">
        <w:rPr>
          <w:color w:val="auto"/>
        </w:rPr>
        <w:t>reviewed by the authors of the original measure. The ITQ</w:t>
      </w:r>
      <w:r w:rsidRPr="002D43CE">
        <w:rPr>
          <w:color w:val="auto"/>
        </w:rPr>
        <w:t>-CA</w:t>
      </w:r>
      <w:r w:rsidR="00A85763" w:rsidRPr="002D43CE">
        <w:rPr>
          <w:color w:val="auto"/>
        </w:rPr>
        <w:t xml:space="preserve"> </w:t>
      </w:r>
      <w:r w:rsidR="00FD4D1A" w:rsidRPr="002D43CE">
        <w:rPr>
          <w:color w:val="auto"/>
        </w:rPr>
        <w:t>includes</w:t>
      </w:r>
      <w:r w:rsidR="00A85763" w:rsidRPr="002D43CE">
        <w:rPr>
          <w:color w:val="auto"/>
        </w:rPr>
        <w:t xml:space="preserve"> 12 </w:t>
      </w:r>
      <w:r w:rsidR="00A85763" w:rsidRPr="002D43CE">
        <w:rPr>
          <w:color w:val="auto"/>
        </w:rPr>
        <w:lastRenderedPageBreak/>
        <w:t xml:space="preserve">symptom </w:t>
      </w:r>
      <w:r w:rsidR="00FD4D1A" w:rsidRPr="002D43CE">
        <w:rPr>
          <w:color w:val="auto"/>
        </w:rPr>
        <w:t>indicators</w:t>
      </w:r>
      <w:r w:rsidR="00A85763" w:rsidRPr="002D43CE">
        <w:rPr>
          <w:color w:val="auto"/>
        </w:rPr>
        <w:t>. The three PTSD symptom clusters are assessed with six items as follows: (1) re-experiencing (Re) (2 items), (2) avoidance (Av) (2 items), and (3) sense of threat (</w:t>
      </w:r>
      <w:proofErr w:type="spellStart"/>
      <w:r w:rsidR="00A85763" w:rsidRPr="002D43CE">
        <w:rPr>
          <w:color w:val="auto"/>
        </w:rPr>
        <w:t>SoT</w:t>
      </w:r>
      <w:proofErr w:type="spellEnd"/>
      <w:r w:rsidR="00A85763" w:rsidRPr="002D43CE">
        <w:rPr>
          <w:color w:val="auto"/>
        </w:rPr>
        <w:t xml:space="preserve">) (2 items). The three symptom clusters of </w:t>
      </w:r>
      <w:r w:rsidR="00433621" w:rsidRPr="002D43CE">
        <w:rPr>
          <w:color w:val="auto"/>
        </w:rPr>
        <w:t>self-organization (</w:t>
      </w:r>
      <w:r w:rsidR="00A85763" w:rsidRPr="002D43CE">
        <w:rPr>
          <w:color w:val="auto"/>
        </w:rPr>
        <w:t>DSO</w:t>
      </w:r>
      <w:r w:rsidR="00433621" w:rsidRPr="002D43CE">
        <w:rPr>
          <w:color w:val="auto"/>
        </w:rPr>
        <w:t>)</w:t>
      </w:r>
      <w:r w:rsidR="00A85763" w:rsidRPr="002D43CE">
        <w:rPr>
          <w:color w:val="auto"/>
        </w:rPr>
        <w:t xml:space="preserve"> are measured with 6 items: affective dysregulation (AD) (2 items), negative self-concept (NSC) (2 items), and disturbances in relationships (DR) (2 items)</w:t>
      </w:r>
      <w:r w:rsidR="003335BA" w:rsidRPr="002D43CE">
        <w:rPr>
          <w:color w:val="auto"/>
        </w:rPr>
        <w:t xml:space="preserve">. Items of </w:t>
      </w:r>
      <w:r w:rsidR="00F85A19" w:rsidRPr="002D43CE">
        <w:rPr>
          <w:color w:val="auto"/>
        </w:rPr>
        <w:t xml:space="preserve">the </w:t>
      </w:r>
      <w:r w:rsidR="003335BA" w:rsidRPr="002D43CE">
        <w:rPr>
          <w:color w:val="auto"/>
        </w:rPr>
        <w:t xml:space="preserve">ITQ-CA are presented in Table </w:t>
      </w:r>
      <w:r w:rsidR="00DA4076" w:rsidRPr="002D43CE">
        <w:rPr>
          <w:color w:val="auto"/>
        </w:rPr>
        <w:t>1</w:t>
      </w:r>
      <w:r w:rsidR="00A85763" w:rsidRPr="002D43CE">
        <w:rPr>
          <w:color w:val="auto"/>
        </w:rPr>
        <w:t xml:space="preserve">. </w:t>
      </w:r>
      <w:r w:rsidR="00FD4D1A" w:rsidRPr="002D43CE">
        <w:rPr>
          <w:color w:val="auto"/>
        </w:rPr>
        <w:t xml:space="preserve">All items are answered using </w:t>
      </w:r>
      <w:r w:rsidR="00A85763" w:rsidRPr="002D43CE">
        <w:rPr>
          <w:color w:val="auto"/>
        </w:rPr>
        <w:t xml:space="preserve">a </w:t>
      </w:r>
      <w:r w:rsidR="00741B65" w:rsidRPr="002D43CE">
        <w:rPr>
          <w:color w:val="auto"/>
        </w:rPr>
        <w:t xml:space="preserve">five-point </w:t>
      </w:r>
      <w:r w:rsidR="00A85763" w:rsidRPr="002D43CE">
        <w:rPr>
          <w:color w:val="auto"/>
        </w:rPr>
        <w:t>Likert scale from 0 (</w:t>
      </w:r>
      <w:r w:rsidR="00FD4D1A" w:rsidRPr="002D43CE">
        <w:rPr>
          <w:color w:val="auto"/>
        </w:rPr>
        <w:t>‘</w:t>
      </w:r>
      <w:r w:rsidR="00A85763" w:rsidRPr="002D43CE">
        <w:rPr>
          <w:color w:val="auto"/>
        </w:rPr>
        <w:t>Never</w:t>
      </w:r>
      <w:r w:rsidR="00FD4D1A" w:rsidRPr="002D43CE">
        <w:rPr>
          <w:color w:val="auto"/>
        </w:rPr>
        <w:t>’</w:t>
      </w:r>
      <w:r w:rsidR="00A85763" w:rsidRPr="002D43CE">
        <w:rPr>
          <w:color w:val="auto"/>
        </w:rPr>
        <w:t xml:space="preserve">) to </w:t>
      </w:r>
      <w:r w:rsidR="00741B65" w:rsidRPr="002D43CE">
        <w:rPr>
          <w:color w:val="auto"/>
        </w:rPr>
        <w:t>4</w:t>
      </w:r>
      <w:r w:rsidR="00A85763" w:rsidRPr="002D43CE">
        <w:rPr>
          <w:color w:val="auto"/>
        </w:rPr>
        <w:t xml:space="preserve"> (</w:t>
      </w:r>
      <w:r w:rsidR="00FD4D1A" w:rsidRPr="002D43CE">
        <w:rPr>
          <w:color w:val="auto"/>
        </w:rPr>
        <w:t>‘</w:t>
      </w:r>
      <w:r w:rsidR="00A85763" w:rsidRPr="002D43CE">
        <w:rPr>
          <w:color w:val="auto"/>
        </w:rPr>
        <w:t>Almost always</w:t>
      </w:r>
      <w:r w:rsidR="00FD4D1A" w:rsidRPr="002D43CE">
        <w:rPr>
          <w:color w:val="auto"/>
        </w:rPr>
        <w:t>’</w:t>
      </w:r>
      <w:r w:rsidR="00A85763" w:rsidRPr="002D43CE">
        <w:rPr>
          <w:color w:val="auto"/>
        </w:rPr>
        <w:t xml:space="preserve">) how much have they been bothered by each of the symptoms during the past month. </w:t>
      </w:r>
      <w:r w:rsidR="007B096A" w:rsidRPr="002D43CE">
        <w:rPr>
          <w:color w:val="auto"/>
        </w:rPr>
        <w:t xml:space="preserve">Functional impairment items were listed twice following </w:t>
      </w:r>
      <w:r w:rsidR="00FD4D1A" w:rsidRPr="002D43CE">
        <w:rPr>
          <w:color w:val="auto"/>
        </w:rPr>
        <w:t xml:space="preserve">the </w:t>
      </w:r>
      <w:r w:rsidR="007B096A" w:rsidRPr="002D43CE">
        <w:rPr>
          <w:color w:val="auto"/>
        </w:rPr>
        <w:t>PTSD symptoms, and</w:t>
      </w:r>
      <w:r w:rsidR="00FD4D1A" w:rsidRPr="002D43CE">
        <w:rPr>
          <w:color w:val="auto"/>
        </w:rPr>
        <w:t xml:space="preserve"> the</w:t>
      </w:r>
      <w:r w:rsidR="007B096A" w:rsidRPr="002D43CE">
        <w:rPr>
          <w:color w:val="auto"/>
        </w:rPr>
        <w:t xml:space="preserve"> DSO symptoms, and participants were asked to indicate on a binary yes/no scale if </w:t>
      </w:r>
      <w:r w:rsidR="00FD4D1A" w:rsidRPr="002D43CE">
        <w:rPr>
          <w:color w:val="auto"/>
        </w:rPr>
        <w:t>both sets of</w:t>
      </w:r>
      <w:r w:rsidR="007B096A" w:rsidRPr="002D43CE">
        <w:rPr>
          <w:color w:val="auto"/>
        </w:rPr>
        <w:t xml:space="preserve"> symptoms </w:t>
      </w:r>
      <w:r w:rsidR="00433621" w:rsidRPr="002D43CE">
        <w:rPr>
          <w:color w:val="auto"/>
        </w:rPr>
        <w:t xml:space="preserve">were associated with </w:t>
      </w:r>
      <w:r w:rsidR="007B096A" w:rsidRPr="002D43CE">
        <w:rPr>
          <w:color w:val="auto"/>
        </w:rPr>
        <w:t>problems</w:t>
      </w:r>
      <w:r w:rsidR="00433621" w:rsidRPr="002D43CE">
        <w:rPr>
          <w:color w:val="auto"/>
        </w:rPr>
        <w:t xml:space="preserve"> in any of these areas (1) friends</w:t>
      </w:r>
      <w:r w:rsidR="007B096A" w:rsidRPr="002D43CE">
        <w:rPr>
          <w:color w:val="auto"/>
        </w:rPr>
        <w:t>,</w:t>
      </w:r>
      <w:r w:rsidR="00433621" w:rsidRPr="002D43CE">
        <w:rPr>
          <w:color w:val="auto"/>
        </w:rPr>
        <w:t xml:space="preserve"> (2) family</w:t>
      </w:r>
      <w:r w:rsidR="007B096A" w:rsidRPr="002D43CE">
        <w:rPr>
          <w:color w:val="auto"/>
        </w:rPr>
        <w:t>,</w:t>
      </w:r>
      <w:r w:rsidR="00433621" w:rsidRPr="002D43CE">
        <w:rPr>
          <w:color w:val="auto"/>
        </w:rPr>
        <w:t xml:space="preserve"> (3) school</w:t>
      </w:r>
      <w:r w:rsidR="007B096A" w:rsidRPr="002D43CE">
        <w:rPr>
          <w:color w:val="auto"/>
        </w:rPr>
        <w:t>,</w:t>
      </w:r>
      <w:r w:rsidR="00433621" w:rsidRPr="002D43CE">
        <w:rPr>
          <w:color w:val="auto"/>
        </w:rPr>
        <w:t xml:space="preserve"> (4) other important areas, such as </w:t>
      </w:r>
      <w:r w:rsidR="007B096A" w:rsidRPr="002D43CE">
        <w:rPr>
          <w:color w:val="auto"/>
        </w:rPr>
        <w:t>hobbies,</w:t>
      </w:r>
      <w:r w:rsidR="00433621" w:rsidRPr="002D43CE">
        <w:rPr>
          <w:color w:val="auto"/>
        </w:rPr>
        <w:t xml:space="preserve"> </w:t>
      </w:r>
      <w:r w:rsidR="007B096A" w:rsidRPr="002D43CE">
        <w:rPr>
          <w:color w:val="auto"/>
        </w:rPr>
        <w:t xml:space="preserve">and </w:t>
      </w:r>
      <w:r w:rsidR="00433621" w:rsidRPr="002D43CE">
        <w:rPr>
          <w:color w:val="auto"/>
        </w:rPr>
        <w:t xml:space="preserve">(5) general happiness. </w:t>
      </w:r>
      <w:r w:rsidR="00FD4D1A" w:rsidRPr="002D43CE">
        <w:rPr>
          <w:color w:val="auto"/>
        </w:rPr>
        <w:t>The internal r</w:t>
      </w:r>
      <w:r w:rsidR="00A85763" w:rsidRPr="002D43CE">
        <w:rPr>
          <w:color w:val="auto"/>
        </w:rPr>
        <w:t xml:space="preserve">eliability of the </w:t>
      </w:r>
      <w:r w:rsidR="00FD4D1A" w:rsidRPr="002D43CE">
        <w:rPr>
          <w:color w:val="auto"/>
        </w:rPr>
        <w:t xml:space="preserve">total </w:t>
      </w:r>
      <w:r w:rsidR="00A85763" w:rsidRPr="002D43CE">
        <w:rPr>
          <w:color w:val="auto"/>
        </w:rPr>
        <w:t>ITQ</w:t>
      </w:r>
      <w:r w:rsidR="00226870" w:rsidRPr="002D43CE">
        <w:rPr>
          <w:color w:val="auto"/>
        </w:rPr>
        <w:t>-CA</w:t>
      </w:r>
      <w:r w:rsidR="00A85763" w:rsidRPr="002D43CE">
        <w:rPr>
          <w:color w:val="auto"/>
        </w:rPr>
        <w:t xml:space="preserve"> </w:t>
      </w:r>
      <w:r w:rsidR="00FD4D1A" w:rsidRPr="002D43CE">
        <w:rPr>
          <w:color w:val="auto"/>
        </w:rPr>
        <w:t>scores</w:t>
      </w:r>
      <w:r w:rsidR="00A85763" w:rsidRPr="002D43CE">
        <w:rPr>
          <w:color w:val="auto"/>
        </w:rPr>
        <w:t xml:space="preserve"> was good</w:t>
      </w:r>
      <w:r w:rsidR="00FD4D1A" w:rsidRPr="002D43CE">
        <w:rPr>
          <w:color w:val="auto"/>
        </w:rPr>
        <w:t xml:space="preserve"> (</w:t>
      </w:r>
      <w:r w:rsidR="00A85763" w:rsidRPr="002D43CE">
        <w:rPr>
          <w:color w:val="auto"/>
        </w:rPr>
        <w:t>α = .87</w:t>
      </w:r>
      <w:r w:rsidR="00FD4D1A" w:rsidRPr="002D43CE">
        <w:rPr>
          <w:color w:val="auto"/>
        </w:rPr>
        <w:t xml:space="preserve">), as were the internal reliability estimates for the </w:t>
      </w:r>
      <w:r w:rsidR="00A85763" w:rsidRPr="002D43CE">
        <w:rPr>
          <w:color w:val="auto"/>
        </w:rPr>
        <w:t xml:space="preserve">PTSD </w:t>
      </w:r>
      <w:r w:rsidR="00FD4D1A" w:rsidRPr="002D43CE">
        <w:rPr>
          <w:color w:val="auto"/>
        </w:rPr>
        <w:t>(</w:t>
      </w:r>
      <w:r w:rsidR="00A85763" w:rsidRPr="002D43CE">
        <w:rPr>
          <w:color w:val="auto"/>
        </w:rPr>
        <w:t>α = .79</w:t>
      </w:r>
      <w:r w:rsidR="00FD4D1A" w:rsidRPr="002D43CE">
        <w:rPr>
          <w:color w:val="auto"/>
        </w:rPr>
        <w:t>)</w:t>
      </w:r>
      <w:r w:rsidR="00A85763" w:rsidRPr="002D43CE">
        <w:rPr>
          <w:color w:val="auto"/>
        </w:rPr>
        <w:t xml:space="preserve"> and DSO </w:t>
      </w:r>
      <w:r w:rsidR="00FD4D1A" w:rsidRPr="002D43CE">
        <w:rPr>
          <w:color w:val="auto"/>
        </w:rPr>
        <w:t>(</w:t>
      </w:r>
      <w:r w:rsidR="00A85763" w:rsidRPr="002D43CE">
        <w:rPr>
          <w:color w:val="auto"/>
        </w:rPr>
        <w:t>α = .86</w:t>
      </w:r>
      <w:r w:rsidR="00FD4D1A" w:rsidRPr="002D43CE">
        <w:rPr>
          <w:color w:val="auto"/>
        </w:rPr>
        <w:t>) subscale scores</w:t>
      </w:r>
      <w:r w:rsidR="00A85763" w:rsidRPr="002D43CE">
        <w:rPr>
          <w:color w:val="auto"/>
        </w:rPr>
        <w:t>.</w:t>
      </w:r>
    </w:p>
    <w:p w14:paraId="33B41FDD" w14:textId="53C0B3A2" w:rsidR="004F45E8" w:rsidRPr="002D43CE" w:rsidRDefault="00116244" w:rsidP="00AF7FDD">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r w:rsidRPr="002D43CE">
        <w:rPr>
          <w:i/>
          <w:iCs/>
          <w:color w:val="auto"/>
          <w:bdr w:val="none" w:sz="0" w:space="0" w:color="auto"/>
        </w:rPr>
        <w:t>Lifetime trauma exposure</w:t>
      </w:r>
      <w:r w:rsidR="00AF7FDD" w:rsidRPr="002D43CE">
        <w:rPr>
          <w:i/>
          <w:iCs/>
          <w:color w:val="auto"/>
          <w:bdr w:val="none" w:sz="0" w:space="0" w:color="auto"/>
        </w:rPr>
        <w:t xml:space="preserve">. </w:t>
      </w:r>
      <w:r w:rsidR="00FD4D1A" w:rsidRPr="002D43CE">
        <w:rPr>
          <w:color w:val="auto"/>
        </w:rPr>
        <w:t>L</w:t>
      </w:r>
      <w:r w:rsidR="00A85763" w:rsidRPr="002D43CE">
        <w:rPr>
          <w:color w:val="auto"/>
        </w:rPr>
        <w:t xml:space="preserve">ifetime traumatic </w:t>
      </w:r>
      <w:r w:rsidR="00FD4D1A" w:rsidRPr="002D43CE">
        <w:rPr>
          <w:color w:val="auto"/>
        </w:rPr>
        <w:t>exposure was</w:t>
      </w:r>
      <w:r w:rsidR="00A85763" w:rsidRPr="002D43CE">
        <w:rPr>
          <w:color w:val="auto"/>
        </w:rPr>
        <w:t xml:space="preserve"> assessed using </w:t>
      </w:r>
      <w:r w:rsidR="00FD4D1A" w:rsidRPr="002D43CE">
        <w:rPr>
          <w:color w:val="auto"/>
        </w:rPr>
        <w:t xml:space="preserve">the </w:t>
      </w:r>
      <w:r w:rsidR="00A85763" w:rsidRPr="002D43CE">
        <w:rPr>
          <w:color w:val="auto"/>
        </w:rPr>
        <w:t>14</w:t>
      </w:r>
      <w:r w:rsidR="004A0C85" w:rsidRPr="002D43CE">
        <w:rPr>
          <w:color w:val="auto"/>
        </w:rPr>
        <w:t>-</w:t>
      </w:r>
      <w:r w:rsidR="00A85763" w:rsidRPr="002D43CE">
        <w:rPr>
          <w:color w:val="auto"/>
        </w:rPr>
        <w:t xml:space="preserve">item traumatic events checklist from </w:t>
      </w:r>
      <w:r w:rsidR="00BA1B51" w:rsidRPr="002D43CE">
        <w:rPr>
          <w:color w:val="auto"/>
        </w:rPr>
        <w:t xml:space="preserve">the </w:t>
      </w:r>
      <w:r w:rsidR="00A85763" w:rsidRPr="002D43CE">
        <w:rPr>
          <w:color w:val="auto"/>
        </w:rPr>
        <w:t>C</w:t>
      </w:r>
      <w:r w:rsidR="00BD72E9" w:rsidRPr="002D43CE">
        <w:rPr>
          <w:color w:val="auto"/>
        </w:rPr>
        <w:t>hild and Adolescent Trauma Screen (C</w:t>
      </w:r>
      <w:r w:rsidR="00A85763" w:rsidRPr="002D43CE">
        <w:rPr>
          <w:color w:val="auto"/>
        </w:rPr>
        <w:t>ATS</w:t>
      </w:r>
      <w:r w:rsidR="00BD72E9" w:rsidRPr="002D43CE">
        <w:rPr>
          <w:color w:val="auto"/>
        </w:rPr>
        <w:t>)</w:t>
      </w:r>
      <w:r w:rsidR="00BA1B51" w:rsidRPr="002D43CE">
        <w:rPr>
          <w:color w:val="auto"/>
        </w:rPr>
        <w:t xml:space="preserve"> </w:t>
      </w:r>
      <w:r w:rsidR="004E79E7" w:rsidRPr="002D43CE">
        <w:rPr>
          <w:color w:val="auto"/>
        </w:rPr>
        <w:fldChar w:fldCharType="begin" w:fldLock="1"/>
      </w:r>
      <w:r w:rsidR="003664F3" w:rsidRPr="002D43CE">
        <w:rPr>
          <w:color w:val="auto"/>
        </w:rPr>
        <w:instrText>ADDIN CSL_CITATION {"citationItems":[{"id":"ITEM-1","itemData":{"DOI":"10.1016/j.jad.2016.12.040","ISSN":"15732517","abstract":"Background Systematic screening is a powerful means by which children and adolescents with posttraumatic stress symptoms (PTSS) can be detected. Reliable and valid measures based on current diagnostic criteria are needed. Aim To investigate the internal consistency and construct validity of the Child and Adolescent Trauma Screen (CATS) in three samples of trauma-exposed children in the US (self-reports: n=249; caregiver reports: n=267; pre-school n=190), in Germany (self-reports: n=117; caregiver reports: n=95) and in Norway (self-reports: n=109; caregiver reports: n=62). Method Internal consistency was calculated using Cronbach's α. Convergent-discriminant validity was investigated using bivariate correlation coefficients with measures of depression, anxiety and externalizing symptoms. CFA was used to investigate the DSM-5 factor structure. Results In all three language samples the 20 item symptom score of the self-report and the caregiver report proved good to excellent reliability with α ranging between .88 and .94. The convergent-discriminant validity pattern showed medium to strong correlations with measures of depression (r =.62–.82) and anxiety (r =.40–.77) and low to medium correlations with externalizing symptoms (r =−.15–.43) within informants in all language versions. Using CFA the underlying DSM-5 factor structure with four symptom clusters (re-experiencing, avoidance, negative alterations in mood and cognitions, hyperarousal) was supported (n =475 for self-report; n =424 for caregiver reports). Limitations The external validation of the CATS with a DSM-5 based semi-structured clinical interview and corresponding determination of cut-points is pending. Conclusion The CATS has satisfactory psychometric properties. Clinicians may consider the CATS as a screening tool and for symptom monitoring.","author":[{"dropping-particle":"","family":"Sachser","given":"Cedric","non-dropping-particle":"","parse-names":false,"suffix":""},{"dropping-particle":"","family":"Berliner","given":"Lucy","non-dropping-particle":"","parse-names":false,"suffix":""},{"dropping-particle":"","family":"Holt","given":"Tonje","non-dropping-particle":"","parse-names":false,"suffix":""},{"dropping-particle":"","family":"Jensen","given":"Tine K.","non-dropping-particle":"","parse-names":false,"suffix":""},{"dropping-particle":"","family":"Jungbluth","given":"Nathaniel","non-dropping-particle":"","parse-names":false,"suffix":""},{"dropping-particle":"","family":"Risch","given":"Elizabeth","non-dropping-particle":"","parse-names":false,"suffix":""},{"dropping-particle":"","family":"Rosner","given":"Rita","non-dropping-particle":"","parse-names":false,"suffix":""},{"dropping-particle":"","family":"Goldbeck","given":"Lutz","non-dropping-particle":"","parse-names":false,"suffix":""}],"container-title":"Journal of Affective Disorders","id":"ITEM-1","issue":"December 2016","issued":{"date-parts":[["2017"]]},"page":"189-195","publisher":"Elsevier","title":"International development and psychometric properties of the Child and Adolescent Trauma Screen (CATS)","type":"article-journal","volume":"210"},"uris":["http://www.mendeley.com/documents/?uuid=e2dd0bbb-7658-4930-9931-f2382d12e551"]}],"mendeley":{"formattedCitation":"(Sachser, Berliner, et al., 2017)","plainTextFormattedCitation":"(Sachser, Berliner, et al., 2017)","previouslyFormattedCitation":"(Sachser, Berliner, et al., 2017)"},"properties":{"noteIndex":0},"schema":"https://github.com/citation-style-language/schema/raw/master/csl-citation.json"}</w:instrText>
      </w:r>
      <w:r w:rsidR="004E79E7" w:rsidRPr="002D43CE">
        <w:rPr>
          <w:color w:val="auto"/>
        </w:rPr>
        <w:fldChar w:fldCharType="separate"/>
      </w:r>
      <w:r w:rsidR="003664F3" w:rsidRPr="002D43CE">
        <w:rPr>
          <w:noProof/>
          <w:color w:val="auto"/>
        </w:rPr>
        <w:t>(Sachser, Berliner, et al., 2017)</w:t>
      </w:r>
      <w:r w:rsidR="004E79E7" w:rsidRPr="002D43CE">
        <w:rPr>
          <w:color w:val="auto"/>
        </w:rPr>
        <w:fldChar w:fldCharType="end"/>
      </w:r>
      <w:r w:rsidR="00A85763" w:rsidRPr="002D43CE">
        <w:rPr>
          <w:color w:val="auto"/>
        </w:rPr>
        <w:t xml:space="preserve">. The checklist </w:t>
      </w:r>
      <w:r w:rsidR="00FD4D1A" w:rsidRPr="002D43CE">
        <w:rPr>
          <w:color w:val="auto"/>
        </w:rPr>
        <w:t>assesses exposure to</w:t>
      </w:r>
      <w:r w:rsidR="00A85763" w:rsidRPr="002D43CE">
        <w:rPr>
          <w:color w:val="auto"/>
        </w:rPr>
        <w:t xml:space="preserve"> events such as physical or sexual violence, exposure to death or injury, sudden </w:t>
      </w:r>
      <w:r w:rsidR="00ED6FD6" w:rsidRPr="002D43CE">
        <w:rPr>
          <w:color w:val="auto"/>
        </w:rPr>
        <w:t xml:space="preserve">or violent </w:t>
      </w:r>
      <w:r w:rsidR="00A85763" w:rsidRPr="002D43CE">
        <w:rPr>
          <w:color w:val="auto"/>
        </w:rPr>
        <w:t xml:space="preserve">death of a </w:t>
      </w:r>
      <w:r w:rsidR="00ED6FD6" w:rsidRPr="002D43CE">
        <w:rPr>
          <w:color w:val="auto"/>
        </w:rPr>
        <w:t>close one</w:t>
      </w:r>
      <w:r w:rsidR="00A85763" w:rsidRPr="002D43CE">
        <w:rPr>
          <w:color w:val="auto"/>
        </w:rPr>
        <w:t xml:space="preserve">, etc. </w:t>
      </w:r>
      <w:r w:rsidR="00940B0B" w:rsidRPr="002D43CE">
        <w:rPr>
          <w:color w:val="auto"/>
        </w:rPr>
        <w:t>(</w:t>
      </w:r>
      <w:r w:rsidR="00FD4D1A" w:rsidRPr="002D43CE">
        <w:rPr>
          <w:color w:val="auto"/>
        </w:rPr>
        <w:t>s</w:t>
      </w:r>
      <w:r w:rsidR="00940B0B" w:rsidRPr="002D43CE">
        <w:rPr>
          <w:color w:val="auto"/>
        </w:rPr>
        <w:t xml:space="preserve">ee Table </w:t>
      </w:r>
      <w:r w:rsidR="00DA4076" w:rsidRPr="002D43CE">
        <w:rPr>
          <w:color w:val="auto"/>
        </w:rPr>
        <w:t>2</w:t>
      </w:r>
      <w:r w:rsidR="00940B0B" w:rsidRPr="002D43CE">
        <w:rPr>
          <w:color w:val="auto"/>
        </w:rPr>
        <w:t>).</w:t>
      </w:r>
      <w:r w:rsidR="00A96D16" w:rsidRPr="002D43CE">
        <w:rPr>
          <w:color w:val="auto"/>
        </w:rPr>
        <w:t xml:space="preserve"> </w:t>
      </w:r>
      <w:r w:rsidR="00A85763" w:rsidRPr="002D43CE">
        <w:rPr>
          <w:color w:val="auto"/>
        </w:rPr>
        <w:t>Participants were considered exposed to traumatic events if they disclosed experiencing at least one of the events from the checklist.</w:t>
      </w:r>
      <w:r w:rsidR="00DE2BF4" w:rsidRPr="002D43CE">
        <w:rPr>
          <w:color w:val="auto"/>
        </w:rPr>
        <w:t xml:space="preserve"> </w:t>
      </w:r>
      <w:r w:rsidR="00FD4D1A" w:rsidRPr="002D43CE">
        <w:rPr>
          <w:color w:val="auto"/>
        </w:rPr>
        <w:t xml:space="preserve">A summed total score of exposure to multiple traumatic life events was calculated with </w:t>
      </w:r>
      <w:r w:rsidR="00C3421D" w:rsidRPr="002D43CE">
        <w:rPr>
          <w:color w:val="auto"/>
        </w:rPr>
        <w:t xml:space="preserve">potential </w:t>
      </w:r>
      <w:r w:rsidR="00FD4D1A" w:rsidRPr="002D43CE">
        <w:rPr>
          <w:color w:val="auto"/>
        </w:rPr>
        <w:t xml:space="preserve">scores ranging from </w:t>
      </w:r>
      <w:r w:rsidR="00C3421D" w:rsidRPr="002D43CE">
        <w:rPr>
          <w:color w:val="auto"/>
        </w:rPr>
        <w:t>0</w:t>
      </w:r>
      <w:r w:rsidR="00FD4D1A" w:rsidRPr="002D43CE">
        <w:rPr>
          <w:color w:val="auto"/>
        </w:rPr>
        <w:t>-14.</w:t>
      </w:r>
    </w:p>
    <w:p w14:paraId="190F481C" w14:textId="77777777" w:rsidR="008D51B0" w:rsidRPr="002D43CE" w:rsidRDefault="008D51B0" w:rsidP="00365F1C">
      <w:pPr>
        <w:suppressAutoHyphens w:val="0"/>
        <w:spacing w:line="360" w:lineRule="auto"/>
        <w:ind w:firstLine="720"/>
        <w:rPr>
          <w:color w:val="auto"/>
        </w:rPr>
      </w:pPr>
    </w:p>
    <w:p w14:paraId="20373CED" w14:textId="500DEDC6" w:rsidR="004F45E8" w:rsidRPr="002D43CE" w:rsidRDefault="00AF7FDD" w:rsidP="00365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bCs/>
          <w:i/>
          <w:color w:val="auto"/>
          <w:bdr w:val="none" w:sz="0" w:space="0" w:color="auto"/>
        </w:rPr>
      </w:pPr>
      <w:r w:rsidRPr="002D43CE">
        <w:rPr>
          <w:bCs/>
          <w:i/>
          <w:color w:val="auto"/>
          <w:bdr w:val="none" w:sz="0" w:space="0" w:color="auto"/>
        </w:rPr>
        <w:t xml:space="preserve">2.3. </w:t>
      </w:r>
      <w:r w:rsidR="004F45E8" w:rsidRPr="002D43CE">
        <w:rPr>
          <w:bCs/>
          <w:i/>
          <w:color w:val="auto"/>
          <w:bdr w:val="none" w:sz="0" w:space="0" w:color="auto"/>
        </w:rPr>
        <w:t>Data analysis</w:t>
      </w:r>
    </w:p>
    <w:p w14:paraId="5C05E5C1" w14:textId="77777777" w:rsidR="00AF7FDD" w:rsidRPr="002D43CE" w:rsidRDefault="00AF7FDD" w:rsidP="00365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p>
    <w:p w14:paraId="08FF160F" w14:textId="074A6969" w:rsidR="00975E5E" w:rsidRPr="002D43CE" w:rsidRDefault="00554521" w:rsidP="00365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r w:rsidRPr="002D43CE">
        <w:rPr>
          <w:color w:val="auto"/>
        </w:rPr>
        <w:t xml:space="preserve">The </w:t>
      </w:r>
      <w:r w:rsidR="00A37A0B" w:rsidRPr="002D43CE">
        <w:rPr>
          <w:color w:val="auto"/>
        </w:rPr>
        <w:t>CFA and LCA</w:t>
      </w:r>
      <w:r w:rsidRPr="002D43CE">
        <w:rPr>
          <w:color w:val="auto"/>
        </w:rPr>
        <w:t xml:space="preserve"> models were</w:t>
      </w:r>
      <w:r w:rsidR="00A37A0B" w:rsidRPr="002D43CE">
        <w:rPr>
          <w:color w:val="auto"/>
        </w:rPr>
        <w:t xml:space="preserve"> conducted using </w:t>
      </w:r>
      <w:proofErr w:type="spellStart"/>
      <w:r w:rsidR="00A37A0B" w:rsidRPr="002D43CE">
        <w:rPr>
          <w:color w:val="auto"/>
        </w:rPr>
        <w:t>Mplus</w:t>
      </w:r>
      <w:proofErr w:type="spellEnd"/>
      <w:r w:rsidR="00A37A0B" w:rsidRPr="002D43CE">
        <w:rPr>
          <w:color w:val="auto"/>
        </w:rPr>
        <w:t xml:space="preserve"> 8.2</w:t>
      </w:r>
      <w:r w:rsidRPr="002D43CE">
        <w:rPr>
          <w:color w:val="auto"/>
        </w:rPr>
        <w:t>, and</w:t>
      </w:r>
      <w:r w:rsidR="00A37A0B" w:rsidRPr="002D43CE">
        <w:rPr>
          <w:color w:val="auto"/>
        </w:rPr>
        <w:t xml:space="preserve"> </w:t>
      </w:r>
      <w:r w:rsidR="008C7943" w:rsidRPr="002D43CE">
        <w:rPr>
          <w:color w:val="auto"/>
        </w:rPr>
        <w:t xml:space="preserve">IBM SPSS Statistics 25 </w:t>
      </w:r>
      <w:r w:rsidR="006711D6" w:rsidRPr="002D43CE">
        <w:rPr>
          <w:color w:val="auto"/>
        </w:rPr>
        <w:t xml:space="preserve">was used </w:t>
      </w:r>
      <w:r w:rsidR="008C7943" w:rsidRPr="002D43CE">
        <w:rPr>
          <w:color w:val="auto"/>
        </w:rPr>
        <w:t xml:space="preserve">for all other </w:t>
      </w:r>
      <w:r w:rsidR="006711D6" w:rsidRPr="002D43CE">
        <w:rPr>
          <w:color w:val="auto"/>
        </w:rPr>
        <w:t xml:space="preserve">data </w:t>
      </w:r>
      <w:r w:rsidR="008C7943" w:rsidRPr="002D43CE">
        <w:rPr>
          <w:color w:val="auto"/>
        </w:rPr>
        <w:t>analyses.</w:t>
      </w:r>
    </w:p>
    <w:p w14:paraId="7E9A4DD3" w14:textId="20DE309A" w:rsidR="00554521" w:rsidRPr="002D43CE" w:rsidRDefault="00FC0818" w:rsidP="00604321">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r w:rsidRPr="002D43CE">
        <w:rPr>
          <w:color w:val="auto"/>
        </w:rPr>
        <w:t xml:space="preserve">We tested </w:t>
      </w:r>
      <w:r w:rsidR="003176BE" w:rsidRPr="002D43CE">
        <w:rPr>
          <w:color w:val="auto"/>
        </w:rPr>
        <w:t xml:space="preserve">four </w:t>
      </w:r>
      <w:r w:rsidRPr="002D43CE">
        <w:rPr>
          <w:color w:val="auto"/>
        </w:rPr>
        <w:t>models using CFA.</w:t>
      </w:r>
      <w:r w:rsidR="009F4729" w:rsidRPr="002D43CE">
        <w:rPr>
          <w:color w:val="auto"/>
        </w:rPr>
        <w:t xml:space="preserve"> </w:t>
      </w:r>
      <w:r w:rsidR="00AF196C" w:rsidRPr="002D43CE">
        <w:rPr>
          <w:color w:val="auto"/>
        </w:rPr>
        <w:t xml:space="preserve">Model 1 </w:t>
      </w:r>
      <w:r w:rsidR="00554521" w:rsidRPr="002D43CE">
        <w:rPr>
          <w:color w:val="auto"/>
        </w:rPr>
        <w:t xml:space="preserve">is a </w:t>
      </w:r>
      <w:r w:rsidR="00C90E60" w:rsidRPr="002D43CE">
        <w:rPr>
          <w:color w:val="auto"/>
        </w:rPr>
        <w:t>one</w:t>
      </w:r>
      <w:r w:rsidR="00554521" w:rsidRPr="002D43CE">
        <w:rPr>
          <w:color w:val="auto"/>
        </w:rPr>
        <w:t>-</w:t>
      </w:r>
      <w:r w:rsidR="00AF196C" w:rsidRPr="002D43CE">
        <w:rPr>
          <w:color w:val="auto"/>
        </w:rPr>
        <w:t>factor</w:t>
      </w:r>
      <w:r w:rsidR="00554521" w:rsidRPr="002D43CE">
        <w:rPr>
          <w:color w:val="auto"/>
        </w:rPr>
        <w:t xml:space="preserve"> model</w:t>
      </w:r>
      <w:r w:rsidR="00AF196C" w:rsidRPr="002D43CE">
        <w:rPr>
          <w:color w:val="auto"/>
        </w:rPr>
        <w:t xml:space="preserve"> </w:t>
      </w:r>
      <w:r w:rsidR="00554521" w:rsidRPr="002D43CE">
        <w:rPr>
          <w:color w:val="auto"/>
        </w:rPr>
        <w:t>where the 12 items in the ITQ-CA loaded onto a</w:t>
      </w:r>
      <w:r w:rsidR="00524EFF" w:rsidRPr="002D43CE">
        <w:rPr>
          <w:color w:val="auto"/>
        </w:rPr>
        <w:t xml:space="preserve"> </w:t>
      </w:r>
      <w:r w:rsidR="00554521" w:rsidRPr="002D43CE">
        <w:rPr>
          <w:color w:val="auto"/>
        </w:rPr>
        <w:t>C</w:t>
      </w:r>
      <w:r w:rsidR="00524EFF" w:rsidRPr="002D43CE">
        <w:rPr>
          <w:color w:val="auto"/>
        </w:rPr>
        <w:t>PTSD latent factor</w:t>
      </w:r>
      <w:r w:rsidR="00AF196C" w:rsidRPr="002D43CE">
        <w:rPr>
          <w:color w:val="auto"/>
        </w:rPr>
        <w:t xml:space="preserve">. </w:t>
      </w:r>
      <w:r w:rsidR="00554521" w:rsidRPr="002D43CE">
        <w:rPr>
          <w:color w:val="auto"/>
        </w:rPr>
        <w:t>Model 2 is a correlated six</w:t>
      </w:r>
      <w:r w:rsidR="008476AE" w:rsidRPr="002D43CE">
        <w:rPr>
          <w:color w:val="auto"/>
        </w:rPr>
        <w:t xml:space="preserve"> </w:t>
      </w:r>
      <w:r w:rsidR="00554521" w:rsidRPr="002D43CE">
        <w:rPr>
          <w:color w:val="auto"/>
        </w:rPr>
        <w:t xml:space="preserve">factor model (Re, Av, </w:t>
      </w:r>
      <w:proofErr w:type="spellStart"/>
      <w:r w:rsidR="00554521" w:rsidRPr="002D43CE">
        <w:rPr>
          <w:color w:val="auto"/>
        </w:rPr>
        <w:t>SoT</w:t>
      </w:r>
      <w:proofErr w:type="spellEnd"/>
      <w:r w:rsidR="00554521" w:rsidRPr="002D43CE">
        <w:rPr>
          <w:color w:val="auto"/>
        </w:rPr>
        <w:t xml:space="preserve">, AD, NSC, DR). Model 3 is a second-order model in which the covariation between the six first-order factors from Model 2 are explained by one second-order factor of CPTSD. </w:t>
      </w:r>
      <w:r w:rsidR="00AF196C" w:rsidRPr="002D43CE">
        <w:rPr>
          <w:color w:val="auto"/>
        </w:rPr>
        <w:t xml:space="preserve">Model </w:t>
      </w:r>
      <w:r w:rsidR="00554521" w:rsidRPr="002D43CE">
        <w:rPr>
          <w:color w:val="auto"/>
        </w:rPr>
        <w:t>4 is a correlated two</w:t>
      </w:r>
      <w:r w:rsidR="008476AE" w:rsidRPr="002D43CE">
        <w:rPr>
          <w:color w:val="auto"/>
        </w:rPr>
        <w:t xml:space="preserve"> </w:t>
      </w:r>
      <w:r w:rsidR="00554521" w:rsidRPr="002D43CE">
        <w:rPr>
          <w:color w:val="auto"/>
        </w:rPr>
        <w:t>factor</w:t>
      </w:r>
      <w:r w:rsidR="00AF196C" w:rsidRPr="002D43CE">
        <w:rPr>
          <w:color w:val="auto"/>
        </w:rPr>
        <w:t xml:space="preserve"> second</w:t>
      </w:r>
      <w:r w:rsidR="00554521" w:rsidRPr="002D43CE">
        <w:rPr>
          <w:color w:val="auto"/>
        </w:rPr>
        <w:t>-order</w:t>
      </w:r>
      <w:r w:rsidR="00AF196C" w:rsidRPr="002D43CE">
        <w:rPr>
          <w:color w:val="auto"/>
        </w:rPr>
        <w:t xml:space="preserve"> model</w:t>
      </w:r>
      <w:r w:rsidR="00554521" w:rsidRPr="002D43CE">
        <w:rPr>
          <w:color w:val="auto"/>
        </w:rPr>
        <w:t xml:space="preserve"> where a second-order PTSD factor accounts for the covariation between the Re, Av, and </w:t>
      </w:r>
      <w:proofErr w:type="spellStart"/>
      <w:r w:rsidR="00554521" w:rsidRPr="002D43CE">
        <w:rPr>
          <w:color w:val="auto"/>
        </w:rPr>
        <w:t>SoT</w:t>
      </w:r>
      <w:proofErr w:type="spellEnd"/>
      <w:r w:rsidR="00554521" w:rsidRPr="002D43CE">
        <w:rPr>
          <w:color w:val="auto"/>
        </w:rPr>
        <w:t xml:space="preserve"> factors and a second-order DSO factor accounts for the covariation between the AD, NSC, and DR factors</w:t>
      </w:r>
      <w:r w:rsidR="001E1C52" w:rsidRPr="002D43CE">
        <w:rPr>
          <w:color w:val="auto"/>
        </w:rPr>
        <w:t xml:space="preserve"> (see Figure 1).</w:t>
      </w:r>
      <w:r w:rsidR="00554521" w:rsidRPr="002D43CE">
        <w:rPr>
          <w:color w:val="auto"/>
        </w:rPr>
        <w:t xml:space="preserve"> </w:t>
      </w:r>
    </w:p>
    <w:p w14:paraId="26EDB97C" w14:textId="2C63B3F2" w:rsidR="00FC0818" w:rsidRPr="002D43CE" w:rsidRDefault="00554521" w:rsidP="007D635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r w:rsidRPr="002D43CE">
        <w:rPr>
          <w:color w:val="auto"/>
        </w:rPr>
        <w:lastRenderedPageBreak/>
        <w:t xml:space="preserve">These </w:t>
      </w:r>
      <w:r w:rsidR="006B58AA" w:rsidRPr="002D43CE">
        <w:rPr>
          <w:color w:val="auto"/>
        </w:rPr>
        <w:t xml:space="preserve">CFA </w:t>
      </w:r>
      <w:r w:rsidRPr="002D43CE">
        <w:rPr>
          <w:color w:val="auto"/>
        </w:rPr>
        <w:t>models were estimated using the</w:t>
      </w:r>
      <w:r w:rsidR="00FC0818" w:rsidRPr="002D43CE">
        <w:rPr>
          <w:color w:val="auto"/>
        </w:rPr>
        <w:t xml:space="preserve"> robust </w:t>
      </w:r>
      <w:r w:rsidR="00FC0818" w:rsidRPr="002D43CE">
        <w:rPr>
          <w:rStyle w:val="st"/>
          <w:color w:val="auto"/>
        </w:rPr>
        <w:t>weighted least square mean and variance adjusted estimator (</w:t>
      </w:r>
      <w:r w:rsidR="00FC0818" w:rsidRPr="002D43CE">
        <w:rPr>
          <w:color w:val="auto"/>
        </w:rPr>
        <w:t>WLSMV)</w:t>
      </w:r>
      <w:r w:rsidR="00F80105" w:rsidRPr="002D43CE">
        <w:rPr>
          <w:color w:val="auto"/>
        </w:rPr>
        <w:t>.</w:t>
      </w:r>
      <w:r w:rsidR="00FC0818" w:rsidRPr="002D43CE">
        <w:rPr>
          <w:color w:val="auto"/>
        </w:rPr>
        <w:t xml:space="preserve"> </w:t>
      </w:r>
      <w:r w:rsidRPr="002D43CE">
        <w:rPr>
          <w:color w:val="auto"/>
        </w:rPr>
        <w:t>Model fit</w:t>
      </w:r>
      <w:r w:rsidR="00FC0818" w:rsidRPr="002D43CE">
        <w:rPr>
          <w:color w:val="auto"/>
        </w:rPr>
        <w:t xml:space="preserve"> assessed using the chi-square test, </w:t>
      </w:r>
      <w:r w:rsidR="009173C0" w:rsidRPr="002D43CE">
        <w:rPr>
          <w:color w:val="auto"/>
        </w:rPr>
        <w:t xml:space="preserve">the root mean-square error of approximation (RMSEA), </w:t>
      </w:r>
      <w:r w:rsidR="00FC0818" w:rsidRPr="002D43CE">
        <w:rPr>
          <w:color w:val="auto"/>
        </w:rPr>
        <w:t>the comparative fit index (CFI), Tucker Lewis index (TLI), and</w:t>
      </w:r>
      <w:r w:rsidR="00BC6A84" w:rsidRPr="002D43CE">
        <w:rPr>
          <w:color w:val="auto"/>
        </w:rPr>
        <w:t xml:space="preserve"> </w:t>
      </w:r>
      <w:r w:rsidR="009173C0" w:rsidRPr="002D43CE">
        <w:rPr>
          <w:color w:val="auto"/>
        </w:rPr>
        <w:t xml:space="preserve">the standardized root mean square residual (SRMR) </w:t>
      </w:r>
      <w:r w:rsidR="00FC0818" w:rsidRPr="002D43CE">
        <w:rPr>
          <w:color w:val="auto"/>
        </w:rPr>
        <w:t xml:space="preserve">indices. </w:t>
      </w:r>
      <w:r w:rsidR="009173C0" w:rsidRPr="002D43CE">
        <w:rPr>
          <w:color w:val="auto"/>
        </w:rPr>
        <w:t xml:space="preserve">RMSEA and SRMR values </w:t>
      </w:r>
      <w:proofErr w:type="gramStart"/>
      <w:r w:rsidR="009173C0" w:rsidRPr="002D43CE">
        <w:rPr>
          <w:color w:val="auto"/>
        </w:rPr>
        <w:t>of .</w:t>
      </w:r>
      <w:proofErr w:type="gramEnd"/>
      <w:r w:rsidR="009173C0" w:rsidRPr="002D43CE">
        <w:rPr>
          <w:color w:val="auto"/>
        </w:rPr>
        <w:t>08 and below</w:t>
      </w:r>
      <w:r w:rsidRPr="002D43CE">
        <w:rPr>
          <w:color w:val="auto"/>
        </w:rPr>
        <w:t>,</w:t>
      </w:r>
      <w:r w:rsidR="009173C0" w:rsidRPr="002D43CE">
        <w:rPr>
          <w:color w:val="auto"/>
        </w:rPr>
        <w:t xml:space="preserve"> </w:t>
      </w:r>
      <w:r w:rsidR="00FC0818" w:rsidRPr="002D43CE">
        <w:rPr>
          <w:color w:val="auto"/>
        </w:rPr>
        <w:t xml:space="preserve">CFI and TLI values </w:t>
      </w:r>
      <w:proofErr w:type="gramStart"/>
      <w:r w:rsidR="00FC0818" w:rsidRPr="002D43CE">
        <w:rPr>
          <w:color w:val="auto"/>
        </w:rPr>
        <w:t>above .</w:t>
      </w:r>
      <w:proofErr w:type="gramEnd"/>
      <w:r w:rsidR="00FC0818" w:rsidRPr="002D43CE">
        <w:rPr>
          <w:color w:val="auto"/>
        </w:rPr>
        <w:t>90</w:t>
      </w:r>
      <w:r w:rsidRPr="002D43CE">
        <w:rPr>
          <w:color w:val="auto"/>
        </w:rPr>
        <w:t>, and a non-significant chi-square result</w:t>
      </w:r>
      <w:r w:rsidR="00FC0818" w:rsidRPr="002D43CE">
        <w:rPr>
          <w:color w:val="auto"/>
        </w:rPr>
        <w:t xml:space="preserve"> indicate acceptable model fit </w:t>
      </w:r>
      <w:r w:rsidR="0033078E" w:rsidRPr="002D43CE">
        <w:rPr>
          <w:color w:val="auto"/>
        </w:rPr>
        <w:fldChar w:fldCharType="begin" w:fldLock="1"/>
      </w:r>
      <w:r w:rsidR="00093237" w:rsidRPr="002D43CE">
        <w:rPr>
          <w:color w:val="auto"/>
        </w:rPr>
        <w:instrText>ADDIN CSL_CITATION {"citationItems":[{"id":"ITEM-1","itemData":{"DOI":"10.1038/156278a0","ISBN":"978-1-60623-876-9","ISSN":"00280836","PMID":"19116423","abstract":"This bestselling text provides a balance between the technical and practical aspects of structural equation modeling (SEM). Using clear and accessible language, Rex B. Kline covers core techniques, potential pitfalls, and applications across the behavioral and social sciences. Some more advanced topics are also covered, including estimation of interactive effects of latent variables and multilevel SEM. The companion Web page offers downloadable syntax, data, and output files for each detailed example for EQS, LISREL, and Mplus, allowing readers to view the results of the same analysis generated by three different computer tools. New to This Edition Thoroughly revised and restructured to follow the phases of most SEM analyses. Syntax, data, and output files for all detailed research examples are now provided online. Exercises with answers, which support self-study. Topic boxes on specialized issues, such as dealing with problems in the analysis; the assessment of construct measurement reliability; and more. Updated coverage of a more rigorous approach to hypothesis and model testing; the evaluation of measurement invariance; and more.","author":[{"dropping-particle":"","family":"Kline","given":"Rex B","non-dropping-particle":"","parse-names":false,"suffix":""}],"container-title":"Principles and practice of structural equation modeling","edition":"3rd ed.","id":"ITEM-1","issued":{"date-parts":[["2011"]]},"number-of-pages":"427","publisher":"The Guilford Press","publisher-place":"New York","title":"Principles and practice of structural equation modeling","type":"book"},"uris":["http://www.mendeley.com/documents/?uuid=347b6f5d-62af-408f-ba83-3b62a1ebc847"]}],"mendeley":{"formattedCitation":"(Kline, 2011)","plainTextFormattedCitation":"(Kline, 2011)","previouslyFormattedCitation":"(Kline, 2011)"},"properties":{"noteIndex":0},"schema":"https://github.com/citation-style-language/schema/raw/master/csl-citation.json"}</w:instrText>
      </w:r>
      <w:r w:rsidR="0033078E" w:rsidRPr="002D43CE">
        <w:rPr>
          <w:color w:val="auto"/>
        </w:rPr>
        <w:fldChar w:fldCharType="separate"/>
      </w:r>
      <w:r w:rsidR="0033078E" w:rsidRPr="002D43CE">
        <w:rPr>
          <w:noProof/>
          <w:color w:val="auto"/>
        </w:rPr>
        <w:t>(Kline, 2011)</w:t>
      </w:r>
      <w:r w:rsidR="0033078E" w:rsidRPr="002D43CE">
        <w:rPr>
          <w:color w:val="auto"/>
        </w:rPr>
        <w:fldChar w:fldCharType="end"/>
      </w:r>
      <w:r w:rsidR="00FC0818" w:rsidRPr="002D43CE">
        <w:rPr>
          <w:color w:val="auto"/>
        </w:rPr>
        <w:t>.</w:t>
      </w:r>
      <w:r w:rsidR="00FC0818" w:rsidRPr="002D43CE" w:rsidDel="00940B0B">
        <w:rPr>
          <w:color w:val="auto"/>
        </w:rPr>
        <w:t xml:space="preserve"> </w:t>
      </w:r>
      <w:r w:rsidR="00676D3E" w:rsidRPr="002D43CE">
        <w:rPr>
          <w:color w:val="auto"/>
        </w:rPr>
        <w:t>To determine the optimal fitting model, we relied on changes in the RMSEA value</w:t>
      </w:r>
      <w:r w:rsidR="007D6356" w:rsidRPr="002D43CE">
        <w:rPr>
          <w:color w:val="auto"/>
        </w:rPr>
        <w:t xml:space="preserve"> (ΔRMSEA)</w:t>
      </w:r>
      <w:r w:rsidR="00676D3E" w:rsidRPr="002D43CE">
        <w:rPr>
          <w:color w:val="auto"/>
        </w:rPr>
        <w:t xml:space="preserve">, where a </w:t>
      </w:r>
      <w:r w:rsidR="007D6356" w:rsidRPr="002D43CE">
        <w:rPr>
          <w:color w:val="auto"/>
        </w:rPr>
        <w:t xml:space="preserve">ΔRMSEA </w:t>
      </w:r>
      <w:r w:rsidR="007D6356" w:rsidRPr="002D43CE">
        <w:rPr>
          <w:color w:val="auto"/>
          <w:u w:val="single"/>
        </w:rPr>
        <w:t>&gt;</w:t>
      </w:r>
      <w:r w:rsidR="007D6356" w:rsidRPr="002D43CE">
        <w:rPr>
          <w:color w:val="auto"/>
        </w:rPr>
        <w:t xml:space="preserve"> .015 is considered evidence of a meaningful difference in the fit of the respective models </w:t>
      </w:r>
      <w:r w:rsidR="0006523A" w:rsidRPr="002D43CE">
        <w:rPr>
          <w:color w:val="auto"/>
        </w:rPr>
        <w:fldChar w:fldCharType="begin" w:fldLock="1"/>
      </w:r>
      <w:r w:rsidR="00C00112" w:rsidRPr="002D43CE">
        <w:rPr>
          <w:color w:val="auto"/>
        </w:rPr>
        <w:instrText>ADDIN CSL_CITATION {"citationItems":[{"id":"ITEM-1","itemData":{"DOI":"10.1080/10705510701301834","ISBN":"1070-5511","ISSN":"1070-5511","PMID":"15700037","abstract":"wo Monte Carlo studies were conducted to examine the sensitivity of goodness of fit indexes to lack of measurement invariance at 3 commonly tested levels: factor loadings, intercepts, and residual variances. Standardized root mean square residual (SRMR) appears to be more sensitive to lack of invariance in factor loadings than in intercepts or residual variances. Comparative fit index (CFI) and root mean square error of approximation (RMSEA) appear to be equally sensitive to all 3 types of lack of invariance. The most intriguing finding is that changes in fit statistics are affected by the interaction between the pattern of invariance and the proportion of invariant items: when the pattern of lack of invariance is uniform, the relation is nonmonotonic, whereas when the pattern of lack of invariance is mixed, the relation is monotonic. Unequal sample sizes affect changes across all 3 levels of invariance: Changes are bigger when sample sizes are equal rather than when they are unequal. Cutoff points for testing invariance at different levels are recommended.","author":[{"dropping-particle":"","family":"Chen","given":"Fang Fang","non-dropping-particle":"","parse-names":false,"suffix":""}],"container-title":"Structural Equation Modeling: A Multidisciplinary Journal","id":"ITEM-1","issue":"3","issued":{"date-parts":[["2007"]]},"page":"464-504","title":"Sensitivity of Goodness of Fit Indexes to Lack of Measurement Invariance","type":"article-journal","volume":"14"},"uris":["http://www.mendeley.com/documents/?uuid=45db169f-381c-4356-8710-459698801860"]}],"mendeley":{"formattedCitation":"(Chen, 2007)","plainTextFormattedCitation":"(Chen, 2007)","previouslyFormattedCitation":"(Chen, 2007)"},"properties":{"noteIndex":0},"schema":"https://github.com/citation-style-language/schema/raw/master/csl-citation.json"}</w:instrText>
      </w:r>
      <w:r w:rsidR="0006523A" w:rsidRPr="002D43CE">
        <w:rPr>
          <w:color w:val="auto"/>
        </w:rPr>
        <w:fldChar w:fldCharType="separate"/>
      </w:r>
      <w:r w:rsidR="0006523A" w:rsidRPr="002D43CE">
        <w:rPr>
          <w:noProof/>
          <w:color w:val="auto"/>
        </w:rPr>
        <w:t>(Chen, 2007)</w:t>
      </w:r>
      <w:r w:rsidR="0006523A" w:rsidRPr="002D43CE">
        <w:rPr>
          <w:color w:val="auto"/>
        </w:rPr>
        <w:fldChar w:fldCharType="end"/>
      </w:r>
      <w:r w:rsidR="007D6356" w:rsidRPr="002D43CE">
        <w:rPr>
          <w:color w:val="auto"/>
        </w:rPr>
        <w:t>.</w:t>
      </w:r>
    </w:p>
    <w:p w14:paraId="5C63F1D7" w14:textId="2D2D2BFD" w:rsidR="00A37A0B" w:rsidRPr="002D43CE" w:rsidRDefault="00554521">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rFonts w:eastAsia="Arial Unicode MS"/>
          <w:color w:val="auto"/>
        </w:rPr>
      </w:pPr>
      <w:r w:rsidRPr="002D43CE">
        <w:rPr>
          <w:color w:val="auto"/>
        </w:rPr>
        <w:t xml:space="preserve">For the purposes of the </w:t>
      </w:r>
      <w:r w:rsidR="008C7943" w:rsidRPr="002D43CE">
        <w:rPr>
          <w:color w:val="auto"/>
        </w:rPr>
        <w:t>LCA</w:t>
      </w:r>
      <w:r w:rsidRPr="002D43CE">
        <w:rPr>
          <w:color w:val="auto"/>
        </w:rPr>
        <w:t>, we created six binary variables reflecting whether or not the ‘diagnostic criteria’</w:t>
      </w:r>
      <w:r w:rsidR="00961B6E" w:rsidRPr="002D43CE">
        <w:rPr>
          <w:color w:val="auto"/>
        </w:rPr>
        <w:t xml:space="preserve"> was met for the </w:t>
      </w:r>
      <w:r w:rsidR="00D32450" w:rsidRPr="002D43CE">
        <w:rPr>
          <w:color w:val="auto"/>
        </w:rPr>
        <w:t xml:space="preserve">symptom clusters (Re, Av, </w:t>
      </w:r>
      <w:proofErr w:type="spellStart"/>
      <w:r w:rsidR="00D32450" w:rsidRPr="002D43CE">
        <w:rPr>
          <w:color w:val="auto"/>
        </w:rPr>
        <w:t>SoT</w:t>
      </w:r>
      <w:proofErr w:type="spellEnd"/>
      <w:r w:rsidR="00D32450" w:rsidRPr="002D43CE">
        <w:rPr>
          <w:color w:val="auto"/>
        </w:rPr>
        <w:t>, AD, NSC, DR)</w:t>
      </w:r>
      <w:r w:rsidR="00961B6E" w:rsidRPr="002D43CE">
        <w:rPr>
          <w:color w:val="auto"/>
        </w:rPr>
        <w:t>. We used the same diagnostic algorithm that is used for the ITQ (i.e., one symptom scored 2 or greater from each cluster). Five</w:t>
      </w:r>
      <w:r w:rsidR="004A2195" w:rsidRPr="002D43CE">
        <w:rPr>
          <w:color w:val="auto"/>
        </w:rPr>
        <w:t xml:space="preserve"> models </w:t>
      </w:r>
      <w:r w:rsidR="00961B6E" w:rsidRPr="002D43CE">
        <w:rPr>
          <w:color w:val="auto"/>
        </w:rPr>
        <w:t xml:space="preserve">were </w:t>
      </w:r>
      <w:r w:rsidR="004A2195" w:rsidRPr="002D43CE">
        <w:rPr>
          <w:color w:val="auto"/>
        </w:rPr>
        <w:t xml:space="preserve">tested </w:t>
      </w:r>
      <w:r w:rsidR="00961B6E" w:rsidRPr="002D43CE">
        <w:rPr>
          <w:color w:val="auto"/>
        </w:rPr>
        <w:t xml:space="preserve">with </w:t>
      </w:r>
      <w:r w:rsidR="004A2195" w:rsidRPr="002D43CE">
        <w:rPr>
          <w:color w:val="auto"/>
        </w:rPr>
        <w:t>2 to 6 classes</w:t>
      </w:r>
      <w:r w:rsidR="00961B6E" w:rsidRPr="002D43CE">
        <w:rPr>
          <w:color w:val="auto"/>
        </w:rPr>
        <w:t xml:space="preserve">, and model selection was based on the results of </w:t>
      </w:r>
      <w:r w:rsidR="00D32450" w:rsidRPr="002D43CE">
        <w:rPr>
          <w:rFonts w:eastAsia="Arial Unicode MS"/>
          <w:color w:val="auto"/>
        </w:rPr>
        <w:t xml:space="preserve">the </w:t>
      </w:r>
      <w:proofErr w:type="spellStart"/>
      <w:r w:rsidR="00D32450" w:rsidRPr="002D43CE">
        <w:rPr>
          <w:rFonts w:eastAsia="Arial Unicode MS"/>
          <w:color w:val="auto"/>
        </w:rPr>
        <w:t>Akaike</w:t>
      </w:r>
      <w:proofErr w:type="spellEnd"/>
      <w:r w:rsidR="00D32450" w:rsidRPr="002D43CE">
        <w:rPr>
          <w:rFonts w:eastAsia="Arial Unicode MS"/>
          <w:color w:val="auto"/>
        </w:rPr>
        <w:t xml:space="preserve"> Information Criterion (AIC), </w:t>
      </w:r>
      <w:r w:rsidR="00961B6E" w:rsidRPr="002D43CE">
        <w:rPr>
          <w:rFonts w:eastAsia="Arial Unicode MS"/>
          <w:color w:val="auto"/>
        </w:rPr>
        <w:t xml:space="preserve">the </w:t>
      </w:r>
      <w:r w:rsidR="00D32450" w:rsidRPr="002D43CE">
        <w:rPr>
          <w:rFonts w:eastAsia="Arial Unicode MS"/>
          <w:color w:val="auto"/>
        </w:rPr>
        <w:t>Bayesian Information Criterion (BIC), the bootstrap likelihood ratio test (BLRT), and the Lo-</w:t>
      </w:r>
      <w:proofErr w:type="spellStart"/>
      <w:r w:rsidR="00D32450" w:rsidRPr="002D43CE">
        <w:rPr>
          <w:rFonts w:eastAsia="Arial Unicode MS"/>
          <w:color w:val="auto"/>
        </w:rPr>
        <w:t>Mendell</w:t>
      </w:r>
      <w:proofErr w:type="spellEnd"/>
      <w:r w:rsidR="00D32450" w:rsidRPr="002D43CE">
        <w:rPr>
          <w:rFonts w:eastAsia="Arial Unicode MS"/>
          <w:color w:val="auto"/>
        </w:rPr>
        <w:t xml:space="preserve">-Rubin adjusted likelihood ratio test (LMR-A) </w:t>
      </w:r>
      <w:r w:rsidR="00D32450" w:rsidRPr="002D43CE">
        <w:rPr>
          <w:rFonts w:eastAsia="Arial Unicode MS"/>
          <w:color w:val="auto"/>
        </w:rPr>
        <w:fldChar w:fldCharType="begin" w:fldLock="1"/>
      </w:r>
      <w:r w:rsidR="00D14596" w:rsidRPr="002D43CE">
        <w:rPr>
          <w:rFonts w:eastAsia="Arial Unicode MS"/>
          <w:color w:val="auto"/>
        </w:rPr>
        <w:instrText>ADDIN CSL_CITATION {"citationItems":[{"id":"ITEM-1","itemData":{"DOI":"10.1080/10705510701575396","ISBN":"9781841697055","ISSN":"1070-5511","PMID":"23474164","abstract":"Mixture modeling is a widely applied data analysis technique used to identify unobserved heterogeneity in a population. Despite mixture models' usefulness in practice, one unresolved issue in the application of mixture models is that there is not one commonly accepted statistical indicator for deciding on the number of classes in a study population. This article presents the results of a simulation study that examines the performance of likelihood-based tests and the traditionally used Information Criterion (ICs) used for determining the number of classes in mixture modeling. We look at the performance of these tests and indexes for 3 types of mixture models: latent class analysis (LCA), a factor mixture model (FMA), and a growth mixture models (GMM). We evaluate the ability of the tests and indexes to correctly identify the number of classes at three different sample sizes (n = 200, 500, 1,000). Whereas the Bayesian Information Criterion performed the best of the ICs, the bootstrap likelihood ratio test ...","author":[{"dropping-particle":"","family":"Nylund","given":"Karen L.","non-dropping-particle":"","parse-names":false,"suffix":""},{"dropping-particle":"","family":"Asparouhov","given":"Tihomir","non-dropping-particle":"","parse-names":false,"suffix":""},{"dropping-particle":"","family":"Muthén","given":"Bengt O.","non-dropping-particle":"","parse-names":false,"suffix":""}],"container-title":"Structural Equation Modeling: A Multidisciplinary Journal","id":"ITEM-1","issue":"4","issued":{"date-parts":[["2007"]]},"page":"535-569","title":"Deciding on the number of classes in Latent Class Analysis and Growth Mixture Modeling: A Monte Carlo simulation study","type":"article-journal","volume":"14"},"uris":["http://www.mendeley.com/documents/?uuid=820781dc-d054-4af7-812c-41491faeda5d"]}],"mendeley":{"formattedCitation":"(Nylund, Asparouhov, &amp; Muthén, 2007)","plainTextFormattedCitation":"(Nylund, Asparouhov, &amp; Muthén, 2007)","previouslyFormattedCitation":"(Nylund, Asparouhov, &amp; Muthén, 2007)"},"properties":{"noteIndex":0},"schema":"https://github.com/citation-style-language/schema/raw/master/csl-citation.json"}</w:instrText>
      </w:r>
      <w:r w:rsidR="00D32450" w:rsidRPr="002D43CE">
        <w:rPr>
          <w:rFonts w:eastAsia="Arial Unicode MS"/>
          <w:color w:val="auto"/>
        </w:rPr>
        <w:fldChar w:fldCharType="separate"/>
      </w:r>
      <w:r w:rsidR="00D32450" w:rsidRPr="002D43CE">
        <w:rPr>
          <w:rFonts w:eastAsia="Arial Unicode MS"/>
          <w:noProof/>
          <w:color w:val="auto"/>
        </w:rPr>
        <w:t>(Nylund, Asparouhov, &amp; Muthén, 2007)</w:t>
      </w:r>
      <w:r w:rsidR="00D32450" w:rsidRPr="002D43CE">
        <w:rPr>
          <w:rFonts w:eastAsia="Arial Unicode MS"/>
          <w:color w:val="auto"/>
        </w:rPr>
        <w:fldChar w:fldCharType="end"/>
      </w:r>
      <w:r w:rsidR="00D32450" w:rsidRPr="002D43CE">
        <w:rPr>
          <w:rFonts w:eastAsia="Arial Unicode MS"/>
          <w:color w:val="auto"/>
        </w:rPr>
        <w:t xml:space="preserve">. </w:t>
      </w:r>
      <w:r w:rsidR="00961B6E" w:rsidRPr="002D43CE">
        <w:rPr>
          <w:rFonts w:eastAsia="Arial Unicode MS"/>
          <w:color w:val="auto"/>
        </w:rPr>
        <w:t>The model with the lowest</w:t>
      </w:r>
      <w:r w:rsidR="00D32450" w:rsidRPr="002D43CE">
        <w:rPr>
          <w:rFonts w:eastAsia="Arial Unicode MS"/>
          <w:color w:val="auto"/>
        </w:rPr>
        <w:t xml:space="preserve"> AIC and BIC value</w:t>
      </w:r>
      <w:r w:rsidR="00490235" w:rsidRPr="002D43CE">
        <w:rPr>
          <w:rFonts w:eastAsia="Arial Unicode MS"/>
          <w:color w:val="auto"/>
        </w:rPr>
        <w:t xml:space="preserve"> </w:t>
      </w:r>
      <w:r w:rsidR="00D32450" w:rsidRPr="002D43CE">
        <w:rPr>
          <w:rFonts w:eastAsia="Arial Unicode MS"/>
          <w:color w:val="auto"/>
        </w:rPr>
        <w:t xml:space="preserve">is regarded as the optimal class solution. </w:t>
      </w:r>
      <w:r w:rsidR="00D14596" w:rsidRPr="002D43CE">
        <w:rPr>
          <w:rFonts w:eastAsia="Arial Unicode MS"/>
          <w:color w:val="auto"/>
        </w:rPr>
        <w:t>For LMR-A and BLRT</w:t>
      </w:r>
      <w:r w:rsidR="00961B6E" w:rsidRPr="002D43CE">
        <w:rPr>
          <w:rFonts w:eastAsia="Arial Unicode MS"/>
          <w:color w:val="auto"/>
        </w:rPr>
        <w:t>, a</w:t>
      </w:r>
      <w:r w:rsidR="00D14596" w:rsidRPr="002D43CE">
        <w:rPr>
          <w:rFonts w:eastAsia="Arial Unicode MS"/>
          <w:color w:val="auto"/>
        </w:rPr>
        <w:t xml:space="preserve"> non-significant value (</w:t>
      </w:r>
      <w:r w:rsidR="00D14596" w:rsidRPr="002D43CE">
        <w:rPr>
          <w:rFonts w:eastAsia="Arial Unicode MS"/>
          <w:i/>
          <w:color w:val="auto"/>
        </w:rPr>
        <w:t>p</w:t>
      </w:r>
      <w:r w:rsidR="00D14596" w:rsidRPr="002D43CE">
        <w:rPr>
          <w:rFonts w:eastAsia="Arial Unicode MS"/>
          <w:color w:val="auto"/>
        </w:rPr>
        <w:t xml:space="preserve"> &gt; .05) indicates that a</w:t>
      </w:r>
      <w:r w:rsidR="00961B6E" w:rsidRPr="002D43CE">
        <w:rPr>
          <w:rFonts w:eastAsia="Arial Unicode MS"/>
          <w:color w:val="auto"/>
        </w:rPr>
        <w:t xml:space="preserve"> model with</w:t>
      </w:r>
      <w:r w:rsidR="00D32450" w:rsidRPr="002D43CE">
        <w:rPr>
          <w:rFonts w:eastAsia="Arial Unicode MS"/>
          <w:color w:val="auto"/>
        </w:rPr>
        <w:t xml:space="preserve"> one less class should be accepted. </w:t>
      </w:r>
      <w:r w:rsidR="00FE2E1C" w:rsidRPr="002D43CE">
        <w:rPr>
          <w:rFonts w:eastAsia="Arial Unicode MS"/>
          <w:color w:val="auto"/>
        </w:rPr>
        <w:t xml:space="preserve">Furthermore, we tested </w:t>
      </w:r>
      <w:r w:rsidR="00961B6E" w:rsidRPr="002D43CE">
        <w:rPr>
          <w:rFonts w:eastAsia="Arial Unicode MS"/>
          <w:color w:val="auto"/>
        </w:rPr>
        <w:t xml:space="preserve">the </w:t>
      </w:r>
      <w:r w:rsidR="00FE2E1C" w:rsidRPr="002D43CE">
        <w:rPr>
          <w:rFonts w:eastAsia="Arial Unicode MS"/>
          <w:color w:val="auto"/>
        </w:rPr>
        <w:t>validity of</w:t>
      </w:r>
      <w:r w:rsidR="00961B6E" w:rsidRPr="002D43CE">
        <w:rPr>
          <w:rFonts w:eastAsia="Arial Unicode MS"/>
          <w:color w:val="auto"/>
        </w:rPr>
        <w:t xml:space="preserve"> the</w:t>
      </w:r>
      <w:r w:rsidR="00FE2E1C" w:rsidRPr="002D43CE">
        <w:rPr>
          <w:rFonts w:eastAsia="Arial Unicode MS"/>
          <w:color w:val="auto"/>
        </w:rPr>
        <w:t xml:space="preserve"> LCA classes by</w:t>
      </w:r>
      <w:r w:rsidR="00961B6E" w:rsidRPr="002D43CE">
        <w:rPr>
          <w:rFonts w:eastAsia="Arial Unicode MS"/>
          <w:color w:val="auto"/>
        </w:rPr>
        <w:t xml:space="preserve"> examining the associations between each class and levels of trauma exposure.</w:t>
      </w:r>
    </w:p>
    <w:p w14:paraId="1A9B64A9" w14:textId="0E0C97CB" w:rsidR="00A37A0B" w:rsidRPr="002D43CE" w:rsidRDefault="00A37A0B" w:rsidP="00365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p>
    <w:p w14:paraId="42CE9569" w14:textId="77777777" w:rsidR="00921494" w:rsidRPr="002D43CE" w:rsidRDefault="00921494" w:rsidP="00921494">
      <w:pPr>
        <w:suppressAutoHyphens w:val="0"/>
        <w:spacing w:line="360" w:lineRule="auto"/>
        <w:jc w:val="center"/>
        <w:rPr>
          <w:color w:val="auto"/>
        </w:rPr>
      </w:pPr>
      <w:r w:rsidRPr="002D43CE">
        <w:rPr>
          <w:color w:val="auto"/>
        </w:rPr>
        <w:t>&lt; Insert Figure 1 here &gt;</w:t>
      </w:r>
    </w:p>
    <w:p w14:paraId="12C8B0DB" w14:textId="77777777" w:rsidR="00921494" w:rsidRPr="002D43CE" w:rsidRDefault="00921494" w:rsidP="00365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p>
    <w:p w14:paraId="6CF688E3" w14:textId="54FACDAE" w:rsidR="00F663EF" w:rsidRPr="002D43CE" w:rsidRDefault="00AF7FDD" w:rsidP="00AF7FDD">
      <w:pPr>
        <w:spacing w:line="360" w:lineRule="auto"/>
        <w:rPr>
          <w:color w:val="auto"/>
        </w:rPr>
      </w:pPr>
      <w:r w:rsidRPr="002D43CE">
        <w:rPr>
          <w:color w:val="auto"/>
        </w:rPr>
        <w:t xml:space="preserve">3. </w:t>
      </w:r>
      <w:r w:rsidR="007E6CF0" w:rsidRPr="002D43CE">
        <w:rPr>
          <w:color w:val="auto"/>
        </w:rPr>
        <w:t>Results</w:t>
      </w:r>
    </w:p>
    <w:p w14:paraId="76C8602F" w14:textId="77777777" w:rsidR="00B6389C" w:rsidRPr="002D43CE" w:rsidRDefault="00B6389C" w:rsidP="00365F1C">
      <w:pPr>
        <w:suppressAutoHyphens w:val="0"/>
        <w:spacing w:line="360" w:lineRule="auto"/>
        <w:rPr>
          <w:color w:val="auto"/>
        </w:rPr>
      </w:pPr>
    </w:p>
    <w:p w14:paraId="0BF891E7" w14:textId="5297DEAF" w:rsidR="00D5584E" w:rsidRPr="002D43CE" w:rsidRDefault="00AF7FDD" w:rsidP="00365F1C">
      <w:pPr>
        <w:suppressAutoHyphens w:val="0"/>
        <w:spacing w:line="360" w:lineRule="auto"/>
        <w:rPr>
          <w:i/>
          <w:color w:val="auto"/>
        </w:rPr>
      </w:pPr>
      <w:r w:rsidRPr="002D43CE">
        <w:rPr>
          <w:i/>
          <w:color w:val="auto"/>
        </w:rPr>
        <w:t xml:space="preserve">3.1. </w:t>
      </w:r>
      <w:r w:rsidR="00C33B1D" w:rsidRPr="002D43CE">
        <w:rPr>
          <w:i/>
          <w:color w:val="auto"/>
        </w:rPr>
        <w:t>T</w:t>
      </w:r>
      <w:r w:rsidR="004F45E8" w:rsidRPr="002D43CE">
        <w:rPr>
          <w:i/>
          <w:color w:val="auto"/>
        </w:rPr>
        <w:t xml:space="preserve">rauma exposure </w:t>
      </w:r>
    </w:p>
    <w:p w14:paraId="5C8FCFCA" w14:textId="77777777" w:rsidR="004A699C" w:rsidRPr="002D43CE" w:rsidRDefault="004A699C" w:rsidP="00365F1C">
      <w:pPr>
        <w:suppressAutoHyphens w:val="0"/>
        <w:spacing w:line="360" w:lineRule="auto"/>
        <w:rPr>
          <w:i/>
          <w:color w:val="auto"/>
        </w:rPr>
      </w:pPr>
    </w:p>
    <w:p w14:paraId="47D229B2" w14:textId="0F7B3018" w:rsidR="0057134B" w:rsidRPr="002D43CE" w:rsidRDefault="001A1E08" w:rsidP="000B6ABE">
      <w:pPr>
        <w:pStyle w:val="NormalWeb"/>
        <w:spacing w:before="0" w:beforeAutospacing="0" w:after="0" w:afterAutospacing="0" w:line="360" w:lineRule="auto"/>
        <w:ind w:firstLine="720"/>
        <w:rPr>
          <w:lang w:val="en-US"/>
        </w:rPr>
      </w:pPr>
      <w:r w:rsidRPr="002D43CE">
        <w:rPr>
          <w:lang w:val="en-US"/>
        </w:rPr>
        <w:t xml:space="preserve">Participants </w:t>
      </w:r>
      <w:r w:rsidR="00961B6E" w:rsidRPr="002D43CE">
        <w:rPr>
          <w:lang w:val="en-US"/>
        </w:rPr>
        <w:t>reported a mean of</w:t>
      </w:r>
      <w:r w:rsidRPr="002D43CE">
        <w:rPr>
          <w:lang w:val="en-US"/>
        </w:rPr>
        <w:t xml:space="preserve"> 2.66 (</w:t>
      </w:r>
      <w:r w:rsidRPr="002D43CE">
        <w:rPr>
          <w:i/>
          <w:lang w:val="en-US"/>
        </w:rPr>
        <w:t>SD</w:t>
      </w:r>
      <w:r w:rsidRPr="002D43CE">
        <w:rPr>
          <w:lang w:val="en-US"/>
        </w:rPr>
        <w:t xml:space="preserve"> = 1.73) lifetime traumatic experiences, ranging from one to 13 events. Exposure to </w:t>
      </w:r>
      <w:r w:rsidR="00FA56C0" w:rsidRPr="002D43CE">
        <w:rPr>
          <w:lang w:val="en-US"/>
        </w:rPr>
        <w:t>one traumatic event was reported by 33.2% (</w:t>
      </w:r>
      <w:r w:rsidR="00FA56C0" w:rsidRPr="002D43CE">
        <w:rPr>
          <w:i/>
          <w:lang w:val="en-US"/>
        </w:rPr>
        <w:t>n</w:t>
      </w:r>
      <w:r w:rsidR="00FA56C0" w:rsidRPr="002D43CE">
        <w:rPr>
          <w:lang w:val="en-US"/>
        </w:rPr>
        <w:t xml:space="preserve"> = 309</w:t>
      </w:r>
      <w:r w:rsidR="009D1B2D" w:rsidRPr="002D43CE">
        <w:rPr>
          <w:lang w:val="en-US"/>
        </w:rPr>
        <w:t>)</w:t>
      </w:r>
      <w:r w:rsidR="00934F02" w:rsidRPr="002D43CE">
        <w:rPr>
          <w:lang w:val="en-US"/>
        </w:rPr>
        <w:t xml:space="preserve">, </w:t>
      </w:r>
      <w:r w:rsidR="00E22381" w:rsidRPr="002D43CE">
        <w:rPr>
          <w:lang w:val="en-US"/>
        </w:rPr>
        <w:t>2</w:t>
      </w:r>
      <w:r w:rsidR="004F5F37" w:rsidRPr="002D43CE">
        <w:rPr>
          <w:lang w:val="en-US"/>
        </w:rPr>
        <w:t>–</w:t>
      </w:r>
      <w:r w:rsidR="00E22381" w:rsidRPr="002D43CE">
        <w:rPr>
          <w:lang w:val="en-US"/>
        </w:rPr>
        <w:t xml:space="preserve">3 </w:t>
      </w:r>
      <w:r w:rsidRPr="002D43CE">
        <w:rPr>
          <w:lang w:val="en-US"/>
        </w:rPr>
        <w:t xml:space="preserve">traumatic experiences were reported by </w:t>
      </w:r>
      <w:r w:rsidR="00934F02" w:rsidRPr="002D43CE">
        <w:rPr>
          <w:lang w:val="en-US"/>
        </w:rPr>
        <w:t>39.9</w:t>
      </w:r>
      <w:r w:rsidRPr="002D43CE">
        <w:rPr>
          <w:lang w:val="en-US"/>
        </w:rPr>
        <w:t>% (</w:t>
      </w:r>
      <w:r w:rsidRPr="002D43CE">
        <w:rPr>
          <w:i/>
          <w:lang w:val="en-US"/>
        </w:rPr>
        <w:t>n</w:t>
      </w:r>
      <w:r w:rsidRPr="002D43CE">
        <w:rPr>
          <w:lang w:val="en-US"/>
        </w:rPr>
        <w:t xml:space="preserve"> = </w:t>
      </w:r>
      <w:r w:rsidR="00934F02" w:rsidRPr="002D43CE">
        <w:rPr>
          <w:lang w:val="en-US"/>
        </w:rPr>
        <w:t>372</w:t>
      </w:r>
      <w:r w:rsidRPr="002D43CE">
        <w:rPr>
          <w:lang w:val="en-US"/>
        </w:rPr>
        <w:t xml:space="preserve">), </w:t>
      </w:r>
      <w:r w:rsidR="00934F02" w:rsidRPr="002D43CE">
        <w:rPr>
          <w:lang w:val="en-US"/>
        </w:rPr>
        <w:t>4</w:t>
      </w:r>
      <w:r w:rsidRPr="002D43CE">
        <w:rPr>
          <w:lang w:val="en-US"/>
        </w:rPr>
        <w:t xml:space="preserve">–5 traumatic experiences were experienced by </w:t>
      </w:r>
      <w:r w:rsidR="00934F02" w:rsidRPr="002D43CE">
        <w:rPr>
          <w:lang w:val="en-US"/>
        </w:rPr>
        <w:t>20.1%</w:t>
      </w:r>
      <w:r w:rsidRPr="002D43CE">
        <w:rPr>
          <w:lang w:val="en-US"/>
        </w:rPr>
        <w:t xml:space="preserve"> (</w:t>
      </w:r>
      <w:r w:rsidRPr="002D43CE">
        <w:rPr>
          <w:i/>
          <w:lang w:val="en-US"/>
        </w:rPr>
        <w:t>n</w:t>
      </w:r>
      <w:r w:rsidRPr="002D43CE">
        <w:rPr>
          <w:lang w:val="en-US"/>
        </w:rPr>
        <w:t xml:space="preserve"> = </w:t>
      </w:r>
      <w:r w:rsidR="00934F02" w:rsidRPr="002D43CE">
        <w:rPr>
          <w:lang w:val="en-US"/>
        </w:rPr>
        <w:t>178</w:t>
      </w:r>
      <w:r w:rsidRPr="002D43CE">
        <w:rPr>
          <w:lang w:val="en-US"/>
        </w:rPr>
        <w:t>),</w:t>
      </w:r>
      <w:r w:rsidR="00666F64" w:rsidRPr="002D43CE">
        <w:rPr>
          <w:lang w:val="en-US"/>
        </w:rPr>
        <w:t xml:space="preserve"> and ≥</w:t>
      </w:r>
      <w:r w:rsidR="00BC0362" w:rsidRPr="002D43CE">
        <w:rPr>
          <w:lang w:val="en-US"/>
        </w:rPr>
        <w:t xml:space="preserve"> </w:t>
      </w:r>
      <w:r w:rsidRPr="002D43CE">
        <w:rPr>
          <w:lang w:val="en-US"/>
        </w:rPr>
        <w:t>6 experiences were reported by 6.</w:t>
      </w:r>
      <w:r w:rsidR="00934F02" w:rsidRPr="002D43CE">
        <w:rPr>
          <w:lang w:val="en-US"/>
        </w:rPr>
        <w:t>9</w:t>
      </w:r>
      <w:r w:rsidRPr="002D43CE">
        <w:rPr>
          <w:lang w:val="en-US"/>
        </w:rPr>
        <w:t>% (</w:t>
      </w:r>
      <w:r w:rsidRPr="002D43CE">
        <w:rPr>
          <w:i/>
          <w:lang w:val="en-US"/>
        </w:rPr>
        <w:t>n</w:t>
      </w:r>
      <w:r w:rsidRPr="002D43CE">
        <w:rPr>
          <w:lang w:val="en-US"/>
        </w:rPr>
        <w:t xml:space="preserve"> = 6</w:t>
      </w:r>
      <w:r w:rsidR="00934F02" w:rsidRPr="002D43CE">
        <w:rPr>
          <w:lang w:val="en-US"/>
        </w:rPr>
        <w:t>4</w:t>
      </w:r>
      <w:r w:rsidRPr="002D43CE">
        <w:rPr>
          <w:lang w:val="en-US"/>
        </w:rPr>
        <w:t xml:space="preserve">) of participants. </w:t>
      </w:r>
      <w:r w:rsidR="00961B6E" w:rsidRPr="002D43CE">
        <w:rPr>
          <w:lang w:val="en-US"/>
        </w:rPr>
        <w:t xml:space="preserve">Rates of exposure to each </w:t>
      </w:r>
      <w:r w:rsidR="00A37A0B" w:rsidRPr="002D43CE">
        <w:rPr>
          <w:lang w:val="en-US"/>
        </w:rPr>
        <w:t>traumatic event</w:t>
      </w:r>
      <w:r w:rsidR="00961B6E" w:rsidRPr="002D43CE">
        <w:rPr>
          <w:lang w:val="en-US"/>
        </w:rPr>
        <w:t>, along with sex differences,</w:t>
      </w:r>
      <w:r w:rsidR="00A37A0B" w:rsidRPr="002D43CE">
        <w:rPr>
          <w:lang w:val="en-US"/>
        </w:rPr>
        <w:t xml:space="preserve"> </w:t>
      </w:r>
      <w:r w:rsidR="00961B6E" w:rsidRPr="002D43CE">
        <w:rPr>
          <w:lang w:val="en-US"/>
        </w:rPr>
        <w:t>are</w:t>
      </w:r>
      <w:r w:rsidR="00A37A0B" w:rsidRPr="002D43CE">
        <w:rPr>
          <w:lang w:val="en-US"/>
        </w:rPr>
        <w:t xml:space="preserve"> presented in Table </w:t>
      </w:r>
      <w:r w:rsidR="00DA4076" w:rsidRPr="002D43CE">
        <w:rPr>
          <w:lang w:val="en-US"/>
        </w:rPr>
        <w:t>2</w:t>
      </w:r>
      <w:r w:rsidR="00A37A0B" w:rsidRPr="002D43CE">
        <w:rPr>
          <w:lang w:val="en-US"/>
        </w:rPr>
        <w:t xml:space="preserve">. The most </w:t>
      </w:r>
      <w:r w:rsidR="00961B6E" w:rsidRPr="002D43CE">
        <w:rPr>
          <w:lang w:val="en-US"/>
        </w:rPr>
        <w:t xml:space="preserve">common </w:t>
      </w:r>
      <w:r w:rsidR="00A37A0B" w:rsidRPr="002D43CE">
        <w:rPr>
          <w:lang w:val="en-US"/>
        </w:rPr>
        <w:t xml:space="preserve">traumatic experiences were: accidents and injuries (57.5%), witnessing physical violence in community (46.6%), and </w:t>
      </w:r>
      <w:r w:rsidR="0006523A" w:rsidRPr="002D43CE">
        <w:rPr>
          <w:lang w:val="en-US"/>
        </w:rPr>
        <w:lastRenderedPageBreak/>
        <w:t xml:space="preserve">scary </w:t>
      </w:r>
      <w:r w:rsidR="00A37A0B" w:rsidRPr="002D43CE">
        <w:rPr>
          <w:lang w:val="en-US"/>
        </w:rPr>
        <w:t>medical procedure (40.1%)</w:t>
      </w:r>
      <w:r w:rsidR="00934F02" w:rsidRPr="002D43CE">
        <w:rPr>
          <w:lang w:val="en-US"/>
        </w:rPr>
        <w:t>.</w:t>
      </w:r>
      <w:r w:rsidR="000B6ABE" w:rsidRPr="002D43CE">
        <w:rPr>
          <w:lang w:val="en-US"/>
        </w:rPr>
        <w:t xml:space="preserve"> </w:t>
      </w:r>
      <w:r w:rsidR="00711EE0" w:rsidRPr="002D43CE">
        <w:rPr>
          <w:lang w:val="en-US"/>
        </w:rPr>
        <w:t xml:space="preserve">We found significant gender effects on </w:t>
      </w:r>
      <w:r w:rsidR="00552E49" w:rsidRPr="002D43CE">
        <w:rPr>
          <w:lang w:val="en-US"/>
        </w:rPr>
        <w:t xml:space="preserve">the </w:t>
      </w:r>
      <w:r w:rsidR="00711EE0" w:rsidRPr="002D43CE">
        <w:rPr>
          <w:lang w:val="en-US"/>
        </w:rPr>
        <w:t xml:space="preserve">eight traumatic experiences (see Table </w:t>
      </w:r>
      <w:r w:rsidR="00DA4076" w:rsidRPr="002D43CE">
        <w:rPr>
          <w:lang w:val="en-US"/>
        </w:rPr>
        <w:t>2</w:t>
      </w:r>
      <w:r w:rsidR="000B6ABE" w:rsidRPr="002D43CE">
        <w:rPr>
          <w:lang w:val="en-US"/>
        </w:rPr>
        <w:t>)</w:t>
      </w:r>
      <w:r w:rsidR="00711EE0" w:rsidRPr="002D43CE">
        <w:rPr>
          <w:lang w:val="en-US"/>
        </w:rPr>
        <w:t>. Boys</w:t>
      </w:r>
      <w:r w:rsidR="000B6ABE" w:rsidRPr="002D43CE">
        <w:rPr>
          <w:lang w:val="en-US"/>
        </w:rPr>
        <w:t xml:space="preserve"> reported experienced more serious car accidents, robbery with threat, </w:t>
      </w:r>
      <w:r w:rsidR="00552E49" w:rsidRPr="002D43CE">
        <w:rPr>
          <w:lang w:val="en-US"/>
        </w:rPr>
        <w:t xml:space="preserve">a </w:t>
      </w:r>
      <w:r w:rsidR="000B6ABE" w:rsidRPr="002D43CE">
        <w:rPr>
          <w:lang w:val="en-US"/>
        </w:rPr>
        <w:t>physical abuse</w:t>
      </w:r>
      <w:r w:rsidR="00552E49" w:rsidRPr="002D43CE">
        <w:rPr>
          <w:lang w:val="en-US"/>
        </w:rPr>
        <w:t xml:space="preserve"> </w:t>
      </w:r>
      <w:r w:rsidR="000B6ABE" w:rsidRPr="002D43CE">
        <w:rPr>
          <w:lang w:val="en-US"/>
        </w:rPr>
        <w:t xml:space="preserve">not in family, witnessing physical abuse in community, physical attack and war experiences in comparison to girls. However, female participants reported higher exposure </w:t>
      </w:r>
      <w:r w:rsidR="00552E49" w:rsidRPr="002D43CE">
        <w:rPr>
          <w:lang w:val="en-US"/>
        </w:rPr>
        <w:t>of</w:t>
      </w:r>
      <w:r w:rsidR="000B6ABE" w:rsidRPr="002D43CE">
        <w:rPr>
          <w:lang w:val="en-US"/>
        </w:rPr>
        <w:t xml:space="preserve"> two traumatic experiences</w:t>
      </w:r>
      <w:r w:rsidR="00552E49" w:rsidRPr="002D43CE">
        <w:rPr>
          <w:lang w:val="en-US"/>
        </w:rPr>
        <w:t xml:space="preserve"> in comparison to boys</w:t>
      </w:r>
      <w:r w:rsidR="000B6ABE" w:rsidRPr="002D43CE">
        <w:rPr>
          <w:lang w:val="en-US"/>
        </w:rPr>
        <w:t xml:space="preserve">: a sudden or violent death of a close one, and </w:t>
      </w:r>
      <w:r w:rsidR="00552E49" w:rsidRPr="002D43CE">
        <w:rPr>
          <w:lang w:val="en-US"/>
        </w:rPr>
        <w:t>scary medical procedure.</w:t>
      </w:r>
    </w:p>
    <w:p w14:paraId="6901CBC5" w14:textId="77777777" w:rsidR="00552E49" w:rsidRPr="002D43CE" w:rsidRDefault="00552E49" w:rsidP="000B6ABE">
      <w:pPr>
        <w:pStyle w:val="NormalWeb"/>
        <w:spacing w:before="0" w:beforeAutospacing="0" w:after="0" w:afterAutospacing="0" w:line="360" w:lineRule="auto"/>
        <w:ind w:firstLine="720"/>
      </w:pPr>
    </w:p>
    <w:p w14:paraId="5A1BFDEC" w14:textId="3A4BDEC3" w:rsidR="00A37A0B" w:rsidRPr="002D43CE" w:rsidRDefault="00A37A0B" w:rsidP="00365F1C">
      <w:pPr>
        <w:suppressAutoHyphens w:val="0"/>
        <w:spacing w:line="360" w:lineRule="auto"/>
        <w:jc w:val="center"/>
        <w:rPr>
          <w:color w:val="auto"/>
        </w:rPr>
      </w:pPr>
      <w:r w:rsidRPr="002D43CE">
        <w:rPr>
          <w:color w:val="auto"/>
        </w:rPr>
        <w:t xml:space="preserve">&lt; Insert Table </w:t>
      </w:r>
      <w:r w:rsidR="00961B6E" w:rsidRPr="002D43CE">
        <w:rPr>
          <w:color w:val="auto"/>
        </w:rPr>
        <w:t>1</w:t>
      </w:r>
      <w:r w:rsidRPr="002D43CE">
        <w:rPr>
          <w:color w:val="auto"/>
        </w:rPr>
        <w:t xml:space="preserve"> here &gt;</w:t>
      </w:r>
    </w:p>
    <w:p w14:paraId="57EE6C18" w14:textId="1EA283F5" w:rsidR="00B6389C" w:rsidRPr="002D43CE" w:rsidRDefault="00B6389C" w:rsidP="00365F1C">
      <w:pPr>
        <w:suppressAutoHyphens w:val="0"/>
        <w:spacing w:line="360" w:lineRule="auto"/>
        <w:rPr>
          <w:color w:val="auto"/>
        </w:rPr>
      </w:pPr>
    </w:p>
    <w:p w14:paraId="5BAD2059" w14:textId="3D7A27D6" w:rsidR="00DA4076" w:rsidRPr="002D43CE" w:rsidRDefault="00DA4076" w:rsidP="00DA4076">
      <w:pPr>
        <w:suppressAutoHyphens w:val="0"/>
        <w:spacing w:line="360" w:lineRule="auto"/>
        <w:jc w:val="center"/>
        <w:rPr>
          <w:color w:val="auto"/>
        </w:rPr>
      </w:pPr>
      <w:r w:rsidRPr="002D43CE">
        <w:rPr>
          <w:color w:val="auto"/>
        </w:rPr>
        <w:t>&lt; Insert Table 2 here &gt;</w:t>
      </w:r>
    </w:p>
    <w:p w14:paraId="341D2C6A" w14:textId="2D91854A" w:rsidR="00895DF8" w:rsidRPr="002D43CE" w:rsidRDefault="00AF7FDD" w:rsidP="00365F1C">
      <w:pPr>
        <w:suppressAutoHyphens w:val="0"/>
        <w:spacing w:line="360" w:lineRule="auto"/>
        <w:rPr>
          <w:i/>
          <w:color w:val="auto"/>
        </w:rPr>
      </w:pPr>
      <w:r w:rsidRPr="002D43CE">
        <w:rPr>
          <w:i/>
          <w:color w:val="auto"/>
        </w:rPr>
        <w:t xml:space="preserve">3.2. </w:t>
      </w:r>
      <w:r w:rsidR="00961B6E" w:rsidRPr="002D43CE">
        <w:rPr>
          <w:i/>
          <w:color w:val="auto"/>
        </w:rPr>
        <w:t>CFA results</w:t>
      </w:r>
      <w:r w:rsidR="00D5584E" w:rsidRPr="002D43CE">
        <w:rPr>
          <w:i/>
          <w:color w:val="auto"/>
        </w:rPr>
        <w:t xml:space="preserve"> </w:t>
      </w:r>
    </w:p>
    <w:p w14:paraId="2A9ED55F" w14:textId="77777777" w:rsidR="004A699C" w:rsidRPr="002D43CE" w:rsidRDefault="004A699C" w:rsidP="00365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bdr w:val="none" w:sz="0" w:space="0" w:color="auto"/>
        </w:rPr>
      </w:pPr>
    </w:p>
    <w:p w14:paraId="3215C35F" w14:textId="3EFFC113" w:rsidR="005E4ED2" w:rsidRPr="002D43CE" w:rsidRDefault="00961B6E" w:rsidP="005E4ED2">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r w:rsidRPr="002D43CE">
        <w:rPr>
          <w:color w:val="auto"/>
          <w:bdr w:val="none" w:sz="0" w:space="0" w:color="auto"/>
        </w:rPr>
        <w:t>The CFA results are</w:t>
      </w:r>
      <w:r w:rsidR="00A37A0B" w:rsidRPr="002D43CE">
        <w:rPr>
          <w:color w:val="auto"/>
          <w:bdr w:val="none" w:sz="0" w:space="0" w:color="auto"/>
        </w:rPr>
        <w:t xml:space="preserve"> presented in Table </w:t>
      </w:r>
      <w:r w:rsidR="00DA4076" w:rsidRPr="002D43CE">
        <w:rPr>
          <w:color w:val="auto"/>
          <w:bdr w:val="none" w:sz="0" w:space="0" w:color="auto"/>
        </w:rPr>
        <w:t>3</w:t>
      </w:r>
      <w:r w:rsidR="00A37A0B" w:rsidRPr="002D43CE">
        <w:rPr>
          <w:color w:val="auto"/>
          <w:bdr w:val="none" w:sz="0" w:space="0" w:color="auto"/>
        </w:rPr>
        <w:t xml:space="preserve">. </w:t>
      </w:r>
      <w:r w:rsidR="007D6356" w:rsidRPr="002D43CE">
        <w:rPr>
          <w:color w:val="auto"/>
          <w:bdr w:val="none" w:sz="0" w:space="0" w:color="auto"/>
        </w:rPr>
        <w:t xml:space="preserve">Model 1 had poor fit and was thus rejected. </w:t>
      </w:r>
      <w:r w:rsidR="00296730" w:rsidRPr="002D43CE">
        <w:rPr>
          <w:color w:val="auto"/>
          <w:bdr w:val="none" w:sz="0" w:space="0" w:color="auto"/>
        </w:rPr>
        <w:t xml:space="preserve">Model 3 had acceptable fit based on the CFI and SRMR values, but low fit on TLI and RMSEA and was also rejected. </w:t>
      </w:r>
      <w:r w:rsidR="007D6356" w:rsidRPr="002D43CE">
        <w:rPr>
          <w:color w:val="auto"/>
          <w:bdr w:val="none" w:sz="0" w:space="0" w:color="auto"/>
        </w:rPr>
        <w:t xml:space="preserve">Models 2 and 4 </w:t>
      </w:r>
      <w:r w:rsidR="00296730" w:rsidRPr="002D43CE">
        <w:rPr>
          <w:color w:val="auto"/>
          <w:bdr w:val="none" w:sz="0" w:space="0" w:color="auto"/>
        </w:rPr>
        <w:t xml:space="preserve">both </w:t>
      </w:r>
      <w:r w:rsidR="007D6356" w:rsidRPr="002D43CE">
        <w:rPr>
          <w:color w:val="auto"/>
          <w:bdr w:val="none" w:sz="0" w:space="0" w:color="auto"/>
        </w:rPr>
        <w:t xml:space="preserve">demonstrated </w:t>
      </w:r>
      <w:r w:rsidR="00A56C49" w:rsidRPr="002D43CE">
        <w:rPr>
          <w:color w:val="auto"/>
          <w:bdr w:val="none" w:sz="0" w:space="0" w:color="auto"/>
        </w:rPr>
        <w:t>acceptable fit</w:t>
      </w:r>
      <w:r w:rsidR="0036302A" w:rsidRPr="002D43CE">
        <w:rPr>
          <w:color w:val="auto"/>
          <w:bdr w:val="none" w:sz="0" w:space="0" w:color="auto"/>
        </w:rPr>
        <w:t xml:space="preserve"> based on </w:t>
      </w:r>
      <w:r w:rsidR="007D6356" w:rsidRPr="002D43CE">
        <w:rPr>
          <w:color w:val="auto"/>
          <w:bdr w:val="none" w:sz="0" w:space="0" w:color="auto"/>
        </w:rPr>
        <w:t xml:space="preserve">the </w:t>
      </w:r>
      <w:r w:rsidR="0036302A" w:rsidRPr="002D43CE">
        <w:rPr>
          <w:color w:val="auto"/>
          <w:bdr w:val="none" w:sz="0" w:space="0" w:color="auto"/>
        </w:rPr>
        <w:t xml:space="preserve">RMSEA, </w:t>
      </w:r>
      <w:r w:rsidR="00217A1A" w:rsidRPr="002D43CE">
        <w:rPr>
          <w:color w:val="auto"/>
          <w:bdr w:val="none" w:sz="0" w:space="0" w:color="auto"/>
        </w:rPr>
        <w:t xml:space="preserve">SRMR, </w:t>
      </w:r>
      <w:r w:rsidR="0036302A" w:rsidRPr="002D43CE">
        <w:rPr>
          <w:color w:val="auto"/>
          <w:bdr w:val="none" w:sz="0" w:space="0" w:color="auto"/>
        </w:rPr>
        <w:t xml:space="preserve">CFI and TLI </w:t>
      </w:r>
      <w:r w:rsidR="00296730" w:rsidRPr="002D43CE">
        <w:rPr>
          <w:color w:val="auto"/>
          <w:bdr w:val="none" w:sz="0" w:space="0" w:color="auto"/>
        </w:rPr>
        <w:t>values.</w:t>
      </w:r>
      <w:r w:rsidR="00296730" w:rsidRPr="002D43CE">
        <w:rPr>
          <w:color w:val="auto"/>
        </w:rPr>
        <w:t xml:space="preserve"> Although</w:t>
      </w:r>
      <w:r w:rsidR="005E4ED2" w:rsidRPr="002D43CE">
        <w:rPr>
          <w:color w:val="auto"/>
        </w:rPr>
        <w:t xml:space="preserve"> the chi-square statistic was statistically significant this should not lead to </w:t>
      </w:r>
      <w:r w:rsidR="00296730" w:rsidRPr="002D43CE">
        <w:rPr>
          <w:color w:val="auto"/>
        </w:rPr>
        <w:t xml:space="preserve">CFA </w:t>
      </w:r>
      <w:r w:rsidR="005E4ED2" w:rsidRPr="002D43CE">
        <w:rPr>
          <w:color w:val="auto"/>
        </w:rPr>
        <w:t>model rejection</w:t>
      </w:r>
      <w:r w:rsidR="00296730" w:rsidRPr="002D43CE">
        <w:rPr>
          <w:color w:val="auto"/>
        </w:rPr>
        <w:t xml:space="preserve"> in our study</w:t>
      </w:r>
      <w:r w:rsidR="005E4ED2" w:rsidRPr="002D43CE">
        <w:rPr>
          <w:color w:val="auto"/>
        </w:rPr>
        <w:t xml:space="preserve">, as the power of the chi-square is positively related to sample size and tends to reject models based on large sample sizes </w:t>
      </w:r>
      <w:r w:rsidR="005E4ED2" w:rsidRPr="002D43CE">
        <w:rPr>
          <w:color w:val="auto"/>
        </w:rPr>
        <w:fldChar w:fldCharType="begin" w:fldLock="1"/>
      </w:r>
      <w:r w:rsidR="005E4ED2" w:rsidRPr="002D43CE">
        <w:rPr>
          <w:color w:val="auto"/>
        </w:rPr>
        <w:instrText>ADDIN CSL_CITATION {"citationItems":[{"id":"ITEM-1","itemData":{"author":[{"dropping-particle":"","family":"Tanaka","given":"J. S.","non-dropping-particle":"","parse-names":false,"suffix":""}],"container-title":"Child Development","id":"ITEM-1","issue":"1","issued":{"date-parts":[["1987"]]},"page":"134-146","title":"\" How Big Is Big Enough ?\": Sample Size and Goodness of Fit in Structural Equation Models with Latent Variables","type":"article-journal","volume":"58"},"uris":["http://www.mendeley.com/documents/?uuid=c57ed9d6-9404-43b5-8f9f-b396d46a48ba"]}],"mendeley":{"formattedCitation":"(Tanaka, 1987)","plainTextFormattedCitation":"(Tanaka, 1987)","previouslyFormattedCitation":"(Tanaka, 1987)"},"properties":{"noteIndex":0},"schema":"https://github.com/citation-style-language/schema/raw/master/csl-citation.json"}</w:instrText>
      </w:r>
      <w:r w:rsidR="005E4ED2" w:rsidRPr="002D43CE">
        <w:rPr>
          <w:color w:val="auto"/>
        </w:rPr>
        <w:fldChar w:fldCharType="separate"/>
      </w:r>
      <w:r w:rsidR="005E4ED2" w:rsidRPr="002D43CE">
        <w:rPr>
          <w:noProof/>
          <w:color w:val="auto"/>
        </w:rPr>
        <w:t>(Tanaka, 1987)</w:t>
      </w:r>
      <w:r w:rsidR="005E4ED2" w:rsidRPr="002D43CE">
        <w:rPr>
          <w:color w:val="auto"/>
        </w:rPr>
        <w:fldChar w:fldCharType="end"/>
      </w:r>
      <w:r w:rsidR="005E4ED2" w:rsidRPr="002D43CE">
        <w:rPr>
          <w:color w:val="auto"/>
        </w:rPr>
        <w:t xml:space="preserve">. </w:t>
      </w:r>
    </w:p>
    <w:p w14:paraId="750742FA" w14:textId="5E85A888" w:rsidR="001B40FC" w:rsidRPr="002D43CE" w:rsidRDefault="007D6356" w:rsidP="00365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bdr w:val="none" w:sz="0" w:space="0" w:color="auto"/>
        </w:rPr>
      </w:pPr>
      <w:r w:rsidRPr="002D43CE">
        <w:rPr>
          <w:color w:val="auto"/>
          <w:bdr w:val="none" w:sz="0" w:space="0" w:color="auto"/>
        </w:rPr>
        <w:t>Model 2 (the correlated six</w:t>
      </w:r>
      <w:r w:rsidR="008476AE" w:rsidRPr="002D43CE">
        <w:rPr>
          <w:color w:val="auto"/>
          <w:bdr w:val="none" w:sz="0" w:space="0" w:color="auto"/>
        </w:rPr>
        <w:t xml:space="preserve"> </w:t>
      </w:r>
      <w:r w:rsidRPr="002D43CE">
        <w:rPr>
          <w:color w:val="auto"/>
          <w:bdr w:val="none" w:sz="0" w:space="0" w:color="auto"/>
        </w:rPr>
        <w:t>factor model) had the lowest RMSEA and SRMR values, and the highest CFI and TLI values</w:t>
      </w:r>
      <w:r w:rsidR="00296730" w:rsidRPr="002D43CE">
        <w:rPr>
          <w:color w:val="auto"/>
          <w:bdr w:val="none" w:sz="0" w:space="0" w:color="auto"/>
        </w:rPr>
        <w:t xml:space="preserve"> (see Table 3)</w:t>
      </w:r>
      <w:r w:rsidRPr="002D43CE">
        <w:rPr>
          <w:color w:val="auto"/>
          <w:bdr w:val="none" w:sz="0" w:space="0" w:color="auto"/>
        </w:rPr>
        <w:t xml:space="preserve">. However, the </w:t>
      </w:r>
      <w:r w:rsidRPr="002D43CE">
        <w:rPr>
          <w:color w:val="auto"/>
        </w:rPr>
        <w:t>ΔRMSEA value from Model 2 to Model 4</w:t>
      </w:r>
      <w:r w:rsidR="00296730" w:rsidRPr="002D43CE">
        <w:rPr>
          <w:color w:val="auto"/>
        </w:rPr>
        <w:t>,</w:t>
      </w:r>
      <w:r w:rsidRPr="002D43CE">
        <w:rPr>
          <w:color w:val="auto"/>
        </w:rPr>
        <w:t xml:space="preserve"> were less than .015 suggesting that the difference in fit i</w:t>
      </w:r>
      <w:r w:rsidR="00ED5836" w:rsidRPr="002D43CE">
        <w:rPr>
          <w:color w:val="auto"/>
        </w:rPr>
        <w:t>s</w:t>
      </w:r>
      <w:r w:rsidRPr="002D43CE">
        <w:rPr>
          <w:color w:val="auto"/>
        </w:rPr>
        <w:t xml:space="preserve"> likely not substantial or meaningful. Nonetheless, based on the slightly superior fit statistics and theoretical consistency, Model 2 was deemed to be the best fitting model. </w:t>
      </w:r>
      <w:r w:rsidR="00027D4C" w:rsidRPr="002D43CE">
        <w:rPr>
          <w:color w:val="auto"/>
          <w:bdr w:val="none" w:sz="0" w:space="0" w:color="auto"/>
        </w:rPr>
        <w:t>Factor loadings</w:t>
      </w:r>
      <w:r w:rsidRPr="002D43CE">
        <w:rPr>
          <w:color w:val="auto"/>
          <w:bdr w:val="none" w:sz="0" w:space="0" w:color="auto"/>
        </w:rPr>
        <w:t xml:space="preserve"> and factor correlations</w:t>
      </w:r>
      <w:r w:rsidR="00027D4C" w:rsidRPr="002D43CE">
        <w:rPr>
          <w:color w:val="auto"/>
          <w:bdr w:val="none" w:sz="0" w:space="0" w:color="auto"/>
        </w:rPr>
        <w:t xml:space="preserve"> </w:t>
      </w:r>
      <w:r w:rsidRPr="002D43CE">
        <w:rPr>
          <w:color w:val="auto"/>
          <w:bdr w:val="none" w:sz="0" w:space="0" w:color="auto"/>
        </w:rPr>
        <w:t xml:space="preserve">from </w:t>
      </w:r>
      <w:r w:rsidR="00027D4C" w:rsidRPr="002D43CE">
        <w:rPr>
          <w:color w:val="auto"/>
          <w:bdr w:val="none" w:sz="0" w:space="0" w:color="auto"/>
        </w:rPr>
        <w:t xml:space="preserve">Model </w:t>
      </w:r>
      <w:r w:rsidRPr="002D43CE">
        <w:rPr>
          <w:color w:val="auto"/>
          <w:bdr w:val="none" w:sz="0" w:space="0" w:color="auto"/>
        </w:rPr>
        <w:t xml:space="preserve">2 are presented in Table </w:t>
      </w:r>
      <w:r w:rsidR="00DA4076" w:rsidRPr="002D43CE">
        <w:rPr>
          <w:color w:val="auto"/>
          <w:bdr w:val="none" w:sz="0" w:space="0" w:color="auto"/>
        </w:rPr>
        <w:t>1</w:t>
      </w:r>
      <w:r w:rsidR="00027D4C" w:rsidRPr="002D43CE">
        <w:rPr>
          <w:color w:val="auto"/>
          <w:bdr w:val="none" w:sz="0" w:space="0" w:color="auto"/>
        </w:rPr>
        <w:t>.</w:t>
      </w:r>
      <w:r w:rsidR="00576DD4" w:rsidRPr="002D43CE">
        <w:rPr>
          <w:color w:val="auto"/>
          <w:bdr w:val="none" w:sz="0" w:space="0" w:color="auto"/>
        </w:rPr>
        <w:t xml:space="preserve"> </w:t>
      </w:r>
      <w:r w:rsidR="00B94798" w:rsidRPr="002D43CE">
        <w:rPr>
          <w:color w:val="auto"/>
          <w:bdr w:val="none" w:sz="0" w:space="0" w:color="auto"/>
        </w:rPr>
        <w:t xml:space="preserve">All factor loadings and correlations among the latent factors were significant at </w:t>
      </w:r>
      <w:r w:rsidR="00B94798" w:rsidRPr="002D43CE">
        <w:rPr>
          <w:i/>
          <w:color w:val="auto"/>
          <w:bdr w:val="none" w:sz="0" w:space="0" w:color="auto"/>
        </w:rPr>
        <w:t>p</w:t>
      </w:r>
      <w:r w:rsidR="00B94798" w:rsidRPr="002D43CE">
        <w:rPr>
          <w:color w:val="auto"/>
          <w:bdr w:val="none" w:sz="0" w:space="0" w:color="auto"/>
        </w:rPr>
        <w:t xml:space="preserve"> &lt; .001.</w:t>
      </w:r>
      <w:r w:rsidR="00FD6383" w:rsidRPr="002D43CE">
        <w:rPr>
          <w:color w:val="auto"/>
          <w:bdr w:val="none" w:sz="0" w:space="0" w:color="auto"/>
        </w:rPr>
        <w:t xml:space="preserve"> Correlations among factors ranged from .30 to .92 (See Table </w:t>
      </w:r>
      <w:r w:rsidR="00DA4076" w:rsidRPr="002D43CE">
        <w:rPr>
          <w:color w:val="auto"/>
          <w:bdr w:val="none" w:sz="0" w:space="0" w:color="auto"/>
        </w:rPr>
        <w:t>1</w:t>
      </w:r>
      <w:r w:rsidR="00FD6383" w:rsidRPr="002D43CE">
        <w:rPr>
          <w:color w:val="auto"/>
          <w:bdr w:val="none" w:sz="0" w:space="0" w:color="auto"/>
        </w:rPr>
        <w:t>).</w:t>
      </w:r>
    </w:p>
    <w:p w14:paraId="2477A96F" w14:textId="77777777" w:rsidR="001E1C52" w:rsidRPr="002D43CE" w:rsidRDefault="001E1C52" w:rsidP="00365F1C">
      <w:pPr>
        <w:suppressAutoHyphens w:val="0"/>
        <w:spacing w:line="360" w:lineRule="auto"/>
        <w:jc w:val="center"/>
        <w:rPr>
          <w:color w:val="auto"/>
        </w:rPr>
      </w:pPr>
    </w:p>
    <w:p w14:paraId="4264F530" w14:textId="77777777" w:rsidR="00921494" w:rsidRPr="002D43CE" w:rsidRDefault="00921494" w:rsidP="007D6356">
      <w:pPr>
        <w:suppressAutoHyphens w:val="0"/>
        <w:spacing w:line="360" w:lineRule="auto"/>
        <w:jc w:val="center"/>
        <w:rPr>
          <w:color w:val="auto"/>
        </w:rPr>
      </w:pPr>
    </w:p>
    <w:p w14:paraId="50C76B9E" w14:textId="0781DF6F" w:rsidR="002771F2" w:rsidRPr="002D43CE" w:rsidRDefault="002771F2" w:rsidP="00365F1C">
      <w:pPr>
        <w:suppressAutoHyphens w:val="0"/>
        <w:spacing w:line="360" w:lineRule="auto"/>
        <w:jc w:val="center"/>
        <w:rPr>
          <w:color w:val="auto"/>
        </w:rPr>
      </w:pPr>
      <w:r w:rsidRPr="002D43CE">
        <w:rPr>
          <w:color w:val="auto"/>
        </w:rPr>
        <w:t xml:space="preserve">&lt; Insert Table </w:t>
      </w:r>
      <w:r w:rsidR="009173C0" w:rsidRPr="002D43CE">
        <w:rPr>
          <w:color w:val="auto"/>
        </w:rPr>
        <w:t>3</w:t>
      </w:r>
      <w:r w:rsidRPr="002D43CE">
        <w:rPr>
          <w:color w:val="auto"/>
        </w:rPr>
        <w:t xml:space="preserve"> here &gt; </w:t>
      </w:r>
    </w:p>
    <w:p w14:paraId="2F80FC3A" w14:textId="705FD69A" w:rsidR="00370ABC" w:rsidRPr="002D43CE" w:rsidRDefault="00370ABC" w:rsidP="00365F1C">
      <w:pPr>
        <w:pStyle w:val="NormalWeb"/>
        <w:spacing w:before="0" w:beforeAutospacing="0" w:after="0" w:afterAutospacing="0" w:line="360" w:lineRule="auto"/>
        <w:rPr>
          <w:lang w:val="en-US"/>
        </w:rPr>
      </w:pPr>
    </w:p>
    <w:p w14:paraId="560232EC" w14:textId="70EAEEBB" w:rsidR="00A37A0B" w:rsidRPr="002D43CE" w:rsidRDefault="00AF7FDD" w:rsidP="00365F1C">
      <w:pPr>
        <w:suppressAutoHyphens w:val="0"/>
        <w:spacing w:line="360" w:lineRule="auto"/>
        <w:rPr>
          <w:i/>
          <w:color w:val="auto"/>
        </w:rPr>
      </w:pPr>
      <w:r w:rsidRPr="002D43CE">
        <w:rPr>
          <w:i/>
          <w:color w:val="auto"/>
        </w:rPr>
        <w:t xml:space="preserve">3.3. </w:t>
      </w:r>
      <w:r w:rsidR="00A37A0B" w:rsidRPr="002D43CE">
        <w:rPr>
          <w:i/>
          <w:color w:val="auto"/>
        </w:rPr>
        <w:t xml:space="preserve">Latent class analysis of ICD-11 PTSD and CPTSD </w:t>
      </w:r>
    </w:p>
    <w:p w14:paraId="40746375" w14:textId="77777777" w:rsidR="004A699C" w:rsidRPr="002D43CE" w:rsidRDefault="004A699C" w:rsidP="00365F1C">
      <w:pPr>
        <w:suppressAutoHyphens w:val="0"/>
        <w:spacing w:line="360" w:lineRule="auto"/>
        <w:rPr>
          <w:i/>
          <w:color w:val="auto"/>
        </w:rPr>
      </w:pPr>
    </w:p>
    <w:p w14:paraId="159B293E" w14:textId="13C18319" w:rsidR="00B6389C" w:rsidRPr="002D43CE" w:rsidRDefault="007D6356">
      <w:pPr>
        <w:pStyle w:val="NormalWeb"/>
        <w:spacing w:before="0" w:beforeAutospacing="0" w:after="0" w:afterAutospacing="0" w:line="360" w:lineRule="auto"/>
        <w:ind w:firstLine="720"/>
        <w:rPr>
          <w:lang w:val="en-US"/>
        </w:rPr>
      </w:pPr>
      <w:r w:rsidRPr="002D43CE">
        <w:rPr>
          <w:lang w:val="en-US"/>
        </w:rPr>
        <w:lastRenderedPageBreak/>
        <w:t>The LCA m</w:t>
      </w:r>
      <w:r w:rsidR="0080257E" w:rsidRPr="002D43CE">
        <w:rPr>
          <w:lang w:val="en-US"/>
        </w:rPr>
        <w:t xml:space="preserve">odel fit statistics are presented in Table </w:t>
      </w:r>
      <w:r w:rsidR="00240BAE" w:rsidRPr="002D43CE">
        <w:rPr>
          <w:lang w:val="en-US"/>
        </w:rPr>
        <w:t>4</w:t>
      </w:r>
      <w:r w:rsidR="0080257E" w:rsidRPr="002D43CE">
        <w:rPr>
          <w:lang w:val="en-US"/>
        </w:rPr>
        <w:t xml:space="preserve">. </w:t>
      </w:r>
      <w:r w:rsidR="00C25019" w:rsidRPr="002D43CE">
        <w:rPr>
          <w:lang w:val="en-US"/>
        </w:rPr>
        <w:t xml:space="preserve">The </w:t>
      </w:r>
      <w:r w:rsidR="00C57E9F" w:rsidRPr="002D43CE">
        <w:rPr>
          <w:lang w:val="en-US"/>
        </w:rPr>
        <w:t xml:space="preserve">AIC, BIC, LMR-A, BLRT values supported </w:t>
      </w:r>
      <w:r w:rsidR="00C25019" w:rsidRPr="002D43CE">
        <w:rPr>
          <w:lang w:val="en-US"/>
        </w:rPr>
        <w:t>a four</w:t>
      </w:r>
      <w:r w:rsidR="00490235" w:rsidRPr="002D43CE">
        <w:rPr>
          <w:lang w:val="en-US"/>
        </w:rPr>
        <w:t>-</w:t>
      </w:r>
      <w:r w:rsidR="0080257E" w:rsidRPr="002D43CE">
        <w:rPr>
          <w:lang w:val="en-US"/>
        </w:rPr>
        <w:t xml:space="preserve">class model. </w:t>
      </w:r>
      <w:r w:rsidR="00C25019" w:rsidRPr="002D43CE">
        <w:rPr>
          <w:lang w:val="en-US"/>
        </w:rPr>
        <w:t>The class structure</w:t>
      </w:r>
      <w:r w:rsidR="0080257E" w:rsidRPr="002D43CE">
        <w:rPr>
          <w:lang w:val="en-US"/>
        </w:rPr>
        <w:t xml:space="preserve"> is presented in Figure 2. </w:t>
      </w:r>
      <w:r w:rsidR="00C25019" w:rsidRPr="002D43CE">
        <w:rPr>
          <w:lang w:val="en-US"/>
        </w:rPr>
        <w:t xml:space="preserve">The largest class (34.1%) had high probabilities of meeting the diagnostic criteria for the six symptom clusters and was therefore labeled the </w:t>
      </w:r>
      <w:r w:rsidR="007F27AC" w:rsidRPr="002D43CE">
        <w:rPr>
          <w:lang w:val="en-US"/>
        </w:rPr>
        <w:t>‘</w:t>
      </w:r>
      <w:r w:rsidR="009D0E62" w:rsidRPr="002D43CE">
        <w:rPr>
          <w:lang w:val="en-US"/>
        </w:rPr>
        <w:t xml:space="preserve">CPTSD </w:t>
      </w:r>
      <w:r w:rsidR="007F27AC" w:rsidRPr="002D43CE">
        <w:rPr>
          <w:lang w:val="en-US"/>
        </w:rPr>
        <w:t>class’</w:t>
      </w:r>
      <w:r w:rsidR="00C25019" w:rsidRPr="002D43CE">
        <w:rPr>
          <w:lang w:val="en-US"/>
        </w:rPr>
        <w:t>. The next largest class (32.4%) had elevated probabilities of meeting the diagnostic criteria for the three PTSD clusters and low probabilities of meeting the diagnostic criteria for the three DSO clusters and was therefore labeled the ‘PTSD class’. A third class (12.6%) had elevated probabilities of meeting the diagnostic criteria for the three DSO clusters and low probabilities of meeting the diagnostic criteria for the three PTSD clusters and was therefore labeled the ‘</w:t>
      </w:r>
      <w:r w:rsidR="009C5D90" w:rsidRPr="002D43CE">
        <w:rPr>
          <w:lang w:val="en-US"/>
        </w:rPr>
        <w:t>DSO</w:t>
      </w:r>
      <w:r w:rsidR="00C25019" w:rsidRPr="002D43CE">
        <w:rPr>
          <w:lang w:val="en-US"/>
        </w:rPr>
        <w:t xml:space="preserve"> class’. Finally, the fourth class (20.9%) had low probabilities of meeting the diagnostic criteria for all symptom clusters and was therefore labeled the ‘Baseline’ class. </w:t>
      </w:r>
    </w:p>
    <w:p w14:paraId="43E564F3" w14:textId="1D76EB45" w:rsidR="00FD6383" w:rsidRPr="002D43CE" w:rsidRDefault="00FD6383" w:rsidP="00365F1C">
      <w:pPr>
        <w:pStyle w:val="NormalWeb"/>
        <w:spacing w:before="0" w:beforeAutospacing="0" w:after="0" w:afterAutospacing="0" w:line="360" w:lineRule="auto"/>
        <w:ind w:firstLine="720"/>
        <w:rPr>
          <w:lang w:val="en-US"/>
        </w:rPr>
      </w:pPr>
      <w:r w:rsidRPr="002D43CE">
        <w:rPr>
          <w:lang w:val="en-US"/>
        </w:rPr>
        <w:t>Multi</w:t>
      </w:r>
      <w:r w:rsidR="00921494" w:rsidRPr="002D43CE">
        <w:rPr>
          <w:lang w:val="en-US"/>
        </w:rPr>
        <w:t>nomial</w:t>
      </w:r>
      <w:r w:rsidRPr="002D43CE">
        <w:rPr>
          <w:lang w:val="en-US"/>
        </w:rPr>
        <w:t xml:space="preserve"> binary logistic analysis using </w:t>
      </w:r>
      <w:r w:rsidR="006913AD" w:rsidRPr="002D43CE">
        <w:rPr>
          <w:lang w:val="en-US"/>
        </w:rPr>
        <w:t>‘</w:t>
      </w:r>
      <w:r w:rsidR="00C25019" w:rsidRPr="002D43CE">
        <w:rPr>
          <w:lang w:val="en-US"/>
        </w:rPr>
        <w:t>Baseline</w:t>
      </w:r>
      <w:r w:rsidR="006913AD" w:rsidRPr="002D43CE">
        <w:rPr>
          <w:lang w:val="en-US"/>
        </w:rPr>
        <w:t>’</w:t>
      </w:r>
      <w:r w:rsidRPr="002D43CE">
        <w:rPr>
          <w:lang w:val="en-US"/>
        </w:rPr>
        <w:t xml:space="preserve"> </w:t>
      </w:r>
      <w:r w:rsidR="00AD4E88" w:rsidRPr="002D43CE">
        <w:rPr>
          <w:lang w:val="en-US"/>
        </w:rPr>
        <w:t xml:space="preserve">class as reference category </w:t>
      </w:r>
      <w:r w:rsidRPr="002D43CE">
        <w:rPr>
          <w:lang w:val="en-US"/>
        </w:rPr>
        <w:t xml:space="preserve">was applied for all traumatic </w:t>
      </w:r>
      <w:r w:rsidR="009A337E" w:rsidRPr="002D43CE">
        <w:rPr>
          <w:lang w:val="en-US"/>
        </w:rPr>
        <w:t>experiences</w:t>
      </w:r>
      <w:r w:rsidRPr="002D43CE">
        <w:rPr>
          <w:lang w:val="en-US"/>
        </w:rPr>
        <w:t xml:space="preserve"> exposure as predictors for each of the LCA class. </w:t>
      </w:r>
      <w:r w:rsidR="006913AD" w:rsidRPr="002D43CE">
        <w:rPr>
          <w:lang w:val="en-US"/>
        </w:rPr>
        <w:t>‘</w:t>
      </w:r>
      <w:r w:rsidRPr="002D43CE">
        <w:rPr>
          <w:lang w:val="en-US"/>
        </w:rPr>
        <w:t>PTSD class</w:t>
      </w:r>
      <w:r w:rsidR="006913AD" w:rsidRPr="002D43CE">
        <w:rPr>
          <w:lang w:val="en-US"/>
        </w:rPr>
        <w:t>’</w:t>
      </w:r>
      <w:r w:rsidRPr="002D43CE">
        <w:rPr>
          <w:lang w:val="en-US"/>
        </w:rPr>
        <w:t xml:space="preserve"> was predicted by the two traumatic experiences: death of the close one </w:t>
      </w:r>
      <w:r w:rsidR="009A337E" w:rsidRPr="002D43CE">
        <w:rPr>
          <w:lang w:val="en-US"/>
        </w:rPr>
        <w:t>(</w:t>
      </w:r>
      <w:r w:rsidRPr="002D43CE">
        <w:rPr>
          <w:lang w:val="en-US"/>
        </w:rPr>
        <w:t xml:space="preserve">OR [95% CI] = 1.90 [1.17–3.08], </w:t>
      </w:r>
      <w:r w:rsidRPr="002D43CE">
        <w:rPr>
          <w:i/>
          <w:lang w:val="en-US"/>
        </w:rPr>
        <w:t>p</w:t>
      </w:r>
      <w:r w:rsidRPr="002D43CE">
        <w:rPr>
          <w:lang w:val="en-US"/>
        </w:rPr>
        <w:t xml:space="preserve"> = </w:t>
      </w:r>
      <w:r w:rsidR="00C25019" w:rsidRPr="002D43CE">
        <w:rPr>
          <w:lang w:val="en-US"/>
        </w:rPr>
        <w:t>.</w:t>
      </w:r>
      <w:r w:rsidRPr="002D43CE">
        <w:rPr>
          <w:lang w:val="en-US"/>
        </w:rPr>
        <w:t>010</w:t>
      </w:r>
      <w:r w:rsidR="009A337E" w:rsidRPr="002D43CE">
        <w:rPr>
          <w:lang w:val="en-US"/>
        </w:rPr>
        <w:t>)</w:t>
      </w:r>
      <w:r w:rsidRPr="002D43CE">
        <w:rPr>
          <w:lang w:val="en-US"/>
        </w:rPr>
        <w:t xml:space="preserve">, and physical attack </w:t>
      </w:r>
      <w:r w:rsidR="009A337E" w:rsidRPr="002D43CE">
        <w:rPr>
          <w:lang w:val="en-US"/>
        </w:rPr>
        <w:t>(</w:t>
      </w:r>
      <w:r w:rsidRPr="002D43CE">
        <w:rPr>
          <w:lang w:val="en-US"/>
        </w:rPr>
        <w:t>OR [95% CI] = 0.</w:t>
      </w:r>
      <w:r w:rsidR="00C53877" w:rsidRPr="002D43CE">
        <w:rPr>
          <w:lang w:val="en-US"/>
        </w:rPr>
        <w:t>0</w:t>
      </w:r>
      <w:r w:rsidRPr="002D43CE">
        <w:rPr>
          <w:lang w:val="en-US"/>
        </w:rPr>
        <w:t>8 [</w:t>
      </w:r>
      <w:r w:rsidR="00C53877" w:rsidRPr="002D43CE">
        <w:rPr>
          <w:lang w:val="en-US"/>
        </w:rPr>
        <w:t>0.</w:t>
      </w:r>
      <w:r w:rsidR="00E22079" w:rsidRPr="002D43CE">
        <w:rPr>
          <w:lang w:val="en-US"/>
        </w:rPr>
        <w:t>0</w:t>
      </w:r>
      <w:r w:rsidR="00C53877" w:rsidRPr="002D43CE">
        <w:rPr>
          <w:lang w:val="en-US"/>
        </w:rPr>
        <w:t>1</w:t>
      </w:r>
      <w:r w:rsidRPr="002D43CE">
        <w:rPr>
          <w:lang w:val="en-US"/>
        </w:rPr>
        <w:t>–</w:t>
      </w:r>
      <w:r w:rsidR="00C53877" w:rsidRPr="002D43CE">
        <w:rPr>
          <w:lang w:val="en-US"/>
        </w:rPr>
        <w:t>0.52</w:t>
      </w:r>
      <w:r w:rsidRPr="002D43CE">
        <w:rPr>
          <w:lang w:val="en-US"/>
        </w:rPr>
        <w:t xml:space="preserve">], </w:t>
      </w:r>
      <w:r w:rsidRPr="002D43CE">
        <w:rPr>
          <w:i/>
          <w:lang w:val="en-US"/>
        </w:rPr>
        <w:t>p</w:t>
      </w:r>
      <w:r w:rsidRPr="002D43CE">
        <w:rPr>
          <w:lang w:val="en-US"/>
        </w:rPr>
        <w:t xml:space="preserve"> = </w:t>
      </w:r>
      <w:r w:rsidR="008E6E74" w:rsidRPr="002D43CE">
        <w:rPr>
          <w:lang w:val="en-US"/>
        </w:rPr>
        <w:t>.</w:t>
      </w:r>
      <w:r w:rsidRPr="002D43CE">
        <w:rPr>
          <w:lang w:val="en-US"/>
        </w:rPr>
        <w:t>0</w:t>
      </w:r>
      <w:r w:rsidR="00C53877" w:rsidRPr="002D43CE">
        <w:rPr>
          <w:lang w:val="en-US"/>
        </w:rPr>
        <w:t>08</w:t>
      </w:r>
      <w:r w:rsidR="009A337E" w:rsidRPr="002D43CE">
        <w:rPr>
          <w:lang w:val="en-US"/>
        </w:rPr>
        <w:t>)</w:t>
      </w:r>
      <w:r w:rsidRPr="002D43CE">
        <w:rPr>
          <w:lang w:val="en-US"/>
        </w:rPr>
        <w:t xml:space="preserve">. </w:t>
      </w:r>
      <w:r w:rsidR="009A337E" w:rsidRPr="002D43CE">
        <w:rPr>
          <w:lang w:val="en-US"/>
        </w:rPr>
        <w:t xml:space="preserve">Five traumatic experiences were significant predictors of </w:t>
      </w:r>
      <w:r w:rsidR="006913AD" w:rsidRPr="002D43CE">
        <w:rPr>
          <w:lang w:val="en-US"/>
        </w:rPr>
        <w:t>‘</w:t>
      </w:r>
      <w:r w:rsidR="009A337E" w:rsidRPr="002D43CE">
        <w:rPr>
          <w:lang w:val="en-US"/>
        </w:rPr>
        <w:t xml:space="preserve">Complex </w:t>
      </w:r>
      <w:r w:rsidR="008B5174" w:rsidRPr="002D43CE">
        <w:rPr>
          <w:lang w:val="en-US"/>
        </w:rPr>
        <w:t>PTSD</w:t>
      </w:r>
      <w:r w:rsidR="006913AD" w:rsidRPr="002D43CE">
        <w:rPr>
          <w:lang w:val="en-US"/>
        </w:rPr>
        <w:t>’</w:t>
      </w:r>
      <w:r w:rsidR="008B5174" w:rsidRPr="002D43CE">
        <w:rPr>
          <w:lang w:val="en-US"/>
        </w:rPr>
        <w:t xml:space="preserve"> class</w:t>
      </w:r>
      <w:r w:rsidR="009A337E" w:rsidRPr="002D43CE">
        <w:rPr>
          <w:lang w:val="en-US"/>
        </w:rPr>
        <w:t xml:space="preserve">: physical abuse in family (OR [95% CI] = 1.87 [1.04–3.36], </w:t>
      </w:r>
      <w:r w:rsidR="009A337E" w:rsidRPr="002D43CE">
        <w:rPr>
          <w:i/>
          <w:lang w:val="en-US"/>
        </w:rPr>
        <w:t>p</w:t>
      </w:r>
      <w:r w:rsidR="009A337E" w:rsidRPr="002D43CE">
        <w:rPr>
          <w:lang w:val="en-US"/>
        </w:rPr>
        <w:t xml:space="preserve"> = .037), witnessing physical abuse in family (OR [95% CI] = 2.37 [1.20–4.66], </w:t>
      </w:r>
      <w:r w:rsidR="009A337E" w:rsidRPr="002D43CE">
        <w:rPr>
          <w:i/>
          <w:lang w:val="en-US"/>
        </w:rPr>
        <w:t>p</w:t>
      </w:r>
      <w:r w:rsidR="009A337E" w:rsidRPr="002D43CE">
        <w:rPr>
          <w:lang w:val="en-US"/>
        </w:rPr>
        <w:t xml:space="preserve"> = .013), </w:t>
      </w:r>
      <w:r w:rsidR="00BB5B74" w:rsidRPr="002D43CE">
        <w:rPr>
          <w:lang w:val="en-US"/>
        </w:rPr>
        <w:t>witnessing physical abuse in community</w:t>
      </w:r>
      <w:r w:rsidR="009746BB" w:rsidRPr="002D43CE">
        <w:rPr>
          <w:lang w:val="en-US"/>
        </w:rPr>
        <w:t xml:space="preserve"> (OR [95% CI] = 1.61 [1.06–2.46], </w:t>
      </w:r>
      <w:r w:rsidR="009746BB" w:rsidRPr="002D43CE">
        <w:rPr>
          <w:i/>
          <w:lang w:val="en-US"/>
        </w:rPr>
        <w:t>p</w:t>
      </w:r>
      <w:r w:rsidR="009746BB" w:rsidRPr="002D43CE">
        <w:rPr>
          <w:lang w:val="en-US"/>
        </w:rPr>
        <w:t xml:space="preserve"> = .027),</w:t>
      </w:r>
      <w:r w:rsidR="00BB5B74" w:rsidRPr="002D43CE">
        <w:rPr>
          <w:lang w:val="en-US"/>
        </w:rPr>
        <w:t xml:space="preserve"> </w:t>
      </w:r>
      <w:r w:rsidR="00506721" w:rsidRPr="002D43CE">
        <w:rPr>
          <w:lang w:val="en-US"/>
        </w:rPr>
        <w:t xml:space="preserve">sudden or violent death of a close one (OR [95% CI] = 1.89 [1.14–3.12], </w:t>
      </w:r>
      <w:r w:rsidR="00506721" w:rsidRPr="002D43CE">
        <w:rPr>
          <w:i/>
          <w:lang w:val="en-US"/>
        </w:rPr>
        <w:t>p</w:t>
      </w:r>
      <w:r w:rsidR="00506721" w:rsidRPr="002D43CE">
        <w:rPr>
          <w:lang w:val="en-US"/>
        </w:rPr>
        <w:t xml:space="preserve"> = .013), </w:t>
      </w:r>
      <w:r w:rsidR="00B6612F" w:rsidRPr="002D43CE">
        <w:rPr>
          <w:lang w:val="en-US"/>
        </w:rPr>
        <w:t xml:space="preserve">scary medical procedure (OR [95% CI] = 1.97 [1.31–2.96], </w:t>
      </w:r>
      <w:r w:rsidR="00B6612F" w:rsidRPr="002D43CE">
        <w:rPr>
          <w:i/>
          <w:lang w:val="en-US"/>
        </w:rPr>
        <w:t>p</w:t>
      </w:r>
      <w:r w:rsidR="00B6612F" w:rsidRPr="002D43CE">
        <w:rPr>
          <w:lang w:val="en-US"/>
        </w:rPr>
        <w:t xml:space="preserve"> = .001). O</w:t>
      </w:r>
      <w:r w:rsidRPr="002D43CE">
        <w:rPr>
          <w:lang w:val="en-US"/>
        </w:rPr>
        <w:t xml:space="preserve">ne traumatic </w:t>
      </w:r>
      <w:r w:rsidR="009A337E" w:rsidRPr="002D43CE">
        <w:rPr>
          <w:lang w:val="en-US"/>
        </w:rPr>
        <w:t>experience</w:t>
      </w:r>
      <w:r w:rsidR="008E6E74" w:rsidRPr="002D43CE">
        <w:rPr>
          <w:lang w:val="en-US"/>
        </w:rPr>
        <w:t>, death of the close one,</w:t>
      </w:r>
      <w:r w:rsidRPr="002D43CE">
        <w:rPr>
          <w:lang w:val="en-US"/>
        </w:rPr>
        <w:t xml:space="preserve"> was </w:t>
      </w:r>
      <w:r w:rsidR="008E6E74" w:rsidRPr="002D43CE">
        <w:rPr>
          <w:lang w:val="en-US"/>
        </w:rPr>
        <w:t xml:space="preserve">a </w:t>
      </w:r>
      <w:r w:rsidRPr="002D43CE">
        <w:rPr>
          <w:lang w:val="en-US"/>
        </w:rPr>
        <w:t xml:space="preserve">significant predictor </w:t>
      </w:r>
      <w:r w:rsidR="008E6E74" w:rsidRPr="002D43CE">
        <w:rPr>
          <w:lang w:val="en-US"/>
        </w:rPr>
        <w:t xml:space="preserve">of the </w:t>
      </w:r>
      <w:r w:rsidR="006913AD" w:rsidRPr="002D43CE">
        <w:rPr>
          <w:lang w:val="en-US"/>
        </w:rPr>
        <w:t>‘</w:t>
      </w:r>
      <w:r w:rsidRPr="002D43CE">
        <w:rPr>
          <w:lang w:val="en-US"/>
        </w:rPr>
        <w:t>DSO class</w:t>
      </w:r>
      <w:r w:rsidR="006913AD" w:rsidRPr="002D43CE">
        <w:rPr>
          <w:lang w:val="en-US"/>
        </w:rPr>
        <w:t>’</w:t>
      </w:r>
      <w:r w:rsidRPr="002D43CE">
        <w:rPr>
          <w:lang w:val="en-US"/>
        </w:rPr>
        <w:t xml:space="preserve"> </w:t>
      </w:r>
      <w:r w:rsidR="00604321" w:rsidRPr="002D43CE">
        <w:rPr>
          <w:lang w:val="en-US"/>
        </w:rPr>
        <w:t>(</w:t>
      </w:r>
      <w:r w:rsidRPr="002D43CE">
        <w:rPr>
          <w:lang w:val="en-US"/>
        </w:rPr>
        <w:t xml:space="preserve">OR [95% CI] = 1.91 [1.05–3.49], </w:t>
      </w:r>
      <w:r w:rsidRPr="002D43CE">
        <w:rPr>
          <w:i/>
          <w:lang w:val="en-US"/>
        </w:rPr>
        <w:t>p</w:t>
      </w:r>
      <w:r w:rsidRPr="002D43CE">
        <w:rPr>
          <w:lang w:val="en-US"/>
        </w:rPr>
        <w:t xml:space="preserve"> = </w:t>
      </w:r>
      <w:r w:rsidR="009A337E" w:rsidRPr="002D43CE">
        <w:rPr>
          <w:lang w:val="en-US"/>
        </w:rPr>
        <w:t>.</w:t>
      </w:r>
      <w:r w:rsidRPr="002D43CE">
        <w:rPr>
          <w:lang w:val="en-US"/>
        </w:rPr>
        <w:t>034</w:t>
      </w:r>
      <w:r w:rsidR="00604321" w:rsidRPr="002D43CE">
        <w:rPr>
          <w:lang w:val="en-US"/>
        </w:rPr>
        <w:t>)</w:t>
      </w:r>
      <w:r w:rsidRPr="002D43CE">
        <w:rPr>
          <w:lang w:val="en-US"/>
        </w:rPr>
        <w:t xml:space="preserve">. </w:t>
      </w:r>
    </w:p>
    <w:p w14:paraId="1EF6BFB4" w14:textId="77777777" w:rsidR="008B5174" w:rsidRPr="002D43CE" w:rsidRDefault="008B5174" w:rsidP="00365F1C">
      <w:pPr>
        <w:pStyle w:val="NormalWeb"/>
        <w:spacing w:before="0" w:beforeAutospacing="0" w:after="0" w:afterAutospacing="0" w:line="360" w:lineRule="auto"/>
        <w:ind w:firstLine="720"/>
        <w:rPr>
          <w:lang w:val="en-US"/>
        </w:rPr>
      </w:pPr>
    </w:p>
    <w:p w14:paraId="35BCAF54" w14:textId="25C709EE" w:rsidR="00632897" w:rsidRPr="002D43CE" w:rsidRDefault="00632897" w:rsidP="00632897">
      <w:pPr>
        <w:suppressAutoHyphens w:val="0"/>
        <w:spacing w:line="360" w:lineRule="auto"/>
        <w:jc w:val="center"/>
        <w:rPr>
          <w:color w:val="auto"/>
        </w:rPr>
      </w:pPr>
      <w:r w:rsidRPr="002D43CE">
        <w:rPr>
          <w:color w:val="auto"/>
        </w:rPr>
        <w:t>&lt; Insert Figure 2 here &gt;</w:t>
      </w:r>
    </w:p>
    <w:p w14:paraId="6DC39D93" w14:textId="55FAA483" w:rsidR="00632897" w:rsidRPr="002D43CE" w:rsidRDefault="00632897" w:rsidP="00365F1C">
      <w:pPr>
        <w:pStyle w:val="NormalWeb"/>
        <w:spacing w:before="0" w:beforeAutospacing="0" w:after="0" w:afterAutospacing="0" w:line="360" w:lineRule="auto"/>
        <w:ind w:firstLine="720"/>
        <w:rPr>
          <w:lang w:val="en-US"/>
        </w:rPr>
      </w:pPr>
    </w:p>
    <w:p w14:paraId="4EFBFAF0" w14:textId="58644AEB" w:rsidR="00632897" w:rsidRPr="002D43CE" w:rsidRDefault="00632897" w:rsidP="00632897">
      <w:pPr>
        <w:suppressAutoHyphens w:val="0"/>
        <w:spacing w:line="360" w:lineRule="auto"/>
        <w:jc w:val="center"/>
        <w:rPr>
          <w:color w:val="auto"/>
        </w:rPr>
      </w:pPr>
      <w:r w:rsidRPr="002D43CE">
        <w:rPr>
          <w:color w:val="auto"/>
        </w:rPr>
        <w:t xml:space="preserve">&lt; Insert Table 4 here &gt; </w:t>
      </w:r>
    </w:p>
    <w:p w14:paraId="0B861DBE" w14:textId="77777777" w:rsidR="00632897" w:rsidRPr="002D43CE" w:rsidRDefault="00632897" w:rsidP="00365F1C">
      <w:pPr>
        <w:pStyle w:val="NormalWeb"/>
        <w:spacing w:before="0" w:beforeAutospacing="0" w:after="0" w:afterAutospacing="0" w:line="360" w:lineRule="auto"/>
        <w:ind w:firstLine="720"/>
        <w:rPr>
          <w:lang w:val="en-US"/>
        </w:rPr>
      </w:pPr>
    </w:p>
    <w:p w14:paraId="51445DAA" w14:textId="4B309A7D" w:rsidR="00085092" w:rsidRPr="002D43CE" w:rsidRDefault="00AF7FDD" w:rsidP="00AF7FDD">
      <w:pPr>
        <w:suppressAutoHyphens w:val="0"/>
        <w:spacing w:line="360" w:lineRule="auto"/>
        <w:rPr>
          <w:color w:val="auto"/>
        </w:rPr>
      </w:pPr>
      <w:r w:rsidRPr="002D43CE">
        <w:rPr>
          <w:color w:val="auto"/>
        </w:rPr>
        <w:t xml:space="preserve">4. </w:t>
      </w:r>
      <w:r w:rsidR="007E6CF0" w:rsidRPr="002D43CE">
        <w:rPr>
          <w:color w:val="auto"/>
        </w:rPr>
        <w:t>Discussion</w:t>
      </w:r>
    </w:p>
    <w:p w14:paraId="28404645" w14:textId="77777777" w:rsidR="00365F1C" w:rsidRPr="002D43CE" w:rsidRDefault="00365F1C" w:rsidP="00365F1C">
      <w:pPr>
        <w:suppressAutoHyphens w:val="0"/>
        <w:spacing w:line="360" w:lineRule="auto"/>
        <w:rPr>
          <w:rFonts w:eastAsia="Times New Roman Bold"/>
          <w:b/>
          <w:color w:val="auto"/>
        </w:rPr>
      </w:pPr>
    </w:p>
    <w:p w14:paraId="7D92DF0E" w14:textId="277E3537" w:rsidR="00196FAC" w:rsidRPr="002D43CE" w:rsidRDefault="00AC750F" w:rsidP="00365F1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bdr w:val="none" w:sz="0" w:space="0" w:color="auto"/>
        </w:rPr>
      </w:pPr>
      <w:r w:rsidRPr="002D43CE">
        <w:rPr>
          <w:color w:val="auto"/>
          <w:bdr w:val="none" w:sz="0" w:space="0" w:color="auto"/>
        </w:rPr>
        <w:t>To our knowledge, t</w:t>
      </w:r>
      <w:r w:rsidR="0080257E" w:rsidRPr="002D43CE">
        <w:rPr>
          <w:color w:val="auto"/>
          <w:bdr w:val="none" w:sz="0" w:space="0" w:color="auto"/>
        </w:rPr>
        <w:t xml:space="preserve">his </w:t>
      </w:r>
      <w:r w:rsidRPr="002D43CE">
        <w:rPr>
          <w:color w:val="auto"/>
          <w:bdr w:val="none" w:sz="0" w:space="0" w:color="auto"/>
        </w:rPr>
        <w:t>was</w:t>
      </w:r>
      <w:r w:rsidR="0080257E" w:rsidRPr="002D43CE">
        <w:rPr>
          <w:color w:val="auto"/>
          <w:bdr w:val="none" w:sz="0" w:space="0" w:color="auto"/>
        </w:rPr>
        <w:t xml:space="preserve"> the first study to validate ICD-11 PTSD and CPTSD factorial structure in adolescent population</w:t>
      </w:r>
      <w:r w:rsidR="00612EE9" w:rsidRPr="002D43CE">
        <w:rPr>
          <w:color w:val="auto"/>
          <w:bdr w:val="none" w:sz="0" w:space="0" w:color="auto"/>
        </w:rPr>
        <w:t xml:space="preserve"> using the International Trauma </w:t>
      </w:r>
      <w:r w:rsidR="00301643" w:rsidRPr="002D43CE">
        <w:rPr>
          <w:color w:val="auto"/>
          <w:bdr w:val="none" w:sz="0" w:space="0" w:color="auto"/>
        </w:rPr>
        <w:t>Questionnaire</w:t>
      </w:r>
      <w:r w:rsidR="00BD72E9" w:rsidRPr="002D43CE">
        <w:rPr>
          <w:color w:val="auto"/>
          <w:bdr w:val="none" w:sz="0" w:space="0" w:color="auto"/>
        </w:rPr>
        <w:t xml:space="preserve"> Child and Adolescent version (ITQ-CA)</w:t>
      </w:r>
      <w:r w:rsidR="0080257E" w:rsidRPr="002D43CE">
        <w:rPr>
          <w:color w:val="auto"/>
          <w:bdr w:val="none" w:sz="0" w:space="0" w:color="auto"/>
        </w:rPr>
        <w:t>.</w:t>
      </w:r>
      <w:r w:rsidR="00BD72E9" w:rsidRPr="002D43CE">
        <w:rPr>
          <w:color w:val="auto"/>
          <w:bdr w:val="none" w:sz="0" w:space="0" w:color="auto"/>
        </w:rPr>
        <w:t xml:space="preserve"> </w:t>
      </w:r>
      <w:r w:rsidR="00514626" w:rsidRPr="002D43CE">
        <w:rPr>
          <w:color w:val="auto"/>
          <w:bdr w:val="none" w:sz="0" w:space="0" w:color="auto"/>
        </w:rPr>
        <w:t>O</w:t>
      </w:r>
      <w:r w:rsidR="00BD72E9" w:rsidRPr="002D43CE">
        <w:rPr>
          <w:color w:val="auto"/>
          <w:bdr w:val="none" w:sz="0" w:space="0" w:color="auto"/>
        </w:rPr>
        <w:t xml:space="preserve">ur study </w:t>
      </w:r>
      <w:r w:rsidR="00514626" w:rsidRPr="002D43CE">
        <w:rPr>
          <w:color w:val="auto"/>
          <w:bdr w:val="none" w:sz="0" w:space="0" w:color="auto"/>
        </w:rPr>
        <w:t>confirmed</w:t>
      </w:r>
      <w:r w:rsidR="00BD72E9" w:rsidRPr="002D43CE">
        <w:rPr>
          <w:color w:val="auto"/>
          <w:bdr w:val="none" w:sz="0" w:space="0" w:color="auto"/>
        </w:rPr>
        <w:t xml:space="preserve"> findings from </w:t>
      </w:r>
      <w:r w:rsidR="00514626" w:rsidRPr="002D43CE">
        <w:rPr>
          <w:color w:val="auto"/>
          <w:bdr w:val="none" w:sz="0" w:space="0" w:color="auto"/>
        </w:rPr>
        <w:t xml:space="preserve">the </w:t>
      </w:r>
      <w:r w:rsidR="00BD72E9" w:rsidRPr="002D43CE">
        <w:rPr>
          <w:color w:val="auto"/>
          <w:bdr w:val="none" w:sz="0" w:space="0" w:color="auto"/>
        </w:rPr>
        <w:t xml:space="preserve">ICD-11 PTSD and CPTSD </w:t>
      </w:r>
      <w:r w:rsidR="00514626" w:rsidRPr="002D43CE">
        <w:rPr>
          <w:color w:val="auto"/>
          <w:bdr w:val="none" w:sz="0" w:space="0" w:color="auto"/>
        </w:rPr>
        <w:t xml:space="preserve">adult samples </w:t>
      </w:r>
      <w:r w:rsidR="00BD72E9" w:rsidRPr="002D43CE">
        <w:rPr>
          <w:color w:val="auto"/>
          <w:bdr w:val="none" w:sz="0" w:space="0" w:color="auto"/>
        </w:rPr>
        <w:t xml:space="preserve">factor structure </w:t>
      </w:r>
      <w:r w:rsidR="00514626" w:rsidRPr="002D43CE">
        <w:rPr>
          <w:color w:val="auto"/>
          <w:bdr w:val="none" w:sz="0" w:space="0" w:color="auto"/>
        </w:rPr>
        <w:t>studies</w:t>
      </w:r>
      <w:r w:rsidR="00577E8C" w:rsidRPr="002D43CE">
        <w:rPr>
          <w:color w:val="auto"/>
          <w:bdr w:val="none" w:sz="0" w:space="0" w:color="auto"/>
        </w:rPr>
        <w:t xml:space="preserve"> </w:t>
      </w:r>
      <w:r w:rsidR="00577E8C" w:rsidRPr="002D43CE">
        <w:rPr>
          <w:color w:val="auto"/>
          <w:bdr w:val="none" w:sz="0" w:space="0" w:color="auto"/>
        </w:rPr>
        <w:fldChar w:fldCharType="begin" w:fldLock="1"/>
      </w:r>
      <w:r w:rsidR="00577E8C" w:rsidRPr="002D43CE">
        <w:rPr>
          <w:color w:val="auto"/>
          <w:bdr w:val="none" w:sz="0" w:space="0" w:color="auto"/>
        </w:rPr>
        <w:instrText>ADDIN CSL_CITATION {"citationItems":[{"id":"ITEM-1","itemData":{"DOI":"10.1016/j.cpr.2017.09.001","ISSN":"18737811","abstract":"The World Health Organization's proposals for posttraumatic stress disorder (PTSD) in the 11th edition of the International Classification of Diseases, scheduled for release in 2018, involve a very brief set of symptoms and a distinction between two sibling disorders, PTSD and Complex PTSD. This review of studies conducted to test the validity and implications of the diagnostic proposals generally supports the proposed 3-factor structure of PTSD symptoms, the 6-factor structure of Complex PTSD symptoms, and the distinction between PTSD and Complex PTSD. Estimates derived from DSM-based items suggest the likely prevalence of ICD-11 PTSD in adults is lower than ICD-10 PTSD and lower than DSM-IV or DSM-5 PTSD, but this may change with the development of items that directly measure the ICD-11 re-experiencing requirement. Preliminary evidence suggests the prevalence of ICD-11 PTSD in community samples of children and adolescents is similar to DSM-IV and DSM-5. ICD-11 PTSD detects some individuals with significant impairment who would not receive a diagnosis under DSM-IV or DSM-5. ICD-11 CPTSD identifies a distinct group who have more often experienced multiple and sustained traumas and have greater functional impairment than those with PTSD.","author":[{"dropping-particle":"","family":"Brewin","given":"Chris R.","non-dropping-particle":"","parse-names":false,"suffix":""},{"dropping-particle":"","family":"Cloitre","given":"Marylène","non-dropping-particle":"","parse-names":false,"suffix":""},{"dropping-particle":"","family":"Hyland","given":"Philip","non-dropping-particle":"","parse-names":false,"suffix":""},{"dropping-particle":"","family":"Shevlin","given":"Mark","non-dropping-particle":"","parse-names":false,"suffix":""},{"dropping-particle":"","family":"Maercker","given":"Andreas","non-dropping-particle":"","parse-names":false,"suffix":""},{"dropping-particle":"","family":"Bryant","given":"Richard A.","non-dropping-particle":"","parse-names":false,"suffix":""},{"dropping-particle":"","family":"Humayun","given":"Asma","non-dropping-particle":"","parse-names":false,"suffix":""},{"dropping-particle":"","family":"Jones","given":"Lynne M.","non-dropping-particle":"","parse-names":false,"suffix":""},{"dropping-particle":"","family":"Kagee","given":"Ashraf","non-dropping-particle":"","parse-names":false,"suffix":""},{"dropping-particle":"","family":"Rousseau","given":"Cécile","non-dropping-particle":"","parse-names":false,"suffix":""},{"dropping-particle":"","family":"Somasundaram","given":"Daya","non-dropping-particle":"","parse-names":false,"suffix":""},{"dropping-particle":"","family":"Suzuki","given":"Yuriko","non-dropping-particle":"","parse-names":false,"suffix":""},{"dropping-particle":"","family":"Wessely","given":"Simon","non-dropping-particle":"","parse-names":false,"suffix":""},{"dropping-particle":"","family":"Ommeren","given":"Mark","non-dropping-particle":"van","parse-names":false,"suffix":""},{"dropping-particle":"","family":"Reed","given":"Geoffrey M.","non-dropping-particle":"","parse-names":false,"suffix":""}],"container-title":"Clinical Psychology Review","id":"ITEM-1","issue":"September","issued":{"date-parts":[["2017"]]},"page":"1-15","publisher":"Elsevier Ltd","title":"A review of current evidence regarding the ICD-11 proposals for diagnosing PTSD and complex PTSD","type":"article-journal","volume":"58"},"uris":["http://www.mendeley.com/documents/?uuid=14b90a65-a5c4-490e-a40f-90f04ee43e4a"]}],"mendeley":{"formattedCitation":"(Brewin et al., 2017)","plainTextFormattedCitation":"(Brewin et al., 2017)","previouslyFormattedCitation":"(Brewin et al., 2017)"},"properties":{"noteIndex":0},"schema":"https://github.com/citation-style-language/schema/raw/master/csl-citation.json"}</w:instrText>
      </w:r>
      <w:r w:rsidR="00577E8C" w:rsidRPr="002D43CE">
        <w:rPr>
          <w:color w:val="auto"/>
          <w:bdr w:val="none" w:sz="0" w:space="0" w:color="auto"/>
        </w:rPr>
        <w:fldChar w:fldCharType="separate"/>
      </w:r>
      <w:r w:rsidR="00577E8C" w:rsidRPr="002D43CE">
        <w:rPr>
          <w:noProof/>
          <w:color w:val="auto"/>
          <w:bdr w:val="none" w:sz="0" w:space="0" w:color="auto"/>
        </w:rPr>
        <w:t>(Brewin et al., 2017)</w:t>
      </w:r>
      <w:r w:rsidR="00577E8C" w:rsidRPr="002D43CE">
        <w:rPr>
          <w:color w:val="auto"/>
          <w:bdr w:val="none" w:sz="0" w:space="0" w:color="auto"/>
        </w:rPr>
        <w:fldChar w:fldCharType="end"/>
      </w:r>
      <w:r w:rsidR="00BD72E9" w:rsidRPr="002D43CE">
        <w:rPr>
          <w:color w:val="auto"/>
          <w:bdr w:val="none" w:sz="0" w:space="0" w:color="auto"/>
        </w:rPr>
        <w:t xml:space="preserve"> indicating </w:t>
      </w:r>
      <w:r w:rsidR="00BD72E9" w:rsidRPr="002D43CE">
        <w:rPr>
          <w:color w:val="auto"/>
          <w:bdr w:val="none" w:sz="0" w:space="0" w:color="auto"/>
        </w:rPr>
        <w:lastRenderedPageBreak/>
        <w:t xml:space="preserve">similar factor structure of PTSD and CPTSD among adolescents exposed to potentially traumatic events. </w:t>
      </w:r>
    </w:p>
    <w:p w14:paraId="361DA696" w14:textId="5C473A8F" w:rsidR="002E3F70" w:rsidRPr="002D43CE" w:rsidRDefault="002E3F70" w:rsidP="002E3F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r w:rsidRPr="002D43CE">
        <w:rPr>
          <w:color w:val="auto"/>
          <w:bdr w:val="none" w:sz="0" w:space="0" w:color="auto"/>
        </w:rPr>
        <w:t>The t</w:t>
      </w:r>
      <w:r w:rsidR="00514626" w:rsidRPr="002D43CE">
        <w:rPr>
          <w:color w:val="auto"/>
          <w:bdr w:val="none" w:sz="0" w:space="0" w:color="auto"/>
        </w:rPr>
        <w:t xml:space="preserve">wo CFA PTSD and CPTSD symptom structure models </w:t>
      </w:r>
      <w:r w:rsidRPr="002D43CE">
        <w:rPr>
          <w:color w:val="auto"/>
          <w:bdr w:val="none" w:sz="0" w:space="0" w:color="auto"/>
        </w:rPr>
        <w:t xml:space="preserve">(Model </w:t>
      </w:r>
      <w:r w:rsidR="004A699C" w:rsidRPr="002D43CE">
        <w:rPr>
          <w:color w:val="auto"/>
          <w:bdr w:val="none" w:sz="0" w:space="0" w:color="auto"/>
        </w:rPr>
        <w:t>2</w:t>
      </w:r>
      <w:r w:rsidRPr="002D43CE">
        <w:rPr>
          <w:color w:val="auto"/>
          <w:bdr w:val="none" w:sz="0" w:space="0" w:color="auto"/>
        </w:rPr>
        <w:t xml:space="preserve"> and Model </w:t>
      </w:r>
      <w:r w:rsidR="004A699C" w:rsidRPr="002D43CE">
        <w:rPr>
          <w:color w:val="auto"/>
          <w:bdr w:val="none" w:sz="0" w:space="0" w:color="auto"/>
        </w:rPr>
        <w:t>4</w:t>
      </w:r>
      <w:r w:rsidRPr="002D43CE">
        <w:rPr>
          <w:color w:val="auto"/>
          <w:bdr w:val="none" w:sz="0" w:space="0" w:color="auto"/>
        </w:rPr>
        <w:t xml:space="preserve">) </w:t>
      </w:r>
      <w:r w:rsidR="00514626" w:rsidRPr="002D43CE">
        <w:rPr>
          <w:color w:val="auto"/>
          <w:bdr w:val="none" w:sz="0" w:space="0" w:color="auto"/>
        </w:rPr>
        <w:t xml:space="preserve">had the best fit in our study. </w:t>
      </w:r>
      <w:r w:rsidR="000D1735" w:rsidRPr="002D43CE">
        <w:rPr>
          <w:color w:val="auto"/>
          <w:bdr w:val="none" w:sz="0" w:space="0" w:color="auto"/>
        </w:rPr>
        <w:t xml:space="preserve">We selected </w:t>
      </w:r>
      <w:r w:rsidR="000D1735" w:rsidRPr="002D43CE">
        <w:rPr>
          <w:color w:val="auto"/>
        </w:rPr>
        <w:t>the first-order correlated six</w:t>
      </w:r>
      <w:r w:rsidR="008476AE" w:rsidRPr="002D43CE">
        <w:rPr>
          <w:color w:val="auto"/>
        </w:rPr>
        <w:t xml:space="preserve"> </w:t>
      </w:r>
      <w:r w:rsidR="000D1735" w:rsidRPr="002D43CE">
        <w:rPr>
          <w:color w:val="auto"/>
        </w:rPr>
        <w:t>factor model of the six PTSD and DSO symptoms as having the best fit. However, alternative second-order two</w:t>
      </w:r>
      <w:r w:rsidR="008476AE" w:rsidRPr="002D43CE">
        <w:rPr>
          <w:color w:val="auto"/>
        </w:rPr>
        <w:t xml:space="preserve"> </w:t>
      </w:r>
      <w:r w:rsidR="000D1735" w:rsidRPr="002D43CE">
        <w:rPr>
          <w:color w:val="auto"/>
        </w:rPr>
        <w:t xml:space="preserve">factor model with </w:t>
      </w:r>
      <w:r w:rsidR="00031739" w:rsidRPr="002D43CE">
        <w:rPr>
          <w:color w:val="auto"/>
        </w:rPr>
        <w:t>correlated</w:t>
      </w:r>
      <w:r w:rsidR="000D1735" w:rsidRPr="002D43CE">
        <w:rPr>
          <w:color w:val="auto"/>
        </w:rPr>
        <w:t xml:space="preserve"> PTSD and DSO</w:t>
      </w:r>
      <w:r w:rsidR="00031739" w:rsidRPr="002D43CE">
        <w:rPr>
          <w:color w:val="auto"/>
        </w:rPr>
        <w:t xml:space="preserve"> latent factors also had good fit. This second-order </w:t>
      </w:r>
      <w:r w:rsidR="004A699C" w:rsidRPr="002D43CE">
        <w:rPr>
          <w:color w:val="auto"/>
        </w:rPr>
        <w:t xml:space="preserve">model </w:t>
      </w:r>
      <w:r w:rsidR="00031739" w:rsidRPr="002D43CE">
        <w:rPr>
          <w:color w:val="auto"/>
        </w:rPr>
        <w:t xml:space="preserve">was selected as having the best fit in the recent study in Austria, which also tested ICD-11 PTSD and CPTSD factor structure </w:t>
      </w:r>
      <w:r w:rsidR="00031739" w:rsidRPr="002D43CE">
        <w:rPr>
          <w:color w:val="auto"/>
        </w:rPr>
        <w:fldChar w:fldCharType="begin" w:fldLock="1"/>
      </w:r>
      <w:r w:rsidR="00FB617D" w:rsidRPr="002D43CE">
        <w:rPr>
          <w:color w:val="auto"/>
        </w:rPr>
        <w:instrText>ADDIN CSL_CITATION {"citationItems":[{"id":"ITEM-1","itemData":{"DOI":"10.1111/acps.13100","ISSN":"16000447","abstract":"Objective: ICD-11 introduces post-traumatic stress disorder (PTSD) and complex PTSD (CPTSD) as two distinct trauma-related disorders. Using the International Trauma Questionnaire (ITQ) as disorder-specific measure, this study is the first to examine the factorial and construct validity of ICD-11 PTSD, CPTSD and the ITQs’ applicability in children. Methods: Two hundred and eight Austrian foster children completed a set of standardized measures. Excluding participants who reported not having experienced any kind of trauma, a final sample of 136 children completed the ITQ. Factorial and construct validity of ICD-11 CPTSD and psychometric properties of ITQ scales were assessed by factor analysis and latent class analysis. Results: Confirmatory factor analysis supported the two-factor higher-order model of ICD-11 CPTSD in children by high factor loadings and excellent model fit. Reliability and regression analysis evidenced psychometric adequacy and discriminant validity of ITQ scales. Latent class analysis substantiated construct validity of ICD-11 CPTSD, identifying a CPTSD (22.8%), PTSD (31.6%) and low symptoms class (45.6%). The CPTSD class showed highest rates of childhood trauma, comorbid psychopathology and functional impairment. Conclusion: Factorial and construct validity of ICD-11 CPTSD was evidenced in children for the first time using precise descriptions of ICD-11 symptom content, supporting the reliability and validity of the ITQ in children.","author":[{"dropping-particle":"","family":"Haselgruber","given":"A.","non-dropping-particle":"","parse-names":false,"suffix":""},{"dropping-particle":"","family":"Sölva","given":"K.","non-dropping-particle":"","parse-names":false,"suffix":""},{"dropping-particle":"","family":"Lueger-Schuster","given":"B.","non-dropping-particle":"","parse-names":false,"suffix":""}],"container-title":"Acta Psychiatrica Scandinavica","id":"ITEM-1","issued":{"date-parts":[["2020"]]},"page":"60-73","title":"Validation of ICD-11 PTSD and complex PTSD in foster children using the International Trauma Questionnaire","type":"article-journal","volume":"141"},"uris":["http://www.mendeley.com/documents/?uuid=93762350-71ca-45cb-8129-2eef1504f13d"]}],"mendeley":{"formattedCitation":"(Haselgruber et al., 2020)","plainTextFormattedCitation":"(Haselgruber et al., 2020)","previouslyFormattedCitation":"(Haselgruber et al., 2020)"},"properties":{"noteIndex":0},"schema":"https://github.com/citation-style-language/schema/raw/master/csl-citation.json"}</w:instrText>
      </w:r>
      <w:r w:rsidR="00031739" w:rsidRPr="002D43CE">
        <w:rPr>
          <w:color w:val="auto"/>
        </w:rPr>
        <w:fldChar w:fldCharType="separate"/>
      </w:r>
      <w:r w:rsidR="00FB617D" w:rsidRPr="002D43CE">
        <w:rPr>
          <w:noProof/>
          <w:color w:val="auto"/>
        </w:rPr>
        <w:t>(Haselgruber et al., 2020)</w:t>
      </w:r>
      <w:r w:rsidR="00031739" w:rsidRPr="002D43CE">
        <w:rPr>
          <w:color w:val="auto"/>
        </w:rPr>
        <w:fldChar w:fldCharType="end"/>
      </w:r>
      <w:r w:rsidRPr="002D43CE">
        <w:rPr>
          <w:color w:val="auto"/>
        </w:rPr>
        <w:t xml:space="preserve"> using adult version of ITQ. A</w:t>
      </w:r>
      <w:r w:rsidR="00031739" w:rsidRPr="002D43CE">
        <w:rPr>
          <w:color w:val="auto"/>
        </w:rPr>
        <w:t>lthough the first order correlated six</w:t>
      </w:r>
      <w:r w:rsidR="008476AE" w:rsidRPr="002D43CE">
        <w:rPr>
          <w:color w:val="auto"/>
        </w:rPr>
        <w:t xml:space="preserve"> </w:t>
      </w:r>
      <w:r w:rsidR="00031739" w:rsidRPr="002D43CE">
        <w:rPr>
          <w:color w:val="auto"/>
        </w:rPr>
        <w:t>factor model in the same study had better fit based on RMSEA and CFI/TLI indexes</w:t>
      </w:r>
      <w:r w:rsidRPr="002D43CE">
        <w:rPr>
          <w:color w:val="auto"/>
        </w:rPr>
        <w:t xml:space="preserve"> </w:t>
      </w:r>
      <w:r w:rsidRPr="002D43CE">
        <w:rPr>
          <w:color w:val="auto"/>
        </w:rPr>
        <w:fldChar w:fldCharType="begin" w:fldLock="1"/>
      </w:r>
      <w:r w:rsidR="00FB617D" w:rsidRPr="002D43CE">
        <w:rPr>
          <w:color w:val="auto"/>
        </w:rPr>
        <w:instrText>ADDIN CSL_CITATION {"citationItems":[{"id":"ITEM-1","itemData":{"DOI":"10.1111/acps.13100","ISSN":"16000447","abstract":"Objective: ICD-11 introduces post-traumatic stress disorder (PTSD) and complex PTSD (CPTSD) as two distinct trauma-related disorders. Using the International Trauma Questionnaire (ITQ) as disorder-specific measure, this study is the first to examine the factorial and construct validity of ICD-11 PTSD, CPTSD and the ITQs’ applicability in children. Methods: Two hundred and eight Austrian foster children completed a set of standardized measures. Excluding participants who reported not having experienced any kind of trauma, a final sample of 136 children completed the ITQ. Factorial and construct validity of ICD-11 CPTSD and psychometric properties of ITQ scales were assessed by factor analysis and latent class analysis. Results: Confirmatory factor analysis supported the two-factor higher-order model of ICD-11 CPTSD in children by high factor loadings and excellent model fit. Reliability and regression analysis evidenced psychometric adequacy and discriminant validity of ITQ scales. Latent class analysis substantiated construct validity of ICD-11 CPTSD, identifying a CPTSD (22.8%), PTSD (31.6%) and low symptoms class (45.6%). The CPTSD class showed highest rates of childhood trauma, comorbid psychopathology and functional impairment. Conclusion: Factorial and construct validity of ICD-11 CPTSD was evidenced in children for the first time using precise descriptions of ICD-11 symptom content, supporting the reliability and validity of the ITQ in children.","author":[{"dropping-particle":"","family":"Haselgruber","given":"A.","non-dropping-particle":"","parse-names":false,"suffix":""},{"dropping-particle":"","family":"Sölva","given":"K.","non-dropping-particle":"","parse-names":false,"suffix":""},{"dropping-particle":"","family":"Lueger-Schuster","given":"B.","non-dropping-particle":"","parse-names":false,"suffix":""}],"container-title":"Acta Psychiatrica Scandinavica","id":"ITEM-1","issued":{"date-parts":[["2020"]]},"page":"60-73","title":"Validation of ICD-11 PTSD and complex PTSD in foster children using the International Trauma Questionnaire","type":"article-journal","volume":"141"},"uris":["http://www.mendeley.com/documents/?uuid=93762350-71ca-45cb-8129-2eef1504f13d"]}],"mendeley":{"formattedCitation":"(Haselgruber et al., 2020)","plainTextFormattedCitation":"(Haselgruber et al., 2020)","previouslyFormattedCitation":"(Haselgruber et al., 2020)"},"properties":{"noteIndex":0},"schema":"https://github.com/citation-style-language/schema/raw/master/csl-citation.json"}</w:instrText>
      </w:r>
      <w:r w:rsidRPr="002D43CE">
        <w:rPr>
          <w:color w:val="auto"/>
        </w:rPr>
        <w:fldChar w:fldCharType="separate"/>
      </w:r>
      <w:r w:rsidR="00FB617D" w:rsidRPr="002D43CE">
        <w:rPr>
          <w:noProof/>
          <w:color w:val="auto"/>
        </w:rPr>
        <w:t>(Haselgruber et al., 2020)</w:t>
      </w:r>
      <w:r w:rsidRPr="002D43CE">
        <w:rPr>
          <w:color w:val="auto"/>
        </w:rPr>
        <w:fldChar w:fldCharType="end"/>
      </w:r>
      <w:r w:rsidR="00031739" w:rsidRPr="002D43CE">
        <w:rPr>
          <w:color w:val="auto"/>
        </w:rPr>
        <w:t>.</w:t>
      </w:r>
      <w:r w:rsidR="001D412A" w:rsidRPr="002D43CE">
        <w:rPr>
          <w:color w:val="auto"/>
        </w:rPr>
        <w:t xml:space="preserve"> While findings provide initial support for ICD-11 PTSD and CPTSD symptoms, it is possible that symptom structure among adolescents could be somehow different from adults. Adolescents are in developmental stage marked with identity changes, and it is possible that DSO symptoms of NSC, DR or AD symptoms have different associations with core PTSD symptoms of Re, Av, and </w:t>
      </w:r>
      <w:proofErr w:type="spellStart"/>
      <w:r w:rsidR="001D412A" w:rsidRPr="002D43CE">
        <w:rPr>
          <w:color w:val="auto"/>
        </w:rPr>
        <w:t>SoT</w:t>
      </w:r>
      <w:proofErr w:type="spellEnd"/>
      <w:r w:rsidR="001D412A" w:rsidRPr="002D43CE">
        <w:rPr>
          <w:color w:val="auto"/>
        </w:rPr>
        <w:t xml:space="preserve">. </w:t>
      </w:r>
    </w:p>
    <w:p w14:paraId="1ED33D59" w14:textId="77777777" w:rsidR="0016056A" w:rsidRPr="002D43CE" w:rsidRDefault="002E3F70" w:rsidP="002E3F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r w:rsidRPr="002D43CE">
        <w:rPr>
          <w:color w:val="auto"/>
        </w:rPr>
        <w:t xml:space="preserve">Furthermore, LCA analysis supported validity of ICD-11 PTSD and CPTSD symptom structure. We could identify </w:t>
      </w:r>
      <w:r w:rsidR="00577E8C" w:rsidRPr="002D43CE">
        <w:rPr>
          <w:color w:val="auto"/>
        </w:rPr>
        <w:t xml:space="preserve">distinct latent </w:t>
      </w:r>
      <w:r w:rsidRPr="002D43CE">
        <w:rPr>
          <w:color w:val="auto"/>
        </w:rPr>
        <w:t xml:space="preserve">classes of </w:t>
      </w:r>
      <w:r w:rsidR="00577E8C" w:rsidRPr="002D43CE">
        <w:rPr>
          <w:color w:val="auto"/>
        </w:rPr>
        <w:t xml:space="preserve">low symptom, PTSD, CPTSD and DSO in line with previous studies which used LCA for analysis of CPTSD symptom structure </w:t>
      </w:r>
      <w:r w:rsidR="00577E8C" w:rsidRPr="002D43CE">
        <w:rPr>
          <w:color w:val="auto"/>
        </w:rPr>
        <w:fldChar w:fldCharType="begin" w:fldLock="1"/>
      </w:r>
      <w:r w:rsidR="00577E8C" w:rsidRPr="002D43CE">
        <w:rPr>
          <w:color w:val="auto"/>
        </w:rPr>
        <w:instrText>ADDIN CSL_CITATION {"citationItems":[{"id":"ITEM-1","itemData":{"DOI":"10.1016/j.cpr.2017.09.001","ISSN":"18737811","abstract":"The World Health Organization's proposals for posttraumatic stress disorder (PTSD) in the 11th edition of the International Classification of Diseases, scheduled for release in 2018, involve a very brief set of symptoms and a distinction between two sibling disorders, PTSD and Complex PTSD. This review of studies conducted to test the validity and implications of the diagnostic proposals generally supports the proposed 3-factor structure of PTSD symptoms, the 6-factor structure of Complex PTSD symptoms, and the distinction between PTSD and Complex PTSD. Estimates derived from DSM-based items suggest the likely prevalence of ICD-11 PTSD in adults is lower than ICD-10 PTSD and lower than DSM-IV or DSM-5 PTSD, but this may change with the development of items that directly measure the ICD-11 re-experiencing requirement. Preliminary evidence suggests the prevalence of ICD-11 PTSD in community samples of children and adolescents is similar to DSM-IV and DSM-5. ICD-11 PTSD detects some individuals with significant impairment who would not receive a diagnosis under DSM-IV or DSM-5. ICD-11 CPTSD identifies a distinct group who have more often experienced multiple and sustained traumas and have greater functional impairment than those with PTSD.","author":[{"dropping-particle":"","family":"Brewin","given":"Chris R.","non-dropping-particle":"","parse-names":false,"suffix":""},{"dropping-particle":"","family":"Cloitre","given":"Marylène","non-dropping-particle":"","parse-names":false,"suffix":""},{"dropping-particle":"","family":"Hyland","given":"Philip","non-dropping-particle":"","parse-names":false,"suffix":""},{"dropping-particle":"","family":"Shevlin","given":"Mark","non-dropping-particle":"","parse-names":false,"suffix":""},{"dropping-particle":"","family":"Maercker","given":"Andreas","non-dropping-particle":"","parse-names":false,"suffix":""},{"dropping-particle":"","family":"Bryant","given":"Richard A.","non-dropping-particle":"","parse-names":false,"suffix":""},{"dropping-particle":"","family":"Humayun","given":"Asma","non-dropping-particle":"","parse-names":false,"suffix":""},{"dropping-particle":"","family":"Jones","given":"Lynne M.","non-dropping-particle":"","parse-names":false,"suffix":""},{"dropping-particle":"","family":"Kagee","given":"Ashraf","non-dropping-particle":"","parse-names":false,"suffix":""},{"dropping-particle":"","family":"Rousseau","given":"Cécile","non-dropping-particle":"","parse-names":false,"suffix":""},{"dropping-particle":"","family":"Somasundaram","given":"Daya","non-dropping-particle":"","parse-names":false,"suffix":""},{"dropping-particle":"","family":"Suzuki","given":"Yuriko","non-dropping-particle":"","parse-names":false,"suffix":""},{"dropping-particle":"","family":"Wessely","given":"Simon","non-dropping-particle":"","parse-names":false,"suffix":""},{"dropping-particle":"","family":"Ommeren","given":"Mark","non-dropping-particle":"van","parse-names":false,"suffix":""},{"dropping-particle":"","family":"Reed","given":"Geoffrey M.","non-dropping-particle":"","parse-names":false,"suffix":""}],"container-title":"Clinical Psychology Review","id":"ITEM-1","issue":"September","issued":{"date-parts":[["2017"]]},"page":"1-15","publisher":"Elsevier Ltd","title":"A review of current evidence regarding the ICD-11 proposals for diagnosing PTSD and complex PTSD","type":"article-journal","volume":"58"},"uris":["http://www.mendeley.com/documents/?uuid=14b90a65-a5c4-490e-a40f-90f04ee43e4a"]}],"mendeley":{"formattedCitation":"(Brewin et al., 2017)","plainTextFormattedCitation":"(Brewin et al., 2017)","previouslyFormattedCitation":"(Brewin et al., 2017)"},"properties":{"noteIndex":0},"schema":"https://github.com/citation-style-language/schema/raw/master/csl-citation.json"}</w:instrText>
      </w:r>
      <w:r w:rsidR="00577E8C" w:rsidRPr="002D43CE">
        <w:rPr>
          <w:color w:val="auto"/>
        </w:rPr>
        <w:fldChar w:fldCharType="separate"/>
      </w:r>
      <w:r w:rsidR="00577E8C" w:rsidRPr="002D43CE">
        <w:rPr>
          <w:noProof/>
          <w:color w:val="auto"/>
        </w:rPr>
        <w:t>(Brewin et al., 2017)</w:t>
      </w:r>
      <w:r w:rsidR="00577E8C" w:rsidRPr="002D43CE">
        <w:rPr>
          <w:color w:val="auto"/>
        </w:rPr>
        <w:fldChar w:fldCharType="end"/>
      </w:r>
      <w:r w:rsidR="00577E8C" w:rsidRPr="002D43CE">
        <w:rPr>
          <w:color w:val="auto"/>
        </w:rPr>
        <w:t xml:space="preserve">. CPTSD class in line with theoretical assumptions was predicted with more traumatic experiences in this study. Moreover, CPTSD class was predicted by physical abuse related traumatic experiences which could be associated with prolonged traumatization among children. CPTSD was not predicted by sexual abuse in contrast to previous studies, </w:t>
      </w:r>
      <w:r w:rsidR="00577E8C" w:rsidRPr="002D43CE">
        <w:rPr>
          <w:color w:val="auto"/>
        </w:rPr>
        <w:fldChar w:fldCharType="begin" w:fldLock="1"/>
      </w:r>
      <w:r w:rsidR="0006523A" w:rsidRPr="002D43CE">
        <w:rPr>
          <w:color w:val="auto"/>
        </w:rPr>
        <w:instrText>ADDIN CSL_CITATION {"citationItems":[{"id":"ITEM-1","itemData":{"DOI":"10.1080/20008198.2017.1414559","ISSN":"20008066","abstract":"© 2018 The Author(s). Published by Informa UK Limited, trading as Taylor &amp; Francis Group. Background: The updated 11 th edition of International Classification of Diseases (ICD-11) is expected to be released by the WHO in 2018. Disorders specifically associated with stress will be included in a separate chapter in ICD-11, and will include a revision of ICD-10 PTSD as well as a new diagnosis of complex posttraumatic stress disorder (CPTSD). The proposed symptom structures of ICD-11 PTSD and CPTSD have been validated in several studies previously, however few studies have used the International Trauma Questionnaire (ITQ), a specific measure for ICD-11 PTSD and CPTSD. Given that ICD-11 PTSD and CPTSD diagnoses are intended to be applicable across different cultures and nations, it is important that the constructs be evaluated across diverse populations and languages. Objective: Study of the psychological impact of trauma is relatively new in Lithuania, coinciding with its independence from the Soviet Union in the 1990s. Studies thus far reveal a population suffering from the effects of long-term and systematic political oppression and violence. The aim of this study was to assess the validity of the symptoms and structure of PTSD and CPTSD in a Lithuanian treatment-seeking sample as measured by the ITQ. Method: A total of 280 patients from outpatient mental health centres participated in this study. PTSD and CPTSD symptoms were measured with the ITQ. We applied confirmatory factor analysis (CFA) and latent class analysis (LCA) for analysis of data. Results and conclusions: Our study supported the ICD-11 factor structure of CPTSD, and a three-class model was supported in LCA analysis with a PTSD class, a CPTSD class, and a low symptom class. Findings support the factorial and discriminant validity of the ICD-11 proposals for PTSD and CPTSD in a unique clinical population.","author":[{"dropping-particle":"","family":"Kazlauskas","given":"Evaldas","non-dropping-particle":"","parse-names":false,"suffix":""},{"dropping-particle":"","family":"Gegieckaite","given":"Goda","non-dropping-particle":"","parse-names":false,"suffix":""},{"dropping-particle":"","family":"Hyland","given":"Philip","non-dropping-particle":"","parse-names":false,"suffix":""},{"dropping-particle":"","family":"Zelviene","given":"Paulina","non-dropping-particle":"","parse-names":false,"suffix":""},{"dropping-particle":"","family":"Cloitre","given":"Marylene","non-dropping-particle":"","parse-names":false,"suffix":""}],"container-title":"European Journal of Psychotraumatology","id":"ITEM-1","issue":"1","issued":{"date-parts":[["2018"]]},"title":"The structure of ICD-11 PTSD and complex PTSD in Lithuanian mental health services","type":"article-journal","volume":"9"},"uris":["http://www.mendeley.com/documents/?uuid=0a18982c-4df4-3a44-9858-230f7585bdbb"]}],"mendeley":{"formattedCitation":"(Kazlauskas et al., 2018)","manualFormatting":"(e.g., Kazlauskas et al., 2018)","plainTextFormattedCitation":"(Kazlauskas et al., 2018)","previouslyFormattedCitation":"(Kazlauskas et al., 2018)"},"properties":{"noteIndex":0},"schema":"https://github.com/citation-style-language/schema/raw/master/csl-citation.json"}</w:instrText>
      </w:r>
      <w:r w:rsidR="00577E8C" w:rsidRPr="002D43CE">
        <w:rPr>
          <w:color w:val="auto"/>
        </w:rPr>
        <w:fldChar w:fldCharType="separate"/>
      </w:r>
      <w:r w:rsidR="00577E8C" w:rsidRPr="002D43CE">
        <w:rPr>
          <w:noProof/>
          <w:color w:val="auto"/>
        </w:rPr>
        <w:t>(e.g., Kazlauskas et al., 2018)</w:t>
      </w:r>
      <w:r w:rsidR="00577E8C" w:rsidRPr="002D43CE">
        <w:rPr>
          <w:color w:val="auto"/>
        </w:rPr>
        <w:fldChar w:fldCharType="end"/>
      </w:r>
      <w:r w:rsidR="00577E8C" w:rsidRPr="002D43CE">
        <w:rPr>
          <w:color w:val="auto"/>
        </w:rPr>
        <w:t>. However, as this was not a clinical sample, but general population sample prevalence of sexual abuse was too low to have enough statistical power to predict CPTSD.</w:t>
      </w:r>
      <w:r w:rsidR="00E84156" w:rsidRPr="002D43CE">
        <w:rPr>
          <w:color w:val="auto"/>
        </w:rPr>
        <w:t xml:space="preserve"> Of note, sudden death of a loved one was predictive of the DSO cluster. The association may be reflective of the presence of other disorders which share some of the same symptoms (e.g., </w:t>
      </w:r>
      <w:r w:rsidR="008655CC" w:rsidRPr="002D43CE">
        <w:rPr>
          <w:color w:val="auto"/>
        </w:rPr>
        <w:t xml:space="preserve">the negative self-concept associated with depression) or disruption in the key developmental domains that DSO represent (i.e., emotion regulation, self-concept, and relational capacities) due to loss of important figures in the child’s social environment. </w:t>
      </w:r>
    </w:p>
    <w:p w14:paraId="363AC637" w14:textId="77777777" w:rsidR="0016056A" w:rsidRPr="002D43CE" w:rsidRDefault="0016056A" w:rsidP="0016056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color w:val="auto"/>
        </w:rPr>
      </w:pPr>
    </w:p>
    <w:p w14:paraId="70EEF574" w14:textId="77777777" w:rsidR="0016056A" w:rsidRPr="002D43CE" w:rsidRDefault="0016056A" w:rsidP="0016056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b/>
          <w:color w:val="auto"/>
        </w:rPr>
      </w:pPr>
      <w:r w:rsidRPr="002D43CE">
        <w:rPr>
          <w:b/>
          <w:color w:val="auto"/>
        </w:rPr>
        <w:t>Limitations</w:t>
      </w:r>
    </w:p>
    <w:p w14:paraId="1107D70F" w14:textId="63A5E2BB" w:rsidR="002E3F70" w:rsidRPr="002D43CE" w:rsidRDefault="002E3F70" w:rsidP="0016056A">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rPr>
          <w:color w:val="auto"/>
        </w:rPr>
      </w:pPr>
    </w:p>
    <w:p w14:paraId="421A83E5" w14:textId="01CF0943" w:rsidR="00577E8C" w:rsidRPr="002D43CE" w:rsidRDefault="001D412A" w:rsidP="002E3F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720"/>
        <w:rPr>
          <w:color w:val="auto"/>
        </w:rPr>
      </w:pPr>
      <w:r w:rsidRPr="002D43CE">
        <w:rPr>
          <w:color w:val="auto"/>
        </w:rPr>
        <w:t>There are several limitations associated with this study that needs to be discussed. This was a cross</w:t>
      </w:r>
      <w:r w:rsidR="008655CC" w:rsidRPr="002D43CE">
        <w:rPr>
          <w:color w:val="auto"/>
        </w:rPr>
        <w:t>-</w:t>
      </w:r>
      <w:r w:rsidRPr="002D43CE">
        <w:rPr>
          <w:color w:val="auto"/>
        </w:rPr>
        <w:t xml:space="preserve">sectional study and thus we could not analyze neither trajectories of </w:t>
      </w:r>
      <w:r w:rsidRPr="002D43CE">
        <w:rPr>
          <w:color w:val="auto"/>
        </w:rPr>
        <w:lastRenderedPageBreak/>
        <w:t xml:space="preserve">symptom change, nor effects of time since trauma exposure on posttraumatic stress disorders symptoms. As our main measure of PTSD and CPTSD in the study was self-report, we relied on self-report of participants. However, diagnostic interviews for ICD-11 PTSD and CPTSD </w:t>
      </w:r>
      <w:r w:rsidR="008655CC" w:rsidRPr="002D43CE">
        <w:rPr>
          <w:color w:val="auto"/>
        </w:rPr>
        <w:t xml:space="preserve">although </w:t>
      </w:r>
      <w:r w:rsidRPr="002D43CE">
        <w:rPr>
          <w:color w:val="auto"/>
        </w:rPr>
        <w:t>in dev</w:t>
      </w:r>
      <w:r w:rsidR="00965823" w:rsidRPr="002D43CE">
        <w:rPr>
          <w:color w:val="auto"/>
        </w:rPr>
        <w:t xml:space="preserve">elopment </w:t>
      </w:r>
      <w:r w:rsidR="00112285" w:rsidRPr="002D43CE">
        <w:rPr>
          <w:color w:val="auto"/>
        </w:rPr>
        <w:t xml:space="preserve">are </w:t>
      </w:r>
      <w:r w:rsidR="00965823" w:rsidRPr="002D43CE">
        <w:rPr>
          <w:color w:val="auto"/>
        </w:rPr>
        <w:t xml:space="preserve">not yet available. The study was conducted in non-clinical sample, and further studies in clinical samples could provide </w:t>
      </w:r>
      <w:r w:rsidR="008655CC" w:rsidRPr="002D43CE">
        <w:rPr>
          <w:color w:val="auto"/>
        </w:rPr>
        <w:t>additional</w:t>
      </w:r>
      <w:r w:rsidR="00965823" w:rsidRPr="002D43CE">
        <w:rPr>
          <w:color w:val="auto"/>
        </w:rPr>
        <w:t xml:space="preserve"> information on validity and symptom structure of ICD-11 PTSD and CPTSD</w:t>
      </w:r>
      <w:r w:rsidR="00112285" w:rsidRPr="002D43CE">
        <w:rPr>
          <w:color w:val="auto"/>
        </w:rPr>
        <w:t xml:space="preserve"> among adolescents</w:t>
      </w:r>
      <w:r w:rsidR="00965823" w:rsidRPr="002D43CE">
        <w:rPr>
          <w:color w:val="auto"/>
        </w:rPr>
        <w:t>.</w:t>
      </w:r>
    </w:p>
    <w:p w14:paraId="0F980AE0" w14:textId="77777777" w:rsidR="00965823" w:rsidRPr="002D43CE" w:rsidRDefault="00965823" w:rsidP="00365F1C">
      <w:pPr>
        <w:suppressAutoHyphens w:val="0"/>
        <w:spacing w:line="360" w:lineRule="auto"/>
        <w:rPr>
          <w:rFonts w:eastAsia="Times New Roman Bold"/>
          <w:b/>
          <w:color w:val="auto"/>
        </w:rPr>
      </w:pPr>
    </w:p>
    <w:p w14:paraId="6F045F00" w14:textId="4AE4D526" w:rsidR="004F06D8" w:rsidRPr="002D43CE" w:rsidRDefault="004F06D8" w:rsidP="00365F1C">
      <w:pPr>
        <w:spacing w:line="360" w:lineRule="auto"/>
        <w:jc w:val="center"/>
        <w:rPr>
          <w:b/>
          <w:color w:val="auto"/>
        </w:rPr>
      </w:pPr>
      <w:r w:rsidRPr="002D43CE">
        <w:rPr>
          <w:b/>
          <w:color w:val="auto"/>
        </w:rPr>
        <w:t>References</w:t>
      </w:r>
    </w:p>
    <w:p w14:paraId="47D1E766" w14:textId="77777777" w:rsidR="002A5CCE" w:rsidRPr="002D43CE" w:rsidRDefault="002A5CCE" w:rsidP="00365F1C">
      <w:pPr>
        <w:spacing w:line="360" w:lineRule="auto"/>
        <w:jc w:val="center"/>
        <w:rPr>
          <w:b/>
          <w:color w:val="auto"/>
        </w:rPr>
      </w:pPr>
    </w:p>
    <w:p w14:paraId="4A42B4FA" w14:textId="1BEC591D" w:rsidR="00FB617D" w:rsidRPr="002D43CE" w:rsidRDefault="000D0EB4" w:rsidP="00FB617D">
      <w:pPr>
        <w:widowControl w:val="0"/>
        <w:autoSpaceDE w:val="0"/>
        <w:autoSpaceDN w:val="0"/>
        <w:adjustRightInd w:val="0"/>
        <w:spacing w:line="360" w:lineRule="auto"/>
        <w:ind w:left="480" w:hanging="480"/>
        <w:rPr>
          <w:noProof/>
          <w:color w:val="auto"/>
        </w:rPr>
      </w:pPr>
      <w:r w:rsidRPr="002D43CE">
        <w:rPr>
          <w:b/>
          <w:color w:val="auto"/>
        </w:rPr>
        <w:fldChar w:fldCharType="begin" w:fldLock="1"/>
      </w:r>
      <w:r w:rsidRPr="002D43CE">
        <w:rPr>
          <w:b/>
          <w:color w:val="auto"/>
        </w:rPr>
        <w:instrText xml:space="preserve">ADDIN Mendeley Bibliography CSL_BIBLIOGRAPHY </w:instrText>
      </w:r>
      <w:r w:rsidRPr="002D43CE">
        <w:rPr>
          <w:b/>
          <w:color w:val="auto"/>
        </w:rPr>
        <w:fldChar w:fldCharType="separate"/>
      </w:r>
      <w:r w:rsidR="00FB617D" w:rsidRPr="002D43CE">
        <w:rPr>
          <w:noProof/>
          <w:color w:val="auto"/>
        </w:rPr>
        <w:t xml:space="preserve">Ben-Ezra, M., Karatzias, T., Hyland, P., Brewin, C. R., Cloitre, M., Bisson, J. I., … Shevlin, M. (2018). Posttraumatic stress disorder (PTSD) and complex PTSD (CPTSD) as per ICD-11 proposals: A population study in Israel. </w:t>
      </w:r>
      <w:r w:rsidR="00FB617D" w:rsidRPr="002D43CE">
        <w:rPr>
          <w:i/>
          <w:iCs/>
          <w:noProof/>
          <w:color w:val="auto"/>
        </w:rPr>
        <w:t>Depression and Anxiety</w:t>
      </w:r>
      <w:r w:rsidR="00FB617D" w:rsidRPr="002D43CE">
        <w:rPr>
          <w:noProof/>
          <w:color w:val="auto"/>
        </w:rPr>
        <w:t xml:space="preserve">, </w:t>
      </w:r>
      <w:r w:rsidR="00FB617D" w:rsidRPr="002D43CE">
        <w:rPr>
          <w:i/>
          <w:iCs/>
          <w:noProof/>
          <w:color w:val="auto"/>
        </w:rPr>
        <w:t>35</w:t>
      </w:r>
      <w:r w:rsidR="00FB617D" w:rsidRPr="002D43CE">
        <w:rPr>
          <w:noProof/>
          <w:color w:val="auto"/>
        </w:rPr>
        <w:t>(3), 264–274. https://doi.org/10.1002/da.22723</w:t>
      </w:r>
    </w:p>
    <w:p w14:paraId="7C25B3D5"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Brewin, C. R. (2019). Complex post-traumatic stress disorder: a new diagnosis in ICD-11. </w:t>
      </w:r>
      <w:r w:rsidRPr="002D43CE">
        <w:rPr>
          <w:i/>
          <w:iCs/>
          <w:noProof/>
          <w:color w:val="auto"/>
        </w:rPr>
        <w:t>BJPsych Advances</w:t>
      </w:r>
      <w:r w:rsidRPr="002D43CE">
        <w:rPr>
          <w:noProof/>
          <w:color w:val="auto"/>
        </w:rPr>
        <w:t>, 1–8. https://doi.org/10.1192/bja.2019.48</w:t>
      </w:r>
    </w:p>
    <w:p w14:paraId="4D70EA7D"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Brewin, C. R., Cloitre, M., Hyland, P., Shevlin, M., Maercker, A., Bryant, R. A., … Reed, G. M. (2017). A review of current evidence regarding the ICD-11 proposals for diagnosing PTSD and complex PTSD. </w:t>
      </w:r>
      <w:r w:rsidRPr="002D43CE">
        <w:rPr>
          <w:i/>
          <w:iCs/>
          <w:noProof/>
          <w:color w:val="auto"/>
        </w:rPr>
        <w:t>Clinical Psychology Review</w:t>
      </w:r>
      <w:r w:rsidRPr="002D43CE">
        <w:rPr>
          <w:noProof/>
          <w:color w:val="auto"/>
        </w:rPr>
        <w:t xml:space="preserve">, </w:t>
      </w:r>
      <w:r w:rsidRPr="002D43CE">
        <w:rPr>
          <w:i/>
          <w:iCs/>
          <w:noProof/>
          <w:color w:val="auto"/>
        </w:rPr>
        <w:t>58</w:t>
      </w:r>
      <w:r w:rsidRPr="002D43CE">
        <w:rPr>
          <w:noProof/>
          <w:color w:val="auto"/>
        </w:rPr>
        <w:t>(September), 1–15. https://doi.org/10.1016/j.cpr.2017.09.001</w:t>
      </w:r>
    </w:p>
    <w:p w14:paraId="7FE09DD7"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Chen, F. F. (2007). Sensitivity of Goodness of Fit Indexes to Lack of Measurement Invariance. </w:t>
      </w:r>
      <w:r w:rsidRPr="002D43CE">
        <w:rPr>
          <w:i/>
          <w:iCs/>
          <w:noProof/>
          <w:color w:val="auto"/>
        </w:rPr>
        <w:t>Structural Equation Modeling: A Multidisciplinary Journal</w:t>
      </w:r>
      <w:r w:rsidRPr="002D43CE">
        <w:rPr>
          <w:noProof/>
          <w:color w:val="auto"/>
        </w:rPr>
        <w:t xml:space="preserve">, </w:t>
      </w:r>
      <w:r w:rsidRPr="002D43CE">
        <w:rPr>
          <w:i/>
          <w:iCs/>
          <w:noProof/>
          <w:color w:val="auto"/>
        </w:rPr>
        <w:t>14</w:t>
      </w:r>
      <w:r w:rsidRPr="002D43CE">
        <w:rPr>
          <w:noProof/>
          <w:color w:val="auto"/>
        </w:rPr>
        <w:t>(3), 464–504. https://doi.org/10.1080/10705510701301834</w:t>
      </w:r>
    </w:p>
    <w:p w14:paraId="6714388A"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Cloitre, M., Shevlin, M., Brewin, C. R., Bisson, J. I., Roberts, N. P., Maercker, A., … Hyland, P. (2018). The International Trauma Questionnaire: development of a self-report measure of ICD-11 PTSD and complex PTSD. </w:t>
      </w:r>
      <w:r w:rsidRPr="002D43CE">
        <w:rPr>
          <w:i/>
          <w:iCs/>
          <w:noProof/>
          <w:color w:val="auto"/>
        </w:rPr>
        <w:t>Acta Psychiatrica Scandinavica</w:t>
      </w:r>
      <w:r w:rsidRPr="002D43CE">
        <w:rPr>
          <w:noProof/>
          <w:color w:val="auto"/>
        </w:rPr>
        <w:t xml:space="preserve">, </w:t>
      </w:r>
      <w:r w:rsidRPr="002D43CE">
        <w:rPr>
          <w:i/>
          <w:iCs/>
          <w:noProof/>
          <w:color w:val="auto"/>
        </w:rPr>
        <w:t>138</w:t>
      </w:r>
      <w:r w:rsidRPr="002D43CE">
        <w:rPr>
          <w:noProof/>
          <w:color w:val="auto"/>
        </w:rPr>
        <w:t>(6), 536–546. https://doi.org/10.1111/acps.12956</w:t>
      </w:r>
    </w:p>
    <w:p w14:paraId="0DC9F4A8"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Cloitre, M, Roberts, N., Bisson, J., &amp; Brewin, C. (2018). International Trauma Questionnaire – Child and Adolescent Version (ITQ-CA).</w:t>
      </w:r>
    </w:p>
    <w:p w14:paraId="17BB8170"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Cloitre, Marylène, Hyland, P., Bisson, J. I., Brewin, C. R., Roberts, N. P., Karatzias, T., &amp; Shevlin, M. (2019). ICD-11 Posttraumatic Stress Disorder and Complex Posttraumatic Stress Disorder in the United States: A Population-Based Study. </w:t>
      </w:r>
      <w:r w:rsidRPr="002D43CE">
        <w:rPr>
          <w:i/>
          <w:iCs/>
          <w:noProof/>
          <w:color w:val="auto"/>
        </w:rPr>
        <w:t>Journal of Traumatic Stress</w:t>
      </w:r>
      <w:r w:rsidRPr="002D43CE">
        <w:rPr>
          <w:noProof/>
          <w:color w:val="auto"/>
        </w:rPr>
        <w:t xml:space="preserve">, </w:t>
      </w:r>
      <w:r w:rsidRPr="002D43CE">
        <w:rPr>
          <w:i/>
          <w:iCs/>
          <w:noProof/>
          <w:color w:val="auto"/>
        </w:rPr>
        <w:t>32</w:t>
      </w:r>
      <w:r w:rsidRPr="002D43CE">
        <w:rPr>
          <w:noProof/>
          <w:color w:val="auto"/>
        </w:rPr>
        <w:t>, 833–842. https://doi.org/10.1002/jts.22454</w:t>
      </w:r>
    </w:p>
    <w:p w14:paraId="0F616634"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Haselgruber, A., Sölva, K., &amp; Lueger-Schuster, B. (2020). Validation of ICD-11 PTSD and complex PTSD in foster children using the International Trauma Questionnaire. </w:t>
      </w:r>
      <w:r w:rsidRPr="002D43CE">
        <w:rPr>
          <w:i/>
          <w:iCs/>
          <w:noProof/>
          <w:color w:val="auto"/>
        </w:rPr>
        <w:t xml:space="preserve">Acta </w:t>
      </w:r>
      <w:r w:rsidRPr="002D43CE">
        <w:rPr>
          <w:i/>
          <w:iCs/>
          <w:noProof/>
          <w:color w:val="auto"/>
        </w:rPr>
        <w:lastRenderedPageBreak/>
        <w:t>Psychiatrica Scandinavica</w:t>
      </w:r>
      <w:r w:rsidRPr="002D43CE">
        <w:rPr>
          <w:noProof/>
          <w:color w:val="auto"/>
        </w:rPr>
        <w:t xml:space="preserve">, </w:t>
      </w:r>
      <w:r w:rsidRPr="002D43CE">
        <w:rPr>
          <w:i/>
          <w:iCs/>
          <w:noProof/>
          <w:color w:val="auto"/>
        </w:rPr>
        <w:t>141</w:t>
      </w:r>
      <w:r w:rsidRPr="002D43CE">
        <w:rPr>
          <w:noProof/>
          <w:color w:val="auto"/>
        </w:rPr>
        <w:t>, 60–73. https://doi.org/10.1111/acps.13100</w:t>
      </w:r>
    </w:p>
    <w:p w14:paraId="269A9B6E"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Ho, G. W. K., Karatzias, T., Cloitre, M., Chan, A. C. Y., Bressington, D., Chien, W. T., … Shevlin, M. (2019). Translation and validation of the Chinese ICD-11 International Trauma Questionnaire (ITQ) for the Assessment of Posttraumatic Stress Disorder (PTSD) and Complex PTSD (CPTSD). </w:t>
      </w:r>
      <w:r w:rsidRPr="002D43CE">
        <w:rPr>
          <w:i/>
          <w:iCs/>
          <w:noProof/>
          <w:color w:val="auto"/>
        </w:rPr>
        <w:t>European Journal of Psychotraumatology</w:t>
      </w:r>
      <w:r w:rsidRPr="002D43CE">
        <w:rPr>
          <w:noProof/>
          <w:color w:val="auto"/>
        </w:rPr>
        <w:t xml:space="preserve">, </w:t>
      </w:r>
      <w:r w:rsidRPr="002D43CE">
        <w:rPr>
          <w:i/>
          <w:iCs/>
          <w:noProof/>
          <w:color w:val="auto"/>
        </w:rPr>
        <w:t>10</w:t>
      </w:r>
      <w:r w:rsidRPr="002D43CE">
        <w:rPr>
          <w:noProof/>
          <w:color w:val="auto"/>
        </w:rPr>
        <w:t>(1), 1608718. https://doi.org/10.1080/20008198.2019.1608718</w:t>
      </w:r>
    </w:p>
    <w:p w14:paraId="144989D4"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Hyland, P., Shevlin, M., Brewin, C. R., Cloitre, M., Downes, A. J., Jumbe, S., … Roberts, N. P. (2017). Validation of post-traumatic stress disorder (PTSD) and complex PTSD using the International Trauma Questionnaire. </w:t>
      </w:r>
      <w:r w:rsidRPr="002D43CE">
        <w:rPr>
          <w:i/>
          <w:iCs/>
          <w:noProof/>
          <w:color w:val="auto"/>
        </w:rPr>
        <w:t>Acta Psychiatrica Scandinavica</w:t>
      </w:r>
      <w:r w:rsidRPr="002D43CE">
        <w:rPr>
          <w:noProof/>
          <w:color w:val="auto"/>
        </w:rPr>
        <w:t xml:space="preserve">, </w:t>
      </w:r>
      <w:r w:rsidRPr="002D43CE">
        <w:rPr>
          <w:i/>
          <w:iCs/>
          <w:noProof/>
          <w:color w:val="auto"/>
        </w:rPr>
        <w:t>136</w:t>
      </w:r>
      <w:r w:rsidRPr="002D43CE">
        <w:rPr>
          <w:noProof/>
          <w:color w:val="auto"/>
        </w:rPr>
        <w:t>(3), 313–322. https://doi.org/10.1111/acps.12771</w:t>
      </w:r>
    </w:p>
    <w:p w14:paraId="64394CB3"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Karatzias, T., Cloitre, M., Maercker, A., Kazlauskas, E., Shevlin, M., Hyland, P., … Brewin, C. R. (2017). PTSD and Complex PTSD: ICD-11 updates on concept and measurement in the UK, USA, Germany and Lithuania. </w:t>
      </w:r>
      <w:r w:rsidRPr="002D43CE">
        <w:rPr>
          <w:i/>
          <w:iCs/>
          <w:noProof/>
          <w:color w:val="auto"/>
        </w:rPr>
        <w:t>European Journal of Psychotraumatology</w:t>
      </w:r>
      <w:r w:rsidRPr="002D43CE">
        <w:rPr>
          <w:noProof/>
          <w:color w:val="auto"/>
        </w:rPr>
        <w:t xml:space="preserve">, </w:t>
      </w:r>
      <w:r w:rsidRPr="002D43CE">
        <w:rPr>
          <w:i/>
          <w:iCs/>
          <w:noProof/>
          <w:color w:val="auto"/>
        </w:rPr>
        <w:t>8</w:t>
      </w:r>
      <w:r w:rsidRPr="002D43CE">
        <w:rPr>
          <w:noProof/>
          <w:color w:val="auto"/>
        </w:rPr>
        <w:t>(sup7), 1418103. https://doi.org/10.1080/20008198.2017.1418103</w:t>
      </w:r>
    </w:p>
    <w:p w14:paraId="05406232"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Kazlauskas, E., Gegieckaite, G., Hyland, P., Zelviene, P., &amp; Cloitre, M. (2018). The structure of ICD-11 PTSD and complex PTSD in Lithuanian mental health services. </w:t>
      </w:r>
      <w:r w:rsidRPr="002D43CE">
        <w:rPr>
          <w:i/>
          <w:iCs/>
          <w:noProof/>
          <w:color w:val="auto"/>
        </w:rPr>
        <w:t>European Journal of Psychotraumatology</w:t>
      </w:r>
      <w:r w:rsidRPr="002D43CE">
        <w:rPr>
          <w:noProof/>
          <w:color w:val="auto"/>
        </w:rPr>
        <w:t xml:space="preserve">, </w:t>
      </w:r>
      <w:r w:rsidRPr="002D43CE">
        <w:rPr>
          <w:i/>
          <w:iCs/>
          <w:noProof/>
          <w:color w:val="auto"/>
        </w:rPr>
        <w:t>9</w:t>
      </w:r>
      <w:r w:rsidRPr="002D43CE">
        <w:rPr>
          <w:noProof/>
          <w:color w:val="auto"/>
        </w:rPr>
        <w:t>(1). https://doi.org/10.1080/20008198.2017.1414559</w:t>
      </w:r>
    </w:p>
    <w:p w14:paraId="1203D29C"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Kline, R. B. (2011). </w:t>
      </w:r>
      <w:r w:rsidRPr="002D43CE">
        <w:rPr>
          <w:i/>
          <w:iCs/>
          <w:noProof/>
          <w:color w:val="auto"/>
        </w:rPr>
        <w:t>Principles and practice of structural equation modeling</w:t>
      </w:r>
      <w:r w:rsidRPr="002D43CE">
        <w:rPr>
          <w:noProof/>
          <w:color w:val="auto"/>
        </w:rPr>
        <w:t xml:space="preserve">. </w:t>
      </w:r>
      <w:r w:rsidRPr="002D43CE">
        <w:rPr>
          <w:i/>
          <w:iCs/>
          <w:noProof/>
          <w:color w:val="auto"/>
        </w:rPr>
        <w:t>Principles and practice of structural equation modeling</w:t>
      </w:r>
      <w:r w:rsidRPr="002D43CE">
        <w:rPr>
          <w:noProof/>
          <w:color w:val="auto"/>
        </w:rPr>
        <w:t xml:space="preserve"> (3rd ed.). New York: The Guilford Press. https://doi.org/10.1038/156278a0</w:t>
      </w:r>
    </w:p>
    <w:p w14:paraId="37B37839"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Knefel, M., Lueger-Schuster, B., Bisson, J., Karatzias, T., Kazlauskas, E., &amp; Roberts, N. P. (2019). A Cross-Cultural Comparison of ICD-11 Complex Posttraumatic Stress Disorder Symptom Networks in Austria, the United Kingdom, and Lithuania. </w:t>
      </w:r>
      <w:r w:rsidRPr="002D43CE">
        <w:rPr>
          <w:i/>
          <w:iCs/>
          <w:noProof/>
          <w:color w:val="auto"/>
        </w:rPr>
        <w:t>Journal of Traumatic Stress</w:t>
      </w:r>
      <w:r w:rsidRPr="002D43CE">
        <w:rPr>
          <w:noProof/>
          <w:color w:val="auto"/>
        </w:rPr>
        <w:t>. https://doi.org/10.1002/jts.22361</w:t>
      </w:r>
    </w:p>
    <w:p w14:paraId="7B17FC78"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Nylund, K. L., Asparouhov, T., &amp; Muthén, B. O. (2007). Deciding on the number of classes in Latent Class Analysis and Growth Mixture Modeling: A Monte Carlo simulation study. </w:t>
      </w:r>
      <w:r w:rsidRPr="002D43CE">
        <w:rPr>
          <w:i/>
          <w:iCs/>
          <w:noProof/>
          <w:color w:val="auto"/>
        </w:rPr>
        <w:t>Structural Equation Modeling: A Multidisciplinary Journal</w:t>
      </w:r>
      <w:r w:rsidRPr="002D43CE">
        <w:rPr>
          <w:noProof/>
          <w:color w:val="auto"/>
        </w:rPr>
        <w:t xml:space="preserve">, </w:t>
      </w:r>
      <w:r w:rsidRPr="002D43CE">
        <w:rPr>
          <w:i/>
          <w:iCs/>
          <w:noProof/>
          <w:color w:val="auto"/>
        </w:rPr>
        <w:t>14</w:t>
      </w:r>
      <w:r w:rsidRPr="002D43CE">
        <w:rPr>
          <w:noProof/>
          <w:color w:val="auto"/>
        </w:rPr>
        <w:t>(4), 535–569. https://doi.org/10.1080/10705510701575396</w:t>
      </w:r>
    </w:p>
    <w:p w14:paraId="623D78A9"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Sachser, C., Berliner, L., Holt, T., Jensen, T. K., Jungbluth, N., Risch, E., … Goldbeck, L. (2017). International development and psychometric properties of the Child and Adolescent Trauma Screen (CATS). </w:t>
      </w:r>
      <w:r w:rsidRPr="002D43CE">
        <w:rPr>
          <w:i/>
          <w:iCs/>
          <w:noProof/>
          <w:color w:val="auto"/>
        </w:rPr>
        <w:t>Journal of Affective Disorders</w:t>
      </w:r>
      <w:r w:rsidRPr="002D43CE">
        <w:rPr>
          <w:noProof/>
          <w:color w:val="auto"/>
        </w:rPr>
        <w:t xml:space="preserve">, </w:t>
      </w:r>
      <w:r w:rsidRPr="002D43CE">
        <w:rPr>
          <w:i/>
          <w:iCs/>
          <w:noProof/>
          <w:color w:val="auto"/>
        </w:rPr>
        <w:t>210</w:t>
      </w:r>
      <w:r w:rsidRPr="002D43CE">
        <w:rPr>
          <w:noProof/>
          <w:color w:val="auto"/>
        </w:rPr>
        <w:t>(December 2016), 189–195. https://doi.org/10.1016/j.jad.2016.12.040</w:t>
      </w:r>
    </w:p>
    <w:p w14:paraId="6B4AC8FA"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Sachser, C., Keller, F., &amp; Goldbeck, L. (2017). Complex PTSD as proposed for ICD-11: validation of a new disorder in children and adolescents and their response to Trauma-</w:t>
      </w:r>
      <w:r w:rsidRPr="002D43CE">
        <w:rPr>
          <w:noProof/>
          <w:color w:val="auto"/>
        </w:rPr>
        <w:lastRenderedPageBreak/>
        <w:t xml:space="preserve">Focused Cognitive Behavioral Therapy. </w:t>
      </w:r>
      <w:r w:rsidRPr="002D43CE">
        <w:rPr>
          <w:i/>
          <w:iCs/>
          <w:noProof/>
          <w:color w:val="auto"/>
        </w:rPr>
        <w:t>Journal of Child Psychology and Psychiatry and Allied Disciplines</w:t>
      </w:r>
      <w:r w:rsidRPr="002D43CE">
        <w:rPr>
          <w:noProof/>
          <w:color w:val="auto"/>
        </w:rPr>
        <w:t xml:space="preserve">, </w:t>
      </w:r>
      <w:r w:rsidRPr="002D43CE">
        <w:rPr>
          <w:i/>
          <w:iCs/>
          <w:noProof/>
          <w:color w:val="auto"/>
        </w:rPr>
        <w:t>58</w:t>
      </w:r>
      <w:r w:rsidRPr="002D43CE">
        <w:rPr>
          <w:noProof/>
          <w:color w:val="auto"/>
        </w:rPr>
        <w:t>(2), 160–168. https://doi.org/10.1111/jcpp.12640</w:t>
      </w:r>
    </w:p>
    <w:p w14:paraId="2F0D1A01"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Shevlin, M., Hyland, P., Karatzias, T., Fyvie, C., Roberts, N., Bisson, J. I., … Cloitre, M. (2017). Alternative models of disorders of traumatic stress based on the new ICD-11 proposals. </w:t>
      </w:r>
      <w:r w:rsidRPr="002D43CE">
        <w:rPr>
          <w:i/>
          <w:iCs/>
          <w:noProof/>
          <w:color w:val="auto"/>
        </w:rPr>
        <w:t>Acta Psychiatrica Scandinavica</w:t>
      </w:r>
      <w:r w:rsidRPr="002D43CE">
        <w:rPr>
          <w:noProof/>
          <w:color w:val="auto"/>
        </w:rPr>
        <w:t xml:space="preserve">, </w:t>
      </w:r>
      <w:r w:rsidRPr="002D43CE">
        <w:rPr>
          <w:i/>
          <w:iCs/>
          <w:noProof/>
          <w:color w:val="auto"/>
        </w:rPr>
        <w:t>135</w:t>
      </w:r>
      <w:r w:rsidRPr="002D43CE">
        <w:rPr>
          <w:noProof/>
          <w:color w:val="auto"/>
        </w:rPr>
        <w:t>(5), 419–428. https://doi.org/10.1111/acps.12695</w:t>
      </w:r>
    </w:p>
    <w:p w14:paraId="24AB6385"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Tanaka, J. S. (1987). “ How Big Is Big Enough ?”: Sample Size and Goodness of Fit in Structural Equation Models with Latent Variables. </w:t>
      </w:r>
      <w:r w:rsidRPr="002D43CE">
        <w:rPr>
          <w:i/>
          <w:iCs/>
          <w:noProof/>
          <w:color w:val="auto"/>
        </w:rPr>
        <w:t>Child Development</w:t>
      </w:r>
      <w:r w:rsidRPr="002D43CE">
        <w:rPr>
          <w:noProof/>
          <w:color w:val="auto"/>
        </w:rPr>
        <w:t xml:space="preserve">, </w:t>
      </w:r>
      <w:r w:rsidRPr="002D43CE">
        <w:rPr>
          <w:i/>
          <w:iCs/>
          <w:noProof/>
          <w:color w:val="auto"/>
        </w:rPr>
        <w:t>58</w:t>
      </w:r>
      <w:r w:rsidRPr="002D43CE">
        <w:rPr>
          <w:noProof/>
          <w:color w:val="auto"/>
        </w:rPr>
        <w:t>(1), 134–146.</w:t>
      </w:r>
    </w:p>
    <w:p w14:paraId="5E159FE9" w14:textId="77777777" w:rsidR="00FB617D" w:rsidRPr="002D43CE" w:rsidRDefault="00FB617D" w:rsidP="00FB617D">
      <w:pPr>
        <w:widowControl w:val="0"/>
        <w:autoSpaceDE w:val="0"/>
        <w:autoSpaceDN w:val="0"/>
        <w:adjustRightInd w:val="0"/>
        <w:spacing w:line="360" w:lineRule="auto"/>
        <w:ind w:left="480" w:hanging="480"/>
        <w:rPr>
          <w:noProof/>
          <w:color w:val="auto"/>
        </w:rPr>
      </w:pPr>
      <w:r w:rsidRPr="002D43CE">
        <w:rPr>
          <w:noProof/>
          <w:color w:val="auto"/>
        </w:rPr>
        <w:t xml:space="preserve">World Health Organization. (2018). </w:t>
      </w:r>
      <w:r w:rsidRPr="002D43CE">
        <w:rPr>
          <w:i/>
          <w:iCs/>
          <w:noProof/>
          <w:color w:val="auto"/>
        </w:rPr>
        <w:t>International classification of diseases for mortality and morbidity statistics (11th Revision).</w:t>
      </w:r>
      <w:r w:rsidRPr="002D43CE">
        <w:rPr>
          <w:noProof/>
          <w:color w:val="auto"/>
        </w:rPr>
        <w:t xml:space="preserve"> Retrieved from https://icd.who.int/browse11/l-m/en</w:t>
      </w:r>
    </w:p>
    <w:p w14:paraId="3A836D76" w14:textId="23127467" w:rsidR="00DA4076" w:rsidRPr="002D43CE" w:rsidRDefault="000D0EB4" w:rsidP="00393BE0">
      <w:pPr>
        <w:widowControl w:val="0"/>
        <w:autoSpaceDE w:val="0"/>
        <w:autoSpaceDN w:val="0"/>
        <w:adjustRightInd w:val="0"/>
        <w:spacing w:line="360" w:lineRule="auto"/>
        <w:ind w:left="480" w:hanging="480"/>
        <w:rPr>
          <w:b/>
          <w:color w:val="auto"/>
        </w:rPr>
      </w:pPr>
      <w:r w:rsidRPr="002D43CE">
        <w:rPr>
          <w:b/>
          <w:color w:val="auto"/>
        </w:rPr>
        <w:fldChar w:fldCharType="end"/>
      </w:r>
    </w:p>
    <w:p w14:paraId="6C6F0E74" w14:textId="0BFE6C0A" w:rsidR="00DA4076" w:rsidRPr="002D43CE" w:rsidRDefault="00DA4076" w:rsidP="00393BE0">
      <w:pPr>
        <w:widowControl w:val="0"/>
        <w:autoSpaceDE w:val="0"/>
        <w:autoSpaceDN w:val="0"/>
        <w:adjustRightInd w:val="0"/>
        <w:spacing w:line="360" w:lineRule="auto"/>
        <w:ind w:left="480" w:hanging="480"/>
        <w:rPr>
          <w:b/>
          <w:color w:val="auto"/>
        </w:rPr>
      </w:pPr>
      <w:r w:rsidRPr="002D43CE">
        <w:rPr>
          <w:b/>
          <w:color w:val="auto"/>
        </w:rPr>
        <w:br w:type="page"/>
      </w:r>
    </w:p>
    <w:p w14:paraId="7E5B990A" w14:textId="77777777" w:rsidR="00DA4076" w:rsidRPr="002D43CE" w:rsidRDefault="00DA4076">
      <w:pPr>
        <w:suppressAutoHyphens w:val="0"/>
        <w:spacing w:line="240" w:lineRule="auto"/>
        <w:rPr>
          <w:b/>
          <w:color w:val="auto"/>
        </w:rPr>
      </w:pPr>
    </w:p>
    <w:p w14:paraId="33A336AF" w14:textId="7EA30523" w:rsidR="00DA4076" w:rsidRPr="002D43CE" w:rsidRDefault="00DA4076" w:rsidP="00DA4076">
      <w:pPr>
        <w:spacing w:line="240" w:lineRule="auto"/>
        <w:ind w:left="-270"/>
        <w:rPr>
          <w:i/>
          <w:color w:val="auto"/>
        </w:rPr>
      </w:pPr>
      <w:r w:rsidRPr="002D43CE">
        <w:rPr>
          <w:color w:val="auto"/>
        </w:rPr>
        <w:t xml:space="preserve">Table 1. </w:t>
      </w:r>
      <w:r w:rsidRPr="002D43CE">
        <w:rPr>
          <w:i/>
          <w:color w:val="auto"/>
        </w:rPr>
        <w:t xml:space="preserve">Standardized Factor Loadings and Standard Errors for the First-order Six Factor Model (Model </w:t>
      </w:r>
      <w:r w:rsidRPr="002D43CE">
        <w:rPr>
          <w:i/>
          <w:color w:val="auto"/>
          <w:lang w:val="en-GB"/>
        </w:rPr>
        <w:t>2</w:t>
      </w:r>
      <w:r w:rsidRPr="002D43CE">
        <w:rPr>
          <w:i/>
          <w:color w:val="auto"/>
        </w:rPr>
        <w:t>)</w:t>
      </w:r>
    </w:p>
    <w:p w14:paraId="1775A8A6" w14:textId="77777777" w:rsidR="00DA4076" w:rsidRPr="002D43CE" w:rsidRDefault="00DA4076" w:rsidP="00DA4076">
      <w:pPr>
        <w:spacing w:line="240" w:lineRule="auto"/>
        <w:ind w:left="-270"/>
        <w:rPr>
          <w:i/>
          <w:color w:val="auto"/>
        </w:rPr>
      </w:pPr>
    </w:p>
    <w:tbl>
      <w:tblPr>
        <w:tblStyle w:val="TableGrid"/>
        <w:tblW w:w="10263" w:type="dxa"/>
        <w:tblInd w:w="-4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1101"/>
        <w:gridCol w:w="1164"/>
        <w:gridCol w:w="70"/>
        <w:gridCol w:w="1147"/>
        <w:gridCol w:w="69"/>
        <w:gridCol w:w="1054"/>
        <w:gridCol w:w="70"/>
        <w:gridCol w:w="1157"/>
        <w:gridCol w:w="69"/>
        <w:gridCol w:w="1044"/>
        <w:gridCol w:w="63"/>
      </w:tblGrid>
      <w:tr w:rsidR="009C2C98" w:rsidRPr="002D43CE" w14:paraId="1AF4DDEE" w14:textId="77777777" w:rsidTr="003E57D4">
        <w:tc>
          <w:tcPr>
            <w:tcW w:w="3255" w:type="dxa"/>
            <w:tcBorders>
              <w:top w:val="single" w:sz="4" w:space="0" w:color="auto"/>
              <w:bottom w:val="nil"/>
            </w:tcBorders>
            <w:vAlign w:val="center"/>
          </w:tcPr>
          <w:p w14:paraId="16968875" w14:textId="77777777" w:rsidR="0017314F" w:rsidRPr="002D43CE" w:rsidRDefault="0017314F" w:rsidP="00F90BC1">
            <w:pPr>
              <w:spacing w:line="240" w:lineRule="auto"/>
              <w:jc w:val="center"/>
              <w:rPr>
                <w:rFonts w:ascii="Times New Roman" w:hAnsi="Times New Roman" w:cs="Times New Roman"/>
                <w:b/>
                <w:color w:val="auto"/>
                <w:sz w:val="20"/>
                <w:szCs w:val="20"/>
              </w:rPr>
            </w:pPr>
            <w:r w:rsidRPr="002D43CE">
              <w:rPr>
                <w:rFonts w:ascii="Times New Roman" w:hAnsi="Times New Roman" w:cs="Times New Roman"/>
                <w:b/>
                <w:color w:val="auto"/>
                <w:sz w:val="20"/>
                <w:szCs w:val="20"/>
              </w:rPr>
              <w:t>First-order latent factors</w:t>
            </w:r>
          </w:p>
          <w:p w14:paraId="18CFF244" w14:textId="347F66C6" w:rsidR="0017314F" w:rsidRPr="002D43CE" w:rsidRDefault="0017314F" w:rsidP="0017314F">
            <w:pPr>
              <w:spacing w:line="240" w:lineRule="auto"/>
              <w:rPr>
                <w:b/>
                <w:color w:val="auto"/>
                <w:sz w:val="20"/>
                <w:szCs w:val="20"/>
              </w:rPr>
            </w:pPr>
          </w:p>
        </w:tc>
        <w:tc>
          <w:tcPr>
            <w:tcW w:w="1101" w:type="dxa"/>
            <w:tcBorders>
              <w:top w:val="single" w:sz="4" w:space="0" w:color="auto"/>
              <w:bottom w:val="nil"/>
            </w:tcBorders>
          </w:tcPr>
          <w:p w14:paraId="7C8DE494" w14:textId="47EF0908" w:rsidR="0017314F" w:rsidRPr="002D43CE" w:rsidRDefault="0017314F" w:rsidP="0017314F">
            <w:pPr>
              <w:spacing w:line="240" w:lineRule="auto"/>
              <w:rPr>
                <w:color w:val="auto"/>
                <w:sz w:val="20"/>
                <w:szCs w:val="20"/>
              </w:rPr>
            </w:pPr>
            <w:r w:rsidRPr="002D43CE">
              <w:rPr>
                <w:rFonts w:ascii="Times New Roman" w:hAnsi="Times New Roman" w:cs="Times New Roman"/>
                <w:b/>
                <w:color w:val="auto"/>
                <w:sz w:val="20"/>
                <w:szCs w:val="20"/>
              </w:rPr>
              <w:t>Re</w:t>
            </w:r>
          </w:p>
        </w:tc>
        <w:tc>
          <w:tcPr>
            <w:tcW w:w="1234" w:type="dxa"/>
            <w:gridSpan w:val="2"/>
            <w:tcBorders>
              <w:top w:val="single" w:sz="4" w:space="0" w:color="auto"/>
              <w:bottom w:val="nil"/>
            </w:tcBorders>
          </w:tcPr>
          <w:p w14:paraId="6A8705B6" w14:textId="356F9481" w:rsidR="0017314F" w:rsidRPr="002D43CE" w:rsidRDefault="0017314F" w:rsidP="0017314F">
            <w:pPr>
              <w:spacing w:line="240" w:lineRule="auto"/>
              <w:rPr>
                <w:color w:val="auto"/>
                <w:sz w:val="20"/>
                <w:szCs w:val="20"/>
              </w:rPr>
            </w:pPr>
            <w:r w:rsidRPr="002D43CE">
              <w:rPr>
                <w:rFonts w:ascii="Times New Roman" w:hAnsi="Times New Roman" w:cs="Times New Roman"/>
                <w:b/>
                <w:color w:val="auto"/>
                <w:sz w:val="20"/>
                <w:szCs w:val="20"/>
              </w:rPr>
              <w:t>Av</w:t>
            </w:r>
          </w:p>
        </w:tc>
        <w:tc>
          <w:tcPr>
            <w:tcW w:w="1216" w:type="dxa"/>
            <w:gridSpan w:val="2"/>
            <w:tcBorders>
              <w:top w:val="single" w:sz="4" w:space="0" w:color="auto"/>
              <w:bottom w:val="nil"/>
            </w:tcBorders>
          </w:tcPr>
          <w:p w14:paraId="58F3125F" w14:textId="5F68AAB2" w:rsidR="0017314F" w:rsidRPr="002D43CE" w:rsidRDefault="0017314F" w:rsidP="0017314F">
            <w:pPr>
              <w:spacing w:line="240" w:lineRule="auto"/>
              <w:rPr>
                <w:color w:val="auto"/>
                <w:sz w:val="20"/>
                <w:szCs w:val="20"/>
              </w:rPr>
            </w:pPr>
            <w:proofErr w:type="spellStart"/>
            <w:r w:rsidRPr="002D43CE">
              <w:rPr>
                <w:rFonts w:ascii="Times New Roman" w:hAnsi="Times New Roman" w:cs="Times New Roman"/>
                <w:b/>
                <w:color w:val="auto"/>
                <w:sz w:val="20"/>
                <w:szCs w:val="20"/>
              </w:rPr>
              <w:t>SoT</w:t>
            </w:r>
            <w:proofErr w:type="spellEnd"/>
          </w:p>
        </w:tc>
        <w:tc>
          <w:tcPr>
            <w:tcW w:w="1124" w:type="dxa"/>
            <w:gridSpan w:val="2"/>
            <w:tcBorders>
              <w:top w:val="single" w:sz="4" w:space="0" w:color="auto"/>
              <w:bottom w:val="nil"/>
            </w:tcBorders>
          </w:tcPr>
          <w:p w14:paraId="0014BF00" w14:textId="4D696A98" w:rsidR="0017314F" w:rsidRPr="002D43CE" w:rsidRDefault="0017314F" w:rsidP="0017314F">
            <w:pPr>
              <w:spacing w:line="240" w:lineRule="auto"/>
              <w:rPr>
                <w:color w:val="auto"/>
                <w:sz w:val="20"/>
                <w:szCs w:val="20"/>
              </w:rPr>
            </w:pPr>
            <w:r w:rsidRPr="002D43CE">
              <w:rPr>
                <w:rFonts w:ascii="Times New Roman" w:hAnsi="Times New Roman" w:cs="Times New Roman"/>
                <w:b/>
                <w:color w:val="auto"/>
                <w:sz w:val="20"/>
                <w:szCs w:val="20"/>
              </w:rPr>
              <w:t>AD</w:t>
            </w:r>
          </w:p>
        </w:tc>
        <w:tc>
          <w:tcPr>
            <w:tcW w:w="1226" w:type="dxa"/>
            <w:gridSpan w:val="2"/>
            <w:tcBorders>
              <w:top w:val="single" w:sz="4" w:space="0" w:color="auto"/>
              <w:bottom w:val="nil"/>
            </w:tcBorders>
          </w:tcPr>
          <w:p w14:paraId="36F01979" w14:textId="602B33B1" w:rsidR="0017314F" w:rsidRPr="002D43CE" w:rsidRDefault="0017314F" w:rsidP="0017314F">
            <w:pPr>
              <w:spacing w:line="240" w:lineRule="auto"/>
              <w:rPr>
                <w:color w:val="auto"/>
                <w:sz w:val="20"/>
                <w:szCs w:val="20"/>
              </w:rPr>
            </w:pPr>
            <w:r w:rsidRPr="002D43CE">
              <w:rPr>
                <w:rFonts w:ascii="Times New Roman" w:hAnsi="Times New Roman" w:cs="Times New Roman"/>
                <w:b/>
                <w:color w:val="auto"/>
                <w:sz w:val="20"/>
                <w:szCs w:val="20"/>
              </w:rPr>
              <w:t>NSC</w:t>
            </w:r>
          </w:p>
        </w:tc>
        <w:tc>
          <w:tcPr>
            <w:tcW w:w="1107" w:type="dxa"/>
            <w:gridSpan w:val="2"/>
            <w:tcBorders>
              <w:top w:val="single" w:sz="4" w:space="0" w:color="auto"/>
              <w:bottom w:val="nil"/>
            </w:tcBorders>
          </w:tcPr>
          <w:p w14:paraId="340E12D2" w14:textId="746AEB68" w:rsidR="0017314F" w:rsidRPr="002D43CE" w:rsidRDefault="0017314F" w:rsidP="0017314F">
            <w:pPr>
              <w:spacing w:line="240" w:lineRule="auto"/>
              <w:rPr>
                <w:color w:val="auto"/>
                <w:sz w:val="20"/>
                <w:szCs w:val="20"/>
              </w:rPr>
            </w:pPr>
            <w:r w:rsidRPr="002D43CE">
              <w:rPr>
                <w:rFonts w:ascii="Times New Roman" w:hAnsi="Times New Roman" w:cs="Times New Roman"/>
                <w:b/>
                <w:color w:val="auto"/>
                <w:sz w:val="20"/>
                <w:szCs w:val="20"/>
              </w:rPr>
              <w:t>DR</w:t>
            </w:r>
          </w:p>
        </w:tc>
      </w:tr>
      <w:tr w:rsidR="009C2C98" w:rsidRPr="002D43CE" w14:paraId="3FDD948B" w14:textId="77777777" w:rsidTr="0017314F">
        <w:tc>
          <w:tcPr>
            <w:tcW w:w="3255" w:type="dxa"/>
            <w:tcBorders>
              <w:top w:val="single" w:sz="4" w:space="0" w:color="auto"/>
              <w:bottom w:val="nil"/>
            </w:tcBorders>
          </w:tcPr>
          <w:p w14:paraId="26A2B171" w14:textId="77777777" w:rsidR="0017314F" w:rsidRPr="002D43CE" w:rsidRDefault="0017314F" w:rsidP="0017314F">
            <w:pPr>
              <w:spacing w:line="240" w:lineRule="auto"/>
              <w:rPr>
                <w:rFonts w:ascii="Times New Roman" w:hAnsi="Times New Roman" w:cs="Times New Roman"/>
                <w:b/>
                <w:color w:val="auto"/>
                <w:sz w:val="20"/>
                <w:szCs w:val="20"/>
              </w:rPr>
            </w:pPr>
          </w:p>
          <w:p w14:paraId="00C268F0" w14:textId="420A77CC" w:rsidR="0017314F" w:rsidRPr="002D43CE" w:rsidRDefault="0017314F" w:rsidP="0017314F">
            <w:pPr>
              <w:spacing w:line="240" w:lineRule="auto"/>
              <w:rPr>
                <w:b/>
                <w:color w:val="auto"/>
                <w:sz w:val="20"/>
                <w:szCs w:val="20"/>
              </w:rPr>
            </w:pPr>
            <w:r w:rsidRPr="002D43CE">
              <w:rPr>
                <w:rFonts w:ascii="Times New Roman" w:hAnsi="Times New Roman" w:cs="Times New Roman"/>
                <w:b/>
                <w:color w:val="auto"/>
                <w:sz w:val="20"/>
                <w:szCs w:val="20"/>
              </w:rPr>
              <w:t>ITQ-CA items</w:t>
            </w:r>
          </w:p>
        </w:tc>
        <w:tc>
          <w:tcPr>
            <w:tcW w:w="7008" w:type="dxa"/>
            <w:gridSpan w:val="11"/>
            <w:tcBorders>
              <w:top w:val="single" w:sz="4" w:space="0" w:color="auto"/>
              <w:bottom w:val="nil"/>
            </w:tcBorders>
            <w:vAlign w:val="center"/>
          </w:tcPr>
          <w:p w14:paraId="6DFA8C19" w14:textId="20116F3F" w:rsidR="0017314F" w:rsidRPr="002D43CE" w:rsidRDefault="0017314F" w:rsidP="0017314F">
            <w:pPr>
              <w:spacing w:line="240" w:lineRule="auto"/>
              <w:jc w:val="center"/>
              <w:rPr>
                <w:color w:val="auto"/>
                <w:sz w:val="20"/>
                <w:szCs w:val="20"/>
              </w:rPr>
            </w:pPr>
            <w:r w:rsidRPr="002D43CE">
              <w:rPr>
                <w:rFonts w:ascii="Times New Roman" w:hAnsi="Times New Roman" w:cs="Times New Roman"/>
                <w:color w:val="auto"/>
                <w:sz w:val="20"/>
                <w:szCs w:val="20"/>
              </w:rPr>
              <w:t>Factor loadings (standard error)</w:t>
            </w:r>
          </w:p>
        </w:tc>
      </w:tr>
      <w:tr w:rsidR="009C2C98" w:rsidRPr="002D43CE" w14:paraId="288B3C2C" w14:textId="77777777" w:rsidTr="004B32FA">
        <w:tc>
          <w:tcPr>
            <w:tcW w:w="3255" w:type="dxa"/>
            <w:tcBorders>
              <w:top w:val="single" w:sz="4" w:space="0" w:color="auto"/>
              <w:bottom w:val="nil"/>
            </w:tcBorders>
          </w:tcPr>
          <w:p w14:paraId="591C16E6" w14:textId="77E0F118" w:rsidR="0017314F" w:rsidRPr="002D43CE" w:rsidRDefault="0017314F" w:rsidP="0017314F">
            <w:pPr>
              <w:spacing w:line="240" w:lineRule="auto"/>
              <w:rPr>
                <w:rFonts w:ascii="Times New Roman" w:hAnsi="Times New Roman" w:cs="Times New Roman"/>
                <w:color w:val="auto"/>
                <w:sz w:val="20"/>
                <w:szCs w:val="20"/>
              </w:rPr>
            </w:pPr>
          </w:p>
        </w:tc>
        <w:tc>
          <w:tcPr>
            <w:tcW w:w="1101" w:type="dxa"/>
            <w:tcBorders>
              <w:top w:val="single" w:sz="4" w:space="0" w:color="auto"/>
              <w:bottom w:val="nil"/>
            </w:tcBorders>
          </w:tcPr>
          <w:p w14:paraId="25A76068"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Borders>
              <w:top w:val="single" w:sz="4" w:space="0" w:color="auto"/>
              <w:bottom w:val="nil"/>
            </w:tcBorders>
          </w:tcPr>
          <w:p w14:paraId="212A2A02"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Borders>
              <w:top w:val="single" w:sz="4" w:space="0" w:color="auto"/>
              <w:bottom w:val="nil"/>
            </w:tcBorders>
          </w:tcPr>
          <w:p w14:paraId="699A595A"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Borders>
              <w:top w:val="single" w:sz="4" w:space="0" w:color="auto"/>
              <w:bottom w:val="nil"/>
            </w:tcBorders>
          </w:tcPr>
          <w:p w14:paraId="6162CE99"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Borders>
              <w:top w:val="single" w:sz="4" w:space="0" w:color="auto"/>
              <w:bottom w:val="nil"/>
            </w:tcBorders>
          </w:tcPr>
          <w:p w14:paraId="269CBBEB"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Borders>
              <w:top w:val="single" w:sz="4" w:space="0" w:color="auto"/>
              <w:bottom w:val="nil"/>
            </w:tcBorders>
          </w:tcPr>
          <w:p w14:paraId="65E1F545"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51309917" w14:textId="77777777" w:rsidTr="004B32FA">
        <w:tc>
          <w:tcPr>
            <w:tcW w:w="3255" w:type="dxa"/>
            <w:tcBorders>
              <w:top w:val="nil"/>
            </w:tcBorders>
          </w:tcPr>
          <w:p w14:paraId="0090313D"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1. Bad dreams reminding me of what happened (Re1)</w:t>
            </w:r>
          </w:p>
        </w:tc>
        <w:tc>
          <w:tcPr>
            <w:tcW w:w="1101" w:type="dxa"/>
            <w:tcBorders>
              <w:top w:val="nil"/>
            </w:tcBorders>
          </w:tcPr>
          <w:p w14:paraId="36BDAF0D"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.78 (.02)</w:t>
            </w:r>
          </w:p>
        </w:tc>
        <w:tc>
          <w:tcPr>
            <w:tcW w:w="1234" w:type="dxa"/>
            <w:gridSpan w:val="2"/>
            <w:tcBorders>
              <w:top w:val="nil"/>
            </w:tcBorders>
          </w:tcPr>
          <w:p w14:paraId="25F160EA"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Borders>
              <w:top w:val="nil"/>
            </w:tcBorders>
          </w:tcPr>
          <w:p w14:paraId="381FB21F"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Borders>
              <w:top w:val="nil"/>
            </w:tcBorders>
          </w:tcPr>
          <w:p w14:paraId="3301232F"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Borders>
              <w:top w:val="nil"/>
            </w:tcBorders>
          </w:tcPr>
          <w:p w14:paraId="4DAF8655"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Borders>
              <w:top w:val="nil"/>
            </w:tcBorders>
          </w:tcPr>
          <w:p w14:paraId="61C156EC"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29D53A0C" w14:textId="77777777" w:rsidTr="004B32FA">
        <w:tc>
          <w:tcPr>
            <w:tcW w:w="3255" w:type="dxa"/>
          </w:tcPr>
          <w:p w14:paraId="506DDCC6"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2. Pictures in my head of what happened. Feels like it is happening right now (Re2)</w:t>
            </w:r>
          </w:p>
        </w:tc>
        <w:tc>
          <w:tcPr>
            <w:tcW w:w="1101" w:type="dxa"/>
          </w:tcPr>
          <w:p w14:paraId="21BB7478"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.82 (.02)</w:t>
            </w:r>
          </w:p>
        </w:tc>
        <w:tc>
          <w:tcPr>
            <w:tcW w:w="1234" w:type="dxa"/>
            <w:gridSpan w:val="2"/>
          </w:tcPr>
          <w:p w14:paraId="2F6FDF95"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Pr>
          <w:p w14:paraId="71E1359C"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Pr>
          <w:p w14:paraId="67D2A3BF"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Pr>
          <w:p w14:paraId="16E0BCD1"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Pr>
          <w:p w14:paraId="46B85D04"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240DC4DD" w14:textId="77777777" w:rsidTr="004B32FA">
        <w:tc>
          <w:tcPr>
            <w:tcW w:w="3255" w:type="dxa"/>
          </w:tcPr>
          <w:p w14:paraId="74209ECB"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3. Trying not to think about what happened. Or to not have feelings about it (Av1)</w:t>
            </w:r>
          </w:p>
        </w:tc>
        <w:tc>
          <w:tcPr>
            <w:tcW w:w="1101" w:type="dxa"/>
          </w:tcPr>
          <w:p w14:paraId="2278DA0B"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11519B0F"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.57 (.04)</w:t>
            </w:r>
          </w:p>
        </w:tc>
        <w:tc>
          <w:tcPr>
            <w:tcW w:w="1216" w:type="dxa"/>
            <w:gridSpan w:val="2"/>
          </w:tcPr>
          <w:p w14:paraId="02B657BC"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Pr>
          <w:p w14:paraId="28506D23"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Pr>
          <w:p w14:paraId="3077A724"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Pr>
          <w:p w14:paraId="7953EF3C"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56469EAB" w14:textId="77777777" w:rsidTr="004B32FA">
        <w:tc>
          <w:tcPr>
            <w:tcW w:w="3255" w:type="dxa"/>
          </w:tcPr>
          <w:p w14:paraId="3F4613B3"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4. Staying away from anything that reminds me of what happened (people, places, things, situations, talks) (Av2)</w:t>
            </w:r>
          </w:p>
        </w:tc>
        <w:tc>
          <w:tcPr>
            <w:tcW w:w="1101" w:type="dxa"/>
          </w:tcPr>
          <w:p w14:paraId="7E6E8374"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70B5F9A4"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.74 (.04)</w:t>
            </w:r>
          </w:p>
        </w:tc>
        <w:tc>
          <w:tcPr>
            <w:tcW w:w="1216" w:type="dxa"/>
            <w:gridSpan w:val="2"/>
          </w:tcPr>
          <w:p w14:paraId="1036F634"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Pr>
          <w:p w14:paraId="278FD27A"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Pr>
          <w:p w14:paraId="538A64E4"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Pr>
          <w:p w14:paraId="7F4D5F1C"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4968161C" w14:textId="77777777" w:rsidTr="004B32FA">
        <w:tc>
          <w:tcPr>
            <w:tcW w:w="3255" w:type="dxa"/>
          </w:tcPr>
          <w:p w14:paraId="6E41FCBB"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 xml:space="preserve">5. Being overly careful (checking to see who is around me) </w:t>
            </w:r>
            <w:r w:rsidRPr="002D43CE">
              <w:rPr>
                <w:rFonts w:ascii="Times New Roman" w:eastAsia="TimesNewRoman-Identity-H" w:hAnsi="Times New Roman" w:cs="Times New Roman"/>
                <w:color w:val="auto"/>
                <w:sz w:val="20"/>
                <w:szCs w:val="20"/>
              </w:rPr>
              <w:t>(SoT1)</w:t>
            </w:r>
          </w:p>
        </w:tc>
        <w:tc>
          <w:tcPr>
            <w:tcW w:w="1101" w:type="dxa"/>
          </w:tcPr>
          <w:p w14:paraId="74898060"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5A0ED92F"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Pr>
          <w:p w14:paraId="06AED916"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.45 (.03)</w:t>
            </w:r>
          </w:p>
        </w:tc>
        <w:tc>
          <w:tcPr>
            <w:tcW w:w="1124" w:type="dxa"/>
            <w:gridSpan w:val="2"/>
          </w:tcPr>
          <w:p w14:paraId="7CCAE1E0"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Pr>
          <w:p w14:paraId="0E485A1F"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Pr>
          <w:p w14:paraId="08B6019A"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078718B5" w14:textId="77777777" w:rsidTr="004B32FA">
        <w:tc>
          <w:tcPr>
            <w:tcW w:w="3255" w:type="dxa"/>
          </w:tcPr>
          <w:p w14:paraId="39250D9C"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6. Being jumpy (SoT2)</w:t>
            </w:r>
          </w:p>
        </w:tc>
        <w:tc>
          <w:tcPr>
            <w:tcW w:w="1101" w:type="dxa"/>
          </w:tcPr>
          <w:p w14:paraId="5D87E08D"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40BE7AFB"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Pr>
          <w:p w14:paraId="6680CF64"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.91 (.03)</w:t>
            </w:r>
          </w:p>
        </w:tc>
        <w:tc>
          <w:tcPr>
            <w:tcW w:w="1124" w:type="dxa"/>
            <w:gridSpan w:val="2"/>
          </w:tcPr>
          <w:p w14:paraId="76A111DB"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Pr>
          <w:p w14:paraId="1C36F94B"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Pr>
          <w:p w14:paraId="04067A1B"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6FCD40E3" w14:textId="77777777" w:rsidTr="004B32FA">
        <w:tc>
          <w:tcPr>
            <w:tcW w:w="3255" w:type="dxa"/>
          </w:tcPr>
          <w:p w14:paraId="64CB8263"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7. Having trouble calming down when I am upset (angry, scared or sad) (AD1)</w:t>
            </w:r>
          </w:p>
        </w:tc>
        <w:tc>
          <w:tcPr>
            <w:tcW w:w="1101" w:type="dxa"/>
          </w:tcPr>
          <w:p w14:paraId="6E55F75D"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72FF9E19"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Pr>
          <w:p w14:paraId="536113E6"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Pr>
          <w:p w14:paraId="4E455145"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.71 (.02)</w:t>
            </w:r>
          </w:p>
        </w:tc>
        <w:tc>
          <w:tcPr>
            <w:tcW w:w="1226" w:type="dxa"/>
            <w:gridSpan w:val="2"/>
          </w:tcPr>
          <w:p w14:paraId="544BA16D"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Pr>
          <w:p w14:paraId="747CB8DF"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0118BA1B" w14:textId="77777777" w:rsidTr="004B32FA">
        <w:tc>
          <w:tcPr>
            <w:tcW w:w="3255" w:type="dxa"/>
          </w:tcPr>
          <w:p w14:paraId="303F4AAA"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8. Not being able to have any feelings or feeling empty inside (AD2)</w:t>
            </w:r>
          </w:p>
        </w:tc>
        <w:tc>
          <w:tcPr>
            <w:tcW w:w="1101" w:type="dxa"/>
          </w:tcPr>
          <w:p w14:paraId="07201B87"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75CCAD42"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Pr>
          <w:p w14:paraId="481FA50D"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Pr>
          <w:p w14:paraId="010BC91B"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.69 (.02)</w:t>
            </w:r>
          </w:p>
        </w:tc>
        <w:tc>
          <w:tcPr>
            <w:tcW w:w="1226" w:type="dxa"/>
            <w:gridSpan w:val="2"/>
          </w:tcPr>
          <w:p w14:paraId="3C2EBB12"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Pr>
          <w:p w14:paraId="67CB6619"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4A555D8B" w14:textId="77777777" w:rsidTr="004B32FA">
        <w:tc>
          <w:tcPr>
            <w:tcW w:w="3255" w:type="dxa"/>
          </w:tcPr>
          <w:p w14:paraId="2CA85C4D"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9. Feeling like a failure (NSC1)</w:t>
            </w:r>
          </w:p>
        </w:tc>
        <w:tc>
          <w:tcPr>
            <w:tcW w:w="1101" w:type="dxa"/>
          </w:tcPr>
          <w:p w14:paraId="51E9BC2E"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0EE51D9F"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Pr>
          <w:p w14:paraId="06AE23F3"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Pr>
          <w:p w14:paraId="61A5C3D1"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Pr>
          <w:p w14:paraId="2F561F04"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.81 (.02)</w:t>
            </w:r>
          </w:p>
        </w:tc>
        <w:tc>
          <w:tcPr>
            <w:tcW w:w="1107" w:type="dxa"/>
            <w:gridSpan w:val="2"/>
          </w:tcPr>
          <w:p w14:paraId="15F09A1F"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66888C8A" w14:textId="77777777" w:rsidTr="004B32FA">
        <w:tc>
          <w:tcPr>
            <w:tcW w:w="3255" w:type="dxa"/>
          </w:tcPr>
          <w:p w14:paraId="47F285DF"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10. Thinking I am not a good person (NSC2)</w:t>
            </w:r>
          </w:p>
        </w:tc>
        <w:tc>
          <w:tcPr>
            <w:tcW w:w="1101" w:type="dxa"/>
          </w:tcPr>
          <w:p w14:paraId="3E0696D3"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1DD4FC30"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Pr>
          <w:p w14:paraId="0EDB879F"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Pr>
          <w:p w14:paraId="16EE8B7F"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Pr>
          <w:p w14:paraId="586A4B78"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.69 (.02)</w:t>
            </w:r>
          </w:p>
        </w:tc>
        <w:tc>
          <w:tcPr>
            <w:tcW w:w="1107" w:type="dxa"/>
            <w:gridSpan w:val="2"/>
          </w:tcPr>
          <w:p w14:paraId="00DE2D9D" w14:textId="77777777" w:rsidR="0017314F" w:rsidRPr="002D43CE" w:rsidRDefault="0017314F" w:rsidP="0017314F">
            <w:pPr>
              <w:spacing w:line="240" w:lineRule="auto"/>
              <w:rPr>
                <w:rFonts w:ascii="Times New Roman" w:hAnsi="Times New Roman" w:cs="Times New Roman"/>
                <w:color w:val="auto"/>
                <w:sz w:val="20"/>
                <w:szCs w:val="20"/>
              </w:rPr>
            </w:pPr>
          </w:p>
        </w:tc>
      </w:tr>
      <w:tr w:rsidR="009C2C98" w:rsidRPr="002D43CE" w14:paraId="01986E40" w14:textId="77777777" w:rsidTr="004B32FA">
        <w:tc>
          <w:tcPr>
            <w:tcW w:w="3255" w:type="dxa"/>
          </w:tcPr>
          <w:p w14:paraId="1F84864B"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11. Not feeling close to other people (DR1)</w:t>
            </w:r>
          </w:p>
        </w:tc>
        <w:tc>
          <w:tcPr>
            <w:tcW w:w="1101" w:type="dxa"/>
          </w:tcPr>
          <w:p w14:paraId="3A20A95D"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120E1E85"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Pr>
          <w:p w14:paraId="42B57D9A"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Pr>
          <w:p w14:paraId="47A05A02"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Pr>
          <w:p w14:paraId="6DA9C921"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Pr>
          <w:p w14:paraId="2595DEFE"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.80 (.02)</w:t>
            </w:r>
          </w:p>
        </w:tc>
      </w:tr>
      <w:tr w:rsidR="009C2C98" w:rsidRPr="002D43CE" w14:paraId="06C31ECF" w14:textId="77777777" w:rsidTr="004B32FA">
        <w:tc>
          <w:tcPr>
            <w:tcW w:w="3255" w:type="dxa"/>
          </w:tcPr>
          <w:p w14:paraId="4FCA34A9" w14:textId="77777777" w:rsidR="0017314F" w:rsidRPr="002D43CE" w:rsidRDefault="0017314F" w:rsidP="0017314F">
            <w:pPr>
              <w:autoSpaceDE w:val="0"/>
              <w:autoSpaceDN w:val="0"/>
              <w:adjustRightInd w:val="0"/>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12. Having a hard time staying close to other people  (DR2)</w:t>
            </w:r>
          </w:p>
        </w:tc>
        <w:tc>
          <w:tcPr>
            <w:tcW w:w="1101" w:type="dxa"/>
          </w:tcPr>
          <w:p w14:paraId="1B532611" w14:textId="77777777" w:rsidR="0017314F" w:rsidRPr="002D43CE" w:rsidRDefault="0017314F" w:rsidP="0017314F">
            <w:pPr>
              <w:spacing w:line="240" w:lineRule="auto"/>
              <w:rPr>
                <w:rFonts w:ascii="Times New Roman" w:hAnsi="Times New Roman" w:cs="Times New Roman"/>
                <w:color w:val="auto"/>
                <w:sz w:val="20"/>
                <w:szCs w:val="20"/>
              </w:rPr>
            </w:pPr>
          </w:p>
        </w:tc>
        <w:tc>
          <w:tcPr>
            <w:tcW w:w="1234" w:type="dxa"/>
            <w:gridSpan w:val="2"/>
          </w:tcPr>
          <w:p w14:paraId="5FE823FB" w14:textId="77777777" w:rsidR="0017314F" w:rsidRPr="002D43CE" w:rsidRDefault="0017314F" w:rsidP="0017314F">
            <w:pPr>
              <w:spacing w:line="240" w:lineRule="auto"/>
              <w:rPr>
                <w:rFonts w:ascii="Times New Roman" w:hAnsi="Times New Roman" w:cs="Times New Roman"/>
                <w:color w:val="auto"/>
                <w:sz w:val="20"/>
                <w:szCs w:val="20"/>
              </w:rPr>
            </w:pPr>
          </w:p>
        </w:tc>
        <w:tc>
          <w:tcPr>
            <w:tcW w:w="1216" w:type="dxa"/>
            <w:gridSpan w:val="2"/>
          </w:tcPr>
          <w:p w14:paraId="67B92ACC" w14:textId="77777777" w:rsidR="0017314F" w:rsidRPr="002D43CE" w:rsidRDefault="0017314F" w:rsidP="0017314F">
            <w:pPr>
              <w:spacing w:line="240" w:lineRule="auto"/>
              <w:rPr>
                <w:rFonts w:ascii="Times New Roman" w:hAnsi="Times New Roman" w:cs="Times New Roman"/>
                <w:color w:val="auto"/>
                <w:sz w:val="20"/>
                <w:szCs w:val="20"/>
              </w:rPr>
            </w:pPr>
          </w:p>
        </w:tc>
        <w:tc>
          <w:tcPr>
            <w:tcW w:w="1124" w:type="dxa"/>
            <w:gridSpan w:val="2"/>
          </w:tcPr>
          <w:p w14:paraId="45ABD36A" w14:textId="77777777" w:rsidR="0017314F" w:rsidRPr="002D43CE" w:rsidRDefault="0017314F" w:rsidP="0017314F">
            <w:pPr>
              <w:spacing w:line="240" w:lineRule="auto"/>
              <w:rPr>
                <w:rFonts w:ascii="Times New Roman" w:hAnsi="Times New Roman" w:cs="Times New Roman"/>
                <w:color w:val="auto"/>
                <w:sz w:val="20"/>
                <w:szCs w:val="20"/>
              </w:rPr>
            </w:pPr>
          </w:p>
        </w:tc>
        <w:tc>
          <w:tcPr>
            <w:tcW w:w="1226" w:type="dxa"/>
            <w:gridSpan w:val="2"/>
          </w:tcPr>
          <w:p w14:paraId="6BDA5449" w14:textId="77777777" w:rsidR="0017314F" w:rsidRPr="002D43CE" w:rsidRDefault="0017314F" w:rsidP="0017314F">
            <w:pPr>
              <w:spacing w:line="240" w:lineRule="auto"/>
              <w:rPr>
                <w:rFonts w:ascii="Times New Roman" w:hAnsi="Times New Roman" w:cs="Times New Roman"/>
                <w:color w:val="auto"/>
                <w:sz w:val="20"/>
                <w:szCs w:val="20"/>
              </w:rPr>
            </w:pPr>
          </w:p>
        </w:tc>
        <w:tc>
          <w:tcPr>
            <w:tcW w:w="1107" w:type="dxa"/>
            <w:gridSpan w:val="2"/>
          </w:tcPr>
          <w:p w14:paraId="31E05900" w14:textId="77777777" w:rsidR="0017314F" w:rsidRPr="002D43CE" w:rsidRDefault="0017314F" w:rsidP="0017314F">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.80 (.02)</w:t>
            </w:r>
          </w:p>
        </w:tc>
      </w:tr>
      <w:tr w:rsidR="009C2C98" w:rsidRPr="002D43CE" w14:paraId="40A2731E" w14:textId="77777777" w:rsidTr="0071720E">
        <w:tc>
          <w:tcPr>
            <w:tcW w:w="3255" w:type="dxa"/>
            <w:tcBorders>
              <w:top w:val="single" w:sz="4" w:space="0" w:color="auto"/>
              <w:bottom w:val="nil"/>
            </w:tcBorders>
          </w:tcPr>
          <w:p w14:paraId="5221469F" w14:textId="77777777" w:rsidR="0017314F" w:rsidRPr="002D43CE" w:rsidRDefault="0017314F" w:rsidP="004B32FA">
            <w:pPr>
              <w:autoSpaceDE w:val="0"/>
              <w:autoSpaceDN w:val="0"/>
              <w:adjustRightInd w:val="0"/>
              <w:spacing w:line="240" w:lineRule="auto"/>
              <w:rPr>
                <w:rFonts w:ascii="Times New Roman" w:hAnsi="Times New Roman" w:cs="Times New Roman"/>
                <w:b/>
                <w:color w:val="auto"/>
                <w:sz w:val="20"/>
                <w:szCs w:val="20"/>
              </w:rPr>
            </w:pPr>
          </w:p>
          <w:p w14:paraId="56E48493" w14:textId="20069F7A" w:rsidR="0017314F" w:rsidRPr="002D43CE" w:rsidRDefault="0017314F" w:rsidP="0017314F">
            <w:pPr>
              <w:autoSpaceDE w:val="0"/>
              <w:autoSpaceDN w:val="0"/>
              <w:adjustRightInd w:val="0"/>
              <w:spacing w:line="240" w:lineRule="auto"/>
              <w:rPr>
                <w:color w:val="auto"/>
                <w:sz w:val="20"/>
                <w:szCs w:val="20"/>
              </w:rPr>
            </w:pPr>
            <w:r w:rsidRPr="002D43CE">
              <w:rPr>
                <w:rFonts w:ascii="Times New Roman" w:hAnsi="Times New Roman" w:cs="Times New Roman"/>
                <w:b/>
                <w:color w:val="auto"/>
                <w:sz w:val="20"/>
                <w:szCs w:val="20"/>
              </w:rPr>
              <w:t>First-order latent factors</w:t>
            </w:r>
          </w:p>
        </w:tc>
        <w:tc>
          <w:tcPr>
            <w:tcW w:w="7008" w:type="dxa"/>
            <w:gridSpan w:val="11"/>
            <w:tcBorders>
              <w:top w:val="single" w:sz="4" w:space="0" w:color="auto"/>
              <w:bottom w:val="nil"/>
            </w:tcBorders>
          </w:tcPr>
          <w:p w14:paraId="2E990D5D" w14:textId="5077A691" w:rsidR="0017314F" w:rsidRPr="002D43CE" w:rsidRDefault="0017314F" w:rsidP="0017314F">
            <w:pPr>
              <w:spacing w:before="120" w:line="240" w:lineRule="auto"/>
              <w:jc w:val="center"/>
              <w:rPr>
                <w:color w:val="auto"/>
                <w:sz w:val="20"/>
                <w:szCs w:val="20"/>
              </w:rPr>
            </w:pPr>
            <w:r w:rsidRPr="002D43CE">
              <w:rPr>
                <w:rFonts w:ascii="Times New Roman" w:hAnsi="Times New Roman" w:cs="Times New Roman"/>
                <w:color w:val="auto"/>
                <w:sz w:val="20"/>
                <w:szCs w:val="20"/>
              </w:rPr>
              <w:t>Correlations</w:t>
            </w:r>
            <w:r w:rsidR="009C2C98">
              <w:rPr>
                <w:rFonts w:ascii="Times New Roman" w:hAnsi="Times New Roman" w:cs="Times New Roman"/>
                <w:color w:val="auto"/>
                <w:sz w:val="20"/>
                <w:szCs w:val="20"/>
              </w:rPr>
              <w:t xml:space="preserve"> (standard error)</w:t>
            </w:r>
          </w:p>
        </w:tc>
      </w:tr>
      <w:tr w:rsidR="009C2C98" w:rsidRPr="002D43CE" w14:paraId="59C632EF" w14:textId="77777777" w:rsidTr="004B32FA">
        <w:tc>
          <w:tcPr>
            <w:tcW w:w="3255" w:type="dxa"/>
            <w:tcBorders>
              <w:top w:val="single" w:sz="4" w:space="0" w:color="auto"/>
              <w:bottom w:val="nil"/>
            </w:tcBorders>
          </w:tcPr>
          <w:p w14:paraId="1CCEE849" w14:textId="77777777" w:rsidR="0017314F" w:rsidRPr="002D43CE" w:rsidRDefault="0017314F" w:rsidP="004B32FA">
            <w:pPr>
              <w:autoSpaceDE w:val="0"/>
              <w:autoSpaceDN w:val="0"/>
              <w:adjustRightInd w:val="0"/>
              <w:spacing w:line="240" w:lineRule="auto"/>
              <w:rPr>
                <w:rFonts w:ascii="Times New Roman" w:hAnsi="Times New Roman" w:cs="Times New Roman"/>
                <w:b/>
                <w:bCs/>
                <w:color w:val="auto"/>
                <w:sz w:val="20"/>
                <w:szCs w:val="20"/>
              </w:rPr>
            </w:pPr>
            <w:r w:rsidRPr="002D43CE">
              <w:rPr>
                <w:rFonts w:ascii="Times New Roman" w:hAnsi="Times New Roman" w:cs="Times New Roman"/>
                <w:color w:val="auto"/>
                <w:sz w:val="20"/>
                <w:szCs w:val="20"/>
              </w:rPr>
              <w:t>1. Re-experiencing (Re)</w:t>
            </w:r>
          </w:p>
        </w:tc>
        <w:tc>
          <w:tcPr>
            <w:tcW w:w="1101" w:type="dxa"/>
            <w:tcBorders>
              <w:top w:val="single" w:sz="4" w:space="0" w:color="auto"/>
              <w:bottom w:val="nil"/>
            </w:tcBorders>
          </w:tcPr>
          <w:p w14:paraId="48B1FAD5"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w:t>
            </w:r>
          </w:p>
        </w:tc>
        <w:tc>
          <w:tcPr>
            <w:tcW w:w="1234" w:type="dxa"/>
            <w:gridSpan w:val="2"/>
            <w:tcBorders>
              <w:top w:val="single" w:sz="4" w:space="0" w:color="auto"/>
              <w:bottom w:val="nil"/>
            </w:tcBorders>
          </w:tcPr>
          <w:p w14:paraId="6EF08DB3" w14:textId="77777777" w:rsidR="0017314F" w:rsidRPr="002D43CE" w:rsidRDefault="0017314F" w:rsidP="004B32FA">
            <w:pPr>
              <w:spacing w:line="240" w:lineRule="auto"/>
              <w:rPr>
                <w:rFonts w:ascii="Times New Roman" w:hAnsi="Times New Roman" w:cs="Times New Roman"/>
                <w:color w:val="auto"/>
                <w:sz w:val="20"/>
                <w:szCs w:val="20"/>
              </w:rPr>
            </w:pPr>
          </w:p>
        </w:tc>
        <w:tc>
          <w:tcPr>
            <w:tcW w:w="1216" w:type="dxa"/>
            <w:gridSpan w:val="2"/>
            <w:tcBorders>
              <w:top w:val="single" w:sz="4" w:space="0" w:color="auto"/>
              <w:bottom w:val="nil"/>
            </w:tcBorders>
          </w:tcPr>
          <w:p w14:paraId="1D790171" w14:textId="77777777" w:rsidR="0017314F" w:rsidRPr="002D43CE" w:rsidRDefault="0017314F" w:rsidP="004B32FA">
            <w:pPr>
              <w:spacing w:line="240" w:lineRule="auto"/>
              <w:rPr>
                <w:rFonts w:ascii="Times New Roman" w:hAnsi="Times New Roman" w:cs="Times New Roman"/>
                <w:color w:val="auto"/>
                <w:sz w:val="20"/>
                <w:szCs w:val="20"/>
              </w:rPr>
            </w:pPr>
          </w:p>
        </w:tc>
        <w:tc>
          <w:tcPr>
            <w:tcW w:w="1124" w:type="dxa"/>
            <w:gridSpan w:val="2"/>
            <w:tcBorders>
              <w:top w:val="single" w:sz="4" w:space="0" w:color="auto"/>
              <w:bottom w:val="nil"/>
            </w:tcBorders>
          </w:tcPr>
          <w:p w14:paraId="463917CE" w14:textId="77777777" w:rsidR="0017314F" w:rsidRPr="002D43CE" w:rsidRDefault="0017314F" w:rsidP="004B32FA">
            <w:pPr>
              <w:spacing w:line="240" w:lineRule="auto"/>
              <w:rPr>
                <w:rFonts w:ascii="Times New Roman" w:hAnsi="Times New Roman" w:cs="Times New Roman"/>
                <w:color w:val="auto"/>
                <w:sz w:val="20"/>
                <w:szCs w:val="20"/>
              </w:rPr>
            </w:pPr>
          </w:p>
        </w:tc>
        <w:tc>
          <w:tcPr>
            <w:tcW w:w="1226" w:type="dxa"/>
            <w:gridSpan w:val="2"/>
            <w:tcBorders>
              <w:top w:val="single" w:sz="4" w:space="0" w:color="auto"/>
              <w:bottom w:val="nil"/>
            </w:tcBorders>
          </w:tcPr>
          <w:p w14:paraId="175305D1" w14:textId="77777777" w:rsidR="0017314F" w:rsidRPr="002D43CE" w:rsidRDefault="0017314F" w:rsidP="004B32FA">
            <w:pPr>
              <w:spacing w:line="240" w:lineRule="auto"/>
              <w:rPr>
                <w:rFonts w:ascii="Times New Roman" w:hAnsi="Times New Roman" w:cs="Times New Roman"/>
                <w:color w:val="auto"/>
                <w:sz w:val="20"/>
                <w:szCs w:val="20"/>
              </w:rPr>
            </w:pPr>
          </w:p>
        </w:tc>
        <w:tc>
          <w:tcPr>
            <w:tcW w:w="1107" w:type="dxa"/>
            <w:gridSpan w:val="2"/>
            <w:tcBorders>
              <w:top w:val="single" w:sz="4" w:space="0" w:color="auto"/>
              <w:bottom w:val="nil"/>
            </w:tcBorders>
          </w:tcPr>
          <w:p w14:paraId="6712DD71" w14:textId="77777777" w:rsidR="0017314F" w:rsidRPr="002D43CE" w:rsidRDefault="0017314F" w:rsidP="004B32FA">
            <w:pPr>
              <w:spacing w:line="240" w:lineRule="auto"/>
              <w:rPr>
                <w:rFonts w:ascii="Times New Roman" w:hAnsi="Times New Roman" w:cs="Times New Roman"/>
                <w:color w:val="auto"/>
                <w:sz w:val="20"/>
                <w:szCs w:val="20"/>
              </w:rPr>
            </w:pPr>
          </w:p>
        </w:tc>
      </w:tr>
      <w:tr w:rsidR="009C2C98" w:rsidRPr="002D43CE" w14:paraId="4F0041A8" w14:textId="77777777" w:rsidTr="004B32FA">
        <w:tc>
          <w:tcPr>
            <w:tcW w:w="3255" w:type="dxa"/>
            <w:tcBorders>
              <w:top w:val="nil"/>
              <w:bottom w:val="nil"/>
            </w:tcBorders>
          </w:tcPr>
          <w:p w14:paraId="239CD078" w14:textId="77777777" w:rsidR="0017314F" w:rsidRPr="002D43CE" w:rsidRDefault="0017314F" w:rsidP="004B32FA">
            <w:pPr>
              <w:autoSpaceDE w:val="0"/>
              <w:autoSpaceDN w:val="0"/>
              <w:adjustRightInd w:val="0"/>
              <w:spacing w:line="240" w:lineRule="auto"/>
              <w:rPr>
                <w:rFonts w:ascii="Times New Roman" w:hAnsi="Times New Roman" w:cs="Times New Roman"/>
                <w:b/>
                <w:bCs/>
                <w:color w:val="auto"/>
                <w:sz w:val="20"/>
                <w:szCs w:val="20"/>
              </w:rPr>
            </w:pPr>
            <w:r w:rsidRPr="002D43CE">
              <w:rPr>
                <w:rFonts w:ascii="Times New Roman" w:hAnsi="Times New Roman" w:cs="Times New Roman"/>
                <w:color w:val="auto"/>
                <w:sz w:val="20"/>
                <w:szCs w:val="20"/>
              </w:rPr>
              <w:t>2. Avoidance (Av)</w:t>
            </w:r>
          </w:p>
        </w:tc>
        <w:tc>
          <w:tcPr>
            <w:tcW w:w="1101" w:type="dxa"/>
            <w:tcBorders>
              <w:top w:val="nil"/>
              <w:bottom w:val="nil"/>
            </w:tcBorders>
          </w:tcPr>
          <w:p w14:paraId="51F656AC"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.57 (.04)</w:t>
            </w:r>
          </w:p>
        </w:tc>
        <w:tc>
          <w:tcPr>
            <w:tcW w:w="1234" w:type="dxa"/>
            <w:gridSpan w:val="2"/>
            <w:tcBorders>
              <w:top w:val="nil"/>
              <w:bottom w:val="nil"/>
            </w:tcBorders>
          </w:tcPr>
          <w:p w14:paraId="7267DE78"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w:t>
            </w:r>
          </w:p>
        </w:tc>
        <w:tc>
          <w:tcPr>
            <w:tcW w:w="1216" w:type="dxa"/>
            <w:gridSpan w:val="2"/>
            <w:tcBorders>
              <w:top w:val="nil"/>
              <w:bottom w:val="nil"/>
            </w:tcBorders>
          </w:tcPr>
          <w:p w14:paraId="15CEA792" w14:textId="77777777" w:rsidR="0017314F" w:rsidRPr="002D43CE" w:rsidRDefault="0017314F" w:rsidP="004B32FA">
            <w:pPr>
              <w:spacing w:line="240" w:lineRule="auto"/>
              <w:rPr>
                <w:rFonts w:ascii="Times New Roman" w:hAnsi="Times New Roman" w:cs="Times New Roman"/>
                <w:color w:val="auto"/>
                <w:sz w:val="20"/>
                <w:szCs w:val="20"/>
              </w:rPr>
            </w:pPr>
          </w:p>
        </w:tc>
        <w:tc>
          <w:tcPr>
            <w:tcW w:w="1124" w:type="dxa"/>
            <w:gridSpan w:val="2"/>
            <w:tcBorders>
              <w:top w:val="nil"/>
              <w:bottom w:val="nil"/>
            </w:tcBorders>
          </w:tcPr>
          <w:p w14:paraId="33FF36D3" w14:textId="77777777" w:rsidR="0017314F" w:rsidRPr="002D43CE" w:rsidRDefault="0017314F" w:rsidP="004B32FA">
            <w:pPr>
              <w:spacing w:line="240" w:lineRule="auto"/>
              <w:rPr>
                <w:rFonts w:ascii="Times New Roman" w:hAnsi="Times New Roman" w:cs="Times New Roman"/>
                <w:color w:val="auto"/>
                <w:sz w:val="20"/>
                <w:szCs w:val="20"/>
              </w:rPr>
            </w:pPr>
          </w:p>
        </w:tc>
        <w:tc>
          <w:tcPr>
            <w:tcW w:w="1226" w:type="dxa"/>
            <w:gridSpan w:val="2"/>
            <w:tcBorders>
              <w:top w:val="nil"/>
              <w:bottom w:val="nil"/>
            </w:tcBorders>
          </w:tcPr>
          <w:p w14:paraId="60E70BA0" w14:textId="77777777" w:rsidR="0017314F" w:rsidRPr="002D43CE" w:rsidRDefault="0017314F" w:rsidP="004B32FA">
            <w:pPr>
              <w:spacing w:line="240" w:lineRule="auto"/>
              <w:rPr>
                <w:rFonts w:ascii="Times New Roman" w:hAnsi="Times New Roman" w:cs="Times New Roman"/>
                <w:color w:val="auto"/>
                <w:sz w:val="20"/>
                <w:szCs w:val="20"/>
              </w:rPr>
            </w:pPr>
          </w:p>
        </w:tc>
        <w:tc>
          <w:tcPr>
            <w:tcW w:w="1107" w:type="dxa"/>
            <w:gridSpan w:val="2"/>
            <w:tcBorders>
              <w:top w:val="nil"/>
              <w:bottom w:val="nil"/>
            </w:tcBorders>
          </w:tcPr>
          <w:p w14:paraId="1AB5E433" w14:textId="77777777" w:rsidR="0017314F" w:rsidRPr="002D43CE" w:rsidRDefault="0017314F" w:rsidP="004B32FA">
            <w:pPr>
              <w:spacing w:line="240" w:lineRule="auto"/>
              <w:rPr>
                <w:rFonts w:ascii="Times New Roman" w:hAnsi="Times New Roman" w:cs="Times New Roman"/>
                <w:color w:val="auto"/>
                <w:sz w:val="20"/>
                <w:szCs w:val="20"/>
              </w:rPr>
            </w:pPr>
          </w:p>
        </w:tc>
      </w:tr>
      <w:tr w:rsidR="009C2C98" w:rsidRPr="002D43CE" w14:paraId="2E7FB4A1" w14:textId="77777777" w:rsidTr="004B32FA">
        <w:trPr>
          <w:gridAfter w:val="1"/>
          <w:wAfter w:w="63" w:type="dxa"/>
        </w:trPr>
        <w:tc>
          <w:tcPr>
            <w:tcW w:w="3255" w:type="dxa"/>
            <w:tcBorders>
              <w:top w:val="nil"/>
              <w:bottom w:val="nil"/>
            </w:tcBorders>
          </w:tcPr>
          <w:p w14:paraId="57E3AEA9" w14:textId="77777777" w:rsidR="0017314F" w:rsidRPr="002D43CE" w:rsidRDefault="0017314F" w:rsidP="004B32FA">
            <w:pPr>
              <w:autoSpaceDE w:val="0"/>
              <w:autoSpaceDN w:val="0"/>
              <w:adjustRightInd w:val="0"/>
              <w:spacing w:line="240" w:lineRule="auto"/>
              <w:rPr>
                <w:rFonts w:ascii="Times New Roman" w:hAnsi="Times New Roman" w:cs="Times New Roman"/>
                <w:b/>
                <w:bCs/>
                <w:color w:val="auto"/>
                <w:sz w:val="20"/>
                <w:szCs w:val="20"/>
              </w:rPr>
            </w:pPr>
            <w:r w:rsidRPr="002D43CE">
              <w:rPr>
                <w:rFonts w:ascii="Times New Roman" w:hAnsi="Times New Roman" w:cs="Times New Roman"/>
                <w:color w:val="auto"/>
                <w:sz w:val="20"/>
                <w:szCs w:val="20"/>
              </w:rPr>
              <w:t>3. Sense of threat (</w:t>
            </w:r>
            <w:proofErr w:type="spellStart"/>
            <w:r w:rsidRPr="002D43CE">
              <w:rPr>
                <w:rFonts w:ascii="Times New Roman" w:hAnsi="Times New Roman" w:cs="Times New Roman"/>
                <w:color w:val="auto"/>
                <w:sz w:val="20"/>
                <w:szCs w:val="20"/>
              </w:rPr>
              <w:t>SoT</w:t>
            </w:r>
            <w:proofErr w:type="spellEnd"/>
            <w:r w:rsidRPr="002D43CE">
              <w:rPr>
                <w:rFonts w:ascii="Times New Roman" w:hAnsi="Times New Roman" w:cs="Times New Roman"/>
                <w:color w:val="auto"/>
                <w:sz w:val="20"/>
                <w:szCs w:val="20"/>
              </w:rPr>
              <w:t>)</w:t>
            </w:r>
          </w:p>
        </w:tc>
        <w:tc>
          <w:tcPr>
            <w:tcW w:w="1101" w:type="dxa"/>
            <w:tcBorders>
              <w:top w:val="nil"/>
              <w:bottom w:val="nil"/>
            </w:tcBorders>
          </w:tcPr>
          <w:p w14:paraId="54B0610F"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.65 (.04)</w:t>
            </w:r>
          </w:p>
        </w:tc>
        <w:tc>
          <w:tcPr>
            <w:tcW w:w="1164" w:type="dxa"/>
            <w:tcBorders>
              <w:top w:val="nil"/>
              <w:bottom w:val="nil"/>
            </w:tcBorders>
          </w:tcPr>
          <w:p w14:paraId="0D886A39"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.50 (.05)</w:t>
            </w:r>
          </w:p>
        </w:tc>
        <w:tc>
          <w:tcPr>
            <w:tcW w:w="1217" w:type="dxa"/>
            <w:gridSpan w:val="2"/>
            <w:tcBorders>
              <w:top w:val="nil"/>
              <w:bottom w:val="nil"/>
            </w:tcBorders>
          </w:tcPr>
          <w:p w14:paraId="455FC427"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w:t>
            </w:r>
          </w:p>
        </w:tc>
        <w:tc>
          <w:tcPr>
            <w:tcW w:w="1123" w:type="dxa"/>
            <w:gridSpan w:val="2"/>
            <w:tcBorders>
              <w:top w:val="nil"/>
              <w:bottom w:val="nil"/>
            </w:tcBorders>
          </w:tcPr>
          <w:p w14:paraId="05F4F5E5" w14:textId="77777777" w:rsidR="0017314F" w:rsidRPr="002D43CE" w:rsidRDefault="0017314F" w:rsidP="004B32FA">
            <w:pPr>
              <w:spacing w:line="240" w:lineRule="auto"/>
              <w:rPr>
                <w:rFonts w:ascii="Times New Roman" w:hAnsi="Times New Roman" w:cs="Times New Roman"/>
                <w:color w:val="auto"/>
                <w:sz w:val="20"/>
                <w:szCs w:val="20"/>
              </w:rPr>
            </w:pPr>
          </w:p>
        </w:tc>
        <w:tc>
          <w:tcPr>
            <w:tcW w:w="1227" w:type="dxa"/>
            <w:gridSpan w:val="2"/>
            <w:tcBorders>
              <w:top w:val="nil"/>
              <w:bottom w:val="nil"/>
            </w:tcBorders>
          </w:tcPr>
          <w:p w14:paraId="218A10FC" w14:textId="77777777" w:rsidR="0017314F" w:rsidRPr="002D43CE" w:rsidRDefault="0017314F" w:rsidP="004B32FA">
            <w:pPr>
              <w:spacing w:line="240" w:lineRule="auto"/>
              <w:rPr>
                <w:rFonts w:ascii="Times New Roman" w:hAnsi="Times New Roman" w:cs="Times New Roman"/>
                <w:color w:val="auto"/>
                <w:sz w:val="20"/>
                <w:szCs w:val="20"/>
              </w:rPr>
            </w:pPr>
          </w:p>
        </w:tc>
        <w:tc>
          <w:tcPr>
            <w:tcW w:w="1113" w:type="dxa"/>
            <w:gridSpan w:val="2"/>
            <w:tcBorders>
              <w:top w:val="nil"/>
              <w:bottom w:val="nil"/>
            </w:tcBorders>
          </w:tcPr>
          <w:p w14:paraId="48BA4F44" w14:textId="77777777" w:rsidR="0017314F" w:rsidRPr="002D43CE" w:rsidRDefault="0017314F" w:rsidP="004B32FA">
            <w:pPr>
              <w:spacing w:line="240" w:lineRule="auto"/>
              <w:rPr>
                <w:rFonts w:ascii="Times New Roman" w:hAnsi="Times New Roman" w:cs="Times New Roman"/>
                <w:color w:val="auto"/>
                <w:sz w:val="20"/>
                <w:szCs w:val="20"/>
              </w:rPr>
            </w:pPr>
          </w:p>
        </w:tc>
      </w:tr>
      <w:tr w:rsidR="009C2C98" w:rsidRPr="002D43CE" w14:paraId="6C3EF4B6" w14:textId="77777777" w:rsidTr="004B32FA">
        <w:tc>
          <w:tcPr>
            <w:tcW w:w="3255" w:type="dxa"/>
            <w:tcBorders>
              <w:top w:val="nil"/>
              <w:bottom w:val="nil"/>
            </w:tcBorders>
          </w:tcPr>
          <w:p w14:paraId="74413E8E" w14:textId="77777777" w:rsidR="0017314F" w:rsidRPr="002D43CE" w:rsidRDefault="0017314F" w:rsidP="004B32FA">
            <w:pPr>
              <w:autoSpaceDE w:val="0"/>
              <w:autoSpaceDN w:val="0"/>
              <w:adjustRightInd w:val="0"/>
              <w:spacing w:line="240" w:lineRule="auto"/>
              <w:rPr>
                <w:rFonts w:ascii="Times New Roman" w:hAnsi="Times New Roman" w:cs="Times New Roman"/>
                <w:b/>
                <w:bCs/>
                <w:color w:val="auto"/>
                <w:sz w:val="20"/>
                <w:szCs w:val="20"/>
              </w:rPr>
            </w:pPr>
            <w:r w:rsidRPr="002D43CE">
              <w:rPr>
                <w:rFonts w:ascii="Times New Roman" w:hAnsi="Times New Roman" w:cs="Times New Roman"/>
                <w:color w:val="auto"/>
                <w:sz w:val="20"/>
                <w:szCs w:val="20"/>
              </w:rPr>
              <w:t>4. Affective dysregulation (AD)</w:t>
            </w:r>
          </w:p>
        </w:tc>
        <w:tc>
          <w:tcPr>
            <w:tcW w:w="1101" w:type="dxa"/>
            <w:tcBorders>
              <w:top w:val="nil"/>
              <w:bottom w:val="nil"/>
            </w:tcBorders>
          </w:tcPr>
          <w:p w14:paraId="0609C507"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.71 (.03)</w:t>
            </w:r>
          </w:p>
        </w:tc>
        <w:tc>
          <w:tcPr>
            <w:tcW w:w="1234" w:type="dxa"/>
            <w:gridSpan w:val="2"/>
            <w:tcBorders>
              <w:top w:val="nil"/>
              <w:bottom w:val="nil"/>
            </w:tcBorders>
          </w:tcPr>
          <w:p w14:paraId="3FD83F56"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.48 (.05)</w:t>
            </w:r>
          </w:p>
        </w:tc>
        <w:tc>
          <w:tcPr>
            <w:tcW w:w="1216" w:type="dxa"/>
            <w:gridSpan w:val="2"/>
            <w:tcBorders>
              <w:top w:val="nil"/>
              <w:bottom w:val="nil"/>
            </w:tcBorders>
          </w:tcPr>
          <w:p w14:paraId="66029D02"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.84 (.04)</w:t>
            </w:r>
          </w:p>
        </w:tc>
        <w:tc>
          <w:tcPr>
            <w:tcW w:w="1124" w:type="dxa"/>
            <w:gridSpan w:val="2"/>
            <w:tcBorders>
              <w:top w:val="nil"/>
              <w:bottom w:val="nil"/>
            </w:tcBorders>
          </w:tcPr>
          <w:p w14:paraId="0D4E3C9B"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w:t>
            </w:r>
          </w:p>
        </w:tc>
        <w:tc>
          <w:tcPr>
            <w:tcW w:w="1226" w:type="dxa"/>
            <w:gridSpan w:val="2"/>
            <w:tcBorders>
              <w:top w:val="nil"/>
              <w:bottom w:val="nil"/>
            </w:tcBorders>
          </w:tcPr>
          <w:p w14:paraId="0D77C8D9" w14:textId="77777777" w:rsidR="0017314F" w:rsidRPr="002D43CE" w:rsidRDefault="0017314F" w:rsidP="004B32FA">
            <w:pPr>
              <w:spacing w:line="240" w:lineRule="auto"/>
              <w:rPr>
                <w:rFonts w:ascii="Times New Roman" w:hAnsi="Times New Roman" w:cs="Times New Roman"/>
                <w:color w:val="auto"/>
                <w:sz w:val="20"/>
                <w:szCs w:val="20"/>
              </w:rPr>
            </w:pPr>
          </w:p>
        </w:tc>
        <w:tc>
          <w:tcPr>
            <w:tcW w:w="1107" w:type="dxa"/>
            <w:gridSpan w:val="2"/>
            <w:tcBorders>
              <w:top w:val="nil"/>
              <w:bottom w:val="nil"/>
            </w:tcBorders>
          </w:tcPr>
          <w:p w14:paraId="4760EBB2" w14:textId="77777777" w:rsidR="0017314F" w:rsidRPr="002D43CE" w:rsidRDefault="0017314F" w:rsidP="004B32FA">
            <w:pPr>
              <w:spacing w:line="240" w:lineRule="auto"/>
              <w:rPr>
                <w:rFonts w:ascii="Times New Roman" w:hAnsi="Times New Roman" w:cs="Times New Roman"/>
                <w:color w:val="auto"/>
                <w:sz w:val="20"/>
                <w:szCs w:val="20"/>
              </w:rPr>
            </w:pPr>
          </w:p>
        </w:tc>
      </w:tr>
      <w:tr w:rsidR="009C2C98" w:rsidRPr="002D43CE" w14:paraId="48D8CB8A" w14:textId="77777777" w:rsidTr="004B32FA">
        <w:tc>
          <w:tcPr>
            <w:tcW w:w="3255" w:type="dxa"/>
            <w:tcBorders>
              <w:top w:val="nil"/>
              <w:bottom w:val="nil"/>
            </w:tcBorders>
          </w:tcPr>
          <w:p w14:paraId="463EDD48" w14:textId="77777777" w:rsidR="0017314F" w:rsidRPr="002D43CE" w:rsidRDefault="0017314F" w:rsidP="004B32FA">
            <w:pPr>
              <w:autoSpaceDE w:val="0"/>
              <w:autoSpaceDN w:val="0"/>
              <w:adjustRightInd w:val="0"/>
              <w:spacing w:line="240" w:lineRule="auto"/>
              <w:rPr>
                <w:rFonts w:ascii="Times New Roman" w:hAnsi="Times New Roman" w:cs="Times New Roman"/>
                <w:b/>
                <w:bCs/>
                <w:color w:val="auto"/>
                <w:sz w:val="20"/>
                <w:szCs w:val="20"/>
              </w:rPr>
            </w:pPr>
            <w:r w:rsidRPr="002D43CE">
              <w:rPr>
                <w:rFonts w:ascii="Times New Roman" w:hAnsi="Times New Roman" w:cs="Times New Roman"/>
                <w:color w:val="auto"/>
                <w:sz w:val="20"/>
                <w:szCs w:val="20"/>
              </w:rPr>
              <w:t>5. Negative self-concept (NSC)</w:t>
            </w:r>
          </w:p>
        </w:tc>
        <w:tc>
          <w:tcPr>
            <w:tcW w:w="1101" w:type="dxa"/>
            <w:tcBorders>
              <w:top w:val="nil"/>
              <w:bottom w:val="nil"/>
            </w:tcBorders>
          </w:tcPr>
          <w:p w14:paraId="74BBF409"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.56 (.03)</w:t>
            </w:r>
          </w:p>
        </w:tc>
        <w:tc>
          <w:tcPr>
            <w:tcW w:w="1234" w:type="dxa"/>
            <w:gridSpan w:val="2"/>
            <w:tcBorders>
              <w:top w:val="nil"/>
              <w:bottom w:val="nil"/>
            </w:tcBorders>
          </w:tcPr>
          <w:p w14:paraId="698DF826"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.30 (.05)</w:t>
            </w:r>
          </w:p>
        </w:tc>
        <w:tc>
          <w:tcPr>
            <w:tcW w:w="1216" w:type="dxa"/>
            <w:gridSpan w:val="2"/>
            <w:tcBorders>
              <w:top w:val="nil"/>
              <w:bottom w:val="nil"/>
            </w:tcBorders>
          </w:tcPr>
          <w:p w14:paraId="0675C5D1"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.73 (.03)</w:t>
            </w:r>
          </w:p>
        </w:tc>
        <w:tc>
          <w:tcPr>
            <w:tcW w:w="1124" w:type="dxa"/>
            <w:gridSpan w:val="2"/>
            <w:tcBorders>
              <w:top w:val="nil"/>
              <w:bottom w:val="nil"/>
            </w:tcBorders>
          </w:tcPr>
          <w:p w14:paraId="6F3287A3"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.92 (.03)</w:t>
            </w:r>
          </w:p>
        </w:tc>
        <w:tc>
          <w:tcPr>
            <w:tcW w:w="1226" w:type="dxa"/>
            <w:gridSpan w:val="2"/>
            <w:tcBorders>
              <w:top w:val="nil"/>
              <w:bottom w:val="nil"/>
            </w:tcBorders>
          </w:tcPr>
          <w:p w14:paraId="008A7892"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w:t>
            </w:r>
          </w:p>
        </w:tc>
        <w:tc>
          <w:tcPr>
            <w:tcW w:w="1107" w:type="dxa"/>
            <w:gridSpan w:val="2"/>
            <w:tcBorders>
              <w:top w:val="nil"/>
              <w:bottom w:val="nil"/>
            </w:tcBorders>
          </w:tcPr>
          <w:p w14:paraId="5B40325C" w14:textId="77777777" w:rsidR="0017314F" w:rsidRPr="002D43CE" w:rsidRDefault="0017314F" w:rsidP="004B32FA">
            <w:pPr>
              <w:spacing w:line="240" w:lineRule="auto"/>
              <w:rPr>
                <w:rFonts w:ascii="Times New Roman" w:hAnsi="Times New Roman" w:cs="Times New Roman"/>
                <w:color w:val="auto"/>
                <w:sz w:val="20"/>
                <w:szCs w:val="20"/>
              </w:rPr>
            </w:pPr>
          </w:p>
        </w:tc>
      </w:tr>
      <w:tr w:rsidR="009C2C98" w:rsidRPr="002D43CE" w14:paraId="50E525D5" w14:textId="77777777" w:rsidTr="004B32FA">
        <w:tc>
          <w:tcPr>
            <w:tcW w:w="3255" w:type="dxa"/>
            <w:tcBorders>
              <w:top w:val="nil"/>
            </w:tcBorders>
          </w:tcPr>
          <w:p w14:paraId="40054373" w14:textId="77777777" w:rsidR="0017314F" w:rsidRPr="002D43CE" w:rsidRDefault="0017314F" w:rsidP="0017314F">
            <w:pPr>
              <w:autoSpaceDE w:val="0"/>
              <w:autoSpaceDN w:val="0"/>
              <w:adjustRightInd w:val="0"/>
              <w:spacing w:after="120" w:line="240" w:lineRule="auto"/>
              <w:rPr>
                <w:rFonts w:ascii="Times New Roman" w:hAnsi="Times New Roman" w:cs="Times New Roman"/>
                <w:b/>
                <w:bCs/>
                <w:color w:val="auto"/>
                <w:sz w:val="20"/>
                <w:szCs w:val="20"/>
              </w:rPr>
            </w:pPr>
            <w:r w:rsidRPr="002D43CE">
              <w:rPr>
                <w:rFonts w:ascii="Times New Roman" w:hAnsi="Times New Roman" w:cs="Times New Roman"/>
                <w:color w:val="auto"/>
                <w:sz w:val="20"/>
                <w:szCs w:val="20"/>
              </w:rPr>
              <w:t>6. Disturbances in relationships (DR)</w:t>
            </w:r>
          </w:p>
        </w:tc>
        <w:tc>
          <w:tcPr>
            <w:tcW w:w="1101" w:type="dxa"/>
            <w:tcBorders>
              <w:top w:val="nil"/>
            </w:tcBorders>
          </w:tcPr>
          <w:p w14:paraId="24F97636"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.49 (.04)</w:t>
            </w:r>
          </w:p>
        </w:tc>
        <w:tc>
          <w:tcPr>
            <w:tcW w:w="1234" w:type="dxa"/>
            <w:gridSpan w:val="2"/>
            <w:tcBorders>
              <w:top w:val="nil"/>
            </w:tcBorders>
          </w:tcPr>
          <w:p w14:paraId="1138AA85"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.31 (.05)</w:t>
            </w:r>
          </w:p>
        </w:tc>
        <w:tc>
          <w:tcPr>
            <w:tcW w:w="1216" w:type="dxa"/>
            <w:gridSpan w:val="2"/>
            <w:tcBorders>
              <w:top w:val="nil"/>
            </w:tcBorders>
          </w:tcPr>
          <w:p w14:paraId="45F26CEF"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.65 (.03)</w:t>
            </w:r>
          </w:p>
        </w:tc>
        <w:tc>
          <w:tcPr>
            <w:tcW w:w="1124" w:type="dxa"/>
            <w:gridSpan w:val="2"/>
            <w:tcBorders>
              <w:top w:val="nil"/>
            </w:tcBorders>
          </w:tcPr>
          <w:p w14:paraId="0049E4A5"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.75 (.03)</w:t>
            </w:r>
          </w:p>
        </w:tc>
        <w:tc>
          <w:tcPr>
            <w:tcW w:w="1226" w:type="dxa"/>
            <w:gridSpan w:val="2"/>
            <w:tcBorders>
              <w:top w:val="nil"/>
            </w:tcBorders>
          </w:tcPr>
          <w:p w14:paraId="2DD53CEC"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.84 (.03)</w:t>
            </w:r>
          </w:p>
        </w:tc>
        <w:tc>
          <w:tcPr>
            <w:tcW w:w="1107" w:type="dxa"/>
            <w:gridSpan w:val="2"/>
            <w:tcBorders>
              <w:top w:val="nil"/>
            </w:tcBorders>
          </w:tcPr>
          <w:p w14:paraId="688EFF4D" w14:textId="77777777" w:rsidR="0017314F" w:rsidRPr="002D43CE" w:rsidRDefault="0017314F" w:rsidP="004B32FA">
            <w:pPr>
              <w:spacing w:line="240" w:lineRule="auto"/>
              <w:rPr>
                <w:rFonts w:ascii="Times New Roman" w:hAnsi="Times New Roman" w:cs="Times New Roman"/>
                <w:color w:val="auto"/>
                <w:sz w:val="20"/>
                <w:szCs w:val="20"/>
              </w:rPr>
            </w:pPr>
            <w:r w:rsidRPr="002D43CE">
              <w:rPr>
                <w:rFonts w:ascii="Times New Roman" w:hAnsi="Times New Roman" w:cs="Times New Roman"/>
                <w:color w:val="auto"/>
                <w:sz w:val="20"/>
                <w:szCs w:val="20"/>
              </w:rPr>
              <w:t>-</w:t>
            </w:r>
          </w:p>
        </w:tc>
      </w:tr>
    </w:tbl>
    <w:p w14:paraId="06819B75" w14:textId="6AADCE58" w:rsidR="00DA4076" w:rsidRPr="002D43CE" w:rsidRDefault="00DA4076" w:rsidP="00DA4076">
      <w:pPr>
        <w:spacing w:line="360" w:lineRule="auto"/>
        <w:rPr>
          <w:color w:val="auto"/>
          <w:sz w:val="20"/>
          <w:szCs w:val="20"/>
        </w:rPr>
      </w:pPr>
      <w:r w:rsidRPr="002D43CE">
        <w:rPr>
          <w:i/>
          <w:color w:val="auto"/>
          <w:sz w:val="20"/>
          <w:szCs w:val="20"/>
        </w:rPr>
        <w:t>Note.</w:t>
      </w:r>
      <w:r w:rsidRPr="002D43CE">
        <w:rPr>
          <w:color w:val="auto"/>
          <w:sz w:val="20"/>
          <w:szCs w:val="20"/>
        </w:rPr>
        <w:t xml:space="preserve"> All factor loadings and correlations are statistically significant (</w:t>
      </w:r>
      <w:r w:rsidRPr="002D43CE">
        <w:rPr>
          <w:i/>
          <w:color w:val="auto"/>
          <w:sz w:val="20"/>
          <w:szCs w:val="20"/>
        </w:rPr>
        <w:t>p</w:t>
      </w:r>
      <w:r w:rsidRPr="002D43CE">
        <w:rPr>
          <w:color w:val="auto"/>
          <w:sz w:val="20"/>
          <w:szCs w:val="20"/>
        </w:rPr>
        <w:t xml:space="preserve"> &lt; .001).</w:t>
      </w:r>
    </w:p>
    <w:p w14:paraId="6FD0FD80" w14:textId="36504BF3" w:rsidR="00F8703B" w:rsidRPr="002D43CE" w:rsidRDefault="00F8703B" w:rsidP="00365F1C">
      <w:pPr>
        <w:suppressAutoHyphens w:val="0"/>
        <w:spacing w:line="360" w:lineRule="auto"/>
        <w:rPr>
          <w:b/>
          <w:color w:val="auto"/>
        </w:rPr>
      </w:pPr>
    </w:p>
    <w:p w14:paraId="417E7BA0" w14:textId="46C682C0" w:rsidR="00DA4076" w:rsidRPr="002D43CE" w:rsidRDefault="00DA4076" w:rsidP="00365F1C">
      <w:pPr>
        <w:suppressAutoHyphens w:val="0"/>
        <w:spacing w:line="360" w:lineRule="auto"/>
        <w:rPr>
          <w:b/>
          <w:color w:val="auto"/>
        </w:rPr>
      </w:pPr>
    </w:p>
    <w:p w14:paraId="4892DCF6" w14:textId="77777777" w:rsidR="00DA4076" w:rsidRPr="002D43CE" w:rsidRDefault="00DA4076" w:rsidP="00365F1C">
      <w:pPr>
        <w:suppressAutoHyphens w:val="0"/>
        <w:spacing w:line="360" w:lineRule="auto"/>
        <w:rPr>
          <w:b/>
          <w:color w:val="auto"/>
        </w:rPr>
        <w:sectPr w:rsidR="00DA4076" w:rsidRPr="002D43CE" w:rsidSect="00F114EB">
          <w:headerReference w:type="default" r:id="rId9"/>
          <w:type w:val="nextColumn"/>
          <w:pgSz w:w="11907" w:h="16840" w:code="9"/>
          <w:pgMar w:top="1440" w:right="1440" w:bottom="1440" w:left="1440" w:header="720" w:footer="720" w:gutter="0"/>
          <w:cols w:space="1296"/>
          <w:docGrid w:linePitch="326"/>
        </w:sectPr>
      </w:pPr>
    </w:p>
    <w:p w14:paraId="0DC8FEDF" w14:textId="265BF996" w:rsidR="00F8703B" w:rsidRPr="002D43CE" w:rsidRDefault="00F8703B" w:rsidP="00365F1C">
      <w:pPr>
        <w:spacing w:line="360" w:lineRule="auto"/>
        <w:ind w:left="450"/>
        <w:rPr>
          <w:i/>
          <w:color w:val="auto"/>
        </w:rPr>
      </w:pPr>
      <w:r w:rsidRPr="002D43CE">
        <w:rPr>
          <w:color w:val="auto"/>
        </w:rPr>
        <w:lastRenderedPageBreak/>
        <w:t xml:space="preserve">Table </w:t>
      </w:r>
      <w:r w:rsidR="00DA4076" w:rsidRPr="002D43CE">
        <w:rPr>
          <w:color w:val="auto"/>
        </w:rPr>
        <w:t>2</w:t>
      </w:r>
      <w:r w:rsidR="00F52F91" w:rsidRPr="002D43CE">
        <w:rPr>
          <w:color w:val="auto"/>
        </w:rPr>
        <w:t xml:space="preserve">. </w:t>
      </w:r>
      <w:r w:rsidRPr="002D43CE">
        <w:rPr>
          <w:i/>
          <w:color w:val="auto"/>
        </w:rPr>
        <w:t>Exposure to potentially traumatic events in adolescent sample.</w:t>
      </w:r>
    </w:p>
    <w:tbl>
      <w:tblPr>
        <w:tblStyle w:val="TableGrid"/>
        <w:tblW w:w="14442"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2230"/>
        <w:gridCol w:w="2230"/>
        <w:gridCol w:w="2230"/>
        <w:gridCol w:w="1590"/>
        <w:gridCol w:w="1590"/>
      </w:tblGrid>
      <w:tr w:rsidR="009C2C98" w:rsidRPr="002D43CE" w14:paraId="6D1EF592" w14:textId="77777777" w:rsidTr="00632DC2">
        <w:trPr>
          <w:trHeight w:val="300"/>
        </w:trPr>
        <w:tc>
          <w:tcPr>
            <w:tcW w:w="4572" w:type="dxa"/>
            <w:vMerge w:val="restart"/>
            <w:tcBorders>
              <w:top w:val="single" w:sz="4" w:space="0" w:color="auto"/>
            </w:tcBorders>
            <w:vAlign w:val="center"/>
          </w:tcPr>
          <w:p w14:paraId="72E67412" w14:textId="65F093F8"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Trauma</w:t>
            </w:r>
            <w:r w:rsidR="006E15FC" w:rsidRPr="002D43CE">
              <w:rPr>
                <w:rFonts w:ascii="Times New Roman" w:hAnsi="Times New Roman" w:cs="Times New Roman"/>
                <w:color w:val="auto"/>
              </w:rPr>
              <w:t xml:space="preserve"> exposure</w:t>
            </w:r>
          </w:p>
        </w:tc>
        <w:tc>
          <w:tcPr>
            <w:tcW w:w="2230" w:type="dxa"/>
            <w:vMerge w:val="restart"/>
            <w:tcBorders>
              <w:top w:val="single" w:sz="4" w:space="0" w:color="auto"/>
            </w:tcBorders>
            <w:vAlign w:val="center"/>
          </w:tcPr>
          <w:p w14:paraId="0DFFC630" w14:textId="77777777"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Total</w:t>
            </w:r>
          </w:p>
          <w:p w14:paraId="2862C56E" w14:textId="77777777"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w:t>
            </w:r>
            <w:r w:rsidRPr="002D43CE">
              <w:rPr>
                <w:rFonts w:ascii="Times New Roman" w:hAnsi="Times New Roman" w:cs="Times New Roman"/>
                <w:i/>
                <w:color w:val="auto"/>
              </w:rPr>
              <w:t>N</w:t>
            </w:r>
            <w:r w:rsidRPr="002D43CE">
              <w:rPr>
                <w:rFonts w:ascii="Times New Roman" w:hAnsi="Times New Roman" w:cs="Times New Roman"/>
                <w:color w:val="auto"/>
              </w:rPr>
              <w:t xml:space="preserve"> = 932)</w:t>
            </w:r>
          </w:p>
        </w:tc>
        <w:tc>
          <w:tcPr>
            <w:tcW w:w="2230" w:type="dxa"/>
            <w:vMerge w:val="restart"/>
            <w:tcBorders>
              <w:top w:val="single" w:sz="4" w:space="0" w:color="auto"/>
            </w:tcBorders>
            <w:vAlign w:val="center"/>
          </w:tcPr>
          <w:p w14:paraId="703CC3F5" w14:textId="3F007934" w:rsidR="00F8703B" w:rsidRPr="002D43CE" w:rsidRDefault="00047AC8"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Female</w:t>
            </w:r>
          </w:p>
          <w:p w14:paraId="66367447" w14:textId="77777777"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w:t>
            </w:r>
            <w:r w:rsidRPr="002D43CE">
              <w:rPr>
                <w:rFonts w:ascii="Times New Roman" w:hAnsi="Times New Roman" w:cs="Times New Roman"/>
                <w:i/>
                <w:color w:val="auto"/>
              </w:rPr>
              <w:t>n</w:t>
            </w:r>
            <w:r w:rsidRPr="002D43CE">
              <w:rPr>
                <w:rFonts w:ascii="Times New Roman" w:hAnsi="Times New Roman" w:cs="Times New Roman"/>
                <w:color w:val="auto"/>
              </w:rPr>
              <w:t xml:space="preserve"> = 529)</w:t>
            </w:r>
          </w:p>
        </w:tc>
        <w:tc>
          <w:tcPr>
            <w:tcW w:w="2230" w:type="dxa"/>
            <w:vMerge w:val="restart"/>
            <w:tcBorders>
              <w:top w:val="single" w:sz="4" w:space="0" w:color="auto"/>
            </w:tcBorders>
            <w:vAlign w:val="center"/>
          </w:tcPr>
          <w:p w14:paraId="5217C5BF" w14:textId="103690E4" w:rsidR="00F8703B" w:rsidRPr="002D43CE" w:rsidRDefault="00047AC8"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Male</w:t>
            </w:r>
          </w:p>
          <w:p w14:paraId="750A172F" w14:textId="77777777"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w:t>
            </w:r>
            <w:r w:rsidRPr="002D43CE">
              <w:rPr>
                <w:rFonts w:ascii="Times New Roman" w:hAnsi="Times New Roman" w:cs="Times New Roman"/>
                <w:i/>
                <w:color w:val="auto"/>
              </w:rPr>
              <w:t xml:space="preserve">n </w:t>
            </w:r>
            <w:r w:rsidRPr="002D43CE">
              <w:rPr>
                <w:rFonts w:ascii="Times New Roman" w:hAnsi="Times New Roman" w:cs="Times New Roman"/>
                <w:color w:val="auto"/>
              </w:rPr>
              <w:t>= 403)</w:t>
            </w:r>
          </w:p>
        </w:tc>
        <w:tc>
          <w:tcPr>
            <w:tcW w:w="3180" w:type="dxa"/>
            <w:gridSpan w:val="2"/>
            <w:tcBorders>
              <w:top w:val="single" w:sz="4" w:space="0" w:color="auto"/>
              <w:bottom w:val="single" w:sz="4" w:space="0" w:color="auto"/>
            </w:tcBorders>
            <w:vAlign w:val="center"/>
          </w:tcPr>
          <w:p w14:paraId="1F286E5F" w14:textId="77777777" w:rsidR="00F8703B" w:rsidRPr="002D43CE" w:rsidRDefault="00F8703B" w:rsidP="00365F1C">
            <w:pPr>
              <w:spacing w:line="360" w:lineRule="auto"/>
              <w:jc w:val="center"/>
              <w:rPr>
                <w:rFonts w:ascii="Times New Roman" w:hAnsi="Times New Roman" w:cs="Times New Roman"/>
                <w:i/>
                <w:color w:val="auto"/>
              </w:rPr>
            </w:pPr>
            <w:r w:rsidRPr="002D43CE">
              <w:rPr>
                <w:rFonts w:ascii="Times New Roman" w:hAnsi="Times New Roman" w:cs="Times New Roman"/>
                <w:color w:val="auto"/>
              </w:rPr>
              <w:t>Gender differences</w:t>
            </w:r>
          </w:p>
        </w:tc>
      </w:tr>
      <w:tr w:rsidR="009C2C98" w:rsidRPr="002D43CE" w14:paraId="6E13C475" w14:textId="77777777" w:rsidTr="00632DC2">
        <w:trPr>
          <w:trHeight w:val="405"/>
        </w:trPr>
        <w:tc>
          <w:tcPr>
            <w:tcW w:w="4572" w:type="dxa"/>
            <w:vMerge/>
            <w:tcBorders>
              <w:bottom w:val="single" w:sz="4" w:space="0" w:color="auto"/>
            </w:tcBorders>
            <w:vAlign w:val="center"/>
          </w:tcPr>
          <w:p w14:paraId="57BFD1AE" w14:textId="77777777" w:rsidR="00F8703B" w:rsidRPr="002D43CE" w:rsidRDefault="00F8703B" w:rsidP="00365F1C">
            <w:pPr>
              <w:spacing w:line="360" w:lineRule="auto"/>
              <w:rPr>
                <w:rFonts w:ascii="Times New Roman" w:hAnsi="Times New Roman" w:cs="Times New Roman"/>
                <w:color w:val="auto"/>
              </w:rPr>
            </w:pPr>
          </w:p>
        </w:tc>
        <w:tc>
          <w:tcPr>
            <w:tcW w:w="2230" w:type="dxa"/>
            <w:vMerge/>
            <w:tcBorders>
              <w:bottom w:val="single" w:sz="4" w:space="0" w:color="auto"/>
            </w:tcBorders>
            <w:vAlign w:val="center"/>
          </w:tcPr>
          <w:p w14:paraId="74DBF2EC" w14:textId="77777777" w:rsidR="00F8703B" w:rsidRPr="002D43CE" w:rsidRDefault="00F8703B" w:rsidP="00365F1C">
            <w:pPr>
              <w:spacing w:line="360" w:lineRule="auto"/>
              <w:jc w:val="center"/>
              <w:rPr>
                <w:rFonts w:ascii="Times New Roman" w:hAnsi="Times New Roman" w:cs="Times New Roman"/>
                <w:color w:val="auto"/>
                <w:vertAlign w:val="superscript"/>
              </w:rPr>
            </w:pPr>
          </w:p>
        </w:tc>
        <w:tc>
          <w:tcPr>
            <w:tcW w:w="2230" w:type="dxa"/>
            <w:vMerge/>
            <w:tcBorders>
              <w:bottom w:val="single" w:sz="4" w:space="0" w:color="auto"/>
            </w:tcBorders>
            <w:vAlign w:val="center"/>
          </w:tcPr>
          <w:p w14:paraId="35034B76" w14:textId="77777777" w:rsidR="00F8703B" w:rsidRPr="002D43CE" w:rsidRDefault="00F8703B" w:rsidP="00365F1C">
            <w:pPr>
              <w:spacing w:line="360" w:lineRule="auto"/>
              <w:jc w:val="center"/>
              <w:rPr>
                <w:rFonts w:ascii="Times New Roman" w:hAnsi="Times New Roman" w:cs="Times New Roman"/>
                <w:color w:val="auto"/>
              </w:rPr>
            </w:pPr>
          </w:p>
        </w:tc>
        <w:tc>
          <w:tcPr>
            <w:tcW w:w="2230" w:type="dxa"/>
            <w:vMerge/>
            <w:tcBorders>
              <w:bottom w:val="single" w:sz="4" w:space="0" w:color="auto"/>
            </w:tcBorders>
            <w:vAlign w:val="center"/>
          </w:tcPr>
          <w:p w14:paraId="5A72ADEE" w14:textId="77777777" w:rsidR="00F8703B" w:rsidRPr="002D43CE" w:rsidRDefault="00F8703B" w:rsidP="00365F1C">
            <w:pPr>
              <w:spacing w:line="360" w:lineRule="auto"/>
              <w:jc w:val="center"/>
              <w:rPr>
                <w:rFonts w:ascii="Times New Roman" w:hAnsi="Times New Roman" w:cs="Times New Roman"/>
                <w:color w:val="auto"/>
              </w:rPr>
            </w:pPr>
          </w:p>
        </w:tc>
        <w:tc>
          <w:tcPr>
            <w:tcW w:w="1590" w:type="dxa"/>
            <w:tcBorders>
              <w:top w:val="single" w:sz="4" w:space="0" w:color="auto"/>
              <w:bottom w:val="single" w:sz="4" w:space="0" w:color="auto"/>
            </w:tcBorders>
            <w:vAlign w:val="center"/>
          </w:tcPr>
          <w:p w14:paraId="7C8768E9" w14:textId="73F661D3"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χ</w:t>
            </w:r>
            <w:r w:rsidRPr="002D43CE">
              <w:rPr>
                <w:rFonts w:ascii="Times New Roman" w:hAnsi="Times New Roman" w:cs="Times New Roman"/>
                <w:i/>
                <w:color w:val="auto"/>
                <w:vertAlign w:val="superscript"/>
              </w:rPr>
              <w:t>2</w:t>
            </w:r>
            <w:r w:rsidR="00E52834" w:rsidRPr="002D43CE">
              <w:rPr>
                <w:rFonts w:ascii="Times New Roman" w:hAnsi="Times New Roman" w:cs="Times New Roman"/>
                <w:i/>
                <w:color w:val="auto"/>
                <w:vertAlign w:val="superscript"/>
              </w:rPr>
              <w:t xml:space="preserve"> </w:t>
            </w:r>
            <w:r w:rsidR="00E52834" w:rsidRPr="002D43CE">
              <w:rPr>
                <w:rFonts w:ascii="Times New Roman" w:hAnsi="Times New Roman" w:cs="Times New Roman"/>
                <w:color w:val="auto"/>
              </w:rPr>
              <w:t>(</w:t>
            </w:r>
            <w:proofErr w:type="spellStart"/>
            <w:r w:rsidR="00E52834" w:rsidRPr="002D43CE">
              <w:rPr>
                <w:rFonts w:ascii="Times New Roman" w:hAnsi="Times New Roman" w:cs="Times New Roman"/>
                <w:i/>
                <w:color w:val="auto"/>
              </w:rPr>
              <w:t>df</w:t>
            </w:r>
            <w:proofErr w:type="spellEnd"/>
            <w:r w:rsidR="00E52834" w:rsidRPr="002D43CE">
              <w:rPr>
                <w:rFonts w:ascii="Times New Roman" w:hAnsi="Times New Roman" w:cs="Times New Roman"/>
                <w:color w:val="auto"/>
              </w:rPr>
              <w:t xml:space="preserve"> = 1)</w:t>
            </w:r>
          </w:p>
        </w:tc>
        <w:tc>
          <w:tcPr>
            <w:tcW w:w="1590" w:type="dxa"/>
            <w:tcBorders>
              <w:top w:val="single" w:sz="4" w:space="0" w:color="auto"/>
              <w:bottom w:val="single" w:sz="4" w:space="0" w:color="auto"/>
            </w:tcBorders>
            <w:vAlign w:val="center"/>
          </w:tcPr>
          <w:p w14:paraId="71D0B099" w14:textId="77777777" w:rsidR="00F8703B" w:rsidRPr="002D43CE" w:rsidRDefault="00F8703B" w:rsidP="00365F1C">
            <w:pPr>
              <w:spacing w:line="360" w:lineRule="auto"/>
              <w:jc w:val="center"/>
              <w:rPr>
                <w:rFonts w:ascii="Times New Roman" w:hAnsi="Times New Roman" w:cs="Times New Roman"/>
                <w:i/>
                <w:color w:val="auto"/>
              </w:rPr>
            </w:pPr>
            <w:r w:rsidRPr="002D43CE">
              <w:rPr>
                <w:rFonts w:ascii="Times New Roman" w:hAnsi="Times New Roman" w:cs="Times New Roman"/>
                <w:i/>
                <w:color w:val="auto"/>
              </w:rPr>
              <w:t>p</w:t>
            </w:r>
          </w:p>
        </w:tc>
      </w:tr>
      <w:tr w:rsidR="009C2C98" w:rsidRPr="002D43CE" w14:paraId="414B18F2" w14:textId="77777777" w:rsidTr="00632DC2">
        <w:trPr>
          <w:trHeight w:val="414"/>
        </w:trPr>
        <w:tc>
          <w:tcPr>
            <w:tcW w:w="4572" w:type="dxa"/>
            <w:vAlign w:val="center"/>
          </w:tcPr>
          <w:p w14:paraId="0764A57B" w14:textId="17AB0702"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1. </w:t>
            </w:r>
            <w:r w:rsidR="009D1B2D" w:rsidRPr="002D43CE">
              <w:rPr>
                <w:rFonts w:ascii="Times New Roman" w:hAnsi="Times New Roman" w:cs="Times New Roman"/>
                <w:color w:val="auto"/>
              </w:rPr>
              <w:t>N</w:t>
            </w:r>
            <w:r w:rsidRPr="002D43CE">
              <w:rPr>
                <w:rFonts w:ascii="Times New Roman" w:hAnsi="Times New Roman" w:cs="Times New Roman"/>
                <w:color w:val="auto"/>
              </w:rPr>
              <w:t>atural disaster</w:t>
            </w:r>
          </w:p>
        </w:tc>
        <w:tc>
          <w:tcPr>
            <w:tcW w:w="2230" w:type="dxa"/>
            <w:vAlign w:val="center"/>
          </w:tcPr>
          <w:p w14:paraId="3B2D2598"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102 (10.9%)</w:t>
            </w:r>
          </w:p>
        </w:tc>
        <w:tc>
          <w:tcPr>
            <w:tcW w:w="2230" w:type="dxa"/>
            <w:vAlign w:val="center"/>
          </w:tcPr>
          <w:p w14:paraId="4E07FDC0"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52 (9.8%)</w:t>
            </w:r>
          </w:p>
        </w:tc>
        <w:tc>
          <w:tcPr>
            <w:tcW w:w="2230" w:type="dxa"/>
            <w:vAlign w:val="center"/>
          </w:tcPr>
          <w:p w14:paraId="239E9E2C"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50 (12.4%)</w:t>
            </w:r>
          </w:p>
        </w:tc>
        <w:tc>
          <w:tcPr>
            <w:tcW w:w="1590" w:type="dxa"/>
            <w:vAlign w:val="center"/>
          </w:tcPr>
          <w:p w14:paraId="1726B549"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1.56</w:t>
            </w:r>
          </w:p>
        </w:tc>
        <w:tc>
          <w:tcPr>
            <w:tcW w:w="1590" w:type="dxa"/>
            <w:vAlign w:val="center"/>
          </w:tcPr>
          <w:p w14:paraId="430566F2" w14:textId="596972E0"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.212</w:t>
            </w:r>
          </w:p>
        </w:tc>
      </w:tr>
      <w:tr w:rsidR="009C2C98" w:rsidRPr="002D43CE" w14:paraId="25FE7647" w14:textId="77777777" w:rsidTr="00632DC2">
        <w:trPr>
          <w:trHeight w:val="414"/>
        </w:trPr>
        <w:tc>
          <w:tcPr>
            <w:tcW w:w="4572" w:type="dxa"/>
            <w:vAlign w:val="center"/>
          </w:tcPr>
          <w:p w14:paraId="7908DD3E" w14:textId="1738A8CD"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2. Serious accident or injury </w:t>
            </w:r>
          </w:p>
        </w:tc>
        <w:tc>
          <w:tcPr>
            <w:tcW w:w="2230" w:type="dxa"/>
            <w:vAlign w:val="center"/>
          </w:tcPr>
          <w:p w14:paraId="641C91DA"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536 (57.5%)</w:t>
            </w:r>
          </w:p>
        </w:tc>
        <w:tc>
          <w:tcPr>
            <w:tcW w:w="2230" w:type="dxa"/>
            <w:vAlign w:val="center"/>
          </w:tcPr>
          <w:p w14:paraId="37143BA0"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289 (54.6%)</w:t>
            </w:r>
          </w:p>
        </w:tc>
        <w:tc>
          <w:tcPr>
            <w:tcW w:w="2230" w:type="dxa"/>
            <w:vAlign w:val="center"/>
          </w:tcPr>
          <w:p w14:paraId="1E404464"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247 (61.3%)</w:t>
            </w:r>
          </w:p>
        </w:tc>
        <w:tc>
          <w:tcPr>
            <w:tcW w:w="1590" w:type="dxa"/>
            <w:vAlign w:val="center"/>
          </w:tcPr>
          <w:p w14:paraId="228C6CF2"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4.15</w:t>
            </w:r>
          </w:p>
        </w:tc>
        <w:tc>
          <w:tcPr>
            <w:tcW w:w="1590" w:type="dxa"/>
            <w:vAlign w:val="center"/>
          </w:tcPr>
          <w:p w14:paraId="003C57BC" w14:textId="3D68D6CA"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.042</w:t>
            </w:r>
          </w:p>
        </w:tc>
      </w:tr>
      <w:tr w:rsidR="009C2C98" w:rsidRPr="002D43CE" w14:paraId="4DBEC00A" w14:textId="77777777" w:rsidTr="00632DC2">
        <w:trPr>
          <w:trHeight w:val="414"/>
        </w:trPr>
        <w:tc>
          <w:tcPr>
            <w:tcW w:w="4572" w:type="dxa"/>
            <w:vAlign w:val="center"/>
          </w:tcPr>
          <w:p w14:paraId="2E0C575D" w14:textId="39A453B6"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3. Robb</w:t>
            </w:r>
            <w:r w:rsidR="009D1B2D" w:rsidRPr="002D43CE">
              <w:rPr>
                <w:rFonts w:ascii="Times New Roman" w:hAnsi="Times New Roman" w:cs="Times New Roman"/>
                <w:color w:val="auto"/>
              </w:rPr>
              <w:t xml:space="preserve">ery with </w:t>
            </w:r>
            <w:r w:rsidRPr="002D43CE">
              <w:rPr>
                <w:rFonts w:ascii="Times New Roman" w:hAnsi="Times New Roman" w:cs="Times New Roman"/>
                <w:color w:val="auto"/>
              </w:rPr>
              <w:t>threat</w:t>
            </w:r>
          </w:p>
        </w:tc>
        <w:tc>
          <w:tcPr>
            <w:tcW w:w="2230" w:type="dxa"/>
            <w:vAlign w:val="center"/>
          </w:tcPr>
          <w:p w14:paraId="2A805D48"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41 (4.4%)</w:t>
            </w:r>
          </w:p>
        </w:tc>
        <w:tc>
          <w:tcPr>
            <w:tcW w:w="2230" w:type="dxa"/>
            <w:vAlign w:val="center"/>
          </w:tcPr>
          <w:p w14:paraId="19876C79"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12 (2.3%)</w:t>
            </w:r>
          </w:p>
        </w:tc>
        <w:tc>
          <w:tcPr>
            <w:tcW w:w="2230" w:type="dxa"/>
            <w:vAlign w:val="center"/>
          </w:tcPr>
          <w:p w14:paraId="7B592536"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29 (7.2%)</w:t>
            </w:r>
          </w:p>
        </w:tc>
        <w:tc>
          <w:tcPr>
            <w:tcW w:w="1590" w:type="dxa"/>
            <w:vAlign w:val="center"/>
          </w:tcPr>
          <w:p w14:paraId="25F57EDB"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13.07</w:t>
            </w:r>
          </w:p>
        </w:tc>
        <w:tc>
          <w:tcPr>
            <w:tcW w:w="1590" w:type="dxa"/>
            <w:vAlign w:val="center"/>
          </w:tcPr>
          <w:p w14:paraId="5610634F" w14:textId="7A04CDEF" w:rsidR="00F8703B" w:rsidRPr="002D43CE" w:rsidRDefault="008D053A"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&lt;</w:t>
            </w:r>
            <w:r w:rsidR="00E17F67" w:rsidRPr="002D43CE">
              <w:rPr>
                <w:rFonts w:ascii="Times New Roman" w:hAnsi="Times New Roman" w:cs="Times New Roman"/>
                <w:color w:val="auto"/>
              </w:rPr>
              <w:t xml:space="preserve"> </w:t>
            </w:r>
            <w:r w:rsidRPr="002D43CE">
              <w:rPr>
                <w:rFonts w:ascii="Times New Roman" w:hAnsi="Times New Roman" w:cs="Times New Roman"/>
                <w:color w:val="auto"/>
              </w:rPr>
              <w:t>.001</w:t>
            </w:r>
          </w:p>
        </w:tc>
      </w:tr>
      <w:tr w:rsidR="009C2C98" w:rsidRPr="002D43CE" w14:paraId="50504373" w14:textId="77777777" w:rsidTr="00632DC2">
        <w:trPr>
          <w:trHeight w:val="414"/>
        </w:trPr>
        <w:tc>
          <w:tcPr>
            <w:tcW w:w="4572" w:type="dxa"/>
            <w:vAlign w:val="center"/>
          </w:tcPr>
          <w:p w14:paraId="29DA2084" w14:textId="6A104030"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4. </w:t>
            </w:r>
            <w:r w:rsidR="009D1B2D" w:rsidRPr="002D43CE">
              <w:rPr>
                <w:rFonts w:ascii="Times New Roman" w:hAnsi="Times New Roman" w:cs="Times New Roman"/>
                <w:color w:val="auto"/>
              </w:rPr>
              <w:t>Physical abuse in family</w:t>
            </w:r>
          </w:p>
        </w:tc>
        <w:tc>
          <w:tcPr>
            <w:tcW w:w="2230" w:type="dxa"/>
            <w:vAlign w:val="center"/>
          </w:tcPr>
          <w:p w14:paraId="301E3C79"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180 (19.4%)</w:t>
            </w:r>
          </w:p>
        </w:tc>
        <w:tc>
          <w:tcPr>
            <w:tcW w:w="2230" w:type="dxa"/>
            <w:vAlign w:val="center"/>
          </w:tcPr>
          <w:p w14:paraId="1302C39A"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113 (21.4%)</w:t>
            </w:r>
          </w:p>
        </w:tc>
        <w:tc>
          <w:tcPr>
            <w:tcW w:w="2230" w:type="dxa"/>
            <w:vAlign w:val="center"/>
          </w:tcPr>
          <w:p w14:paraId="6C16B605"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67 (16.7%)</w:t>
            </w:r>
          </w:p>
        </w:tc>
        <w:tc>
          <w:tcPr>
            <w:tcW w:w="1590" w:type="dxa"/>
            <w:vAlign w:val="center"/>
          </w:tcPr>
          <w:p w14:paraId="3E51DE2B"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3.28</w:t>
            </w:r>
          </w:p>
        </w:tc>
        <w:tc>
          <w:tcPr>
            <w:tcW w:w="1590" w:type="dxa"/>
            <w:vAlign w:val="center"/>
          </w:tcPr>
          <w:p w14:paraId="65C4F74D" w14:textId="255D3FC3"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.070</w:t>
            </w:r>
          </w:p>
        </w:tc>
      </w:tr>
      <w:tr w:rsidR="009C2C98" w:rsidRPr="002D43CE" w14:paraId="42F633DE" w14:textId="77777777" w:rsidTr="00632DC2">
        <w:trPr>
          <w:trHeight w:val="414"/>
        </w:trPr>
        <w:tc>
          <w:tcPr>
            <w:tcW w:w="4572" w:type="dxa"/>
            <w:vAlign w:val="center"/>
          </w:tcPr>
          <w:p w14:paraId="323883FF" w14:textId="74118143"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5. </w:t>
            </w:r>
            <w:r w:rsidR="009D1B2D" w:rsidRPr="002D43CE">
              <w:rPr>
                <w:rFonts w:ascii="Times New Roman" w:hAnsi="Times New Roman" w:cs="Times New Roman"/>
                <w:color w:val="auto"/>
              </w:rPr>
              <w:t xml:space="preserve">Physical abuse not in family </w:t>
            </w:r>
          </w:p>
        </w:tc>
        <w:tc>
          <w:tcPr>
            <w:tcW w:w="2230" w:type="dxa"/>
            <w:vAlign w:val="center"/>
          </w:tcPr>
          <w:p w14:paraId="3D2C92B9"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241 (25.9%)</w:t>
            </w:r>
          </w:p>
        </w:tc>
        <w:tc>
          <w:tcPr>
            <w:tcW w:w="2230" w:type="dxa"/>
            <w:vAlign w:val="center"/>
          </w:tcPr>
          <w:p w14:paraId="720588D0"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103 (19.5%)</w:t>
            </w:r>
          </w:p>
        </w:tc>
        <w:tc>
          <w:tcPr>
            <w:tcW w:w="2230" w:type="dxa"/>
            <w:vAlign w:val="center"/>
          </w:tcPr>
          <w:p w14:paraId="595E89F3"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138 (34.4%)</w:t>
            </w:r>
          </w:p>
        </w:tc>
        <w:tc>
          <w:tcPr>
            <w:tcW w:w="1590" w:type="dxa"/>
            <w:vAlign w:val="center"/>
          </w:tcPr>
          <w:p w14:paraId="1ADF08D2"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26.36</w:t>
            </w:r>
          </w:p>
        </w:tc>
        <w:tc>
          <w:tcPr>
            <w:tcW w:w="1590" w:type="dxa"/>
            <w:vAlign w:val="center"/>
          </w:tcPr>
          <w:p w14:paraId="79621616" w14:textId="0563F216" w:rsidR="00F8703B" w:rsidRPr="002D43CE" w:rsidRDefault="008D053A"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&lt;</w:t>
            </w:r>
            <w:r w:rsidR="00E17F67" w:rsidRPr="002D43CE">
              <w:rPr>
                <w:rFonts w:ascii="Times New Roman" w:hAnsi="Times New Roman" w:cs="Times New Roman"/>
                <w:color w:val="auto"/>
              </w:rPr>
              <w:t xml:space="preserve"> </w:t>
            </w:r>
            <w:r w:rsidRPr="002D43CE">
              <w:rPr>
                <w:rFonts w:ascii="Times New Roman" w:hAnsi="Times New Roman" w:cs="Times New Roman"/>
                <w:color w:val="auto"/>
              </w:rPr>
              <w:t>.001</w:t>
            </w:r>
          </w:p>
        </w:tc>
      </w:tr>
      <w:tr w:rsidR="009C2C98" w:rsidRPr="002D43CE" w14:paraId="0EDF2695" w14:textId="77777777" w:rsidTr="00632DC2">
        <w:trPr>
          <w:trHeight w:val="414"/>
        </w:trPr>
        <w:tc>
          <w:tcPr>
            <w:tcW w:w="4572" w:type="dxa"/>
            <w:vAlign w:val="center"/>
          </w:tcPr>
          <w:p w14:paraId="7A309872" w14:textId="64B4CBE7"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6. </w:t>
            </w:r>
            <w:r w:rsidR="009D1B2D" w:rsidRPr="002D43CE">
              <w:rPr>
                <w:rFonts w:ascii="Times New Roman" w:hAnsi="Times New Roman" w:cs="Times New Roman"/>
                <w:color w:val="auto"/>
              </w:rPr>
              <w:t>Witnessing physical abuse in family</w:t>
            </w:r>
            <w:r w:rsidRPr="002D43CE">
              <w:rPr>
                <w:rFonts w:ascii="Times New Roman" w:hAnsi="Times New Roman" w:cs="Times New Roman"/>
                <w:color w:val="auto"/>
              </w:rPr>
              <w:t xml:space="preserve"> </w:t>
            </w:r>
          </w:p>
        </w:tc>
        <w:tc>
          <w:tcPr>
            <w:tcW w:w="2230" w:type="dxa"/>
            <w:vAlign w:val="center"/>
          </w:tcPr>
          <w:p w14:paraId="35555496"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162 (17.4%)</w:t>
            </w:r>
          </w:p>
        </w:tc>
        <w:tc>
          <w:tcPr>
            <w:tcW w:w="2230" w:type="dxa"/>
            <w:vAlign w:val="center"/>
          </w:tcPr>
          <w:p w14:paraId="259ACC0B"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101 (19.1%)</w:t>
            </w:r>
          </w:p>
        </w:tc>
        <w:tc>
          <w:tcPr>
            <w:tcW w:w="2230" w:type="dxa"/>
            <w:vAlign w:val="center"/>
          </w:tcPr>
          <w:p w14:paraId="3E929BC3"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61 (15.2%)</w:t>
            </w:r>
          </w:p>
        </w:tc>
        <w:tc>
          <w:tcPr>
            <w:tcW w:w="1590" w:type="dxa"/>
            <w:vAlign w:val="center"/>
          </w:tcPr>
          <w:p w14:paraId="196E528C"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2.44</w:t>
            </w:r>
          </w:p>
        </w:tc>
        <w:tc>
          <w:tcPr>
            <w:tcW w:w="1590" w:type="dxa"/>
            <w:vAlign w:val="center"/>
          </w:tcPr>
          <w:p w14:paraId="38617C02" w14:textId="664AEC17"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.118</w:t>
            </w:r>
          </w:p>
        </w:tc>
      </w:tr>
      <w:tr w:rsidR="009C2C98" w:rsidRPr="002D43CE" w14:paraId="0A8DFEAF" w14:textId="77777777" w:rsidTr="00632DC2">
        <w:trPr>
          <w:trHeight w:val="414"/>
        </w:trPr>
        <w:tc>
          <w:tcPr>
            <w:tcW w:w="4572" w:type="dxa"/>
            <w:vAlign w:val="center"/>
          </w:tcPr>
          <w:p w14:paraId="21D7CB0B" w14:textId="0C1A71A8"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7. </w:t>
            </w:r>
            <w:r w:rsidR="009D1B2D" w:rsidRPr="002D43CE">
              <w:rPr>
                <w:rFonts w:ascii="Times New Roman" w:hAnsi="Times New Roman" w:cs="Times New Roman"/>
                <w:color w:val="auto"/>
              </w:rPr>
              <w:t xml:space="preserve">Witnessing physical abuse in community </w:t>
            </w:r>
          </w:p>
        </w:tc>
        <w:tc>
          <w:tcPr>
            <w:tcW w:w="2230" w:type="dxa"/>
            <w:vAlign w:val="center"/>
          </w:tcPr>
          <w:p w14:paraId="6E951F36"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434 (46.6%)</w:t>
            </w:r>
          </w:p>
        </w:tc>
        <w:tc>
          <w:tcPr>
            <w:tcW w:w="2230" w:type="dxa"/>
            <w:vAlign w:val="center"/>
          </w:tcPr>
          <w:p w14:paraId="69DB5FFD"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221 (41.8%)</w:t>
            </w:r>
          </w:p>
        </w:tc>
        <w:tc>
          <w:tcPr>
            <w:tcW w:w="2230" w:type="dxa"/>
            <w:vAlign w:val="center"/>
          </w:tcPr>
          <w:p w14:paraId="1FFE530A"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213 (52.9%)</w:t>
            </w:r>
          </w:p>
        </w:tc>
        <w:tc>
          <w:tcPr>
            <w:tcW w:w="1590" w:type="dxa"/>
            <w:vAlign w:val="center"/>
          </w:tcPr>
          <w:p w14:paraId="7AC47036"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11.28</w:t>
            </w:r>
          </w:p>
        </w:tc>
        <w:tc>
          <w:tcPr>
            <w:tcW w:w="1590" w:type="dxa"/>
            <w:vAlign w:val="center"/>
          </w:tcPr>
          <w:p w14:paraId="5D11AFB1" w14:textId="63500DBD" w:rsidR="00F8703B" w:rsidRPr="002D43CE" w:rsidRDefault="008D053A"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&lt;</w:t>
            </w:r>
            <w:r w:rsidR="00E17F67" w:rsidRPr="002D43CE">
              <w:rPr>
                <w:rFonts w:ascii="Times New Roman" w:hAnsi="Times New Roman" w:cs="Times New Roman"/>
                <w:color w:val="auto"/>
              </w:rPr>
              <w:t xml:space="preserve"> </w:t>
            </w:r>
            <w:r w:rsidRPr="002D43CE">
              <w:rPr>
                <w:rFonts w:ascii="Times New Roman" w:hAnsi="Times New Roman" w:cs="Times New Roman"/>
                <w:color w:val="auto"/>
              </w:rPr>
              <w:t>.001</w:t>
            </w:r>
          </w:p>
        </w:tc>
      </w:tr>
      <w:tr w:rsidR="009C2C98" w:rsidRPr="002D43CE" w14:paraId="030B4185" w14:textId="77777777" w:rsidTr="00632DC2">
        <w:trPr>
          <w:trHeight w:val="414"/>
        </w:trPr>
        <w:tc>
          <w:tcPr>
            <w:tcW w:w="4572" w:type="dxa"/>
            <w:vAlign w:val="center"/>
          </w:tcPr>
          <w:p w14:paraId="047029D6" w14:textId="6D86E231"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8. S</w:t>
            </w:r>
            <w:r w:rsidR="001F6236" w:rsidRPr="002D43CE">
              <w:rPr>
                <w:rFonts w:ascii="Times New Roman" w:hAnsi="Times New Roman" w:cs="Times New Roman"/>
                <w:color w:val="auto"/>
              </w:rPr>
              <w:t>exual abuse, s</w:t>
            </w:r>
            <w:r w:rsidRPr="002D43CE">
              <w:rPr>
                <w:rFonts w:ascii="Times New Roman" w:hAnsi="Times New Roman" w:cs="Times New Roman"/>
                <w:color w:val="auto"/>
              </w:rPr>
              <w:t xml:space="preserve">omeone older touching </w:t>
            </w:r>
            <w:r w:rsidR="001F6236" w:rsidRPr="002D43CE">
              <w:rPr>
                <w:rFonts w:ascii="Times New Roman" w:hAnsi="Times New Roman" w:cs="Times New Roman"/>
                <w:color w:val="auto"/>
              </w:rPr>
              <w:t xml:space="preserve">you </w:t>
            </w:r>
            <w:r w:rsidRPr="002D43CE">
              <w:rPr>
                <w:rFonts w:ascii="Times New Roman" w:hAnsi="Times New Roman" w:cs="Times New Roman"/>
                <w:color w:val="auto"/>
              </w:rPr>
              <w:t>private parts when they shouldn’t</w:t>
            </w:r>
          </w:p>
        </w:tc>
        <w:tc>
          <w:tcPr>
            <w:tcW w:w="2230" w:type="dxa"/>
            <w:vAlign w:val="center"/>
          </w:tcPr>
          <w:p w14:paraId="5E01BB4D" w14:textId="36F2093E"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37 (4</w:t>
            </w:r>
            <w:r w:rsidR="008D053A" w:rsidRPr="002D43CE">
              <w:rPr>
                <w:rFonts w:ascii="Times New Roman" w:hAnsi="Times New Roman" w:cs="Times New Roman"/>
                <w:color w:val="auto"/>
              </w:rPr>
              <w:t>.0</w:t>
            </w:r>
            <w:r w:rsidRPr="002D43CE">
              <w:rPr>
                <w:rFonts w:ascii="Times New Roman" w:hAnsi="Times New Roman" w:cs="Times New Roman"/>
                <w:color w:val="auto"/>
              </w:rPr>
              <w:t>%)</w:t>
            </w:r>
          </w:p>
        </w:tc>
        <w:tc>
          <w:tcPr>
            <w:tcW w:w="2230" w:type="dxa"/>
            <w:vAlign w:val="center"/>
          </w:tcPr>
          <w:p w14:paraId="037B5A89"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24 (4.6%)</w:t>
            </w:r>
          </w:p>
        </w:tc>
        <w:tc>
          <w:tcPr>
            <w:tcW w:w="2230" w:type="dxa"/>
            <w:vAlign w:val="center"/>
          </w:tcPr>
          <w:p w14:paraId="2E4CD9EA"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13 (3.2%)</w:t>
            </w:r>
          </w:p>
        </w:tc>
        <w:tc>
          <w:tcPr>
            <w:tcW w:w="1590" w:type="dxa"/>
            <w:vAlign w:val="center"/>
          </w:tcPr>
          <w:p w14:paraId="5550BCEC"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1.04</w:t>
            </w:r>
          </w:p>
        </w:tc>
        <w:tc>
          <w:tcPr>
            <w:tcW w:w="1590" w:type="dxa"/>
            <w:vAlign w:val="center"/>
          </w:tcPr>
          <w:p w14:paraId="156C9E8D" w14:textId="112BEE45"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.308</w:t>
            </w:r>
          </w:p>
        </w:tc>
      </w:tr>
      <w:tr w:rsidR="009C2C98" w:rsidRPr="002D43CE" w14:paraId="5627E786" w14:textId="77777777" w:rsidTr="00632DC2">
        <w:trPr>
          <w:trHeight w:val="414"/>
        </w:trPr>
        <w:tc>
          <w:tcPr>
            <w:tcW w:w="4572" w:type="dxa"/>
            <w:vAlign w:val="center"/>
          </w:tcPr>
          <w:p w14:paraId="61DD4AEE" w14:textId="6AA0596D"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9. S</w:t>
            </w:r>
            <w:r w:rsidR="001F6236" w:rsidRPr="002D43CE">
              <w:rPr>
                <w:rFonts w:ascii="Times New Roman" w:hAnsi="Times New Roman" w:cs="Times New Roman"/>
                <w:color w:val="auto"/>
              </w:rPr>
              <w:t>exual assault, s</w:t>
            </w:r>
            <w:r w:rsidRPr="002D43CE">
              <w:rPr>
                <w:rFonts w:ascii="Times New Roman" w:hAnsi="Times New Roman" w:cs="Times New Roman"/>
                <w:color w:val="auto"/>
              </w:rPr>
              <w:t xml:space="preserve">omeone forcing or pressuring </w:t>
            </w:r>
            <w:r w:rsidR="001F6236" w:rsidRPr="002D43CE">
              <w:rPr>
                <w:rFonts w:ascii="Times New Roman" w:hAnsi="Times New Roman" w:cs="Times New Roman"/>
                <w:color w:val="auto"/>
              </w:rPr>
              <w:t xml:space="preserve">to have </w:t>
            </w:r>
            <w:r w:rsidRPr="002D43CE">
              <w:rPr>
                <w:rFonts w:ascii="Times New Roman" w:hAnsi="Times New Roman" w:cs="Times New Roman"/>
                <w:color w:val="auto"/>
              </w:rPr>
              <w:t>sex, when you couldn’t say no</w:t>
            </w:r>
          </w:p>
        </w:tc>
        <w:tc>
          <w:tcPr>
            <w:tcW w:w="2230" w:type="dxa"/>
            <w:vAlign w:val="center"/>
          </w:tcPr>
          <w:p w14:paraId="01906E79"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21 (2.3%)</w:t>
            </w:r>
          </w:p>
        </w:tc>
        <w:tc>
          <w:tcPr>
            <w:tcW w:w="2230" w:type="dxa"/>
            <w:vAlign w:val="center"/>
          </w:tcPr>
          <w:p w14:paraId="1CEAD28E"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14 (2.6%)</w:t>
            </w:r>
          </w:p>
        </w:tc>
        <w:tc>
          <w:tcPr>
            <w:tcW w:w="2230" w:type="dxa"/>
            <w:vAlign w:val="center"/>
          </w:tcPr>
          <w:p w14:paraId="779C46B5"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7 (1.7%)</w:t>
            </w:r>
          </w:p>
        </w:tc>
        <w:tc>
          <w:tcPr>
            <w:tcW w:w="1590" w:type="dxa"/>
            <w:vAlign w:val="center"/>
          </w:tcPr>
          <w:p w14:paraId="41519124"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0.86</w:t>
            </w:r>
          </w:p>
        </w:tc>
        <w:tc>
          <w:tcPr>
            <w:tcW w:w="1590" w:type="dxa"/>
            <w:vAlign w:val="center"/>
          </w:tcPr>
          <w:p w14:paraId="7139EC37" w14:textId="5D60820A"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.354</w:t>
            </w:r>
          </w:p>
        </w:tc>
      </w:tr>
      <w:tr w:rsidR="009C2C98" w:rsidRPr="002D43CE" w14:paraId="53D682B7" w14:textId="77777777" w:rsidTr="00632DC2">
        <w:trPr>
          <w:trHeight w:val="414"/>
        </w:trPr>
        <w:tc>
          <w:tcPr>
            <w:tcW w:w="4572" w:type="dxa"/>
            <w:vAlign w:val="center"/>
          </w:tcPr>
          <w:p w14:paraId="53E9EF19" w14:textId="3EFADD5B" w:rsidR="00F8703B" w:rsidRPr="002D43CE" w:rsidRDefault="00F8703B" w:rsidP="009A337E">
            <w:pPr>
              <w:spacing w:line="360" w:lineRule="auto"/>
              <w:rPr>
                <w:rFonts w:ascii="Times New Roman" w:hAnsi="Times New Roman" w:cs="Times New Roman"/>
                <w:color w:val="auto"/>
              </w:rPr>
            </w:pPr>
            <w:r w:rsidRPr="002D43CE">
              <w:rPr>
                <w:rFonts w:ascii="Times New Roman" w:hAnsi="Times New Roman" w:cs="Times New Roman"/>
                <w:color w:val="auto"/>
              </w:rPr>
              <w:t xml:space="preserve">10. </w:t>
            </w:r>
            <w:r w:rsidR="009D1B2D" w:rsidRPr="002D43CE">
              <w:rPr>
                <w:rFonts w:ascii="Times New Roman" w:hAnsi="Times New Roman" w:cs="Times New Roman"/>
                <w:color w:val="auto"/>
              </w:rPr>
              <w:t>Sudden or violent death of a close one</w:t>
            </w:r>
          </w:p>
        </w:tc>
        <w:tc>
          <w:tcPr>
            <w:tcW w:w="2230" w:type="dxa"/>
            <w:vAlign w:val="center"/>
          </w:tcPr>
          <w:p w14:paraId="50866FBE"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231 (24.8%)</w:t>
            </w:r>
          </w:p>
        </w:tc>
        <w:tc>
          <w:tcPr>
            <w:tcW w:w="2230" w:type="dxa"/>
            <w:vAlign w:val="center"/>
          </w:tcPr>
          <w:p w14:paraId="5079A7CF"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157 (29.7%)</w:t>
            </w:r>
          </w:p>
        </w:tc>
        <w:tc>
          <w:tcPr>
            <w:tcW w:w="2230" w:type="dxa"/>
            <w:vAlign w:val="center"/>
          </w:tcPr>
          <w:p w14:paraId="66279D98"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74 (18.4%)</w:t>
            </w:r>
          </w:p>
        </w:tc>
        <w:tc>
          <w:tcPr>
            <w:tcW w:w="1590" w:type="dxa"/>
            <w:vAlign w:val="center"/>
          </w:tcPr>
          <w:p w14:paraId="18D5B18E"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15.71</w:t>
            </w:r>
          </w:p>
        </w:tc>
        <w:tc>
          <w:tcPr>
            <w:tcW w:w="1590" w:type="dxa"/>
            <w:vAlign w:val="center"/>
          </w:tcPr>
          <w:p w14:paraId="59094630" w14:textId="21B55ED3" w:rsidR="00F8703B" w:rsidRPr="002D43CE" w:rsidRDefault="00E17F67"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&lt; .001</w:t>
            </w:r>
          </w:p>
        </w:tc>
      </w:tr>
      <w:tr w:rsidR="009C2C98" w:rsidRPr="002D43CE" w14:paraId="4C728F6E" w14:textId="77777777" w:rsidTr="00632DC2">
        <w:trPr>
          <w:trHeight w:val="414"/>
        </w:trPr>
        <w:tc>
          <w:tcPr>
            <w:tcW w:w="4572" w:type="dxa"/>
            <w:vAlign w:val="center"/>
          </w:tcPr>
          <w:p w14:paraId="67619A2B" w14:textId="190827B0"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11. </w:t>
            </w:r>
            <w:r w:rsidR="009D1B2D" w:rsidRPr="002D43CE">
              <w:rPr>
                <w:rFonts w:ascii="Times New Roman" w:hAnsi="Times New Roman" w:cs="Times New Roman"/>
                <w:color w:val="auto"/>
              </w:rPr>
              <w:t>Physical attack</w:t>
            </w:r>
          </w:p>
        </w:tc>
        <w:tc>
          <w:tcPr>
            <w:tcW w:w="2230" w:type="dxa"/>
            <w:shd w:val="clear" w:color="auto" w:fill="auto"/>
            <w:vAlign w:val="center"/>
          </w:tcPr>
          <w:p w14:paraId="26644ED8"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23 (2.5%)</w:t>
            </w:r>
          </w:p>
        </w:tc>
        <w:tc>
          <w:tcPr>
            <w:tcW w:w="2230" w:type="dxa"/>
            <w:vAlign w:val="center"/>
          </w:tcPr>
          <w:p w14:paraId="71318B88"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5 (0.9%)</w:t>
            </w:r>
          </w:p>
        </w:tc>
        <w:tc>
          <w:tcPr>
            <w:tcW w:w="2230" w:type="dxa"/>
            <w:vAlign w:val="center"/>
          </w:tcPr>
          <w:p w14:paraId="14C2E329"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18 (4.5%)</w:t>
            </w:r>
          </w:p>
        </w:tc>
        <w:tc>
          <w:tcPr>
            <w:tcW w:w="1590" w:type="dxa"/>
            <w:vAlign w:val="center"/>
          </w:tcPr>
          <w:p w14:paraId="13914E06"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11.78</w:t>
            </w:r>
          </w:p>
        </w:tc>
        <w:tc>
          <w:tcPr>
            <w:tcW w:w="1590" w:type="dxa"/>
            <w:vAlign w:val="center"/>
          </w:tcPr>
          <w:p w14:paraId="486B0383" w14:textId="46039A5F"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.001</w:t>
            </w:r>
          </w:p>
        </w:tc>
      </w:tr>
      <w:tr w:rsidR="009C2C98" w:rsidRPr="002D43CE" w14:paraId="1518DD53" w14:textId="77777777" w:rsidTr="00632DC2">
        <w:trPr>
          <w:trHeight w:val="414"/>
        </w:trPr>
        <w:tc>
          <w:tcPr>
            <w:tcW w:w="4572" w:type="dxa"/>
            <w:vAlign w:val="center"/>
          </w:tcPr>
          <w:p w14:paraId="61F55CCE" w14:textId="68E759FC"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12. </w:t>
            </w:r>
            <w:r w:rsidR="009D1B2D" w:rsidRPr="002D43CE">
              <w:rPr>
                <w:rFonts w:ascii="Times New Roman" w:hAnsi="Times New Roman" w:cs="Times New Roman"/>
                <w:color w:val="auto"/>
              </w:rPr>
              <w:t>Witnessing physical attack</w:t>
            </w:r>
          </w:p>
        </w:tc>
        <w:tc>
          <w:tcPr>
            <w:tcW w:w="2230" w:type="dxa"/>
            <w:shd w:val="clear" w:color="auto" w:fill="auto"/>
            <w:vAlign w:val="center"/>
          </w:tcPr>
          <w:p w14:paraId="1CF62F9E"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80 (8.6%)</w:t>
            </w:r>
          </w:p>
        </w:tc>
        <w:tc>
          <w:tcPr>
            <w:tcW w:w="2230" w:type="dxa"/>
            <w:vAlign w:val="center"/>
          </w:tcPr>
          <w:p w14:paraId="2B8D7FA4"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47 (8.9%)</w:t>
            </w:r>
          </w:p>
        </w:tc>
        <w:tc>
          <w:tcPr>
            <w:tcW w:w="2230" w:type="dxa"/>
            <w:vAlign w:val="center"/>
          </w:tcPr>
          <w:p w14:paraId="6E6675BD"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33 (8.2%)</w:t>
            </w:r>
          </w:p>
        </w:tc>
        <w:tc>
          <w:tcPr>
            <w:tcW w:w="1590" w:type="dxa"/>
            <w:vAlign w:val="center"/>
          </w:tcPr>
          <w:p w14:paraId="6BBFD895"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0.14</w:t>
            </w:r>
          </w:p>
        </w:tc>
        <w:tc>
          <w:tcPr>
            <w:tcW w:w="1590" w:type="dxa"/>
            <w:vAlign w:val="center"/>
          </w:tcPr>
          <w:p w14:paraId="39E4AEF6" w14:textId="13460090"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.707</w:t>
            </w:r>
          </w:p>
        </w:tc>
      </w:tr>
      <w:tr w:rsidR="009C2C98" w:rsidRPr="002D43CE" w14:paraId="2CE75B85" w14:textId="77777777" w:rsidTr="00632DC2">
        <w:trPr>
          <w:trHeight w:val="414"/>
        </w:trPr>
        <w:tc>
          <w:tcPr>
            <w:tcW w:w="4572" w:type="dxa"/>
            <w:vAlign w:val="center"/>
          </w:tcPr>
          <w:p w14:paraId="75EF7757" w14:textId="569704E6"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13. </w:t>
            </w:r>
            <w:r w:rsidR="00B301D3" w:rsidRPr="002D43CE">
              <w:rPr>
                <w:rFonts w:ascii="Times New Roman" w:hAnsi="Times New Roman" w:cs="Times New Roman"/>
                <w:color w:val="auto"/>
              </w:rPr>
              <w:t xml:space="preserve">Scary </w:t>
            </w:r>
            <w:r w:rsidRPr="002D43CE">
              <w:rPr>
                <w:rFonts w:ascii="Times New Roman" w:hAnsi="Times New Roman" w:cs="Times New Roman"/>
                <w:color w:val="auto"/>
              </w:rPr>
              <w:t>medical procedure</w:t>
            </w:r>
          </w:p>
        </w:tc>
        <w:tc>
          <w:tcPr>
            <w:tcW w:w="2230" w:type="dxa"/>
            <w:shd w:val="clear" w:color="auto" w:fill="auto"/>
            <w:vAlign w:val="center"/>
          </w:tcPr>
          <w:p w14:paraId="7EC23BAA"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373 (40.1%)</w:t>
            </w:r>
          </w:p>
        </w:tc>
        <w:tc>
          <w:tcPr>
            <w:tcW w:w="2230" w:type="dxa"/>
            <w:vAlign w:val="center"/>
          </w:tcPr>
          <w:p w14:paraId="7C77DAB8"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239 (45.3%)</w:t>
            </w:r>
          </w:p>
        </w:tc>
        <w:tc>
          <w:tcPr>
            <w:tcW w:w="2230" w:type="dxa"/>
            <w:vAlign w:val="center"/>
          </w:tcPr>
          <w:p w14:paraId="1D0ECFB0"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134 (33.3%)</w:t>
            </w:r>
          </w:p>
        </w:tc>
        <w:tc>
          <w:tcPr>
            <w:tcW w:w="1590" w:type="dxa"/>
            <w:vAlign w:val="center"/>
          </w:tcPr>
          <w:p w14:paraId="5C425CBE"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13.74</w:t>
            </w:r>
          </w:p>
        </w:tc>
        <w:tc>
          <w:tcPr>
            <w:tcW w:w="1590" w:type="dxa"/>
            <w:vAlign w:val="center"/>
          </w:tcPr>
          <w:p w14:paraId="78ECBBA3" w14:textId="7F9043D0" w:rsidR="00F8703B" w:rsidRPr="002D43CE" w:rsidRDefault="008D053A"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&lt;</w:t>
            </w:r>
            <w:r w:rsidR="00E17F67" w:rsidRPr="002D43CE">
              <w:rPr>
                <w:rFonts w:ascii="Times New Roman" w:hAnsi="Times New Roman" w:cs="Times New Roman"/>
                <w:color w:val="auto"/>
              </w:rPr>
              <w:t xml:space="preserve"> </w:t>
            </w:r>
            <w:r w:rsidRPr="002D43CE">
              <w:rPr>
                <w:rFonts w:ascii="Times New Roman" w:hAnsi="Times New Roman" w:cs="Times New Roman"/>
                <w:color w:val="auto"/>
              </w:rPr>
              <w:t>.001</w:t>
            </w:r>
          </w:p>
        </w:tc>
      </w:tr>
      <w:tr w:rsidR="00F8703B" w:rsidRPr="002D43CE" w14:paraId="3D486C69" w14:textId="77777777" w:rsidTr="00632DC2">
        <w:trPr>
          <w:trHeight w:val="414"/>
        </w:trPr>
        <w:tc>
          <w:tcPr>
            <w:tcW w:w="4572" w:type="dxa"/>
            <w:tcBorders>
              <w:bottom w:val="single" w:sz="4" w:space="0" w:color="auto"/>
            </w:tcBorders>
            <w:vAlign w:val="center"/>
          </w:tcPr>
          <w:p w14:paraId="42AEC82C" w14:textId="32858E4A" w:rsidR="00F8703B" w:rsidRPr="002D43CE" w:rsidRDefault="00F8703B" w:rsidP="00365F1C">
            <w:pPr>
              <w:spacing w:line="360" w:lineRule="auto"/>
              <w:rPr>
                <w:rFonts w:ascii="Times New Roman" w:hAnsi="Times New Roman" w:cs="Times New Roman"/>
                <w:color w:val="auto"/>
              </w:rPr>
            </w:pPr>
            <w:r w:rsidRPr="002D43CE">
              <w:rPr>
                <w:rFonts w:ascii="Times New Roman" w:hAnsi="Times New Roman" w:cs="Times New Roman"/>
                <w:color w:val="auto"/>
              </w:rPr>
              <w:t xml:space="preserve">14. </w:t>
            </w:r>
            <w:r w:rsidR="009D1B2D" w:rsidRPr="002D43CE">
              <w:rPr>
                <w:rFonts w:ascii="Times New Roman" w:hAnsi="Times New Roman" w:cs="Times New Roman"/>
                <w:color w:val="auto"/>
              </w:rPr>
              <w:t>W</w:t>
            </w:r>
            <w:r w:rsidRPr="002D43CE">
              <w:rPr>
                <w:rFonts w:ascii="Times New Roman" w:hAnsi="Times New Roman" w:cs="Times New Roman"/>
                <w:color w:val="auto"/>
              </w:rPr>
              <w:t>ar</w:t>
            </w:r>
            <w:r w:rsidR="001F6236" w:rsidRPr="002D43CE">
              <w:rPr>
                <w:rFonts w:ascii="Times New Roman" w:hAnsi="Times New Roman" w:cs="Times New Roman"/>
                <w:color w:val="auto"/>
              </w:rPr>
              <w:t xml:space="preserve"> experiences</w:t>
            </w:r>
          </w:p>
        </w:tc>
        <w:tc>
          <w:tcPr>
            <w:tcW w:w="2230" w:type="dxa"/>
            <w:tcBorders>
              <w:bottom w:val="single" w:sz="4" w:space="0" w:color="auto"/>
            </w:tcBorders>
            <w:shd w:val="clear" w:color="auto" w:fill="auto"/>
            <w:vAlign w:val="center"/>
          </w:tcPr>
          <w:p w14:paraId="46420511" w14:textId="77777777" w:rsidR="00F8703B" w:rsidRPr="002D43CE" w:rsidRDefault="00F8703B" w:rsidP="00365F1C">
            <w:pPr>
              <w:spacing w:line="360" w:lineRule="auto"/>
              <w:ind w:left="518"/>
              <w:rPr>
                <w:rFonts w:ascii="Times New Roman" w:hAnsi="Times New Roman" w:cs="Times New Roman"/>
                <w:color w:val="auto"/>
              </w:rPr>
            </w:pPr>
            <w:r w:rsidRPr="002D43CE">
              <w:rPr>
                <w:rFonts w:ascii="Times New Roman" w:hAnsi="Times New Roman" w:cs="Times New Roman"/>
                <w:color w:val="auto"/>
              </w:rPr>
              <w:t>18 (1.9%)</w:t>
            </w:r>
          </w:p>
        </w:tc>
        <w:tc>
          <w:tcPr>
            <w:tcW w:w="2230" w:type="dxa"/>
            <w:tcBorders>
              <w:bottom w:val="single" w:sz="4" w:space="0" w:color="auto"/>
            </w:tcBorders>
            <w:vAlign w:val="center"/>
          </w:tcPr>
          <w:p w14:paraId="6DC94925" w14:textId="77777777" w:rsidR="00F8703B" w:rsidRPr="002D43CE" w:rsidRDefault="00F8703B" w:rsidP="00365F1C">
            <w:pPr>
              <w:spacing w:line="360" w:lineRule="auto"/>
              <w:ind w:left="633"/>
              <w:rPr>
                <w:rFonts w:ascii="Times New Roman" w:hAnsi="Times New Roman" w:cs="Times New Roman"/>
                <w:color w:val="auto"/>
              </w:rPr>
            </w:pPr>
            <w:r w:rsidRPr="002D43CE">
              <w:rPr>
                <w:rFonts w:ascii="Times New Roman" w:hAnsi="Times New Roman" w:cs="Times New Roman"/>
                <w:color w:val="auto"/>
              </w:rPr>
              <w:t>3 (0.6%)</w:t>
            </w:r>
          </w:p>
        </w:tc>
        <w:tc>
          <w:tcPr>
            <w:tcW w:w="2230" w:type="dxa"/>
            <w:tcBorders>
              <w:bottom w:val="single" w:sz="4" w:space="0" w:color="auto"/>
            </w:tcBorders>
            <w:vAlign w:val="center"/>
          </w:tcPr>
          <w:p w14:paraId="5E0806D4" w14:textId="77777777" w:rsidR="00F8703B" w:rsidRPr="002D43CE" w:rsidRDefault="00F8703B" w:rsidP="00365F1C">
            <w:pPr>
              <w:spacing w:line="360" w:lineRule="auto"/>
              <w:ind w:left="558"/>
              <w:rPr>
                <w:rFonts w:ascii="Times New Roman" w:hAnsi="Times New Roman" w:cs="Times New Roman"/>
                <w:color w:val="auto"/>
              </w:rPr>
            </w:pPr>
            <w:r w:rsidRPr="002D43CE">
              <w:rPr>
                <w:rFonts w:ascii="Times New Roman" w:hAnsi="Times New Roman" w:cs="Times New Roman"/>
                <w:color w:val="auto"/>
              </w:rPr>
              <w:t>15 (3.7%)</w:t>
            </w:r>
          </w:p>
        </w:tc>
        <w:tc>
          <w:tcPr>
            <w:tcW w:w="1590" w:type="dxa"/>
            <w:tcBorders>
              <w:bottom w:val="single" w:sz="4" w:space="0" w:color="auto"/>
            </w:tcBorders>
            <w:vAlign w:val="center"/>
          </w:tcPr>
          <w:p w14:paraId="74FACC8D" w14:textId="77777777" w:rsidR="00F8703B" w:rsidRPr="002D43CE" w:rsidRDefault="00F8703B" w:rsidP="00365F1C">
            <w:pPr>
              <w:spacing w:line="360" w:lineRule="auto"/>
              <w:ind w:left="556"/>
              <w:rPr>
                <w:rFonts w:ascii="Times New Roman" w:hAnsi="Times New Roman" w:cs="Times New Roman"/>
                <w:color w:val="auto"/>
              </w:rPr>
            </w:pPr>
            <w:r w:rsidRPr="002D43CE">
              <w:rPr>
                <w:rFonts w:ascii="Times New Roman" w:hAnsi="Times New Roman" w:cs="Times New Roman"/>
                <w:color w:val="auto"/>
              </w:rPr>
              <w:t>12.03</w:t>
            </w:r>
          </w:p>
        </w:tc>
        <w:tc>
          <w:tcPr>
            <w:tcW w:w="1590" w:type="dxa"/>
            <w:tcBorders>
              <w:bottom w:val="single" w:sz="4" w:space="0" w:color="auto"/>
            </w:tcBorders>
            <w:vAlign w:val="center"/>
          </w:tcPr>
          <w:p w14:paraId="54863FBF" w14:textId="5C8688E8" w:rsidR="00F8703B" w:rsidRPr="002D43CE" w:rsidRDefault="00F8703B" w:rsidP="00365F1C">
            <w:pPr>
              <w:spacing w:line="360" w:lineRule="auto"/>
              <w:jc w:val="center"/>
              <w:rPr>
                <w:rFonts w:ascii="Times New Roman" w:hAnsi="Times New Roman" w:cs="Times New Roman"/>
                <w:color w:val="auto"/>
              </w:rPr>
            </w:pPr>
            <w:r w:rsidRPr="002D43CE">
              <w:rPr>
                <w:rFonts w:ascii="Times New Roman" w:hAnsi="Times New Roman" w:cs="Times New Roman"/>
                <w:color w:val="auto"/>
              </w:rPr>
              <w:t>.001</w:t>
            </w:r>
          </w:p>
        </w:tc>
      </w:tr>
    </w:tbl>
    <w:p w14:paraId="6B995801" w14:textId="77777777" w:rsidR="00F8703B" w:rsidRPr="002D43CE" w:rsidRDefault="00F8703B" w:rsidP="00365F1C">
      <w:pPr>
        <w:suppressAutoHyphens w:val="0"/>
        <w:spacing w:line="360" w:lineRule="auto"/>
        <w:rPr>
          <w:b/>
          <w:color w:val="auto"/>
        </w:rPr>
      </w:pPr>
    </w:p>
    <w:p w14:paraId="55A46C00" w14:textId="77777777" w:rsidR="00F8703B" w:rsidRPr="002D43CE" w:rsidRDefault="00F8703B" w:rsidP="00365F1C">
      <w:pPr>
        <w:suppressAutoHyphens w:val="0"/>
        <w:spacing w:line="360" w:lineRule="auto"/>
        <w:rPr>
          <w:b/>
          <w:color w:val="auto"/>
        </w:rPr>
      </w:pPr>
    </w:p>
    <w:p w14:paraId="5B919F00" w14:textId="77777777" w:rsidR="00F8703B" w:rsidRPr="002D43CE" w:rsidRDefault="00F8703B" w:rsidP="00365F1C">
      <w:pPr>
        <w:suppressAutoHyphens w:val="0"/>
        <w:spacing w:line="360" w:lineRule="auto"/>
        <w:rPr>
          <w:b/>
          <w:color w:val="auto"/>
        </w:rPr>
        <w:sectPr w:rsidR="00F8703B" w:rsidRPr="002D43CE" w:rsidSect="00022C88">
          <w:pgSz w:w="16840" w:h="11907" w:orient="landscape" w:code="9"/>
          <w:pgMar w:top="720" w:right="720" w:bottom="720" w:left="720" w:header="720" w:footer="720" w:gutter="0"/>
          <w:cols w:space="1296"/>
          <w:docGrid w:linePitch="326"/>
        </w:sectPr>
      </w:pPr>
    </w:p>
    <w:p w14:paraId="6FC8E83D" w14:textId="2577A564" w:rsidR="00DE3945" w:rsidRPr="002D43CE" w:rsidRDefault="00DE3945" w:rsidP="00365F1C">
      <w:pPr>
        <w:suppressAutoHyphens w:val="0"/>
        <w:spacing w:line="360" w:lineRule="auto"/>
        <w:rPr>
          <w:color w:val="auto"/>
        </w:rPr>
      </w:pPr>
    </w:p>
    <w:p w14:paraId="44331FD5" w14:textId="3182C044" w:rsidR="00F8703B" w:rsidRPr="002D43CE" w:rsidRDefault="00F8703B" w:rsidP="00365F1C">
      <w:pPr>
        <w:suppressAutoHyphens w:val="0"/>
        <w:spacing w:line="360" w:lineRule="auto"/>
        <w:rPr>
          <w:i/>
          <w:color w:val="auto"/>
        </w:rPr>
      </w:pPr>
      <w:r w:rsidRPr="002D43CE">
        <w:rPr>
          <w:color w:val="auto"/>
        </w:rPr>
        <w:t xml:space="preserve">Table </w:t>
      </w:r>
      <w:r w:rsidR="00DA4076" w:rsidRPr="002D43CE">
        <w:rPr>
          <w:color w:val="auto"/>
        </w:rPr>
        <w:t>3</w:t>
      </w:r>
      <w:r w:rsidRPr="002D43CE">
        <w:rPr>
          <w:color w:val="auto"/>
        </w:rPr>
        <w:t xml:space="preserve">. </w:t>
      </w:r>
      <w:r w:rsidRPr="002D43CE">
        <w:rPr>
          <w:i/>
          <w:color w:val="auto"/>
        </w:rPr>
        <w:t xml:space="preserve">Model </w:t>
      </w:r>
      <w:r w:rsidR="0058280F" w:rsidRPr="002D43CE">
        <w:rPr>
          <w:i/>
          <w:color w:val="auto"/>
        </w:rPr>
        <w:t>F</w:t>
      </w:r>
      <w:r w:rsidRPr="002D43CE">
        <w:rPr>
          <w:i/>
          <w:color w:val="auto"/>
        </w:rPr>
        <w:t xml:space="preserve">it of </w:t>
      </w:r>
      <w:r w:rsidR="0058280F" w:rsidRPr="002D43CE">
        <w:rPr>
          <w:i/>
          <w:color w:val="auto"/>
        </w:rPr>
        <w:t>C</w:t>
      </w:r>
      <w:r w:rsidRPr="002D43CE">
        <w:rPr>
          <w:i/>
          <w:color w:val="auto"/>
        </w:rPr>
        <w:t xml:space="preserve">onfirmatory </w:t>
      </w:r>
      <w:r w:rsidR="0058280F" w:rsidRPr="002D43CE">
        <w:rPr>
          <w:i/>
          <w:color w:val="auto"/>
        </w:rPr>
        <w:t>F</w:t>
      </w:r>
      <w:r w:rsidRPr="002D43CE">
        <w:rPr>
          <w:i/>
          <w:color w:val="auto"/>
        </w:rPr>
        <w:t xml:space="preserve">actor </w:t>
      </w:r>
      <w:r w:rsidR="0058280F" w:rsidRPr="002D43CE">
        <w:rPr>
          <w:i/>
          <w:color w:val="auto"/>
        </w:rPr>
        <w:t>A</w:t>
      </w:r>
      <w:r w:rsidRPr="002D43CE">
        <w:rPr>
          <w:i/>
          <w:color w:val="auto"/>
        </w:rPr>
        <w:t xml:space="preserve">nalysis </w:t>
      </w:r>
      <w:r w:rsidR="0058280F" w:rsidRPr="002D43CE">
        <w:rPr>
          <w:i/>
          <w:color w:val="auto"/>
        </w:rPr>
        <w:t>M</w:t>
      </w:r>
      <w:r w:rsidRPr="002D43CE">
        <w:rPr>
          <w:i/>
          <w:color w:val="auto"/>
        </w:rPr>
        <w:t>odels</w:t>
      </w:r>
    </w:p>
    <w:tbl>
      <w:tblPr>
        <w:tblStyle w:val="TableGrid"/>
        <w:tblW w:w="87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88"/>
        <w:gridCol w:w="1080"/>
        <w:gridCol w:w="2328"/>
        <w:gridCol w:w="1122"/>
        <w:gridCol w:w="2195"/>
      </w:tblGrid>
      <w:tr w:rsidR="009C2C98" w:rsidRPr="002D43CE" w14:paraId="408AEFE2" w14:textId="77777777" w:rsidTr="00047AC8">
        <w:trPr>
          <w:trHeight w:val="321"/>
        </w:trPr>
        <w:tc>
          <w:tcPr>
            <w:tcW w:w="1182" w:type="dxa"/>
            <w:tcBorders>
              <w:top w:val="single" w:sz="4" w:space="0" w:color="auto"/>
              <w:bottom w:val="single" w:sz="4" w:space="0" w:color="auto"/>
            </w:tcBorders>
          </w:tcPr>
          <w:p w14:paraId="36E90537" w14:textId="77777777" w:rsidR="00710B7C" w:rsidRPr="002D43CE" w:rsidRDefault="00710B7C" w:rsidP="00365F1C">
            <w:pPr>
              <w:suppressAutoHyphens w:val="0"/>
              <w:spacing w:line="240" w:lineRule="auto"/>
              <w:rPr>
                <w:rFonts w:ascii="Times New Roman" w:hAnsi="Times New Roman" w:cs="Times New Roman"/>
                <w:color w:val="auto"/>
              </w:rPr>
            </w:pPr>
            <w:r w:rsidRPr="002D43CE">
              <w:rPr>
                <w:rFonts w:ascii="Times New Roman" w:hAnsi="Times New Roman" w:cs="Times New Roman"/>
                <w:color w:val="auto"/>
              </w:rPr>
              <w:t>Model</w:t>
            </w:r>
          </w:p>
        </w:tc>
        <w:tc>
          <w:tcPr>
            <w:tcW w:w="888" w:type="dxa"/>
            <w:tcBorders>
              <w:top w:val="single" w:sz="4" w:space="0" w:color="auto"/>
              <w:bottom w:val="single" w:sz="4" w:space="0" w:color="auto"/>
            </w:tcBorders>
          </w:tcPr>
          <w:p w14:paraId="32C036D1" w14:textId="5C8F63B4"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CFI</w:t>
            </w:r>
          </w:p>
        </w:tc>
        <w:tc>
          <w:tcPr>
            <w:tcW w:w="1080" w:type="dxa"/>
            <w:tcBorders>
              <w:top w:val="single" w:sz="4" w:space="0" w:color="auto"/>
              <w:bottom w:val="single" w:sz="4" w:space="0" w:color="auto"/>
            </w:tcBorders>
          </w:tcPr>
          <w:p w14:paraId="1303CD37" w14:textId="03F0D3D3"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TLI</w:t>
            </w:r>
          </w:p>
        </w:tc>
        <w:tc>
          <w:tcPr>
            <w:tcW w:w="2328" w:type="dxa"/>
            <w:tcBorders>
              <w:top w:val="single" w:sz="4" w:space="0" w:color="auto"/>
              <w:bottom w:val="single" w:sz="4" w:space="0" w:color="auto"/>
            </w:tcBorders>
          </w:tcPr>
          <w:p w14:paraId="2479D7BD" w14:textId="72E0BD04"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RMSEA (90% CI)</w:t>
            </w:r>
          </w:p>
        </w:tc>
        <w:tc>
          <w:tcPr>
            <w:tcW w:w="1122" w:type="dxa"/>
            <w:tcBorders>
              <w:top w:val="single" w:sz="4" w:space="0" w:color="auto"/>
              <w:bottom w:val="single" w:sz="4" w:space="0" w:color="auto"/>
            </w:tcBorders>
          </w:tcPr>
          <w:p w14:paraId="07EEC787" w14:textId="04891DF3"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SRMR</w:t>
            </w:r>
          </w:p>
        </w:tc>
        <w:tc>
          <w:tcPr>
            <w:tcW w:w="2195" w:type="dxa"/>
            <w:tcBorders>
              <w:top w:val="single" w:sz="4" w:space="0" w:color="auto"/>
              <w:bottom w:val="single" w:sz="4" w:space="0" w:color="auto"/>
            </w:tcBorders>
          </w:tcPr>
          <w:p w14:paraId="1791698C" w14:textId="77777777"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 xml:space="preserve">χ </w:t>
            </w:r>
            <w:r w:rsidRPr="002D43CE">
              <w:rPr>
                <w:rFonts w:ascii="Times New Roman" w:hAnsi="Times New Roman" w:cs="Times New Roman"/>
                <w:color w:val="auto"/>
                <w:vertAlign w:val="superscript"/>
              </w:rPr>
              <w:t>2</w:t>
            </w:r>
            <w:r w:rsidRPr="002D43CE">
              <w:rPr>
                <w:rFonts w:ascii="Times New Roman" w:hAnsi="Times New Roman" w:cs="Times New Roman"/>
                <w:color w:val="auto"/>
              </w:rPr>
              <w:t xml:space="preserve"> (</w:t>
            </w:r>
            <w:proofErr w:type="spellStart"/>
            <w:r w:rsidRPr="002D43CE">
              <w:rPr>
                <w:rFonts w:ascii="Times New Roman" w:hAnsi="Times New Roman" w:cs="Times New Roman"/>
                <w:i/>
                <w:color w:val="auto"/>
              </w:rPr>
              <w:t>df</w:t>
            </w:r>
            <w:proofErr w:type="spellEnd"/>
            <w:r w:rsidRPr="002D43CE">
              <w:rPr>
                <w:rFonts w:ascii="Times New Roman" w:hAnsi="Times New Roman" w:cs="Times New Roman"/>
                <w:color w:val="auto"/>
              </w:rPr>
              <w:t xml:space="preserve">), </w:t>
            </w:r>
            <w:r w:rsidRPr="002D43CE">
              <w:rPr>
                <w:rFonts w:ascii="Times New Roman" w:hAnsi="Times New Roman" w:cs="Times New Roman"/>
                <w:i/>
                <w:color w:val="auto"/>
              </w:rPr>
              <w:t>p</w:t>
            </w:r>
          </w:p>
        </w:tc>
      </w:tr>
      <w:tr w:rsidR="009C2C98" w:rsidRPr="002D43CE" w14:paraId="34EDF062" w14:textId="77777777" w:rsidTr="00047AC8">
        <w:trPr>
          <w:trHeight w:val="316"/>
        </w:trPr>
        <w:tc>
          <w:tcPr>
            <w:tcW w:w="1182" w:type="dxa"/>
            <w:tcBorders>
              <w:top w:val="single" w:sz="4" w:space="0" w:color="auto"/>
            </w:tcBorders>
          </w:tcPr>
          <w:p w14:paraId="2D218AA4" w14:textId="77777777" w:rsidR="00710B7C" w:rsidRPr="002D43CE" w:rsidRDefault="00710B7C" w:rsidP="00365F1C">
            <w:pPr>
              <w:suppressAutoHyphens w:val="0"/>
              <w:spacing w:line="240" w:lineRule="auto"/>
              <w:rPr>
                <w:rFonts w:ascii="Times New Roman" w:hAnsi="Times New Roman" w:cs="Times New Roman"/>
                <w:color w:val="auto"/>
              </w:rPr>
            </w:pPr>
            <w:r w:rsidRPr="002D43CE">
              <w:rPr>
                <w:rFonts w:ascii="Times New Roman" w:hAnsi="Times New Roman" w:cs="Times New Roman"/>
                <w:color w:val="auto"/>
              </w:rPr>
              <w:t>Model 1</w:t>
            </w:r>
          </w:p>
        </w:tc>
        <w:tc>
          <w:tcPr>
            <w:tcW w:w="888" w:type="dxa"/>
            <w:tcBorders>
              <w:top w:val="single" w:sz="4" w:space="0" w:color="auto"/>
            </w:tcBorders>
          </w:tcPr>
          <w:p w14:paraId="3DA6B2BC" w14:textId="48FAFA8D"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0.791</w:t>
            </w:r>
          </w:p>
        </w:tc>
        <w:tc>
          <w:tcPr>
            <w:tcW w:w="1080" w:type="dxa"/>
            <w:tcBorders>
              <w:top w:val="single" w:sz="4" w:space="0" w:color="auto"/>
            </w:tcBorders>
          </w:tcPr>
          <w:p w14:paraId="3F23B5C2" w14:textId="5F6AD634"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0.745</w:t>
            </w:r>
          </w:p>
        </w:tc>
        <w:tc>
          <w:tcPr>
            <w:tcW w:w="2328" w:type="dxa"/>
            <w:tcBorders>
              <w:top w:val="single" w:sz="4" w:space="0" w:color="auto"/>
            </w:tcBorders>
          </w:tcPr>
          <w:p w14:paraId="7AD091BD" w14:textId="13E46FEE"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0.133 (0.126–0.141)</w:t>
            </w:r>
          </w:p>
        </w:tc>
        <w:tc>
          <w:tcPr>
            <w:tcW w:w="1122" w:type="dxa"/>
            <w:tcBorders>
              <w:top w:val="single" w:sz="4" w:space="0" w:color="auto"/>
            </w:tcBorders>
          </w:tcPr>
          <w:p w14:paraId="572F2536" w14:textId="45344E76"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0.079</w:t>
            </w:r>
          </w:p>
        </w:tc>
        <w:tc>
          <w:tcPr>
            <w:tcW w:w="2195" w:type="dxa"/>
            <w:tcBorders>
              <w:top w:val="single" w:sz="4" w:space="0" w:color="auto"/>
            </w:tcBorders>
          </w:tcPr>
          <w:p w14:paraId="4BBD36D9" w14:textId="43DFE90E"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 xml:space="preserve">945.81 (54), </w:t>
            </w:r>
            <w:r w:rsidR="00676D3E" w:rsidRPr="002D43CE">
              <w:rPr>
                <w:rFonts w:ascii="Times New Roman" w:hAnsi="Times New Roman" w:cs="Times New Roman"/>
                <w:color w:val="auto"/>
              </w:rPr>
              <w:t>&lt;</w:t>
            </w:r>
            <w:r w:rsidRPr="002D43CE">
              <w:rPr>
                <w:rFonts w:ascii="Times New Roman" w:hAnsi="Times New Roman" w:cs="Times New Roman"/>
                <w:color w:val="auto"/>
              </w:rPr>
              <w:t>0.00</w:t>
            </w:r>
            <w:r w:rsidR="00676D3E" w:rsidRPr="002D43CE">
              <w:rPr>
                <w:rFonts w:ascii="Times New Roman" w:hAnsi="Times New Roman" w:cs="Times New Roman"/>
                <w:color w:val="auto"/>
              </w:rPr>
              <w:t>1</w:t>
            </w:r>
          </w:p>
        </w:tc>
      </w:tr>
      <w:tr w:rsidR="009C2C98" w:rsidRPr="002D43CE" w14:paraId="435D83C2" w14:textId="77777777" w:rsidTr="00047AC8">
        <w:trPr>
          <w:trHeight w:val="338"/>
        </w:trPr>
        <w:tc>
          <w:tcPr>
            <w:tcW w:w="1182" w:type="dxa"/>
          </w:tcPr>
          <w:p w14:paraId="701C0056" w14:textId="7FFC9FA4" w:rsidR="00710B7C" w:rsidRPr="002D43CE" w:rsidRDefault="00710B7C" w:rsidP="00365F1C">
            <w:pPr>
              <w:suppressAutoHyphens w:val="0"/>
              <w:spacing w:line="240" w:lineRule="auto"/>
              <w:rPr>
                <w:rFonts w:ascii="Times New Roman" w:hAnsi="Times New Roman" w:cs="Times New Roman"/>
                <w:b/>
                <w:color w:val="auto"/>
              </w:rPr>
            </w:pPr>
            <w:r w:rsidRPr="002D43CE">
              <w:rPr>
                <w:rFonts w:ascii="Times New Roman" w:hAnsi="Times New Roman" w:cs="Times New Roman"/>
                <w:b/>
                <w:color w:val="auto"/>
              </w:rPr>
              <w:t xml:space="preserve">Model </w:t>
            </w:r>
            <w:r w:rsidR="00676D3E" w:rsidRPr="002D43CE">
              <w:rPr>
                <w:rFonts w:ascii="Times New Roman" w:hAnsi="Times New Roman" w:cs="Times New Roman"/>
                <w:b/>
                <w:color w:val="auto"/>
              </w:rPr>
              <w:t>2</w:t>
            </w:r>
          </w:p>
        </w:tc>
        <w:tc>
          <w:tcPr>
            <w:tcW w:w="888" w:type="dxa"/>
          </w:tcPr>
          <w:p w14:paraId="577F5364" w14:textId="7A05F5A6" w:rsidR="00710B7C" w:rsidRPr="002D43CE" w:rsidRDefault="00710B7C" w:rsidP="00365F1C">
            <w:pPr>
              <w:suppressAutoHyphens w:val="0"/>
              <w:spacing w:line="240" w:lineRule="auto"/>
              <w:jc w:val="center"/>
              <w:rPr>
                <w:rFonts w:ascii="Times New Roman" w:hAnsi="Times New Roman" w:cs="Times New Roman"/>
                <w:b/>
                <w:color w:val="auto"/>
              </w:rPr>
            </w:pPr>
            <w:r w:rsidRPr="002D43CE">
              <w:rPr>
                <w:rFonts w:ascii="Times New Roman" w:hAnsi="Times New Roman" w:cs="Times New Roman"/>
                <w:b/>
                <w:color w:val="auto"/>
              </w:rPr>
              <w:t>0.953</w:t>
            </w:r>
          </w:p>
        </w:tc>
        <w:tc>
          <w:tcPr>
            <w:tcW w:w="1080" w:type="dxa"/>
          </w:tcPr>
          <w:p w14:paraId="4AAEF73F" w14:textId="51ADCBED" w:rsidR="00710B7C" w:rsidRPr="002D43CE" w:rsidRDefault="00710B7C" w:rsidP="00365F1C">
            <w:pPr>
              <w:suppressAutoHyphens w:val="0"/>
              <w:spacing w:line="240" w:lineRule="auto"/>
              <w:jc w:val="center"/>
              <w:rPr>
                <w:rFonts w:ascii="Times New Roman" w:hAnsi="Times New Roman" w:cs="Times New Roman"/>
                <w:b/>
                <w:color w:val="auto"/>
              </w:rPr>
            </w:pPr>
            <w:r w:rsidRPr="002D43CE">
              <w:rPr>
                <w:rFonts w:ascii="Times New Roman" w:hAnsi="Times New Roman" w:cs="Times New Roman"/>
                <w:b/>
                <w:color w:val="auto"/>
              </w:rPr>
              <w:t>0.920</w:t>
            </w:r>
          </w:p>
        </w:tc>
        <w:tc>
          <w:tcPr>
            <w:tcW w:w="2328" w:type="dxa"/>
          </w:tcPr>
          <w:p w14:paraId="7D45DF05" w14:textId="575448F2" w:rsidR="00710B7C" w:rsidRPr="002D43CE" w:rsidRDefault="00710B7C" w:rsidP="00365F1C">
            <w:pPr>
              <w:suppressAutoHyphens w:val="0"/>
              <w:spacing w:line="240" w:lineRule="auto"/>
              <w:jc w:val="center"/>
              <w:rPr>
                <w:rFonts w:ascii="Times New Roman" w:hAnsi="Times New Roman" w:cs="Times New Roman"/>
                <w:b/>
                <w:color w:val="auto"/>
              </w:rPr>
            </w:pPr>
            <w:r w:rsidRPr="002D43CE">
              <w:rPr>
                <w:rFonts w:ascii="Times New Roman" w:hAnsi="Times New Roman" w:cs="Times New Roman"/>
                <w:b/>
                <w:color w:val="auto"/>
              </w:rPr>
              <w:t>0.074 (0.066</w:t>
            </w:r>
            <w:r w:rsidRPr="002D43CE">
              <w:rPr>
                <w:rFonts w:ascii="Times New Roman" w:hAnsi="Times New Roman" w:cs="Times New Roman"/>
                <w:color w:val="auto"/>
              </w:rPr>
              <w:t>–</w:t>
            </w:r>
            <w:r w:rsidRPr="002D43CE">
              <w:rPr>
                <w:rFonts w:ascii="Times New Roman" w:hAnsi="Times New Roman" w:cs="Times New Roman"/>
                <w:b/>
                <w:color w:val="auto"/>
              </w:rPr>
              <w:t>0.084)</w:t>
            </w:r>
          </w:p>
        </w:tc>
        <w:tc>
          <w:tcPr>
            <w:tcW w:w="1122" w:type="dxa"/>
          </w:tcPr>
          <w:p w14:paraId="3925C3B8" w14:textId="48E661B4" w:rsidR="00710B7C" w:rsidRPr="002D43CE" w:rsidRDefault="00710B7C" w:rsidP="00365F1C">
            <w:pPr>
              <w:suppressAutoHyphens w:val="0"/>
              <w:spacing w:line="240" w:lineRule="auto"/>
              <w:jc w:val="center"/>
              <w:rPr>
                <w:rFonts w:ascii="Times New Roman" w:hAnsi="Times New Roman" w:cs="Times New Roman"/>
                <w:b/>
                <w:color w:val="auto"/>
              </w:rPr>
            </w:pPr>
            <w:r w:rsidRPr="002D43CE">
              <w:rPr>
                <w:rFonts w:ascii="Times New Roman" w:hAnsi="Times New Roman" w:cs="Times New Roman"/>
                <w:b/>
                <w:color w:val="auto"/>
              </w:rPr>
              <w:t>0.042</w:t>
            </w:r>
          </w:p>
        </w:tc>
        <w:tc>
          <w:tcPr>
            <w:tcW w:w="2195" w:type="dxa"/>
          </w:tcPr>
          <w:p w14:paraId="6E9E20CE" w14:textId="19854374" w:rsidR="00710B7C" w:rsidRPr="002D43CE" w:rsidRDefault="00710B7C" w:rsidP="00365F1C">
            <w:pPr>
              <w:suppressAutoHyphens w:val="0"/>
              <w:spacing w:line="240" w:lineRule="auto"/>
              <w:jc w:val="center"/>
              <w:rPr>
                <w:rFonts w:ascii="Times New Roman" w:hAnsi="Times New Roman" w:cs="Times New Roman"/>
                <w:b/>
                <w:color w:val="auto"/>
              </w:rPr>
            </w:pPr>
            <w:r w:rsidRPr="002D43CE">
              <w:rPr>
                <w:rFonts w:ascii="Times New Roman" w:hAnsi="Times New Roman" w:cs="Times New Roman"/>
                <w:b/>
                <w:color w:val="auto"/>
              </w:rPr>
              <w:t xml:space="preserve">240.68 (39), </w:t>
            </w:r>
            <w:r w:rsidR="00676D3E" w:rsidRPr="002D43CE">
              <w:rPr>
                <w:rFonts w:ascii="Times New Roman" w:hAnsi="Times New Roman" w:cs="Times New Roman"/>
                <w:b/>
                <w:color w:val="auto"/>
              </w:rPr>
              <w:t>&lt;</w:t>
            </w:r>
            <w:r w:rsidRPr="002D43CE">
              <w:rPr>
                <w:rFonts w:ascii="Times New Roman" w:hAnsi="Times New Roman" w:cs="Times New Roman"/>
                <w:b/>
                <w:color w:val="auto"/>
              </w:rPr>
              <w:t>0.00</w:t>
            </w:r>
            <w:r w:rsidR="00676D3E" w:rsidRPr="002D43CE">
              <w:rPr>
                <w:rFonts w:ascii="Times New Roman" w:hAnsi="Times New Roman" w:cs="Times New Roman"/>
                <w:b/>
                <w:color w:val="auto"/>
              </w:rPr>
              <w:t>1</w:t>
            </w:r>
          </w:p>
        </w:tc>
      </w:tr>
      <w:tr w:rsidR="009C2C98" w:rsidRPr="002D43CE" w14:paraId="10DF002D" w14:textId="77777777" w:rsidTr="00047AC8">
        <w:trPr>
          <w:trHeight w:val="321"/>
        </w:trPr>
        <w:tc>
          <w:tcPr>
            <w:tcW w:w="1182" w:type="dxa"/>
          </w:tcPr>
          <w:p w14:paraId="75948C4E" w14:textId="287969C5" w:rsidR="00710B7C" w:rsidRPr="002D43CE" w:rsidRDefault="00710B7C" w:rsidP="00365F1C">
            <w:pPr>
              <w:suppressAutoHyphens w:val="0"/>
              <w:spacing w:line="240" w:lineRule="auto"/>
              <w:rPr>
                <w:rFonts w:ascii="Times New Roman" w:hAnsi="Times New Roman" w:cs="Times New Roman"/>
                <w:color w:val="auto"/>
              </w:rPr>
            </w:pPr>
            <w:r w:rsidRPr="002D43CE">
              <w:rPr>
                <w:rFonts w:ascii="Times New Roman" w:hAnsi="Times New Roman" w:cs="Times New Roman"/>
                <w:color w:val="auto"/>
              </w:rPr>
              <w:t xml:space="preserve">Model </w:t>
            </w:r>
            <w:r w:rsidR="00676D3E" w:rsidRPr="002D43CE">
              <w:rPr>
                <w:rFonts w:ascii="Times New Roman" w:hAnsi="Times New Roman" w:cs="Times New Roman"/>
                <w:color w:val="auto"/>
              </w:rPr>
              <w:t>3</w:t>
            </w:r>
          </w:p>
        </w:tc>
        <w:tc>
          <w:tcPr>
            <w:tcW w:w="888" w:type="dxa"/>
          </w:tcPr>
          <w:p w14:paraId="5C7C6546" w14:textId="13752F39"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0.922</w:t>
            </w:r>
          </w:p>
        </w:tc>
        <w:tc>
          <w:tcPr>
            <w:tcW w:w="1080" w:type="dxa"/>
          </w:tcPr>
          <w:p w14:paraId="2B46056C" w14:textId="11A1554F"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0.893</w:t>
            </w:r>
          </w:p>
        </w:tc>
        <w:tc>
          <w:tcPr>
            <w:tcW w:w="2328" w:type="dxa"/>
          </w:tcPr>
          <w:p w14:paraId="5ED77C94" w14:textId="35501683"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0.086 (0.078–0.094)</w:t>
            </w:r>
          </w:p>
        </w:tc>
        <w:tc>
          <w:tcPr>
            <w:tcW w:w="1122" w:type="dxa"/>
          </w:tcPr>
          <w:p w14:paraId="364A58EF" w14:textId="7361DFC1"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0.060</w:t>
            </w:r>
          </w:p>
        </w:tc>
        <w:tc>
          <w:tcPr>
            <w:tcW w:w="2195" w:type="dxa"/>
          </w:tcPr>
          <w:p w14:paraId="01FAE2E4" w14:textId="54DB7FFC"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 xml:space="preserve">379.20 (48), </w:t>
            </w:r>
            <w:r w:rsidR="00676D3E" w:rsidRPr="002D43CE">
              <w:rPr>
                <w:rFonts w:ascii="Times New Roman" w:hAnsi="Times New Roman" w:cs="Times New Roman"/>
                <w:color w:val="auto"/>
              </w:rPr>
              <w:t>&lt;</w:t>
            </w:r>
            <w:r w:rsidRPr="002D43CE">
              <w:rPr>
                <w:rFonts w:ascii="Times New Roman" w:hAnsi="Times New Roman" w:cs="Times New Roman"/>
                <w:color w:val="auto"/>
              </w:rPr>
              <w:t>0.00</w:t>
            </w:r>
            <w:r w:rsidR="00676D3E" w:rsidRPr="002D43CE">
              <w:rPr>
                <w:rFonts w:ascii="Times New Roman" w:hAnsi="Times New Roman" w:cs="Times New Roman"/>
                <w:color w:val="auto"/>
              </w:rPr>
              <w:t>1</w:t>
            </w:r>
          </w:p>
        </w:tc>
      </w:tr>
      <w:tr w:rsidR="009C2C98" w:rsidRPr="002D43CE" w14:paraId="1243BE5E" w14:textId="77777777" w:rsidTr="00047AC8">
        <w:trPr>
          <w:trHeight w:val="338"/>
        </w:trPr>
        <w:tc>
          <w:tcPr>
            <w:tcW w:w="1182" w:type="dxa"/>
          </w:tcPr>
          <w:p w14:paraId="56166C6E" w14:textId="03C9C316" w:rsidR="00710B7C" w:rsidRPr="002D43CE" w:rsidRDefault="00710B7C" w:rsidP="00365F1C">
            <w:pPr>
              <w:suppressAutoHyphens w:val="0"/>
              <w:spacing w:line="240" w:lineRule="auto"/>
              <w:rPr>
                <w:rFonts w:ascii="Times New Roman" w:hAnsi="Times New Roman" w:cs="Times New Roman"/>
                <w:color w:val="auto"/>
              </w:rPr>
            </w:pPr>
            <w:r w:rsidRPr="002D43CE">
              <w:rPr>
                <w:rFonts w:ascii="Times New Roman" w:hAnsi="Times New Roman" w:cs="Times New Roman"/>
                <w:color w:val="auto"/>
              </w:rPr>
              <w:t xml:space="preserve">Model </w:t>
            </w:r>
            <w:r w:rsidR="00676D3E" w:rsidRPr="002D43CE">
              <w:rPr>
                <w:rFonts w:ascii="Times New Roman" w:hAnsi="Times New Roman" w:cs="Times New Roman"/>
                <w:color w:val="auto"/>
              </w:rPr>
              <w:t>4</w:t>
            </w:r>
          </w:p>
        </w:tc>
        <w:tc>
          <w:tcPr>
            <w:tcW w:w="888" w:type="dxa"/>
          </w:tcPr>
          <w:p w14:paraId="29F34435" w14:textId="755262A1"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0.934</w:t>
            </w:r>
          </w:p>
        </w:tc>
        <w:tc>
          <w:tcPr>
            <w:tcW w:w="1080" w:type="dxa"/>
          </w:tcPr>
          <w:p w14:paraId="748C653D" w14:textId="749EBDC2"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0.907</w:t>
            </w:r>
          </w:p>
        </w:tc>
        <w:tc>
          <w:tcPr>
            <w:tcW w:w="2328" w:type="dxa"/>
          </w:tcPr>
          <w:p w14:paraId="354A9DA4" w14:textId="384AD5A7"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0.080 (0.072–0.089)</w:t>
            </w:r>
          </w:p>
        </w:tc>
        <w:tc>
          <w:tcPr>
            <w:tcW w:w="1122" w:type="dxa"/>
          </w:tcPr>
          <w:p w14:paraId="61E2945B" w14:textId="16DAE67A"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0.051</w:t>
            </w:r>
          </w:p>
        </w:tc>
        <w:tc>
          <w:tcPr>
            <w:tcW w:w="2195" w:type="dxa"/>
          </w:tcPr>
          <w:p w14:paraId="739ABCA3" w14:textId="6E4DE2FA" w:rsidR="00710B7C" w:rsidRPr="002D43CE" w:rsidRDefault="00710B7C" w:rsidP="00365F1C">
            <w:pPr>
              <w:suppressAutoHyphens w:val="0"/>
              <w:spacing w:line="240" w:lineRule="auto"/>
              <w:jc w:val="center"/>
              <w:rPr>
                <w:rFonts w:ascii="Times New Roman" w:hAnsi="Times New Roman" w:cs="Times New Roman"/>
                <w:color w:val="auto"/>
              </w:rPr>
            </w:pPr>
            <w:r w:rsidRPr="002D43CE">
              <w:rPr>
                <w:rFonts w:ascii="Times New Roman" w:hAnsi="Times New Roman" w:cs="Times New Roman"/>
                <w:color w:val="auto"/>
              </w:rPr>
              <w:t xml:space="preserve">330.52 (47), </w:t>
            </w:r>
            <w:r w:rsidR="00676D3E" w:rsidRPr="002D43CE">
              <w:rPr>
                <w:rFonts w:ascii="Times New Roman" w:hAnsi="Times New Roman" w:cs="Times New Roman"/>
                <w:color w:val="auto"/>
              </w:rPr>
              <w:t>&lt;</w:t>
            </w:r>
            <w:r w:rsidRPr="002D43CE">
              <w:rPr>
                <w:rFonts w:ascii="Times New Roman" w:hAnsi="Times New Roman" w:cs="Times New Roman"/>
                <w:color w:val="auto"/>
              </w:rPr>
              <w:t>0.00</w:t>
            </w:r>
            <w:r w:rsidR="00676D3E" w:rsidRPr="002D43CE">
              <w:rPr>
                <w:rFonts w:ascii="Times New Roman" w:hAnsi="Times New Roman" w:cs="Times New Roman"/>
                <w:color w:val="auto"/>
              </w:rPr>
              <w:t>1</w:t>
            </w:r>
          </w:p>
        </w:tc>
      </w:tr>
    </w:tbl>
    <w:p w14:paraId="4BEAC715" w14:textId="418113AB" w:rsidR="009E3FD3" w:rsidRPr="002D43CE" w:rsidRDefault="009E3FD3" w:rsidP="00365F1C">
      <w:pPr>
        <w:spacing w:line="240" w:lineRule="auto"/>
        <w:rPr>
          <w:color w:val="auto"/>
          <w:sz w:val="22"/>
        </w:rPr>
      </w:pPr>
      <w:r w:rsidRPr="002D43CE">
        <w:rPr>
          <w:i/>
          <w:color w:val="auto"/>
          <w:sz w:val="22"/>
        </w:rPr>
        <w:t>Note.</w:t>
      </w:r>
      <w:r w:rsidRPr="002D43CE">
        <w:rPr>
          <w:color w:val="auto"/>
          <w:sz w:val="22"/>
        </w:rPr>
        <w:t xml:space="preserve"> </w:t>
      </w:r>
      <w:r w:rsidR="00710B7C" w:rsidRPr="002D43CE">
        <w:rPr>
          <w:color w:val="auto"/>
          <w:sz w:val="22"/>
        </w:rPr>
        <w:t xml:space="preserve">CFI = Comparative Fit index; TLI = Tucker-Lewis index; </w:t>
      </w:r>
      <w:r w:rsidRPr="002D43CE">
        <w:rPr>
          <w:color w:val="auto"/>
          <w:sz w:val="22"/>
        </w:rPr>
        <w:t>RMSEA = Root Mean Square Error of Approximation and 90% confidence interval;</w:t>
      </w:r>
      <w:r w:rsidR="007D1778" w:rsidRPr="002D43CE">
        <w:rPr>
          <w:color w:val="auto"/>
          <w:sz w:val="22"/>
        </w:rPr>
        <w:t xml:space="preserve"> SRMR = Standardized Root Mean Square Residual</w:t>
      </w:r>
      <w:r w:rsidRPr="002D43CE">
        <w:rPr>
          <w:color w:val="auto"/>
          <w:sz w:val="22"/>
        </w:rPr>
        <w:t>.</w:t>
      </w:r>
    </w:p>
    <w:p w14:paraId="49D246B4" w14:textId="10C2A9FE" w:rsidR="00A242D0" w:rsidRPr="002D43CE" w:rsidRDefault="00A242D0" w:rsidP="00787849">
      <w:pPr>
        <w:tabs>
          <w:tab w:val="left" w:pos="4678"/>
        </w:tabs>
        <w:suppressAutoHyphens w:val="0"/>
        <w:spacing w:line="240" w:lineRule="auto"/>
        <w:rPr>
          <w:i/>
          <w:color w:val="auto"/>
        </w:rPr>
      </w:pPr>
      <w:r w:rsidRPr="002D43CE">
        <w:rPr>
          <w:i/>
          <w:color w:val="auto"/>
        </w:rPr>
        <w:br w:type="page"/>
      </w:r>
    </w:p>
    <w:p w14:paraId="44460C39" w14:textId="77777777" w:rsidR="00375BB9" w:rsidRPr="002D43CE" w:rsidRDefault="00375BB9" w:rsidP="00365F1C">
      <w:pPr>
        <w:suppressAutoHyphens w:val="0"/>
        <w:spacing w:line="360" w:lineRule="auto"/>
        <w:rPr>
          <w:i/>
          <w:color w:val="auto"/>
        </w:rPr>
      </w:pPr>
    </w:p>
    <w:p w14:paraId="4E4FCDCF" w14:textId="25EB1368" w:rsidR="00375BB9" w:rsidRPr="002D43CE" w:rsidRDefault="00375BB9" w:rsidP="00365F1C">
      <w:pPr>
        <w:suppressAutoHyphens w:val="0"/>
        <w:spacing w:line="360" w:lineRule="auto"/>
        <w:rPr>
          <w:i/>
          <w:color w:val="auto"/>
        </w:rPr>
      </w:pPr>
      <w:r w:rsidRPr="002D43CE">
        <w:rPr>
          <w:color w:val="auto"/>
        </w:rPr>
        <w:t xml:space="preserve">Table </w:t>
      </w:r>
      <w:r w:rsidR="008151DF" w:rsidRPr="002D43CE">
        <w:rPr>
          <w:color w:val="auto"/>
        </w:rPr>
        <w:t>4</w:t>
      </w:r>
      <w:r w:rsidRPr="002D43CE">
        <w:rPr>
          <w:color w:val="auto"/>
        </w:rPr>
        <w:t xml:space="preserve">. </w:t>
      </w:r>
      <w:r w:rsidRPr="002D43CE">
        <w:rPr>
          <w:i/>
          <w:color w:val="auto"/>
        </w:rPr>
        <w:t>Model Fit Indices of Latent Class Analyses</w:t>
      </w:r>
    </w:p>
    <w:tbl>
      <w:tblPr>
        <w:tblStyle w:val="TableGrid"/>
        <w:tblW w:w="87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576"/>
        <w:gridCol w:w="1261"/>
        <w:gridCol w:w="1261"/>
        <w:gridCol w:w="1181"/>
        <w:gridCol w:w="1080"/>
        <w:gridCol w:w="1071"/>
      </w:tblGrid>
      <w:tr w:rsidR="009C2C98" w:rsidRPr="002D43CE" w14:paraId="30BEB259" w14:textId="77777777" w:rsidTr="00A40E58">
        <w:trPr>
          <w:trHeight w:val="321"/>
        </w:trPr>
        <w:tc>
          <w:tcPr>
            <w:tcW w:w="1350" w:type="dxa"/>
            <w:tcBorders>
              <w:top w:val="single" w:sz="4" w:space="0" w:color="auto"/>
              <w:bottom w:val="single" w:sz="4" w:space="0" w:color="auto"/>
            </w:tcBorders>
            <w:vAlign w:val="center"/>
          </w:tcPr>
          <w:p w14:paraId="669755A3" w14:textId="77777777" w:rsidR="00375BB9" w:rsidRPr="002D43CE" w:rsidRDefault="00375BB9" w:rsidP="00365F1C">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Model</w:t>
            </w:r>
          </w:p>
        </w:tc>
        <w:tc>
          <w:tcPr>
            <w:tcW w:w="1576" w:type="dxa"/>
            <w:tcBorders>
              <w:top w:val="single" w:sz="4" w:space="0" w:color="auto"/>
              <w:bottom w:val="single" w:sz="4" w:space="0" w:color="auto"/>
            </w:tcBorders>
            <w:vAlign w:val="center"/>
          </w:tcPr>
          <w:p w14:paraId="56BD4D71" w14:textId="77777777" w:rsidR="00375BB9" w:rsidRPr="002D43CE" w:rsidRDefault="00375BB9" w:rsidP="00365F1C">
            <w:pPr>
              <w:suppressAutoHyphens w:val="0"/>
              <w:spacing w:line="360" w:lineRule="auto"/>
              <w:rPr>
                <w:rFonts w:ascii="Times New Roman" w:hAnsi="Times New Roman" w:cs="Times New Roman"/>
                <w:color w:val="auto"/>
                <w:sz w:val="24"/>
                <w:szCs w:val="24"/>
              </w:rPr>
            </w:pPr>
            <w:proofErr w:type="spellStart"/>
            <w:r w:rsidRPr="002D43CE">
              <w:rPr>
                <w:rFonts w:ascii="Times New Roman" w:hAnsi="Times New Roman" w:cs="Times New Roman"/>
                <w:color w:val="auto"/>
              </w:rPr>
              <w:t>Loglikelihood</w:t>
            </w:r>
            <w:proofErr w:type="spellEnd"/>
          </w:p>
        </w:tc>
        <w:tc>
          <w:tcPr>
            <w:tcW w:w="1261" w:type="dxa"/>
            <w:tcBorders>
              <w:top w:val="single" w:sz="4" w:space="0" w:color="auto"/>
              <w:bottom w:val="single" w:sz="4" w:space="0" w:color="auto"/>
            </w:tcBorders>
            <w:vAlign w:val="center"/>
          </w:tcPr>
          <w:p w14:paraId="3750D23A"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AIC</w:t>
            </w:r>
          </w:p>
        </w:tc>
        <w:tc>
          <w:tcPr>
            <w:tcW w:w="1261" w:type="dxa"/>
            <w:tcBorders>
              <w:top w:val="single" w:sz="4" w:space="0" w:color="auto"/>
              <w:bottom w:val="single" w:sz="4" w:space="0" w:color="auto"/>
            </w:tcBorders>
            <w:vAlign w:val="center"/>
          </w:tcPr>
          <w:p w14:paraId="329DBD4F"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BIC</w:t>
            </w:r>
          </w:p>
        </w:tc>
        <w:tc>
          <w:tcPr>
            <w:tcW w:w="1181" w:type="dxa"/>
            <w:tcBorders>
              <w:top w:val="single" w:sz="4" w:space="0" w:color="auto"/>
              <w:bottom w:val="single" w:sz="4" w:space="0" w:color="auto"/>
            </w:tcBorders>
            <w:vAlign w:val="center"/>
          </w:tcPr>
          <w:p w14:paraId="6874490D" w14:textId="77777777" w:rsidR="00375BB9" w:rsidRPr="002D43CE" w:rsidRDefault="00375BB9" w:rsidP="00365F1C">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Entropy</w:t>
            </w:r>
          </w:p>
        </w:tc>
        <w:tc>
          <w:tcPr>
            <w:tcW w:w="1080" w:type="dxa"/>
            <w:tcBorders>
              <w:top w:val="single" w:sz="4" w:space="0" w:color="auto"/>
              <w:bottom w:val="single" w:sz="4" w:space="0" w:color="auto"/>
            </w:tcBorders>
            <w:vAlign w:val="center"/>
          </w:tcPr>
          <w:p w14:paraId="50237141" w14:textId="77777777" w:rsidR="00375BB9" w:rsidRPr="002D43CE" w:rsidRDefault="00375BB9" w:rsidP="00365F1C">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BLRT</w:t>
            </w:r>
          </w:p>
          <w:p w14:paraId="7ABCBC47" w14:textId="77777777" w:rsidR="00375BB9" w:rsidRPr="002D43CE" w:rsidRDefault="00375BB9" w:rsidP="00365F1C">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p-value</w:t>
            </w:r>
          </w:p>
        </w:tc>
        <w:tc>
          <w:tcPr>
            <w:tcW w:w="1071" w:type="dxa"/>
            <w:tcBorders>
              <w:top w:val="single" w:sz="4" w:space="0" w:color="auto"/>
              <w:bottom w:val="single" w:sz="4" w:space="0" w:color="auto"/>
            </w:tcBorders>
            <w:vAlign w:val="center"/>
          </w:tcPr>
          <w:p w14:paraId="358FDEB0" w14:textId="77777777" w:rsidR="00375BB9" w:rsidRPr="002D43CE" w:rsidRDefault="00375BB9" w:rsidP="00365F1C">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LMR-A</w:t>
            </w:r>
          </w:p>
          <w:p w14:paraId="6B5ED92E" w14:textId="77777777" w:rsidR="00375BB9" w:rsidRPr="002D43CE" w:rsidRDefault="00375BB9" w:rsidP="00365F1C">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p-value</w:t>
            </w:r>
          </w:p>
        </w:tc>
      </w:tr>
      <w:tr w:rsidR="009C2C98" w:rsidRPr="002D43CE" w14:paraId="74ADD0ED" w14:textId="77777777" w:rsidTr="00A40E58">
        <w:trPr>
          <w:trHeight w:val="321"/>
        </w:trPr>
        <w:tc>
          <w:tcPr>
            <w:tcW w:w="1350" w:type="dxa"/>
            <w:tcBorders>
              <w:top w:val="single" w:sz="4" w:space="0" w:color="auto"/>
            </w:tcBorders>
          </w:tcPr>
          <w:p w14:paraId="1ECCC4E5" w14:textId="77777777" w:rsidR="00C25019" w:rsidRPr="002D43CE" w:rsidRDefault="00C25019" w:rsidP="00C25019">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2 classes</w:t>
            </w:r>
          </w:p>
        </w:tc>
        <w:tc>
          <w:tcPr>
            <w:tcW w:w="1576" w:type="dxa"/>
            <w:tcBorders>
              <w:top w:val="single" w:sz="4" w:space="0" w:color="auto"/>
            </w:tcBorders>
          </w:tcPr>
          <w:p w14:paraId="30AA4063" w14:textId="77777777"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-3405.660</w:t>
            </w:r>
          </w:p>
        </w:tc>
        <w:tc>
          <w:tcPr>
            <w:tcW w:w="1261" w:type="dxa"/>
            <w:tcBorders>
              <w:top w:val="single" w:sz="4" w:space="0" w:color="auto"/>
            </w:tcBorders>
          </w:tcPr>
          <w:p w14:paraId="0E74DC7A" w14:textId="77777777"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6837.320</w:t>
            </w:r>
          </w:p>
        </w:tc>
        <w:tc>
          <w:tcPr>
            <w:tcW w:w="1261" w:type="dxa"/>
            <w:tcBorders>
              <w:top w:val="single" w:sz="4" w:space="0" w:color="auto"/>
            </w:tcBorders>
          </w:tcPr>
          <w:p w14:paraId="343AE4E0" w14:textId="77777777"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6900.205</w:t>
            </w:r>
          </w:p>
        </w:tc>
        <w:tc>
          <w:tcPr>
            <w:tcW w:w="1181" w:type="dxa"/>
            <w:tcBorders>
              <w:top w:val="single" w:sz="4" w:space="0" w:color="auto"/>
            </w:tcBorders>
          </w:tcPr>
          <w:p w14:paraId="526B33D3" w14:textId="77777777"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.705</w:t>
            </w:r>
          </w:p>
        </w:tc>
        <w:tc>
          <w:tcPr>
            <w:tcW w:w="1080" w:type="dxa"/>
            <w:tcBorders>
              <w:top w:val="single" w:sz="4" w:space="0" w:color="auto"/>
            </w:tcBorders>
          </w:tcPr>
          <w:p w14:paraId="75B0064F" w14:textId="35897CFF"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&lt;0.001</w:t>
            </w:r>
          </w:p>
        </w:tc>
        <w:tc>
          <w:tcPr>
            <w:tcW w:w="1071" w:type="dxa"/>
            <w:tcBorders>
              <w:top w:val="single" w:sz="4" w:space="0" w:color="auto"/>
            </w:tcBorders>
          </w:tcPr>
          <w:p w14:paraId="7CEEEAAC" w14:textId="768D02B3"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&lt;0.001</w:t>
            </w:r>
          </w:p>
        </w:tc>
      </w:tr>
      <w:tr w:rsidR="009C2C98" w:rsidRPr="002D43CE" w14:paraId="43E9A5F3" w14:textId="77777777" w:rsidTr="00A40E58">
        <w:trPr>
          <w:trHeight w:val="338"/>
        </w:trPr>
        <w:tc>
          <w:tcPr>
            <w:tcW w:w="1350" w:type="dxa"/>
          </w:tcPr>
          <w:p w14:paraId="4B350B75" w14:textId="77777777" w:rsidR="00C25019" w:rsidRPr="002D43CE" w:rsidRDefault="00C25019" w:rsidP="00C25019">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3 classes</w:t>
            </w:r>
          </w:p>
        </w:tc>
        <w:tc>
          <w:tcPr>
            <w:tcW w:w="1576" w:type="dxa"/>
          </w:tcPr>
          <w:p w14:paraId="4D056EFB" w14:textId="77777777"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-3369.411</w:t>
            </w:r>
          </w:p>
        </w:tc>
        <w:tc>
          <w:tcPr>
            <w:tcW w:w="1261" w:type="dxa"/>
          </w:tcPr>
          <w:p w14:paraId="647F671A" w14:textId="77777777"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6778.823</w:t>
            </w:r>
          </w:p>
        </w:tc>
        <w:tc>
          <w:tcPr>
            <w:tcW w:w="1261" w:type="dxa"/>
          </w:tcPr>
          <w:p w14:paraId="06A33B12" w14:textId="77777777"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6875.569</w:t>
            </w:r>
          </w:p>
        </w:tc>
        <w:tc>
          <w:tcPr>
            <w:tcW w:w="1181" w:type="dxa"/>
          </w:tcPr>
          <w:p w14:paraId="3F1DE739" w14:textId="77777777"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.747</w:t>
            </w:r>
          </w:p>
        </w:tc>
        <w:tc>
          <w:tcPr>
            <w:tcW w:w="1080" w:type="dxa"/>
          </w:tcPr>
          <w:p w14:paraId="793C4CB2" w14:textId="1AAD727C"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&lt;0.001</w:t>
            </w:r>
          </w:p>
        </w:tc>
        <w:tc>
          <w:tcPr>
            <w:tcW w:w="1071" w:type="dxa"/>
          </w:tcPr>
          <w:p w14:paraId="19574473" w14:textId="0B0DB06E" w:rsidR="00C25019" w:rsidRPr="002D43CE" w:rsidRDefault="00C25019" w:rsidP="00C25019">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&lt;0.001</w:t>
            </w:r>
          </w:p>
        </w:tc>
      </w:tr>
      <w:tr w:rsidR="009C2C98" w:rsidRPr="002D43CE" w14:paraId="1BC8DBEF" w14:textId="77777777" w:rsidTr="00A40E58">
        <w:trPr>
          <w:trHeight w:val="321"/>
        </w:trPr>
        <w:tc>
          <w:tcPr>
            <w:tcW w:w="1350" w:type="dxa"/>
          </w:tcPr>
          <w:p w14:paraId="759041A0" w14:textId="77777777" w:rsidR="00C25019" w:rsidRPr="002D43CE" w:rsidRDefault="00C25019" w:rsidP="00C25019">
            <w:pPr>
              <w:suppressAutoHyphens w:val="0"/>
              <w:spacing w:line="360" w:lineRule="auto"/>
              <w:rPr>
                <w:rFonts w:ascii="Times New Roman" w:hAnsi="Times New Roman" w:cs="Times New Roman"/>
                <w:b/>
                <w:color w:val="auto"/>
                <w:sz w:val="24"/>
                <w:szCs w:val="24"/>
              </w:rPr>
            </w:pPr>
            <w:r w:rsidRPr="002D43CE">
              <w:rPr>
                <w:rFonts w:ascii="Times New Roman" w:hAnsi="Times New Roman" w:cs="Times New Roman"/>
                <w:b/>
                <w:color w:val="auto"/>
              </w:rPr>
              <w:t>4 classes</w:t>
            </w:r>
          </w:p>
        </w:tc>
        <w:tc>
          <w:tcPr>
            <w:tcW w:w="1576" w:type="dxa"/>
          </w:tcPr>
          <w:p w14:paraId="3A329BF9" w14:textId="77777777" w:rsidR="00C25019" w:rsidRPr="002D43CE" w:rsidRDefault="00C25019" w:rsidP="00C25019">
            <w:pPr>
              <w:suppressAutoHyphens w:val="0"/>
              <w:spacing w:line="360" w:lineRule="auto"/>
              <w:jc w:val="center"/>
              <w:rPr>
                <w:rFonts w:ascii="Times New Roman" w:hAnsi="Times New Roman" w:cs="Times New Roman"/>
                <w:b/>
                <w:color w:val="auto"/>
                <w:sz w:val="24"/>
                <w:szCs w:val="24"/>
              </w:rPr>
            </w:pPr>
            <w:r w:rsidRPr="002D43CE">
              <w:rPr>
                <w:rFonts w:ascii="Times New Roman" w:hAnsi="Times New Roman" w:cs="Times New Roman"/>
                <w:b/>
                <w:color w:val="auto"/>
              </w:rPr>
              <w:t>-3336.814</w:t>
            </w:r>
          </w:p>
        </w:tc>
        <w:tc>
          <w:tcPr>
            <w:tcW w:w="1261" w:type="dxa"/>
          </w:tcPr>
          <w:p w14:paraId="42967B3F" w14:textId="77777777" w:rsidR="00C25019" w:rsidRPr="002D43CE" w:rsidRDefault="00C25019" w:rsidP="00C25019">
            <w:pPr>
              <w:suppressAutoHyphens w:val="0"/>
              <w:spacing w:line="360" w:lineRule="auto"/>
              <w:jc w:val="center"/>
              <w:rPr>
                <w:rFonts w:ascii="Times New Roman" w:hAnsi="Times New Roman" w:cs="Times New Roman"/>
                <w:b/>
                <w:color w:val="auto"/>
                <w:sz w:val="24"/>
                <w:szCs w:val="24"/>
              </w:rPr>
            </w:pPr>
            <w:r w:rsidRPr="002D43CE">
              <w:rPr>
                <w:rFonts w:ascii="Times New Roman" w:hAnsi="Times New Roman" w:cs="Times New Roman"/>
                <w:b/>
                <w:color w:val="auto"/>
              </w:rPr>
              <w:t>6727.628</w:t>
            </w:r>
          </w:p>
        </w:tc>
        <w:tc>
          <w:tcPr>
            <w:tcW w:w="1261" w:type="dxa"/>
          </w:tcPr>
          <w:p w14:paraId="2202E6EC" w14:textId="77777777" w:rsidR="00C25019" w:rsidRPr="002D43CE" w:rsidRDefault="00C25019" w:rsidP="00C25019">
            <w:pPr>
              <w:suppressAutoHyphens w:val="0"/>
              <w:spacing w:line="360" w:lineRule="auto"/>
              <w:jc w:val="center"/>
              <w:rPr>
                <w:rFonts w:ascii="Times New Roman" w:hAnsi="Times New Roman" w:cs="Times New Roman"/>
                <w:b/>
                <w:color w:val="auto"/>
                <w:sz w:val="24"/>
                <w:szCs w:val="24"/>
              </w:rPr>
            </w:pPr>
            <w:r w:rsidRPr="002D43CE">
              <w:rPr>
                <w:rFonts w:ascii="Times New Roman" w:hAnsi="Times New Roman" w:cs="Times New Roman"/>
                <w:b/>
                <w:color w:val="auto"/>
              </w:rPr>
              <w:t>6858.236</w:t>
            </w:r>
          </w:p>
        </w:tc>
        <w:tc>
          <w:tcPr>
            <w:tcW w:w="1181" w:type="dxa"/>
          </w:tcPr>
          <w:p w14:paraId="6461A6B3" w14:textId="77777777" w:rsidR="00C25019" w:rsidRPr="002D43CE" w:rsidRDefault="00C25019" w:rsidP="00C25019">
            <w:pPr>
              <w:suppressAutoHyphens w:val="0"/>
              <w:spacing w:line="360" w:lineRule="auto"/>
              <w:jc w:val="center"/>
              <w:rPr>
                <w:rFonts w:ascii="Times New Roman" w:hAnsi="Times New Roman" w:cs="Times New Roman"/>
                <w:b/>
                <w:color w:val="auto"/>
                <w:sz w:val="24"/>
                <w:szCs w:val="24"/>
              </w:rPr>
            </w:pPr>
            <w:r w:rsidRPr="002D43CE">
              <w:rPr>
                <w:rFonts w:ascii="Times New Roman" w:hAnsi="Times New Roman" w:cs="Times New Roman"/>
                <w:b/>
                <w:color w:val="auto"/>
              </w:rPr>
              <w:t>.642</w:t>
            </w:r>
          </w:p>
        </w:tc>
        <w:tc>
          <w:tcPr>
            <w:tcW w:w="1080" w:type="dxa"/>
          </w:tcPr>
          <w:p w14:paraId="11451F5C" w14:textId="273613F9" w:rsidR="00C25019" w:rsidRPr="002D43CE" w:rsidRDefault="00C25019" w:rsidP="00C25019">
            <w:pPr>
              <w:suppressAutoHyphens w:val="0"/>
              <w:spacing w:line="360" w:lineRule="auto"/>
              <w:jc w:val="center"/>
              <w:rPr>
                <w:rFonts w:ascii="Times New Roman" w:hAnsi="Times New Roman" w:cs="Times New Roman"/>
                <w:b/>
                <w:color w:val="auto"/>
                <w:sz w:val="24"/>
                <w:szCs w:val="24"/>
              </w:rPr>
            </w:pPr>
            <w:r w:rsidRPr="002D43CE">
              <w:rPr>
                <w:rFonts w:ascii="Times New Roman" w:hAnsi="Times New Roman" w:cs="Times New Roman"/>
                <w:b/>
                <w:color w:val="auto"/>
              </w:rPr>
              <w:t>&lt;0.001</w:t>
            </w:r>
          </w:p>
        </w:tc>
        <w:tc>
          <w:tcPr>
            <w:tcW w:w="1071" w:type="dxa"/>
          </w:tcPr>
          <w:p w14:paraId="23D0C957" w14:textId="60A91125" w:rsidR="00C25019" w:rsidRPr="002D43CE" w:rsidRDefault="00C25019" w:rsidP="00C25019">
            <w:pPr>
              <w:suppressAutoHyphens w:val="0"/>
              <w:spacing w:line="360" w:lineRule="auto"/>
              <w:jc w:val="center"/>
              <w:rPr>
                <w:rFonts w:ascii="Times New Roman" w:hAnsi="Times New Roman" w:cs="Times New Roman"/>
                <w:b/>
                <w:bCs/>
                <w:color w:val="auto"/>
                <w:sz w:val="24"/>
                <w:szCs w:val="24"/>
              </w:rPr>
            </w:pPr>
            <w:r w:rsidRPr="002D43CE">
              <w:rPr>
                <w:rFonts w:ascii="Times New Roman" w:hAnsi="Times New Roman" w:cs="Times New Roman"/>
                <w:b/>
                <w:bCs/>
                <w:color w:val="auto"/>
              </w:rPr>
              <w:t>&lt;0.001</w:t>
            </w:r>
          </w:p>
        </w:tc>
      </w:tr>
      <w:tr w:rsidR="009C2C98" w:rsidRPr="002D43CE" w14:paraId="248D3BF6" w14:textId="77777777" w:rsidTr="00A40E58">
        <w:trPr>
          <w:trHeight w:val="338"/>
        </w:trPr>
        <w:tc>
          <w:tcPr>
            <w:tcW w:w="1350" w:type="dxa"/>
          </w:tcPr>
          <w:p w14:paraId="03AA24B0" w14:textId="77777777" w:rsidR="00375BB9" w:rsidRPr="002D43CE" w:rsidRDefault="00375BB9" w:rsidP="00365F1C">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5 classes</w:t>
            </w:r>
          </w:p>
        </w:tc>
        <w:tc>
          <w:tcPr>
            <w:tcW w:w="1576" w:type="dxa"/>
          </w:tcPr>
          <w:p w14:paraId="314E24A4"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-3332.640</w:t>
            </w:r>
          </w:p>
        </w:tc>
        <w:tc>
          <w:tcPr>
            <w:tcW w:w="1261" w:type="dxa"/>
          </w:tcPr>
          <w:p w14:paraId="1DE083F8"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6733.280</w:t>
            </w:r>
          </w:p>
        </w:tc>
        <w:tc>
          <w:tcPr>
            <w:tcW w:w="1261" w:type="dxa"/>
          </w:tcPr>
          <w:p w14:paraId="49337325"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6897.749</w:t>
            </w:r>
          </w:p>
        </w:tc>
        <w:tc>
          <w:tcPr>
            <w:tcW w:w="1181" w:type="dxa"/>
          </w:tcPr>
          <w:p w14:paraId="55D5392B"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.696</w:t>
            </w:r>
          </w:p>
        </w:tc>
        <w:tc>
          <w:tcPr>
            <w:tcW w:w="1080" w:type="dxa"/>
          </w:tcPr>
          <w:p w14:paraId="6FFF0195"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1.000</w:t>
            </w:r>
          </w:p>
        </w:tc>
        <w:tc>
          <w:tcPr>
            <w:tcW w:w="1071" w:type="dxa"/>
          </w:tcPr>
          <w:p w14:paraId="24EC9E9A"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0.222</w:t>
            </w:r>
          </w:p>
        </w:tc>
      </w:tr>
      <w:tr w:rsidR="009C2C98" w:rsidRPr="002D43CE" w14:paraId="5E199A20" w14:textId="77777777" w:rsidTr="00A40E58">
        <w:trPr>
          <w:trHeight w:val="321"/>
        </w:trPr>
        <w:tc>
          <w:tcPr>
            <w:tcW w:w="1350" w:type="dxa"/>
          </w:tcPr>
          <w:p w14:paraId="594200D1" w14:textId="77777777" w:rsidR="00375BB9" w:rsidRPr="002D43CE" w:rsidRDefault="00375BB9" w:rsidP="00365F1C">
            <w:pPr>
              <w:suppressAutoHyphens w:val="0"/>
              <w:spacing w:line="360" w:lineRule="auto"/>
              <w:rPr>
                <w:rFonts w:ascii="Times New Roman" w:hAnsi="Times New Roman" w:cs="Times New Roman"/>
                <w:color w:val="auto"/>
                <w:sz w:val="24"/>
                <w:szCs w:val="24"/>
              </w:rPr>
            </w:pPr>
            <w:r w:rsidRPr="002D43CE">
              <w:rPr>
                <w:rFonts w:ascii="Times New Roman" w:hAnsi="Times New Roman" w:cs="Times New Roman"/>
                <w:color w:val="auto"/>
              </w:rPr>
              <w:t>6 classes</w:t>
            </w:r>
          </w:p>
        </w:tc>
        <w:tc>
          <w:tcPr>
            <w:tcW w:w="1576" w:type="dxa"/>
          </w:tcPr>
          <w:p w14:paraId="54263175"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-3328.769</w:t>
            </w:r>
          </w:p>
        </w:tc>
        <w:tc>
          <w:tcPr>
            <w:tcW w:w="1261" w:type="dxa"/>
          </w:tcPr>
          <w:p w14:paraId="5844460C"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6739.538</w:t>
            </w:r>
          </w:p>
        </w:tc>
        <w:tc>
          <w:tcPr>
            <w:tcW w:w="1261" w:type="dxa"/>
          </w:tcPr>
          <w:p w14:paraId="4E400D74"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6937.869</w:t>
            </w:r>
          </w:p>
        </w:tc>
        <w:tc>
          <w:tcPr>
            <w:tcW w:w="1181" w:type="dxa"/>
          </w:tcPr>
          <w:p w14:paraId="0A5105D8"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.660</w:t>
            </w:r>
          </w:p>
        </w:tc>
        <w:tc>
          <w:tcPr>
            <w:tcW w:w="1080" w:type="dxa"/>
          </w:tcPr>
          <w:p w14:paraId="6159D5C1"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0.667</w:t>
            </w:r>
          </w:p>
        </w:tc>
        <w:tc>
          <w:tcPr>
            <w:tcW w:w="1071" w:type="dxa"/>
          </w:tcPr>
          <w:p w14:paraId="4E6A4659" w14:textId="77777777" w:rsidR="00375BB9" w:rsidRPr="002D43CE" w:rsidRDefault="00375BB9" w:rsidP="00A40E58">
            <w:pPr>
              <w:suppressAutoHyphens w:val="0"/>
              <w:spacing w:line="360" w:lineRule="auto"/>
              <w:jc w:val="center"/>
              <w:rPr>
                <w:rFonts w:ascii="Times New Roman" w:hAnsi="Times New Roman" w:cs="Times New Roman"/>
                <w:color w:val="auto"/>
                <w:sz w:val="24"/>
                <w:szCs w:val="24"/>
              </w:rPr>
            </w:pPr>
            <w:r w:rsidRPr="002D43CE">
              <w:rPr>
                <w:rFonts w:ascii="Times New Roman" w:hAnsi="Times New Roman" w:cs="Times New Roman"/>
                <w:color w:val="auto"/>
              </w:rPr>
              <w:t>0.334</w:t>
            </w:r>
          </w:p>
        </w:tc>
      </w:tr>
    </w:tbl>
    <w:p w14:paraId="173A96A5" w14:textId="77777777" w:rsidR="00375BB9" w:rsidRPr="002D43CE" w:rsidRDefault="00375BB9" w:rsidP="00365F1C">
      <w:pPr>
        <w:suppressAutoHyphens w:val="0"/>
        <w:spacing w:line="360" w:lineRule="auto"/>
        <w:rPr>
          <w:color w:val="auto"/>
          <w:sz w:val="22"/>
          <w:szCs w:val="22"/>
        </w:rPr>
      </w:pPr>
      <w:r w:rsidRPr="002D43CE">
        <w:rPr>
          <w:i/>
          <w:color w:val="auto"/>
          <w:sz w:val="22"/>
          <w:szCs w:val="22"/>
        </w:rPr>
        <w:t xml:space="preserve">Note. </w:t>
      </w:r>
      <w:r w:rsidRPr="002D43CE">
        <w:rPr>
          <w:color w:val="auto"/>
          <w:sz w:val="22"/>
          <w:szCs w:val="22"/>
        </w:rPr>
        <w:t xml:space="preserve">AIC </w:t>
      </w:r>
      <w:r w:rsidRPr="002D43CE">
        <w:rPr>
          <w:i/>
          <w:color w:val="auto"/>
          <w:sz w:val="22"/>
          <w:szCs w:val="22"/>
        </w:rPr>
        <w:t>=</w:t>
      </w:r>
      <w:r w:rsidRPr="002D43CE">
        <w:rPr>
          <w:color w:val="auto"/>
          <w:sz w:val="22"/>
          <w:szCs w:val="22"/>
          <w:shd w:val="clear" w:color="auto" w:fill="FFFFFF"/>
        </w:rPr>
        <w:t xml:space="preserve"> </w:t>
      </w:r>
      <w:proofErr w:type="spellStart"/>
      <w:r w:rsidRPr="002D43CE">
        <w:rPr>
          <w:color w:val="auto"/>
          <w:sz w:val="22"/>
          <w:szCs w:val="22"/>
          <w:shd w:val="clear" w:color="auto" w:fill="FFFFFF"/>
        </w:rPr>
        <w:t>Akaike</w:t>
      </w:r>
      <w:proofErr w:type="spellEnd"/>
      <w:r w:rsidRPr="002D43CE">
        <w:rPr>
          <w:color w:val="auto"/>
          <w:sz w:val="22"/>
          <w:szCs w:val="22"/>
          <w:shd w:val="clear" w:color="auto" w:fill="FFFFFF"/>
        </w:rPr>
        <w:t xml:space="preserve"> Information Criterion; BIC = Bayesian Information Criterion; BLRT = Bootstrap Likelihood Ratio Test; LMR-A = Lo-</w:t>
      </w:r>
      <w:proofErr w:type="spellStart"/>
      <w:r w:rsidRPr="002D43CE">
        <w:rPr>
          <w:color w:val="auto"/>
          <w:sz w:val="22"/>
          <w:szCs w:val="22"/>
          <w:shd w:val="clear" w:color="auto" w:fill="FFFFFF"/>
        </w:rPr>
        <w:t>Mendell</w:t>
      </w:r>
      <w:proofErr w:type="spellEnd"/>
      <w:r w:rsidRPr="002D43CE">
        <w:rPr>
          <w:color w:val="auto"/>
          <w:sz w:val="22"/>
          <w:szCs w:val="22"/>
          <w:shd w:val="clear" w:color="auto" w:fill="FFFFFF"/>
        </w:rPr>
        <w:t>-Rubin Adjusted Likelihood Ratio Test (LMR-A)</w:t>
      </w:r>
    </w:p>
    <w:p w14:paraId="18616C7F" w14:textId="71A25FEB" w:rsidR="00CC6116" w:rsidRPr="002D43CE" w:rsidRDefault="00CC6116" w:rsidP="00365F1C">
      <w:pPr>
        <w:spacing w:line="360" w:lineRule="auto"/>
        <w:rPr>
          <w:b/>
          <w:color w:val="auto"/>
        </w:rPr>
      </w:pPr>
    </w:p>
    <w:p w14:paraId="7D46C0A4" w14:textId="2A345B50" w:rsidR="0058280F" w:rsidRPr="002D43CE" w:rsidRDefault="0058280F">
      <w:pPr>
        <w:suppressAutoHyphens w:val="0"/>
        <w:spacing w:line="240" w:lineRule="auto"/>
        <w:rPr>
          <w:b/>
          <w:color w:val="auto"/>
        </w:rPr>
      </w:pPr>
      <w:r w:rsidRPr="002D43CE">
        <w:rPr>
          <w:b/>
          <w:color w:val="auto"/>
        </w:rPr>
        <w:br w:type="page"/>
      </w:r>
    </w:p>
    <w:p w14:paraId="224D96DE" w14:textId="77777777" w:rsidR="00797369" w:rsidRPr="002D43CE" w:rsidRDefault="00797369" w:rsidP="00797369">
      <w:pPr>
        <w:spacing w:line="360" w:lineRule="auto"/>
        <w:jc w:val="center"/>
        <w:rPr>
          <w:b/>
          <w:color w:val="auto"/>
        </w:rPr>
      </w:pPr>
    </w:p>
    <w:p w14:paraId="359FD352" w14:textId="1213F292" w:rsidR="00CC6116" w:rsidRPr="002D43CE" w:rsidRDefault="00321EA3" w:rsidP="00797369">
      <w:pPr>
        <w:spacing w:line="360" w:lineRule="auto"/>
        <w:jc w:val="center"/>
        <w:rPr>
          <w:b/>
          <w:color w:val="auto"/>
        </w:rPr>
      </w:pPr>
      <w:r w:rsidRPr="002D43CE">
        <w:rPr>
          <w:b/>
          <w:color w:val="auto"/>
        </w:rPr>
        <w:t>Figure legend</w:t>
      </w:r>
      <w:bookmarkStart w:id="0" w:name="_GoBack"/>
      <w:bookmarkEnd w:id="0"/>
    </w:p>
    <w:p w14:paraId="11A4B8E4" w14:textId="28ABC716" w:rsidR="00321EA3" w:rsidRPr="002D43CE" w:rsidRDefault="00321EA3" w:rsidP="00365F1C">
      <w:pPr>
        <w:spacing w:line="360" w:lineRule="auto"/>
        <w:rPr>
          <w:b/>
          <w:color w:val="auto"/>
        </w:rPr>
      </w:pPr>
    </w:p>
    <w:p w14:paraId="1DAF7CA5" w14:textId="77777777" w:rsidR="00321EA3" w:rsidRPr="002D43CE" w:rsidRDefault="00321EA3" w:rsidP="00321EA3">
      <w:pPr>
        <w:suppressAutoHyphens w:val="0"/>
        <w:spacing w:line="360" w:lineRule="auto"/>
        <w:rPr>
          <w:color w:val="auto"/>
        </w:rPr>
      </w:pPr>
      <w:r w:rsidRPr="002D43CE">
        <w:rPr>
          <w:b/>
          <w:color w:val="auto"/>
        </w:rPr>
        <w:t xml:space="preserve">Figure 1. </w:t>
      </w:r>
      <w:r w:rsidRPr="002D43CE">
        <w:rPr>
          <w:color w:val="auto"/>
        </w:rPr>
        <w:t>Factor models of ICD-11 PTSD and CPTSD tested in the study using confirmatory factor analysis</w:t>
      </w:r>
    </w:p>
    <w:p w14:paraId="61016E82" w14:textId="1E423173" w:rsidR="00321EA3" w:rsidRPr="002D43CE" w:rsidRDefault="009C2C98" w:rsidP="00365F1C">
      <w:pPr>
        <w:spacing w:line="360" w:lineRule="auto"/>
        <w:rPr>
          <w:b/>
          <w:color w:val="auto"/>
        </w:rPr>
      </w:pPr>
      <w:r w:rsidRPr="009C2C98">
        <w:rPr>
          <w:b/>
          <w:noProof/>
          <w:color w:val="auto"/>
          <w:lang w:val="lt-LT"/>
        </w:rPr>
        <w:drawing>
          <wp:inline distT="0" distB="0" distL="0" distR="0" wp14:anchorId="717D7E0A" wp14:editId="605A3D12">
            <wp:extent cx="6316127" cy="4190351"/>
            <wp:effectExtent l="0" t="0" r="8890" b="1270"/>
            <wp:docPr id="1" name="Picture 1" descr="C:\Users\Monika\Downloads\Figure.1.CFA.4.mod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ownloads\Figure.1.CFA.4.models.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007" cy="4195579"/>
                    </a:xfrm>
                    <a:prstGeom prst="rect">
                      <a:avLst/>
                    </a:prstGeom>
                    <a:noFill/>
                    <a:ln>
                      <a:noFill/>
                    </a:ln>
                  </pic:spPr>
                </pic:pic>
              </a:graphicData>
            </a:graphic>
          </wp:inline>
        </w:drawing>
      </w:r>
    </w:p>
    <w:p w14:paraId="17133E97" w14:textId="77777777" w:rsidR="009C2C98" w:rsidRDefault="009C2C98" w:rsidP="00321EA3">
      <w:pPr>
        <w:spacing w:line="360" w:lineRule="auto"/>
        <w:rPr>
          <w:b/>
          <w:color w:val="auto"/>
        </w:rPr>
      </w:pPr>
    </w:p>
    <w:p w14:paraId="41277029" w14:textId="2224951C" w:rsidR="00612EE9" w:rsidRDefault="00047AC8" w:rsidP="00321EA3">
      <w:pPr>
        <w:spacing w:line="360" w:lineRule="auto"/>
        <w:rPr>
          <w:color w:val="auto"/>
        </w:rPr>
      </w:pPr>
      <w:r w:rsidRPr="002D43CE">
        <w:rPr>
          <w:b/>
          <w:color w:val="auto"/>
        </w:rPr>
        <w:lastRenderedPageBreak/>
        <w:t>Figure 2</w:t>
      </w:r>
      <w:r w:rsidRPr="002D43CE">
        <w:rPr>
          <w:color w:val="auto"/>
        </w:rPr>
        <w:t>. Latent classes of ICD-11 PTSD and CPTSD in adolescent sample</w:t>
      </w:r>
      <w:r w:rsidR="009C2C98" w:rsidRPr="009C2C98">
        <w:rPr>
          <w:b/>
          <w:noProof/>
          <w:color w:val="auto"/>
          <w:lang w:val="lt-LT"/>
        </w:rPr>
        <w:drawing>
          <wp:inline distT="0" distB="0" distL="0" distR="0" wp14:anchorId="70792A03" wp14:editId="294ADEB5">
            <wp:extent cx="5162550" cy="4469590"/>
            <wp:effectExtent l="0" t="0" r="0" b="7620"/>
            <wp:docPr id="2" name="Picture 2" descr="C:\Users\Monika\Downloads\Figure.2.LCA.class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Downloads\Figure.2.LCA.classes.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4669" cy="4488740"/>
                    </a:xfrm>
                    <a:prstGeom prst="rect">
                      <a:avLst/>
                    </a:prstGeom>
                    <a:noFill/>
                    <a:ln>
                      <a:noFill/>
                    </a:ln>
                  </pic:spPr>
                </pic:pic>
              </a:graphicData>
            </a:graphic>
          </wp:inline>
        </w:drawing>
      </w:r>
    </w:p>
    <w:p w14:paraId="3BCCB760" w14:textId="17282047" w:rsidR="009C2C98" w:rsidRPr="002D43CE" w:rsidRDefault="009C2C98" w:rsidP="00321EA3">
      <w:pPr>
        <w:spacing w:line="360" w:lineRule="auto"/>
        <w:rPr>
          <w:b/>
          <w:color w:val="auto"/>
        </w:rPr>
      </w:pPr>
    </w:p>
    <w:sectPr w:rsidR="009C2C98" w:rsidRPr="002D43CE" w:rsidSect="00365F1C">
      <w:pgSz w:w="11907" w:h="16840" w:code="9"/>
      <w:pgMar w:top="1440" w:right="1440" w:bottom="1440" w:left="1440" w:header="720" w:footer="720" w:gutter="0"/>
      <w:cols w:space="1296"/>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48004F" w16cid:durableId="2166BD4A"/>
  <w16cid:commentId w16cid:paraId="552CBF29" w16cid:durableId="2166BCC2"/>
  <w16cid:commentId w16cid:paraId="186DCD38" w16cid:durableId="21679EAF"/>
  <w16cid:commentId w16cid:paraId="25029DD7" w16cid:durableId="21679EB0"/>
  <w16cid:commentId w16cid:paraId="0F96E6A8" w16cid:durableId="2166BF58"/>
  <w16cid:commentId w16cid:paraId="3FD4B8E4" w16cid:durableId="2166BFFB"/>
  <w16cid:commentId w16cid:paraId="68850B73" w16cid:durableId="2166C02D"/>
  <w16cid:commentId w16cid:paraId="695246D2" w16cid:durableId="2166C154"/>
  <w16cid:commentId w16cid:paraId="3D8DEFC3" w16cid:durableId="21679EB5"/>
  <w16cid:commentId w16cid:paraId="011DC2E2" w16cid:durableId="2166C1A6"/>
  <w16cid:commentId w16cid:paraId="01D1DBBD" w16cid:durableId="2166C1E2"/>
  <w16cid:commentId w16cid:paraId="4B096223" w16cid:durableId="2171220C"/>
  <w16cid:commentId w16cid:paraId="760D4FBB" w16cid:durableId="21711F03"/>
  <w16cid:commentId w16cid:paraId="6483EE3A" w16cid:durableId="21711F04"/>
  <w16cid:commentId w16cid:paraId="0FB98EE7" w16cid:durableId="2166C504"/>
  <w16cid:commentId w16cid:paraId="6383F4EE" w16cid:durableId="2166CBAE"/>
  <w16cid:commentId w16cid:paraId="55DE4CB5" w16cid:durableId="2171206F"/>
  <w16cid:commentId w16cid:paraId="1F1CBA49" w16cid:durableId="2166C7DB"/>
  <w16cid:commentId w16cid:paraId="609915A9" w16cid:durableId="21711F98"/>
  <w16cid:commentId w16cid:paraId="51A4EB46" w16cid:durableId="2166CF4E"/>
  <w16cid:commentId w16cid:paraId="4771389D" w16cid:durableId="2166CF8D"/>
  <w16cid:commentId w16cid:paraId="14C2D995" w16cid:durableId="21679EBD"/>
  <w16cid:commentId w16cid:paraId="2B52D642" w16cid:durableId="21712125"/>
  <w16cid:commentId w16cid:paraId="3CA30256" w16cid:durableId="2171216D"/>
  <w16cid:commentId w16cid:paraId="27C06784" w16cid:durableId="2166C82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6D265" w14:textId="77777777" w:rsidR="00471514" w:rsidRDefault="00471514" w:rsidP="00F2418F">
      <w:pPr>
        <w:spacing w:line="240" w:lineRule="auto"/>
      </w:pPr>
      <w:r>
        <w:separator/>
      </w:r>
    </w:p>
  </w:endnote>
  <w:endnote w:type="continuationSeparator" w:id="0">
    <w:p w14:paraId="557ADD63" w14:textId="77777777" w:rsidR="00471514" w:rsidRDefault="00471514" w:rsidP="00F241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TimesNewRoman-Identity-H">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6DB93" w14:textId="77777777" w:rsidR="00471514" w:rsidRDefault="00471514" w:rsidP="00F2418F">
      <w:pPr>
        <w:spacing w:line="240" w:lineRule="auto"/>
      </w:pPr>
      <w:r>
        <w:separator/>
      </w:r>
    </w:p>
  </w:footnote>
  <w:footnote w:type="continuationSeparator" w:id="0">
    <w:p w14:paraId="6D303D22" w14:textId="77777777" w:rsidR="00471514" w:rsidRDefault="00471514" w:rsidP="00F241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7FDDC" w14:textId="15813740" w:rsidR="000B6ABE" w:rsidRDefault="000B6ABE" w:rsidP="00F2418F">
    <w:pPr>
      <w:pStyle w:val="Header"/>
      <w:tabs>
        <w:tab w:val="clear" w:pos="9360"/>
        <w:tab w:val="right" w:pos="9340"/>
      </w:tabs>
    </w:pPr>
    <w:r>
      <w:t>ICD-11 PTSD AND PTSD IN ADOLESCENCE</w:t>
    </w:r>
    <w:r>
      <w:tab/>
    </w:r>
    <w:r>
      <w:fldChar w:fldCharType="begin"/>
    </w:r>
    <w:r>
      <w:instrText xml:space="preserve"> PAGE </w:instrText>
    </w:r>
    <w:r>
      <w:fldChar w:fldCharType="separate"/>
    </w:r>
    <w:r w:rsidR="007A0A85">
      <w:rPr>
        <w:noProof/>
      </w:rPr>
      <w:t>6</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C42"/>
    <w:multiLevelType w:val="hybridMultilevel"/>
    <w:tmpl w:val="3B7A2D5E"/>
    <w:lvl w:ilvl="0" w:tplc="C456CB4A">
      <w:start w:val="1"/>
      <w:numFmt w:val="upperLetter"/>
      <w:lvlText w:val="%1."/>
      <w:lvlJc w:val="left"/>
      <w:pPr>
        <w:ind w:left="1080" w:hanging="360"/>
      </w:pPr>
      <w:rPr>
        <w:rFonts w:hint="default"/>
        <w:i/>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0D745927"/>
    <w:multiLevelType w:val="hybridMultilevel"/>
    <w:tmpl w:val="0276BCDC"/>
    <w:lvl w:ilvl="0" w:tplc="0427000F">
      <w:start w:val="1"/>
      <w:numFmt w:val="decimal"/>
      <w:lvlText w:val="%1."/>
      <w:lvlJc w:val="left"/>
      <w:pPr>
        <w:ind w:left="810" w:hanging="360"/>
      </w:pPr>
    </w:lvl>
    <w:lvl w:ilvl="1" w:tplc="04270019" w:tentative="1">
      <w:start w:val="1"/>
      <w:numFmt w:val="lowerLetter"/>
      <w:lvlText w:val="%2."/>
      <w:lvlJc w:val="left"/>
      <w:pPr>
        <w:ind w:left="1530" w:hanging="360"/>
      </w:pPr>
    </w:lvl>
    <w:lvl w:ilvl="2" w:tplc="0427001B" w:tentative="1">
      <w:start w:val="1"/>
      <w:numFmt w:val="lowerRoman"/>
      <w:lvlText w:val="%3."/>
      <w:lvlJc w:val="right"/>
      <w:pPr>
        <w:ind w:left="2250" w:hanging="180"/>
      </w:pPr>
    </w:lvl>
    <w:lvl w:ilvl="3" w:tplc="0427000F" w:tentative="1">
      <w:start w:val="1"/>
      <w:numFmt w:val="decimal"/>
      <w:lvlText w:val="%4."/>
      <w:lvlJc w:val="left"/>
      <w:pPr>
        <w:ind w:left="2970" w:hanging="360"/>
      </w:pPr>
    </w:lvl>
    <w:lvl w:ilvl="4" w:tplc="04270019" w:tentative="1">
      <w:start w:val="1"/>
      <w:numFmt w:val="lowerLetter"/>
      <w:lvlText w:val="%5."/>
      <w:lvlJc w:val="left"/>
      <w:pPr>
        <w:ind w:left="3690" w:hanging="360"/>
      </w:pPr>
    </w:lvl>
    <w:lvl w:ilvl="5" w:tplc="0427001B" w:tentative="1">
      <w:start w:val="1"/>
      <w:numFmt w:val="lowerRoman"/>
      <w:lvlText w:val="%6."/>
      <w:lvlJc w:val="right"/>
      <w:pPr>
        <w:ind w:left="4410" w:hanging="180"/>
      </w:pPr>
    </w:lvl>
    <w:lvl w:ilvl="6" w:tplc="0427000F" w:tentative="1">
      <w:start w:val="1"/>
      <w:numFmt w:val="decimal"/>
      <w:lvlText w:val="%7."/>
      <w:lvlJc w:val="left"/>
      <w:pPr>
        <w:ind w:left="5130" w:hanging="360"/>
      </w:pPr>
    </w:lvl>
    <w:lvl w:ilvl="7" w:tplc="04270019" w:tentative="1">
      <w:start w:val="1"/>
      <w:numFmt w:val="lowerLetter"/>
      <w:lvlText w:val="%8."/>
      <w:lvlJc w:val="left"/>
      <w:pPr>
        <w:ind w:left="5850" w:hanging="360"/>
      </w:pPr>
    </w:lvl>
    <w:lvl w:ilvl="8" w:tplc="0427001B" w:tentative="1">
      <w:start w:val="1"/>
      <w:numFmt w:val="lowerRoman"/>
      <w:lvlText w:val="%9."/>
      <w:lvlJc w:val="right"/>
      <w:pPr>
        <w:ind w:left="6570" w:hanging="180"/>
      </w:pPr>
    </w:lvl>
  </w:abstractNum>
  <w:abstractNum w:abstractNumId="2" w15:restartNumberingAfterBreak="0">
    <w:nsid w:val="0FEE5434"/>
    <w:multiLevelType w:val="hybridMultilevel"/>
    <w:tmpl w:val="3F04E244"/>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124D36DD"/>
    <w:multiLevelType w:val="hybridMultilevel"/>
    <w:tmpl w:val="C3AC1E92"/>
    <w:lvl w:ilvl="0" w:tplc="E25A238A">
      <w:start w:val="1"/>
      <w:numFmt w:val="decimal"/>
      <w:lvlText w:val="%1."/>
      <w:lvlJc w:val="left"/>
      <w:pPr>
        <w:ind w:left="450" w:hanging="360"/>
      </w:pPr>
      <w:rPr>
        <w:rFonts w:hint="default"/>
      </w:rPr>
    </w:lvl>
    <w:lvl w:ilvl="1" w:tplc="04270019" w:tentative="1">
      <w:start w:val="1"/>
      <w:numFmt w:val="lowerLetter"/>
      <w:lvlText w:val="%2."/>
      <w:lvlJc w:val="left"/>
      <w:pPr>
        <w:ind w:left="1170" w:hanging="360"/>
      </w:pPr>
    </w:lvl>
    <w:lvl w:ilvl="2" w:tplc="0427001B" w:tentative="1">
      <w:start w:val="1"/>
      <w:numFmt w:val="lowerRoman"/>
      <w:lvlText w:val="%3."/>
      <w:lvlJc w:val="right"/>
      <w:pPr>
        <w:ind w:left="1890" w:hanging="180"/>
      </w:pPr>
    </w:lvl>
    <w:lvl w:ilvl="3" w:tplc="0427000F" w:tentative="1">
      <w:start w:val="1"/>
      <w:numFmt w:val="decimal"/>
      <w:lvlText w:val="%4."/>
      <w:lvlJc w:val="left"/>
      <w:pPr>
        <w:ind w:left="2610" w:hanging="360"/>
      </w:pPr>
    </w:lvl>
    <w:lvl w:ilvl="4" w:tplc="04270019" w:tentative="1">
      <w:start w:val="1"/>
      <w:numFmt w:val="lowerLetter"/>
      <w:lvlText w:val="%5."/>
      <w:lvlJc w:val="left"/>
      <w:pPr>
        <w:ind w:left="3330" w:hanging="360"/>
      </w:pPr>
    </w:lvl>
    <w:lvl w:ilvl="5" w:tplc="0427001B" w:tentative="1">
      <w:start w:val="1"/>
      <w:numFmt w:val="lowerRoman"/>
      <w:lvlText w:val="%6."/>
      <w:lvlJc w:val="right"/>
      <w:pPr>
        <w:ind w:left="4050" w:hanging="180"/>
      </w:pPr>
    </w:lvl>
    <w:lvl w:ilvl="6" w:tplc="0427000F" w:tentative="1">
      <w:start w:val="1"/>
      <w:numFmt w:val="decimal"/>
      <w:lvlText w:val="%7."/>
      <w:lvlJc w:val="left"/>
      <w:pPr>
        <w:ind w:left="4770" w:hanging="360"/>
      </w:pPr>
    </w:lvl>
    <w:lvl w:ilvl="7" w:tplc="04270019" w:tentative="1">
      <w:start w:val="1"/>
      <w:numFmt w:val="lowerLetter"/>
      <w:lvlText w:val="%8."/>
      <w:lvlJc w:val="left"/>
      <w:pPr>
        <w:ind w:left="5490" w:hanging="360"/>
      </w:pPr>
    </w:lvl>
    <w:lvl w:ilvl="8" w:tplc="0427001B" w:tentative="1">
      <w:start w:val="1"/>
      <w:numFmt w:val="lowerRoman"/>
      <w:lvlText w:val="%9."/>
      <w:lvlJc w:val="right"/>
      <w:pPr>
        <w:ind w:left="6210" w:hanging="180"/>
      </w:pPr>
    </w:lvl>
  </w:abstractNum>
  <w:abstractNum w:abstractNumId="4" w15:restartNumberingAfterBreak="0">
    <w:nsid w:val="1B1E07B5"/>
    <w:multiLevelType w:val="hybridMultilevel"/>
    <w:tmpl w:val="C91CDE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8535DD3"/>
    <w:multiLevelType w:val="multilevel"/>
    <w:tmpl w:val="7C06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A31A48"/>
    <w:multiLevelType w:val="hybridMultilevel"/>
    <w:tmpl w:val="F27886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94B3208"/>
    <w:multiLevelType w:val="hybridMultilevel"/>
    <w:tmpl w:val="E96EA362"/>
    <w:lvl w:ilvl="0" w:tplc="8F2AC7D6">
      <w:start w:val="1"/>
      <w:numFmt w:val="decimal"/>
      <w:lvlText w:val="%1."/>
      <w:lvlJc w:val="left"/>
      <w:pPr>
        <w:ind w:left="474" w:hanging="360"/>
      </w:pPr>
      <w:rPr>
        <w:rFonts w:hint="default"/>
      </w:rPr>
    </w:lvl>
    <w:lvl w:ilvl="1" w:tplc="04270019" w:tentative="1">
      <w:start w:val="1"/>
      <w:numFmt w:val="lowerLetter"/>
      <w:lvlText w:val="%2."/>
      <w:lvlJc w:val="left"/>
      <w:pPr>
        <w:ind w:left="1194" w:hanging="360"/>
      </w:pPr>
    </w:lvl>
    <w:lvl w:ilvl="2" w:tplc="0427001B" w:tentative="1">
      <w:start w:val="1"/>
      <w:numFmt w:val="lowerRoman"/>
      <w:lvlText w:val="%3."/>
      <w:lvlJc w:val="right"/>
      <w:pPr>
        <w:ind w:left="1914" w:hanging="180"/>
      </w:pPr>
    </w:lvl>
    <w:lvl w:ilvl="3" w:tplc="0427000F" w:tentative="1">
      <w:start w:val="1"/>
      <w:numFmt w:val="decimal"/>
      <w:lvlText w:val="%4."/>
      <w:lvlJc w:val="left"/>
      <w:pPr>
        <w:ind w:left="2634" w:hanging="360"/>
      </w:pPr>
    </w:lvl>
    <w:lvl w:ilvl="4" w:tplc="04270019" w:tentative="1">
      <w:start w:val="1"/>
      <w:numFmt w:val="lowerLetter"/>
      <w:lvlText w:val="%5."/>
      <w:lvlJc w:val="left"/>
      <w:pPr>
        <w:ind w:left="3354" w:hanging="360"/>
      </w:pPr>
    </w:lvl>
    <w:lvl w:ilvl="5" w:tplc="0427001B" w:tentative="1">
      <w:start w:val="1"/>
      <w:numFmt w:val="lowerRoman"/>
      <w:lvlText w:val="%6."/>
      <w:lvlJc w:val="right"/>
      <w:pPr>
        <w:ind w:left="4074" w:hanging="180"/>
      </w:pPr>
    </w:lvl>
    <w:lvl w:ilvl="6" w:tplc="0427000F" w:tentative="1">
      <w:start w:val="1"/>
      <w:numFmt w:val="decimal"/>
      <w:lvlText w:val="%7."/>
      <w:lvlJc w:val="left"/>
      <w:pPr>
        <w:ind w:left="4794" w:hanging="360"/>
      </w:pPr>
    </w:lvl>
    <w:lvl w:ilvl="7" w:tplc="04270019" w:tentative="1">
      <w:start w:val="1"/>
      <w:numFmt w:val="lowerLetter"/>
      <w:lvlText w:val="%8."/>
      <w:lvlJc w:val="left"/>
      <w:pPr>
        <w:ind w:left="5514" w:hanging="360"/>
      </w:pPr>
    </w:lvl>
    <w:lvl w:ilvl="8" w:tplc="0427001B" w:tentative="1">
      <w:start w:val="1"/>
      <w:numFmt w:val="lowerRoman"/>
      <w:lvlText w:val="%9."/>
      <w:lvlJc w:val="right"/>
      <w:pPr>
        <w:ind w:left="6234" w:hanging="180"/>
      </w:pPr>
    </w:lvl>
  </w:abstractNum>
  <w:abstractNum w:abstractNumId="8" w15:restartNumberingAfterBreak="0">
    <w:nsid w:val="7111587C"/>
    <w:multiLevelType w:val="hybridMultilevel"/>
    <w:tmpl w:val="857C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FA2A7C"/>
    <w:multiLevelType w:val="multilevel"/>
    <w:tmpl w:val="1E18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5"/>
  </w:num>
  <w:num w:numId="5">
    <w:abstractNumId w:val="0"/>
  </w:num>
  <w:num w:numId="6">
    <w:abstractNumId w:val="2"/>
  </w:num>
  <w:num w:numId="7">
    <w:abstractNumId w:val="7"/>
  </w:num>
  <w:num w:numId="8">
    <w:abstractNumId w:val="4"/>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2sjQ3MgFCM1NLQyUdpeDU4uLM/DyQAuNaAJIbCK4sAAAA"/>
  </w:docVars>
  <w:rsids>
    <w:rsidRoot w:val="005715B0"/>
    <w:rsid w:val="0000039A"/>
    <w:rsid w:val="000010CE"/>
    <w:rsid w:val="00002503"/>
    <w:rsid w:val="0000315F"/>
    <w:rsid w:val="00003228"/>
    <w:rsid w:val="00004115"/>
    <w:rsid w:val="00004385"/>
    <w:rsid w:val="0000511F"/>
    <w:rsid w:val="00005C21"/>
    <w:rsid w:val="00006043"/>
    <w:rsid w:val="0000629E"/>
    <w:rsid w:val="00006408"/>
    <w:rsid w:val="000075BD"/>
    <w:rsid w:val="00010176"/>
    <w:rsid w:val="00010C62"/>
    <w:rsid w:val="00010E1C"/>
    <w:rsid w:val="000114D6"/>
    <w:rsid w:val="00011AE2"/>
    <w:rsid w:val="0001322F"/>
    <w:rsid w:val="00013EBF"/>
    <w:rsid w:val="00014552"/>
    <w:rsid w:val="0001575F"/>
    <w:rsid w:val="00015885"/>
    <w:rsid w:val="00015AD3"/>
    <w:rsid w:val="000167DF"/>
    <w:rsid w:val="000171A8"/>
    <w:rsid w:val="00017329"/>
    <w:rsid w:val="000179D9"/>
    <w:rsid w:val="00017A7C"/>
    <w:rsid w:val="000213E3"/>
    <w:rsid w:val="000221D7"/>
    <w:rsid w:val="000222F1"/>
    <w:rsid w:val="00022C88"/>
    <w:rsid w:val="000237DE"/>
    <w:rsid w:val="00024231"/>
    <w:rsid w:val="0002436A"/>
    <w:rsid w:val="00024CEF"/>
    <w:rsid w:val="000250F7"/>
    <w:rsid w:val="00025CCF"/>
    <w:rsid w:val="00025E27"/>
    <w:rsid w:val="00026597"/>
    <w:rsid w:val="0002717F"/>
    <w:rsid w:val="0002761B"/>
    <w:rsid w:val="00027713"/>
    <w:rsid w:val="00027D4C"/>
    <w:rsid w:val="0003098B"/>
    <w:rsid w:val="000309D4"/>
    <w:rsid w:val="00030B1F"/>
    <w:rsid w:val="00031739"/>
    <w:rsid w:val="000326E8"/>
    <w:rsid w:val="00034DC7"/>
    <w:rsid w:val="000361DD"/>
    <w:rsid w:val="000370D6"/>
    <w:rsid w:val="000401B0"/>
    <w:rsid w:val="0004097A"/>
    <w:rsid w:val="000410FF"/>
    <w:rsid w:val="000418C2"/>
    <w:rsid w:val="00044C3E"/>
    <w:rsid w:val="0004541B"/>
    <w:rsid w:val="00046010"/>
    <w:rsid w:val="00046943"/>
    <w:rsid w:val="00046A91"/>
    <w:rsid w:val="00047390"/>
    <w:rsid w:val="00047AC8"/>
    <w:rsid w:val="00047DF0"/>
    <w:rsid w:val="000502A3"/>
    <w:rsid w:val="000503B0"/>
    <w:rsid w:val="00050618"/>
    <w:rsid w:val="0005149F"/>
    <w:rsid w:val="00051AAD"/>
    <w:rsid w:val="00051FB7"/>
    <w:rsid w:val="000524D3"/>
    <w:rsid w:val="000525DE"/>
    <w:rsid w:val="0005376B"/>
    <w:rsid w:val="00053982"/>
    <w:rsid w:val="00053A5F"/>
    <w:rsid w:val="00053BEA"/>
    <w:rsid w:val="00054F43"/>
    <w:rsid w:val="00056773"/>
    <w:rsid w:val="0005717E"/>
    <w:rsid w:val="000576E3"/>
    <w:rsid w:val="00057C40"/>
    <w:rsid w:val="0006078F"/>
    <w:rsid w:val="00060A75"/>
    <w:rsid w:val="00061055"/>
    <w:rsid w:val="000613A7"/>
    <w:rsid w:val="000615A6"/>
    <w:rsid w:val="00061699"/>
    <w:rsid w:val="00061868"/>
    <w:rsid w:val="00062ABD"/>
    <w:rsid w:val="00064A63"/>
    <w:rsid w:val="0006523A"/>
    <w:rsid w:val="000659A0"/>
    <w:rsid w:val="00066063"/>
    <w:rsid w:val="000661D2"/>
    <w:rsid w:val="00067568"/>
    <w:rsid w:val="000703B6"/>
    <w:rsid w:val="00070B96"/>
    <w:rsid w:val="00071AA2"/>
    <w:rsid w:val="00071AB5"/>
    <w:rsid w:val="00071C5E"/>
    <w:rsid w:val="00071DA1"/>
    <w:rsid w:val="0007217F"/>
    <w:rsid w:val="000721C8"/>
    <w:rsid w:val="00072467"/>
    <w:rsid w:val="000726F6"/>
    <w:rsid w:val="00072DCB"/>
    <w:rsid w:val="00073077"/>
    <w:rsid w:val="00073438"/>
    <w:rsid w:val="00073D03"/>
    <w:rsid w:val="00073E9D"/>
    <w:rsid w:val="00074ABB"/>
    <w:rsid w:val="00074BC8"/>
    <w:rsid w:val="0007610A"/>
    <w:rsid w:val="00076556"/>
    <w:rsid w:val="000767E2"/>
    <w:rsid w:val="00076B03"/>
    <w:rsid w:val="0008031B"/>
    <w:rsid w:val="000811E8"/>
    <w:rsid w:val="00081947"/>
    <w:rsid w:val="00081F52"/>
    <w:rsid w:val="000835B2"/>
    <w:rsid w:val="000839CD"/>
    <w:rsid w:val="000840BF"/>
    <w:rsid w:val="00084E50"/>
    <w:rsid w:val="00085092"/>
    <w:rsid w:val="00085C28"/>
    <w:rsid w:val="000869FB"/>
    <w:rsid w:val="00087120"/>
    <w:rsid w:val="00087566"/>
    <w:rsid w:val="00087C9D"/>
    <w:rsid w:val="00087D25"/>
    <w:rsid w:val="00087E30"/>
    <w:rsid w:val="000901E5"/>
    <w:rsid w:val="000902F4"/>
    <w:rsid w:val="0009217B"/>
    <w:rsid w:val="00092308"/>
    <w:rsid w:val="0009314C"/>
    <w:rsid w:val="00093237"/>
    <w:rsid w:val="0009346D"/>
    <w:rsid w:val="00093CCC"/>
    <w:rsid w:val="00093D54"/>
    <w:rsid w:val="00094B8E"/>
    <w:rsid w:val="00094C8F"/>
    <w:rsid w:val="00095074"/>
    <w:rsid w:val="000957A3"/>
    <w:rsid w:val="00097C2B"/>
    <w:rsid w:val="000A0A1A"/>
    <w:rsid w:val="000A15D9"/>
    <w:rsid w:val="000A1EEC"/>
    <w:rsid w:val="000A23B0"/>
    <w:rsid w:val="000A248A"/>
    <w:rsid w:val="000A2C63"/>
    <w:rsid w:val="000A3045"/>
    <w:rsid w:val="000A4617"/>
    <w:rsid w:val="000A4F41"/>
    <w:rsid w:val="000A5126"/>
    <w:rsid w:val="000A5EC3"/>
    <w:rsid w:val="000A5F34"/>
    <w:rsid w:val="000A66C6"/>
    <w:rsid w:val="000A6FD0"/>
    <w:rsid w:val="000A7A5B"/>
    <w:rsid w:val="000B0CF2"/>
    <w:rsid w:val="000B13E3"/>
    <w:rsid w:val="000B179B"/>
    <w:rsid w:val="000B25D8"/>
    <w:rsid w:val="000B2813"/>
    <w:rsid w:val="000B2E1E"/>
    <w:rsid w:val="000B31F7"/>
    <w:rsid w:val="000B3645"/>
    <w:rsid w:val="000B3BF4"/>
    <w:rsid w:val="000B45BA"/>
    <w:rsid w:val="000B471B"/>
    <w:rsid w:val="000B4CA8"/>
    <w:rsid w:val="000B50DF"/>
    <w:rsid w:val="000B5FD3"/>
    <w:rsid w:val="000B6599"/>
    <w:rsid w:val="000B6ABE"/>
    <w:rsid w:val="000B7122"/>
    <w:rsid w:val="000C0403"/>
    <w:rsid w:val="000C1BA4"/>
    <w:rsid w:val="000C1D1F"/>
    <w:rsid w:val="000C1DE7"/>
    <w:rsid w:val="000C28F2"/>
    <w:rsid w:val="000C2972"/>
    <w:rsid w:val="000C2E13"/>
    <w:rsid w:val="000C4074"/>
    <w:rsid w:val="000C435C"/>
    <w:rsid w:val="000C45E0"/>
    <w:rsid w:val="000C47AF"/>
    <w:rsid w:val="000C5C5E"/>
    <w:rsid w:val="000C6087"/>
    <w:rsid w:val="000C70E0"/>
    <w:rsid w:val="000C720D"/>
    <w:rsid w:val="000C75BE"/>
    <w:rsid w:val="000C7C1F"/>
    <w:rsid w:val="000D06F1"/>
    <w:rsid w:val="000D09A4"/>
    <w:rsid w:val="000D0D72"/>
    <w:rsid w:val="000D0EB4"/>
    <w:rsid w:val="000D1735"/>
    <w:rsid w:val="000D1C37"/>
    <w:rsid w:val="000D1EE4"/>
    <w:rsid w:val="000D1F9D"/>
    <w:rsid w:val="000D25BA"/>
    <w:rsid w:val="000D260B"/>
    <w:rsid w:val="000D2996"/>
    <w:rsid w:val="000D3811"/>
    <w:rsid w:val="000D4BBE"/>
    <w:rsid w:val="000D4EC6"/>
    <w:rsid w:val="000D55BF"/>
    <w:rsid w:val="000D5E0B"/>
    <w:rsid w:val="000D662D"/>
    <w:rsid w:val="000D6793"/>
    <w:rsid w:val="000D6D65"/>
    <w:rsid w:val="000E00F6"/>
    <w:rsid w:val="000E01E2"/>
    <w:rsid w:val="000E046C"/>
    <w:rsid w:val="000E04C8"/>
    <w:rsid w:val="000E0CD3"/>
    <w:rsid w:val="000E187F"/>
    <w:rsid w:val="000E1B2E"/>
    <w:rsid w:val="000E1E9B"/>
    <w:rsid w:val="000E29A2"/>
    <w:rsid w:val="000E3340"/>
    <w:rsid w:val="000E3F36"/>
    <w:rsid w:val="000E495B"/>
    <w:rsid w:val="000E4B1F"/>
    <w:rsid w:val="000E55D1"/>
    <w:rsid w:val="000E5703"/>
    <w:rsid w:val="000E6110"/>
    <w:rsid w:val="000E6581"/>
    <w:rsid w:val="000E74BE"/>
    <w:rsid w:val="000E76D5"/>
    <w:rsid w:val="000F0017"/>
    <w:rsid w:val="000F0699"/>
    <w:rsid w:val="000F0B14"/>
    <w:rsid w:val="000F0B16"/>
    <w:rsid w:val="000F0B96"/>
    <w:rsid w:val="000F0C07"/>
    <w:rsid w:val="000F2402"/>
    <w:rsid w:val="000F26C7"/>
    <w:rsid w:val="000F274C"/>
    <w:rsid w:val="000F305B"/>
    <w:rsid w:val="000F31FE"/>
    <w:rsid w:val="000F3210"/>
    <w:rsid w:val="000F3634"/>
    <w:rsid w:val="000F3818"/>
    <w:rsid w:val="000F518C"/>
    <w:rsid w:val="000F589C"/>
    <w:rsid w:val="000F59A5"/>
    <w:rsid w:val="000F5F94"/>
    <w:rsid w:val="000F74C5"/>
    <w:rsid w:val="000F786D"/>
    <w:rsid w:val="000F7AA6"/>
    <w:rsid w:val="000F7C82"/>
    <w:rsid w:val="001004A4"/>
    <w:rsid w:val="00100B16"/>
    <w:rsid w:val="00102E47"/>
    <w:rsid w:val="0010310B"/>
    <w:rsid w:val="00103AD1"/>
    <w:rsid w:val="00104113"/>
    <w:rsid w:val="00104ACE"/>
    <w:rsid w:val="00104D51"/>
    <w:rsid w:val="00104DB9"/>
    <w:rsid w:val="001053BE"/>
    <w:rsid w:val="00105FA5"/>
    <w:rsid w:val="001067FC"/>
    <w:rsid w:val="00107211"/>
    <w:rsid w:val="00107D22"/>
    <w:rsid w:val="00110317"/>
    <w:rsid w:val="0011098B"/>
    <w:rsid w:val="00110BE3"/>
    <w:rsid w:val="00110FFA"/>
    <w:rsid w:val="00111B72"/>
    <w:rsid w:val="00112285"/>
    <w:rsid w:val="00112333"/>
    <w:rsid w:val="00112D39"/>
    <w:rsid w:val="0011393A"/>
    <w:rsid w:val="00113950"/>
    <w:rsid w:val="00115672"/>
    <w:rsid w:val="00115F41"/>
    <w:rsid w:val="00116244"/>
    <w:rsid w:val="001170A6"/>
    <w:rsid w:val="00117C94"/>
    <w:rsid w:val="00120652"/>
    <w:rsid w:val="00120924"/>
    <w:rsid w:val="00121412"/>
    <w:rsid w:val="0012175F"/>
    <w:rsid w:val="00121B7A"/>
    <w:rsid w:val="00121E09"/>
    <w:rsid w:val="0012200C"/>
    <w:rsid w:val="00122358"/>
    <w:rsid w:val="00122BCA"/>
    <w:rsid w:val="0012309F"/>
    <w:rsid w:val="00123A64"/>
    <w:rsid w:val="00123FE0"/>
    <w:rsid w:val="0012421F"/>
    <w:rsid w:val="001249EB"/>
    <w:rsid w:val="00124E7F"/>
    <w:rsid w:val="00124FDC"/>
    <w:rsid w:val="00125636"/>
    <w:rsid w:val="00125709"/>
    <w:rsid w:val="00125826"/>
    <w:rsid w:val="00125A4F"/>
    <w:rsid w:val="00125E26"/>
    <w:rsid w:val="001263A4"/>
    <w:rsid w:val="00126E60"/>
    <w:rsid w:val="001303BF"/>
    <w:rsid w:val="001319B7"/>
    <w:rsid w:val="00132242"/>
    <w:rsid w:val="00132558"/>
    <w:rsid w:val="00132696"/>
    <w:rsid w:val="00133390"/>
    <w:rsid w:val="001335D4"/>
    <w:rsid w:val="001338ED"/>
    <w:rsid w:val="00133A5E"/>
    <w:rsid w:val="00133DC6"/>
    <w:rsid w:val="00134625"/>
    <w:rsid w:val="001347A8"/>
    <w:rsid w:val="00134E8B"/>
    <w:rsid w:val="001351B6"/>
    <w:rsid w:val="00135292"/>
    <w:rsid w:val="0013600C"/>
    <w:rsid w:val="0013646B"/>
    <w:rsid w:val="00136B08"/>
    <w:rsid w:val="00136DD4"/>
    <w:rsid w:val="001372D1"/>
    <w:rsid w:val="001372FC"/>
    <w:rsid w:val="00137E87"/>
    <w:rsid w:val="001409B1"/>
    <w:rsid w:val="00140F55"/>
    <w:rsid w:val="00140FDA"/>
    <w:rsid w:val="00141393"/>
    <w:rsid w:val="001426A2"/>
    <w:rsid w:val="00142FE0"/>
    <w:rsid w:val="00143831"/>
    <w:rsid w:val="00143968"/>
    <w:rsid w:val="00144936"/>
    <w:rsid w:val="00145778"/>
    <w:rsid w:val="00145A17"/>
    <w:rsid w:val="00146710"/>
    <w:rsid w:val="00146AB9"/>
    <w:rsid w:val="0014738D"/>
    <w:rsid w:val="00147E88"/>
    <w:rsid w:val="00147EE9"/>
    <w:rsid w:val="00150B7F"/>
    <w:rsid w:val="00151BBC"/>
    <w:rsid w:val="00152BC9"/>
    <w:rsid w:val="0015357F"/>
    <w:rsid w:val="001536CD"/>
    <w:rsid w:val="001542F7"/>
    <w:rsid w:val="00154A75"/>
    <w:rsid w:val="00155853"/>
    <w:rsid w:val="00155DF2"/>
    <w:rsid w:val="00156078"/>
    <w:rsid w:val="0015622F"/>
    <w:rsid w:val="00156981"/>
    <w:rsid w:val="001569FD"/>
    <w:rsid w:val="0015727B"/>
    <w:rsid w:val="001572E4"/>
    <w:rsid w:val="001572F7"/>
    <w:rsid w:val="00157740"/>
    <w:rsid w:val="0016056A"/>
    <w:rsid w:val="001606AB"/>
    <w:rsid w:val="00160C2E"/>
    <w:rsid w:val="00161673"/>
    <w:rsid w:val="001617DD"/>
    <w:rsid w:val="0016297E"/>
    <w:rsid w:val="00162DE5"/>
    <w:rsid w:val="00162E0A"/>
    <w:rsid w:val="00163516"/>
    <w:rsid w:val="001636A0"/>
    <w:rsid w:val="001644FD"/>
    <w:rsid w:val="001648F7"/>
    <w:rsid w:val="00165B45"/>
    <w:rsid w:val="0016703A"/>
    <w:rsid w:val="0017005B"/>
    <w:rsid w:val="001700D0"/>
    <w:rsid w:val="00170903"/>
    <w:rsid w:val="00171237"/>
    <w:rsid w:val="00171CC7"/>
    <w:rsid w:val="00172E1B"/>
    <w:rsid w:val="00172FA4"/>
    <w:rsid w:val="0017314F"/>
    <w:rsid w:val="00173394"/>
    <w:rsid w:val="001734DF"/>
    <w:rsid w:val="0017486D"/>
    <w:rsid w:val="0017491F"/>
    <w:rsid w:val="0017574E"/>
    <w:rsid w:val="00175921"/>
    <w:rsid w:val="00176091"/>
    <w:rsid w:val="00177261"/>
    <w:rsid w:val="001774DA"/>
    <w:rsid w:val="0017792A"/>
    <w:rsid w:val="00177CB8"/>
    <w:rsid w:val="00180166"/>
    <w:rsid w:val="00180810"/>
    <w:rsid w:val="00180876"/>
    <w:rsid w:val="00181A79"/>
    <w:rsid w:val="00181BEF"/>
    <w:rsid w:val="00182C0A"/>
    <w:rsid w:val="00183157"/>
    <w:rsid w:val="001837DE"/>
    <w:rsid w:val="001838A4"/>
    <w:rsid w:val="00183F3C"/>
    <w:rsid w:val="001857C9"/>
    <w:rsid w:val="00185A0D"/>
    <w:rsid w:val="00185AB3"/>
    <w:rsid w:val="00186601"/>
    <w:rsid w:val="00186F9A"/>
    <w:rsid w:val="00187A03"/>
    <w:rsid w:val="00187AD5"/>
    <w:rsid w:val="00187D2A"/>
    <w:rsid w:val="00190E2D"/>
    <w:rsid w:val="00191071"/>
    <w:rsid w:val="00192075"/>
    <w:rsid w:val="00192AE6"/>
    <w:rsid w:val="0019374B"/>
    <w:rsid w:val="0019387B"/>
    <w:rsid w:val="00193C35"/>
    <w:rsid w:val="00193C49"/>
    <w:rsid w:val="001946AC"/>
    <w:rsid w:val="00194B32"/>
    <w:rsid w:val="00194E3E"/>
    <w:rsid w:val="0019626C"/>
    <w:rsid w:val="001967D3"/>
    <w:rsid w:val="00196AB1"/>
    <w:rsid w:val="00196FAC"/>
    <w:rsid w:val="001A003D"/>
    <w:rsid w:val="001A09DD"/>
    <w:rsid w:val="001A0A21"/>
    <w:rsid w:val="001A1E08"/>
    <w:rsid w:val="001A1ED5"/>
    <w:rsid w:val="001A2047"/>
    <w:rsid w:val="001A22E1"/>
    <w:rsid w:val="001A29F8"/>
    <w:rsid w:val="001A301C"/>
    <w:rsid w:val="001A3900"/>
    <w:rsid w:val="001A3942"/>
    <w:rsid w:val="001A3CC1"/>
    <w:rsid w:val="001A4CD9"/>
    <w:rsid w:val="001A534A"/>
    <w:rsid w:val="001A5F00"/>
    <w:rsid w:val="001A62AF"/>
    <w:rsid w:val="001A631B"/>
    <w:rsid w:val="001A64E7"/>
    <w:rsid w:val="001A6B56"/>
    <w:rsid w:val="001A6ECF"/>
    <w:rsid w:val="001A6F44"/>
    <w:rsid w:val="001A761B"/>
    <w:rsid w:val="001A7BF7"/>
    <w:rsid w:val="001B18D1"/>
    <w:rsid w:val="001B19EB"/>
    <w:rsid w:val="001B19F0"/>
    <w:rsid w:val="001B21CF"/>
    <w:rsid w:val="001B3006"/>
    <w:rsid w:val="001B309C"/>
    <w:rsid w:val="001B40FC"/>
    <w:rsid w:val="001B4188"/>
    <w:rsid w:val="001B5496"/>
    <w:rsid w:val="001B5AC0"/>
    <w:rsid w:val="001B672C"/>
    <w:rsid w:val="001B6ACE"/>
    <w:rsid w:val="001B6EB2"/>
    <w:rsid w:val="001B719B"/>
    <w:rsid w:val="001B7626"/>
    <w:rsid w:val="001B778E"/>
    <w:rsid w:val="001B7DBA"/>
    <w:rsid w:val="001C0110"/>
    <w:rsid w:val="001C0C77"/>
    <w:rsid w:val="001C12B5"/>
    <w:rsid w:val="001C137A"/>
    <w:rsid w:val="001C1B8B"/>
    <w:rsid w:val="001C2DE9"/>
    <w:rsid w:val="001C2FE7"/>
    <w:rsid w:val="001C343A"/>
    <w:rsid w:val="001C3A8E"/>
    <w:rsid w:val="001C4D69"/>
    <w:rsid w:val="001C5155"/>
    <w:rsid w:val="001C5C8A"/>
    <w:rsid w:val="001C5D41"/>
    <w:rsid w:val="001C6B21"/>
    <w:rsid w:val="001C71AC"/>
    <w:rsid w:val="001C7C0C"/>
    <w:rsid w:val="001D040B"/>
    <w:rsid w:val="001D07D4"/>
    <w:rsid w:val="001D0BE3"/>
    <w:rsid w:val="001D16B8"/>
    <w:rsid w:val="001D2970"/>
    <w:rsid w:val="001D412A"/>
    <w:rsid w:val="001D5035"/>
    <w:rsid w:val="001D625A"/>
    <w:rsid w:val="001D78FB"/>
    <w:rsid w:val="001D7BDB"/>
    <w:rsid w:val="001E02ED"/>
    <w:rsid w:val="001E03CB"/>
    <w:rsid w:val="001E0AC4"/>
    <w:rsid w:val="001E0DB9"/>
    <w:rsid w:val="001E110C"/>
    <w:rsid w:val="001E179C"/>
    <w:rsid w:val="001E1C52"/>
    <w:rsid w:val="001E251A"/>
    <w:rsid w:val="001E2736"/>
    <w:rsid w:val="001E36D8"/>
    <w:rsid w:val="001E39F4"/>
    <w:rsid w:val="001E4289"/>
    <w:rsid w:val="001E587B"/>
    <w:rsid w:val="001E5BF7"/>
    <w:rsid w:val="001E5DDF"/>
    <w:rsid w:val="001E61E1"/>
    <w:rsid w:val="001E64C6"/>
    <w:rsid w:val="001E67FD"/>
    <w:rsid w:val="001E6A13"/>
    <w:rsid w:val="001E6FB3"/>
    <w:rsid w:val="001E713B"/>
    <w:rsid w:val="001E7406"/>
    <w:rsid w:val="001E7498"/>
    <w:rsid w:val="001E77EC"/>
    <w:rsid w:val="001E7AC4"/>
    <w:rsid w:val="001E7D91"/>
    <w:rsid w:val="001E7E59"/>
    <w:rsid w:val="001F0CFE"/>
    <w:rsid w:val="001F176F"/>
    <w:rsid w:val="001F299E"/>
    <w:rsid w:val="001F349E"/>
    <w:rsid w:val="001F366C"/>
    <w:rsid w:val="001F3F37"/>
    <w:rsid w:val="001F43C1"/>
    <w:rsid w:val="001F4527"/>
    <w:rsid w:val="001F4559"/>
    <w:rsid w:val="001F495C"/>
    <w:rsid w:val="001F4B0D"/>
    <w:rsid w:val="001F4C72"/>
    <w:rsid w:val="001F53A4"/>
    <w:rsid w:val="001F57FF"/>
    <w:rsid w:val="001F5937"/>
    <w:rsid w:val="001F6236"/>
    <w:rsid w:val="001F6528"/>
    <w:rsid w:val="001F66AE"/>
    <w:rsid w:val="001F6852"/>
    <w:rsid w:val="001F6A5E"/>
    <w:rsid w:val="001F761E"/>
    <w:rsid w:val="001F7BAD"/>
    <w:rsid w:val="00201486"/>
    <w:rsid w:val="0020221A"/>
    <w:rsid w:val="002028FC"/>
    <w:rsid w:val="00203297"/>
    <w:rsid w:val="002037E2"/>
    <w:rsid w:val="00206347"/>
    <w:rsid w:val="00206BEC"/>
    <w:rsid w:val="002071C9"/>
    <w:rsid w:val="00207FBE"/>
    <w:rsid w:val="00210DB8"/>
    <w:rsid w:val="00211294"/>
    <w:rsid w:val="00211651"/>
    <w:rsid w:val="00212090"/>
    <w:rsid w:val="002127B3"/>
    <w:rsid w:val="00212BC3"/>
    <w:rsid w:val="00212C20"/>
    <w:rsid w:val="00212F40"/>
    <w:rsid w:val="0021380B"/>
    <w:rsid w:val="0021411C"/>
    <w:rsid w:val="0021413D"/>
    <w:rsid w:val="0021449F"/>
    <w:rsid w:val="002149D7"/>
    <w:rsid w:val="00214D41"/>
    <w:rsid w:val="00214D4E"/>
    <w:rsid w:val="0021521D"/>
    <w:rsid w:val="00215CC3"/>
    <w:rsid w:val="0021600E"/>
    <w:rsid w:val="00216455"/>
    <w:rsid w:val="00216525"/>
    <w:rsid w:val="002171AF"/>
    <w:rsid w:val="002171CF"/>
    <w:rsid w:val="002172FA"/>
    <w:rsid w:val="00217A1A"/>
    <w:rsid w:val="00217A54"/>
    <w:rsid w:val="00217C9F"/>
    <w:rsid w:val="00220556"/>
    <w:rsid w:val="00220E56"/>
    <w:rsid w:val="00221303"/>
    <w:rsid w:val="002220E1"/>
    <w:rsid w:val="002226EA"/>
    <w:rsid w:val="00223F6B"/>
    <w:rsid w:val="00223FBB"/>
    <w:rsid w:val="00226124"/>
    <w:rsid w:val="00226870"/>
    <w:rsid w:val="00226BB9"/>
    <w:rsid w:val="00227085"/>
    <w:rsid w:val="00227F5D"/>
    <w:rsid w:val="00230340"/>
    <w:rsid w:val="00230A86"/>
    <w:rsid w:val="00230E2E"/>
    <w:rsid w:val="00230FBE"/>
    <w:rsid w:val="00231236"/>
    <w:rsid w:val="0023157A"/>
    <w:rsid w:val="0023170C"/>
    <w:rsid w:val="002318BB"/>
    <w:rsid w:val="00231937"/>
    <w:rsid w:val="00232115"/>
    <w:rsid w:val="0023287E"/>
    <w:rsid w:val="00233043"/>
    <w:rsid w:val="0023362E"/>
    <w:rsid w:val="002337EA"/>
    <w:rsid w:val="002338BA"/>
    <w:rsid w:val="00234194"/>
    <w:rsid w:val="0023449B"/>
    <w:rsid w:val="002346B2"/>
    <w:rsid w:val="00234988"/>
    <w:rsid w:val="00235077"/>
    <w:rsid w:val="002362ED"/>
    <w:rsid w:val="0023677C"/>
    <w:rsid w:val="002367D6"/>
    <w:rsid w:val="00236839"/>
    <w:rsid w:val="00236E82"/>
    <w:rsid w:val="00236FBA"/>
    <w:rsid w:val="0023719F"/>
    <w:rsid w:val="0023740D"/>
    <w:rsid w:val="002377CB"/>
    <w:rsid w:val="00240075"/>
    <w:rsid w:val="0024020E"/>
    <w:rsid w:val="002409F8"/>
    <w:rsid w:val="00240BAE"/>
    <w:rsid w:val="00240EC7"/>
    <w:rsid w:val="00241ADF"/>
    <w:rsid w:val="00242631"/>
    <w:rsid w:val="00242DB8"/>
    <w:rsid w:val="0024344E"/>
    <w:rsid w:val="002436F0"/>
    <w:rsid w:val="00243D80"/>
    <w:rsid w:val="0024405B"/>
    <w:rsid w:val="00244AB0"/>
    <w:rsid w:val="002452AD"/>
    <w:rsid w:val="00245436"/>
    <w:rsid w:val="002455B1"/>
    <w:rsid w:val="002458EF"/>
    <w:rsid w:val="00245C3C"/>
    <w:rsid w:val="002462AA"/>
    <w:rsid w:val="00246C36"/>
    <w:rsid w:val="002475A2"/>
    <w:rsid w:val="00247606"/>
    <w:rsid w:val="00250512"/>
    <w:rsid w:val="00251E2A"/>
    <w:rsid w:val="00252060"/>
    <w:rsid w:val="00253B3B"/>
    <w:rsid w:val="00253F6F"/>
    <w:rsid w:val="002543F3"/>
    <w:rsid w:val="00256A42"/>
    <w:rsid w:val="00260434"/>
    <w:rsid w:val="00260531"/>
    <w:rsid w:val="00260A82"/>
    <w:rsid w:val="00261357"/>
    <w:rsid w:val="00261504"/>
    <w:rsid w:val="0026165A"/>
    <w:rsid w:val="00262572"/>
    <w:rsid w:val="00262E0B"/>
    <w:rsid w:val="00263CEF"/>
    <w:rsid w:val="002641A0"/>
    <w:rsid w:val="0026452A"/>
    <w:rsid w:val="002653BD"/>
    <w:rsid w:val="0026626F"/>
    <w:rsid w:val="0026698C"/>
    <w:rsid w:val="00267067"/>
    <w:rsid w:val="002709E0"/>
    <w:rsid w:val="00271837"/>
    <w:rsid w:val="00271C90"/>
    <w:rsid w:val="002724AE"/>
    <w:rsid w:val="002726CC"/>
    <w:rsid w:val="002728B8"/>
    <w:rsid w:val="00273A24"/>
    <w:rsid w:val="0027402C"/>
    <w:rsid w:val="002743B2"/>
    <w:rsid w:val="00274843"/>
    <w:rsid w:val="00274A42"/>
    <w:rsid w:val="00275246"/>
    <w:rsid w:val="00275B2C"/>
    <w:rsid w:val="00275C78"/>
    <w:rsid w:val="0027716B"/>
    <w:rsid w:val="002771F2"/>
    <w:rsid w:val="002778E4"/>
    <w:rsid w:val="00277BDB"/>
    <w:rsid w:val="00280A43"/>
    <w:rsid w:val="00280EA0"/>
    <w:rsid w:val="00280EE3"/>
    <w:rsid w:val="00281340"/>
    <w:rsid w:val="002824F8"/>
    <w:rsid w:val="002827DB"/>
    <w:rsid w:val="0028290B"/>
    <w:rsid w:val="002830A8"/>
    <w:rsid w:val="0028389E"/>
    <w:rsid w:val="002840BA"/>
    <w:rsid w:val="00284477"/>
    <w:rsid w:val="00284A77"/>
    <w:rsid w:val="00284D06"/>
    <w:rsid w:val="00285448"/>
    <w:rsid w:val="00285B85"/>
    <w:rsid w:val="002864FF"/>
    <w:rsid w:val="00286D3C"/>
    <w:rsid w:val="00287739"/>
    <w:rsid w:val="00287E2E"/>
    <w:rsid w:val="002902B3"/>
    <w:rsid w:val="00290DE8"/>
    <w:rsid w:val="00291BCF"/>
    <w:rsid w:val="002921D9"/>
    <w:rsid w:val="00292D46"/>
    <w:rsid w:val="002930B1"/>
    <w:rsid w:val="0029369C"/>
    <w:rsid w:val="00293BFA"/>
    <w:rsid w:val="00295D32"/>
    <w:rsid w:val="00296730"/>
    <w:rsid w:val="00296CA8"/>
    <w:rsid w:val="002970CE"/>
    <w:rsid w:val="00297A2E"/>
    <w:rsid w:val="002A05F2"/>
    <w:rsid w:val="002A0A13"/>
    <w:rsid w:val="002A0FE0"/>
    <w:rsid w:val="002A2953"/>
    <w:rsid w:val="002A2A89"/>
    <w:rsid w:val="002A31F6"/>
    <w:rsid w:val="002A3357"/>
    <w:rsid w:val="002A3F06"/>
    <w:rsid w:val="002A5C7B"/>
    <w:rsid w:val="002A5CCE"/>
    <w:rsid w:val="002B056A"/>
    <w:rsid w:val="002B0E36"/>
    <w:rsid w:val="002B1611"/>
    <w:rsid w:val="002B1F67"/>
    <w:rsid w:val="002B2BB1"/>
    <w:rsid w:val="002B2DBC"/>
    <w:rsid w:val="002B30EF"/>
    <w:rsid w:val="002B3C57"/>
    <w:rsid w:val="002B3C64"/>
    <w:rsid w:val="002B3CA8"/>
    <w:rsid w:val="002B3DAD"/>
    <w:rsid w:val="002B3E1A"/>
    <w:rsid w:val="002B5EC0"/>
    <w:rsid w:val="002B5FCE"/>
    <w:rsid w:val="002B64BE"/>
    <w:rsid w:val="002B691E"/>
    <w:rsid w:val="002B6DC0"/>
    <w:rsid w:val="002B7013"/>
    <w:rsid w:val="002C1843"/>
    <w:rsid w:val="002C1970"/>
    <w:rsid w:val="002C261F"/>
    <w:rsid w:val="002C269D"/>
    <w:rsid w:val="002C3107"/>
    <w:rsid w:val="002C318C"/>
    <w:rsid w:val="002C4482"/>
    <w:rsid w:val="002C4489"/>
    <w:rsid w:val="002C4600"/>
    <w:rsid w:val="002C46BF"/>
    <w:rsid w:val="002C5749"/>
    <w:rsid w:val="002C589B"/>
    <w:rsid w:val="002C5A3C"/>
    <w:rsid w:val="002C6496"/>
    <w:rsid w:val="002C6B41"/>
    <w:rsid w:val="002C6EDD"/>
    <w:rsid w:val="002D07BB"/>
    <w:rsid w:val="002D1FDA"/>
    <w:rsid w:val="002D2169"/>
    <w:rsid w:val="002D2D5F"/>
    <w:rsid w:val="002D2ECF"/>
    <w:rsid w:val="002D31CF"/>
    <w:rsid w:val="002D36CF"/>
    <w:rsid w:val="002D43CE"/>
    <w:rsid w:val="002D43DD"/>
    <w:rsid w:val="002D4B22"/>
    <w:rsid w:val="002D510B"/>
    <w:rsid w:val="002D566F"/>
    <w:rsid w:val="002D582E"/>
    <w:rsid w:val="002D5C41"/>
    <w:rsid w:val="002D5E54"/>
    <w:rsid w:val="002D67EF"/>
    <w:rsid w:val="002D7789"/>
    <w:rsid w:val="002D7D06"/>
    <w:rsid w:val="002D7D80"/>
    <w:rsid w:val="002E046E"/>
    <w:rsid w:val="002E0A9E"/>
    <w:rsid w:val="002E0FAD"/>
    <w:rsid w:val="002E17D3"/>
    <w:rsid w:val="002E1FF4"/>
    <w:rsid w:val="002E2FCA"/>
    <w:rsid w:val="002E38DD"/>
    <w:rsid w:val="002E3E5C"/>
    <w:rsid w:val="002E3F70"/>
    <w:rsid w:val="002E59F8"/>
    <w:rsid w:val="002E5F43"/>
    <w:rsid w:val="002E626A"/>
    <w:rsid w:val="002E6858"/>
    <w:rsid w:val="002E6B2E"/>
    <w:rsid w:val="002E70C9"/>
    <w:rsid w:val="002E70ED"/>
    <w:rsid w:val="002E77D7"/>
    <w:rsid w:val="002E78BA"/>
    <w:rsid w:val="002F0050"/>
    <w:rsid w:val="002F0161"/>
    <w:rsid w:val="002F0A12"/>
    <w:rsid w:val="002F0F4A"/>
    <w:rsid w:val="002F105B"/>
    <w:rsid w:val="002F163D"/>
    <w:rsid w:val="002F2B54"/>
    <w:rsid w:val="002F2BC7"/>
    <w:rsid w:val="002F328B"/>
    <w:rsid w:val="002F34F9"/>
    <w:rsid w:val="002F3DEF"/>
    <w:rsid w:val="002F418C"/>
    <w:rsid w:val="002F45B2"/>
    <w:rsid w:val="002F47A9"/>
    <w:rsid w:val="002F4C8A"/>
    <w:rsid w:val="002F517F"/>
    <w:rsid w:val="002F5632"/>
    <w:rsid w:val="002F590F"/>
    <w:rsid w:val="002F69AB"/>
    <w:rsid w:val="002F7D1E"/>
    <w:rsid w:val="002F7D88"/>
    <w:rsid w:val="002F7E99"/>
    <w:rsid w:val="00300C1E"/>
    <w:rsid w:val="00300EEF"/>
    <w:rsid w:val="00301643"/>
    <w:rsid w:val="003021E1"/>
    <w:rsid w:val="00302980"/>
    <w:rsid w:val="003029A1"/>
    <w:rsid w:val="00303719"/>
    <w:rsid w:val="00303F94"/>
    <w:rsid w:val="00304797"/>
    <w:rsid w:val="003054D0"/>
    <w:rsid w:val="00305D09"/>
    <w:rsid w:val="003060CE"/>
    <w:rsid w:val="0030615B"/>
    <w:rsid w:val="003067BC"/>
    <w:rsid w:val="0030695C"/>
    <w:rsid w:val="00307082"/>
    <w:rsid w:val="0030728E"/>
    <w:rsid w:val="00307A95"/>
    <w:rsid w:val="00307B8A"/>
    <w:rsid w:val="00311A9C"/>
    <w:rsid w:val="0031244A"/>
    <w:rsid w:val="00312890"/>
    <w:rsid w:val="003129A4"/>
    <w:rsid w:val="00313A8F"/>
    <w:rsid w:val="003150EB"/>
    <w:rsid w:val="0031522D"/>
    <w:rsid w:val="0031523A"/>
    <w:rsid w:val="0031557D"/>
    <w:rsid w:val="003156C0"/>
    <w:rsid w:val="003157B5"/>
    <w:rsid w:val="0031722B"/>
    <w:rsid w:val="00317248"/>
    <w:rsid w:val="00317250"/>
    <w:rsid w:val="003176BE"/>
    <w:rsid w:val="003179B3"/>
    <w:rsid w:val="00320009"/>
    <w:rsid w:val="0032012C"/>
    <w:rsid w:val="0032017C"/>
    <w:rsid w:val="0032095E"/>
    <w:rsid w:val="00321863"/>
    <w:rsid w:val="00321C26"/>
    <w:rsid w:val="00321EA3"/>
    <w:rsid w:val="0032234D"/>
    <w:rsid w:val="00322449"/>
    <w:rsid w:val="00322B55"/>
    <w:rsid w:val="00322CD7"/>
    <w:rsid w:val="00323DB4"/>
    <w:rsid w:val="00324BCF"/>
    <w:rsid w:val="00325A25"/>
    <w:rsid w:val="0032666B"/>
    <w:rsid w:val="003274BF"/>
    <w:rsid w:val="0033078E"/>
    <w:rsid w:val="00330C9A"/>
    <w:rsid w:val="003323FC"/>
    <w:rsid w:val="00333148"/>
    <w:rsid w:val="003335BA"/>
    <w:rsid w:val="00333A80"/>
    <w:rsid w:val="00333F45"/>
    <w:rsid w:val="0033462F"/>
    <w:rsid w:val="00334B7B"/>
    <w:rsid w:val="00334BFD"/>
    <w:rsid w:val="003356F6"/>
    <w:rsid w:val="00335873"/>
    <w:rsid w:val="00335AFB"/>
    <w:rsid w:val="00335DA6"/>
    <w:rsid w:val="00336198"/>
    <w:rsid w:val="00336E76"/>
    <w:rsid w:val="00337660"/>
    <w:rsid w:val="00337936"/>
    <w:rsid w:val="003408B7"/>
    <w:rsid w:val="00340CD9"/>
    <w:rsid w:val="0034181F"/>
    <w:rsid w:val="00342D12"/>
    <w:rsid w:val="00342EDA"/>
    <w:rsid w:val="00343A62"/>
    <w:rsid w:val="00343BC9"/>
    <w:rsid w:val="00344C6F"/>
    <w:rsid w:val="00344FD9"/>
    <w:rsid w:val="00345228"/>
    <w:rsid w:val="00345B06"/>
    <w:rsid w:val="00345E63"/>
    <w:rsid w:val="003465CD"/>
    <w:rsid w:val="003466CA"/>
    <w:rsid w:val="00346D71"/>
    <w:rsid w:val="00346FE9"/>
    <w:rsid w:val="0034798F"/>
    <w:rsid w:val="0035058F"/>
    <w:rsid w:val="00350770"/>
    <w:rsid w:val="00350A11"/>
    <w:rsid w:val="00350DA2"/>
    <w:rsid w:val="00350F82"/>
    <w:rsid w:val="003519E5"/>
    <w:rsid w:val="00351DF6"/>
    <w:rsid w:val="0035287D"/>
    <w:rsid w:val="00353490"/>
    <w:rsid w:val="00354356"/>
    <w:rsid w:val="00354427"/>
    <w:rsid w:val="00354CE9"/>
    <w:rsid w:val="00355065"/>
    <w:rsid w:val="00355A32"/>
    <w:rsid w:val="00355F41"/>
    <w:rsid w:val="00356219"/>
    <w:rsid w:val="00356F45"/>
    <w:rsid w:val="003574B1"/>
    <w:rsid w:val="00357788"/>
    <w:rsid w:val="00357920"/>
    <w:rsid w:val="00357BBA"/>
    <w:rsid w:val="003608D0"/>
    <w:rsid w:val="0036105D"/>
    <w:rsid w:val="0036117E"/>
    <w:rsid w:val="00361304"/>
    <w:rsid w:val="0036172B"/>
    <w:rsid w:val="00362C53"/>
    <w:rsid w:val="0036302A"/>
    <w:rsid w:val="003631D0"/>
    <w:rsid w:val="00363B78"/>
    <w:rsid w:val="003657BE"/>
    <w:rsid w:val="0036587E"/>
    <w:rsid w:val="00365F1C"/>
    <w:rsid w:val="003664F3"/>
    <w:rsid w:val="00366B74"/>
    <w:rsid w:val="00366C46"/>
    <w:rsid w:val="0036737E"/>
    <w:rsid w:val="00367FF3"/>
    <w:rsid w:val="0037015F"/>
    <w:rsid w:val="003709C3"/>
    <w:rsid w:val="00370ABC"/>
    <w:rsid w:val="00371970"/>
    <w:rsid w:val="00371EC2"/>
    <w:rsid w:val="0037202B"/>
    <w:rsid w:val="00372F25"/>
    <w:rsid w:val="003731AD"/>
    <w:rsid w:val="00373B72"/>
    <w:rsid w:val="00374B52"/>
    <w:rsid w:val="00375BB9"/>
    <w:rsid w:val="0037644F"/>
    <w:rsid w:val="003767CF"/>
    <w:rsid w:val="0037686A"/>
    <w:rsid w:val="00377083"/>
    <w:rsid w:val="003802E1"/>
    <w:rsid w:val="00380C8F"/>
    <w:rsid w:val="0038130B"/>
    <w:rsid w:val="00381C22"/>
    <w:rsid w:val="00382639"/>
    <w:rsid w:val="00382790"/>
    <w:rsid w:val="00382C20"/>
    <w:rsid w:val="0038315D"/>
    <w:rsid w:val="00383328"/>
    <w:rsid w:val="0038341C"/>
    <w:rsid w:val="003834E1"/>
    <w:rsid w:val="00383507"/>
    <w:rsid w:val="0038351C"/>
    <w:rsid w:val="003835C1"/>
    <w:rsid w:val="003847AC"/>
    <w:rsid w:val="00384895"/>
    <w:rsid w:val="00384EB1"/>
    <w:rsid w:val="00384F1D"/>
    <w:rsid w:val="00385377"/>
    <w:rsid w:val="0038540B"/>
    <w:rsid w:val="00385CA7"/>
    <w:rsid w:val="00385D8C"/>
    <w:rsid w:val="00386E72"/>
    <w:rsid w:val="003873D2"/>
    <w:rsid w:val="00390176"/>
    <w:rsid w:val="003901CA"/>
    <w:rsid w:val="00390BD9"/>
    <w:rsid w:val="00391197"/>
    <w:rsid w:val="0039160C"/>
    <w:rsid w:val="00392158"/>
    <w:rsid w:val="003929A7"/>
    <w:rsid w:val="00392C63"/>
    <w:rsid w:val="0039346E"/>
    <w:rsid w:val="00393BE0"/>
    <w:rsid w:val="00393CF4"/>
    <w:rsid w:val="00394C71"/>
    <w:rsid w:val="003953DB"/>
    <w:rsid w:val="003954A3"/>
    <w:rsid w:val="00395E5E"/>
    <w:rsid w:val="00396022"/>
    <w:rsid w:val="00396067"/>
    <w:rsid w:val="003972FF"/>
    <w:rsid w:val="00397EA6"/>
    <w:rsid w:val="003A097D"/>
    <w:rsid w:val="003A2DC1"/>
    <w:rsid w:val="003A346C"/>
    <w:rsid w:val="003A4082"/>
    <w:rsid w:val="003A40B0"/>
    <w:rsid w:val="003A5376"/>
    <w:rsid w:val="003A5614"/>
    <w:rsid w:val="003A5774"/>
    <w:rsid w:val="003A6253"/>
    <w:rsid w:val="003A6726"/>
    <w:rsid w:val="003A7272"/>
    <w:rsid w:val="003A7438"/>
    <w:rsid w:val="003A747A"/>
    <w:rsid w:val="003A7AFD"/>
    <w:rsid w:val="003B0788"/>
    <w:rsid w:val="003B0EDF"/>
    <w:rsid w:val="003B134F"/>
    <w:rsid w:val="003B1771"/>
    <w:rsid w:val="003B1808"/>
    <w:rsid w:val="003B1CB6"/>
    <w:rsid w:val="003B2B0D"/>
    <w:rsid w:val="003B321C"/>
    <w:rsid w:val="003B4080"/>
    <w:rsid w:val="003B48BB"/>
    <w:rsid w:val="003B5AF2"/>
    <w:rsid w:val="003B6510"/>
    <w:rsid w:val="003B7E36"/>
    <w:rsid w:val="003C0B92"/>
    <w:rsid w:val="003C0F39"/>
    <w:rsid w:val="003C150C"/>
    <w:rsid w:val="003C259C"/>
    <w:rsid w:val="003C3021"/>
    <w:rsid w:val="003C32AD"/>
    <w:rsid w:val="003C340B"/>
    <w:rsid w:val="003C36AF"/>
    <w:rsid w:val="003C421E"/>
    <w:rsid w:val="003C4426"/>
    <w:rsid w:val="003C4704"/>
    <w:rsid w:val="003C5859"/>
    <w:rsid w:val="003C60E9"/>
    <w:rsid w:val="003C6163"/>
    <w:rsid w:val="003C6D04"/>
    <w:rsid w:val="003C706B"/>
    <w:rsid w:val="003C70BF"/>
    <w:rsid w:val="003C7F22"/>
    <w:rsid w:val="003D0074"/>
    <w:rsid w:val="003D00C8"/>
    <w:rsid w:val="003D059F"/>
    <w:rsid w:val="003D07F5"/>
    <w:rsid w:val="003D0C14"/>
    <w:rsid w:val="003D12B3"/>
    <w:rsid w:val="003D1680"/>
    <w:rsid w:val="003D19C4"/>
    <w:rsid w:val="003D1DC7"/>
    <w:rsid w:val="003D2163"/>
    <w:rsid w:val="003D23EF"/>
    <w:rsid w:val="003D2A61"/>
    <w:rsid w:val="003D2CDC"/>
    <w:rsid w:val="003D3A7E"/>
    <w:rsid w:val="003D3ECC"/>
    <w:rsid w:val="003D440E"/>
    <w:rsid w:val="003D44AF"/>
    <w:rsid w:val="003D4536"/>
    <w:rsid w:val="003D54FB"/>
    <w:rsid w:val="003D626A"/>
    <w:rsid w:val="003D6649"/>
    <w:rsid w:val="003D6EEE"/>
    <w:rsid w:val="003D7357"/>
    <w:rsid w:val="003D736C"/>
    <w:rsid w:val="003D7DE4"/>
    <w:rsid w:val="003E0417"/>
    <w:rsid w:val="003E1107"/>
    <w:rsid w:val="003E1204"/>
    <w:rsid w:val="003E14E0"/>
    <w:rsid w:val="003E169B"/>
    <w:rsid w:val="003E1D34"/>
    <w:rsid w:val="003E2494"/>
    <w:rsid w:val="003E64D0"/>
    <w:rsid w:val="003E6695"/>
    <w:rsid w:val="003E7035"/>
    <w:rsid w:val="003E70CE"/>
    <w:rsid w:val="003E7677"/>
    <w:rsid w:val="003E79E8"/>
    <w:rsid w:val="003E7C50"/>
    <w:rsid w:val="003F06EC"/>
    <w:rsid w:val="003F079B"/>
    <w:rsid w:val="003F0C67"/>
    <w:rsid w:val="003F1C23"/>
    <w:rsid w:val="003F2050"/>
    <w:rsid w:val="003F2138"/>
    <w:rsid w:val="003F22C9"/>
    <w:rsid w:val="003F249B"/>
    <w:rsid w:val="003F2639"/>
    <w:rsid w:val="003F2766"/>
    <w:rsid w:val="003F2802"/>
    <w:rsid w:val="003F363A"/>
    <w:rsid w:val="003F4C55"/>
    <w:rsid w:val="003F6351"/>
    <w:rsid w:val="003F686B"/>
    <w:rsid w:val="003F7145"/>
    <w:rsid w:val="003F74D9"/>
    <w:rsid w:val="003F7EE3"/>
    <w:rsid w:val="003F7FEB"/>
    <w:rsid w:val="00400742"/>
    <w:rsid w:val="004015B9"/>
    <w:rsid w:val="004015F7"/>
    <w:rsid w:val="004016C3"/>
    <w:rsid w:val="00401728"/>
    <w:rsid w:val="00401C4D"/>
    <w:rsid w:val="00401FD1"/>
    <w:rsid w:val="004022FB"/>
    <w:rsid w:val="004028FE"/>
    <w:rsid w:val="004032C6"/>
    <w:rsid w:val="00403610"/>
    <w:rsid w:val="004038F4"/>
    <w:rsid w:val="00404586"/>
    <w:rsid w:val="00404ADD"/>
    <w:rsid w:val="00404C72"/>
    <w:rsid w:val="00404E11"/>
    <w:rsid w:val="00404ECA"/>
    <w:rsid w:val="00404ED4"/>
    <w:rsid w:val="0040513C"/>
    <w:rsid w:val="004054CF"/>
    <w:rsid w:val="00406F6F"/>
    <w:rsid w:val="0040709D"/>
    <w:rsid w:val="0041047D"/>
    <w:rsid w:val="00410BE3"/>
    <w:rsid w:val="00410C59"/>
    <w:rsid w:val="00411649"/>
    <w:rsid w:val="00411D8D"/>
    <w:rsid w:val="0041413C"/>
    <w:rsid w:val="0041424E"/>
    <w:rsid w:val="0041443E"/>
    <w:rsid w:val="00414D2F"/>
    <w:rsid w:val="004156E4"/>
    <w:rsid w:val="0041696A"/>
    <w:rsid w:val="00416D76"/>
    <w:rsid w:val="00416FAA"/>
    <w:rsid w:val="00417879"/>
    <w:rsid w:val="00417A1C"/>
    <w:rsid w:val="00417E8F"/>
    <w:rsid w:val="004212E8"/>
    <w:rsid w:val="0042142C"/>
    <w:rsid w:val="00423362"/>
    <w:rsid w:val="00424056"/>
    <w:rsid w:val="004246E3"/>
    <w:rsid w:val="00424C8D"/>
    <w:rsid w:val="00425407"/>
    <w:rsid w:val="004256C1"/>
    <w:rsid w:val="00425AA4"/>
    <w:rsid w:val="0042635F"/>
    <w:rsid w:val="004265AA"/>
    <w:rsid w:val="0043028B"/>
    <w:rsid w:val="00430A8D"/>
    <w:rsid w:val="00430D99"/>
    <w:rsid w:val="00430E79"/>
    <w:rsid w:val="00430EC3"/>
    <w:rsid w:val="0043101D"/>
    <w:rsid w:val="0043196F"/>
    <w:rsid w:val="00431B37"/>
    <w:rsid w:val="00431BAA"/>
    <w:rsid w:val="00431C87"/>
    <w:rsid w:val="00433621"/>
    <w:rsid w:val="00434023"/>
    <w:rsid w:val="00434811"/>
    <w:rsid w:val="00434A56"/>
    <w:rsid w:val="00436563"/>
    <w:rsid w:val="0043663F"/>
    <w:rsid w:val="00436840"/>
    <w:rsid w:val="00436B1C"/>
    <w:rsid w:val="00436C68"/>
    <w:rsid w:val="00436C80"/>
    <w:rsid w:val="00436CAC"/>
    <w:rsid w:val="00436DD8"/>
    <w:rsid w:val="00436DDA"/>
    <w:rsid w:val="00437A30"/>
    <w:rsid w:val="00440044"/>
    <w:rsid w:val="00440E14"/>
    <w:rsid w:val="004416E5"/>
    <w:rsid w:val="004417BC"/>
    <w:rsid w:val="00442622"/>
    <w:rsid w:val="004429B9"/>
    <w:rsid w:val="00442E47"/>
    <w:rsid w:val="0044315A"/>
    <w:rsid w:val="004433C5"/>
    <w:rsid w:val="004435C0"/>
    <w:rsid w:val="0044413F"/>
    <w:rsid w:val="00444183"/>
    <w:rsid w:val="00444A3B"/>
    <w:rsid w:val="00445B83"/>
    <w:rsid w:val="004466C4"/>
    <w:rsid w:val="004467B6"/>
    <w:rsid w:val="00446A1F"/>
    <w:rsid w:val="00446F10"/>
    <w:rsid w:val="00447036"/>
    <w:rsid w:val="0044767A"/>
    <w:rsid w:val="00452265"/>
    <w:rsid w:val="00452695"/>
    <w:rsid w:val="00452B4E"/>
    <w:rsid w:val="0045380D"/>
    <w:rsid w:val="00453F3B"/>
    <w:rsid w:val="00454358"/>
    <w:rsid w:val="004545F2"/>
    <w:rsid w:val="00454CA3"/>
    <w:rsid w:val="00455866"/>
    <w:rsid w:val="00455D90"/>
    <w:rsid w:val="00460CE7"/>
    <w:rsid w:val="00461A0C"/>
    <w:rsid w:val="00461FFB"/>
    <w:rsid w:val="00462B60"/>
    <w:rsid w:val="004635AC"/>
    <w:rsid w:val="00463ADF"/>
    <w:rsid w:val="00463D2D"/>
    <w:rsid w:val="00464A42"/>
    <w:rsid w:val="00465460"/>
    <w:rsid w:val="004658FB"/>
    <w:rsid w:val="00465AFD"/>
    <w:rsid w:val="00465FD6"/>
    <w:rsid w:val="004660DF"/>
    <w:rsid w:val="00466C9C"/>
    <w:rsid w:val="00467239"/>
    <w:rsid w:val="004672B6"/>
    <w:rsid w:val="00467532"/>
    <w:rsid w:val="004678EF"/>
    <w:rsid w:val="00470062"/>
    <w:rsid w:val="00470DFF"/>
    <w:rsid w:val="00471514"/>
    <w:rsid w:val="00471799"/>
    <w:rsid w:val="004717D5"/>
    <w:rsid w:val="00471C8A"/>
    <w:rsid w:val="00471E7B"/>
    <w:rsid w:val="00472479"/>
    <w:rsid w:val="0047296B"/>
    <w:rsid w:val="00472B81"/>
    <w:rsid w:val="00473299"/>
    <w:rsid w:val="00474B4E"/>
    <w:rsid w:val="00475553"/>
    <w:rsid w:val="004757C9"/>
    <w:rsid w:val="0047672A"/>
    <w:rsid w:val="00476CAD"/>
    <w:rsid w:val="00476F97"/>
    <w:rsid w:val="004800A7"/>
    <w:rsid w:val="00480193"/>
    <w:rsid w:val="00480DBF"/>
    <w:rsid w:val="00480F8E"/>
    <w:rsid w:val="00481117"/>
    <w:rsid w:val="00481449"/>
    <w:rsid w:val="00481616"/>
    <w:rsid w:val="004816FA"/>
    <w:rsid w:val="0048274E"/>
    <w:rsid w:val="00482B08"/>
    <w:rsid w:val="00482E14"/>
    <w:rsid w:val="004833D9"/>
    <w:rsid w:val="00483C4A"/>
    <w:rsid w:val="0048447A"/>
    <w:rsid w:val="0048467C"/>
    <w:rsid w:val="0048475E"/>
    <w:rsid w:val="004857B3"/>
    <w:rsid w:val="00485EAB"/>
    <w:rsid w:val="00485FBD"/>
    <w:rsid w:val="00487517"/>
    <w:rsid w:val="0049002B"/>
    <w:rsid w:val="00490235"/>
    <w:rsid w:val="00490AE6"/>
    <w:rsid w:val="0049179E"/>
    <w:rsid w:val="00492C85"/>
    <w:rsid w:val="00493B20"/>
    <w:rsid w:val="00493C01"/>
    <w:rsid w:val="004951D3"/>
    <w:rsid w:val="0049563A"/>
    <w:rsid w:val="00495A3F"/>
    <w:rsid w:val="00495F48"/>
    <w:rsid w:val="004965B7"/>
    <w:rsid w:val="004965C0"/>
    <w:rsid w:val="004A050E"/>
    <w:rsid w:val="004A0903"/>
    <w:rsid w:val="004A0C6D"/>
    <w:rsid w:val="004A0C85"/>
    <w:rsid w:val="004A0CAF"/>
    <w:rsid w:val="004A118B"/>
    <w:rsid w:val="004A2195"/>
    <w:rsid w:val="004A28A2"/>
    <w:rsid w:val="004A31DE"/>
    <w:rsid w:val="004A3344"/>
    <w:rsid w:val="004A34A6"/>
    <w:rsid w:val="004A3DDD"/>
    <w:rsid w:val="004A4432"/>
    <w:rsid w:val="004A4888"/>
    <w:rsid w:val="004A4E3C"/>
    <w:rsid w:val="004A516C"/>
    <w:rsid w:val="004A56CE"/>
    <w:rsid w:val="004A582A"/>
    <w:rsid w:val="004A6328"/>
    <w:rsid w:val="004A672F"/>
    <w:rsid w:val="004A6828"/>
    <w:rsid w:val="004A699C"/>
    <w:rsid w:val="004A7160"/>
    <w:rsid w:val="004A7285"/>
    <w:rsid w:val="004A7678"/>
    <w:rsid w:val="004A7EB3"/>
    <w:rsid w:val="004B0882"/>
    <w:rsid w:val="004B0C6A"/>
    <w:rsid w:val="004B1162"/>
    <w:rsid w:val="004B1416"/>
    <w:rsid w:val="004B194B"/>
    <w:rsid w:val="004B2C8C"/>
    <w:rsid w:val="004B30B3"/>
    <w:rsid w:val="004B3BDA"/>
    <w:rsid w:val="004B3C32"/>
    <w:rsid w:val="004B5553"/>
    <w:rsid w:val="004B55DD"/>
    <w:rsid w:val="004B5A22"/>
    <w:rsid w:val="004B5C9C"/>
    <w:rsid w:val="004B6114"/>
    <w:rsid w:val="004B61F6"/>
    <w:rsid w:val="004B657F"/>
    <w:rsid w:val="004B6BB8"/>
    <w:rsid w:val="004B6D06"/>
    <w:rsid w:val="004B6FC9"/>
    <w:rsid w:val="004B7146"/>
    <w:rsid w:val="004C03AF"/>
    <w:rsid w:val="004C0C90"/>
    <w:rsid w:val="004C1225"/>
    <w:rsid w:val="004C139C"/>
    <w:rsid w:val="004C1BCA"/>
    <w:rsid w:val="004C1DA8"/>
    <w:rsid w:val="004C25F4"/>
    <w:rsid w:val="004C2F68"/>
    <w:rsid w:val="004C3195"/>
    <w:rsid w:val="004C3F88"/>
    <w:rsid w:val="004C4C3A"/>
    <w:rsid w:val="004C510E"/>
    <w:rsid w:val="004C5D88"/>
    <w:rsid w:val="004C6CA6"/>
    <w:rsid w:val="004C74FF"/>
    <w:rsid w:val="004C7C81"/>
    <w:rsid w:val="004C7CB0"/>
    <w:rsid w:val="004D02B4"/>
    <w:rsid w:val="004D07E8"/>
    <w:rsid w:val="004D17F1"/>
    <w:rsid w:val="004D2665"/>
    <w:rsid w:val="004D2DA0"/>
    <w:rsid w:val="004D4862"/>
    <w:rsid w:val="004D4FD4"/>
    <w:rsid w:val="004D5033"/>
    <w:rsid w:val="004D51A0"/>
    <w:rsid w:val="004D555B"/>
    <w:rsid w:val="004D5D1C"/>
    <w:rsid w:val="004D61BF"/>
    <w:rsid w:val="004D6BF6"/>
    <w:rsid w:val="004D6D70"/>
    <w:rsid w:val="004D730E"/>
    <w:rsid w:val="004D7786"/>
    <w:rsid w:val="004D7B38"/>
    <w:rsid w:val="004E102A"/>
    <w:rsid w:val="004E1817"/>
    <w:rsid w:val="004E223B"/>
    <w:rsid w:val="004E23AE"/>
    <w:rsid w:val="004E242D"/>
    <w:rsid w:val="004E3597"/>
    <w:rsid w:val="004E3D7D"/>
    <w:rsid w:val="004E51CC"/>
    <w:rsid w:val="004E7854"/>
    <w:rsid w:val="004E79E7"/>
    <w:rsid w:val="004F0365"/>
    <w:rsid w:val="004F06D8"/>
    <w:rsid w:val="004F0AB0"/>
    <w:rsid w:val="004F1701"/>
    <w:rsid w:val="004F2126"/>
    <w:rsid w:val="004F26B9"/>
    <w:rsid w:val="004F39A6"/>
    <w:rsid w:val="004F3EA9"/>
    <w:rsid w:val="004F45E8"/>
    <w:rsid w:val="004F4674"/>
    <w:rsid w:val="004F5426"/>
    <w:rsid w:val="004F5F37"/>
    <w:rsid w:val="004F6063"/>
    <w:rsid w:val="004F6808"/>
    <w:rsid w:val="004F6EBE"/>
    <w:rsid w:val="004F7A6D"/>
    <w:rsid w:val="00500171"/>
    <w:rsid w:val="0050051D"/>
    <w:rsid w:val="00500B94"/>
    <w:rsid w:val="00501DD2"/>
    <w:rsid w:val="0050275D"/>
    <w:rsid w:val="00503976"/>
    <w:rsid w:val="00503DE7"/>
    <w:rsid w:val="00504638"/>
    <w:rsid w:val="00504C8E"/>
    <w:rsid w:val="005052B9"/>
    <w:rsid w:val="00506721"/>
    <w:rsid w:val="0050700E"/>
    <w:rsid w:val="005079C2"/>
    <w:rsid w:val="00507B56"/>
    <w:rsid w:val="00507E42"/>
    <w:rsid w:val="0051074E"/>
    <w:rsid w:val="005110EB"/>
    <w:rsid w:val="00512871"/>
    <w:rsid w:val="00512A74"/>
    <w:rsid w:val="005142CE"/>
    <w:rsid w:val="00514626"/>
    <w:rsid w:val="0051483F"/>
    <w:rsid w:val="00514F5B"/>
    <w:rsid w:val="00514F65"/>
    <w:rsid w:val="0051503B"/>
    <w:rsid w:val="00515179"/>
    <w:rsid w:val="00515891"/>
    <w:rsid w:val="0051706F"/>
    <w:rsid w:val="00517A12"/>
    <w:rsid w:val="005200C6"/>
    <w:rsid w:val="00520680"/>
    <w:rsid w:val="00520D16"/>
    <w:rsid w:val="005222B3"/>
    <w:rsid w:val="005225D8"/>
    <w:rsid w:val="00522C8C"/>
    <w:rsid w:val="00522D9B"/>
    <w:rsid w:val="00523974"/>
    <w:rsid w:val="00524156"/>
    <w:rsid w:val="00524EFF"/>
    <w:rsid w:val="005258F7"/>
    <w:rsid w:val="0052639A"/>
    <w:rsid w:val="00526468"/>
    <w:rsid w:val="00526549"/>
    <w:rsid w:val="00526B29"/>
    <w:rsid w:val="00527108"/>
    <w:rsid w:val="00527A25"/>
    <w:rsid w:val="00530182"/>
    <w:rsid w:val="005309D5"/>
    <w:rsid w:val="00532116"/>
    <w:rsid w:val="005322D3"/>
    <w:rsid w:val="00532F2B"/>
    <w:rsid w:val="00533303"/>
    <w:rsid w:val="00533C84"/>
    <w:rsid w:val="005344E8"/>
    <w:rsid w:val="00534F02"/>
    <w:rsid w:val="00535AC6"/>
    <w:rsid w:val="00536883"/>
    <w:rsid w:val="00537079"/>
    <w:rsid w:val="005400EA"/>
    <w:rsid w:val="005403B8"/>
    <w:rsid w:val="00540B06"/>
    <w:rsid w:val="00540C21"/>
    <w:rsid w:val="00541002"/>
    <w:rsid w:val="005410B7"/>
    <w:rsid w:val="005418FD"/>
    <w:rsid w:val="00541C79"/>
    <w:rsid w:val="00541FA4"/>
    <w:rsid w:val="00542264"/>
    <w:rsid w:val="00542C05"/>
    <w:rsid w:val="00542F76"/>
    <w:rsid w:val="0054398C"/>
    <w:rsid w:val="00543D5A"/>
    <w:rsid w:val="0054449B"/>
    <w:rsid w:val="0054588E"/>
    <w:rsid w:val="00545C45"/>
    <w:rsid w:val="00546453"/>
    <w:rsid w:val="00546498"/>
    <w:rsid w:val="005464B6"/>
    <w:rsid w:val="00547E95"/>
    <w:rsid w:val="005513AD"/>
    <w:rsid w:val="00551408"/>
    <w:rsid w:val="00551539"/>
    <w:rsid w:val="00551AD2"/>
    <w:rsid w:val="00552E49"/>
    <w:rsid w:val="00553DA9"/>
    <w:rsid w:val="00553F33"/>
    <w:rsid w:val="0055446D"/>
    <w:rsid w:val="00554521"/>
    <w:rsid w:val="00554E33"/>
    <w:rsid w:val="005550F6"/>
    <w:rsid w:val="005558A2"/>
    <w:rsid w:val="00556405"/>
    <w:rsid w:val="0055658E"/>
    <w:rsid w:val="005568D0"/>
    <w:rsid w:val="00556A1D"/>
    <w:rsid w:val="00557299"/>
    <w:rsid w:val="00557616"/>
    <w:rsid w:val="0056019F"/>
    <w:rsid w:val="0056120B"/>
    <w:rsid w:val="00561784"/>
    <w:rsid w:val="00561F25"/>
    <w:rsid w:val="0056215B"/>
    <w:rsid w:val="005633A6"/>
    <w:rsid w:val="00563BE5"/>
    <w:rsid w:val="00563E8D"/>
    <w:rsid w:val="00564D05"/>
    <w:rsid w:val="00566987"/>
    <w:rsid w:val="00567201"/>
    <w:rsid w:val="005703DB"/>
    <w:rsid w:val="00570458"/>
    <w:rsid w:val="005708A6"/>
    <w:rsid w:val="005708AE"/>
    <w:rsid w:val="0057134B"/>
    <w:rsid w:val="005714C6"/>
    <w:rsid w:val="005715B0"/>
    <w:rsid w:val="005718AC"/>
    <w:rsid w:val="005718F9"/>
    <w:rsid w:val="00572B5D"/>
    <w:rsid w:val="00573306"/>
    <w:rsid w:val="00573819"/>
    <w:rsid w:val="00573894"/>
    <w:rsid w:val="00573BD9"/>
    <w:rsid w:val="00573E03"/>
    <w:rsid w:val="00574915"/>
    <w:rsid w:val="00576269"/>
    <w:rsid w:val="005762E6"/>
    <w:rsid w:val="00576342"/>
    <w:rsid w:val="005766F5"/>
    <w:rsid w:val="00576DD4"/>
    <w:rsid w:val="0057752F"/>
    <w:rsid w:val="00577972"/>
    <w:rsid w:val="00577984"/>
    <w:rsid w:val="00577B84"/>
    <w:rsid w:val="00577C8F"/>
    <w:rsid w:val="00577E8C"/>
    <w:rsid w:val="005810E1"/>
    <w:rsid w:val="00581607"/>
    <w:rsid w:val="00581CF5"/>
    <w:rsid w:val="00581D25"/>
    <w:rsid w:val="00581D8C"/>
    <w:rsid w:val="0058219F"/>
    <w:rsid w:val="0058280F"/>
    <w:rsid w:val="00582CF0"/>
    <w:rsid w:val="00582F22"/>
    <w:rsid w:val="00582F7A"/>
    <w:rsid w:val="00583ABD"/>
    <w:rsid w:val="00584BBF"/>
    <w:rsid w:val="00585034"/>
    <w:rsid w:val="0058504B"/>
    <w:rsid w:val="00585F71"/>
    <w:rsid w:val="0058601F"/>
    <w:rsid w:val="00586287"/>
    <w:rsid w:val="005866E7"/>
    <w:rsid w:val="005867E5"/>
    <w:rsid w:val="005873EB"/>
    <w:rsid w:val="00587804"/>
    <w:rsid w:val="0059083E"/>
    <w:rsid w:val="00590850"/>
    <w:rsid w:val="00590960"/>
    <w:rsid w:val="00591847"/>
    <w:rsid w:val="005936E2"/>
    <w:rsid w:val="00593FA8"/>
    <w:rsid w:val="0059418F"/>
    <w:rsid w:val="00594ECB"/>
    <w:rsid w:val="005953C0"/>
    <w:rsid w:val="005955CC"/>
    <w:rsid w:val="005964E6"/>
    <w:rsid w:val="005969EE"/>
    <w:rsid w:val="00596A66"/>
    <w:rsid w:val="00596BCF"/>
    <w:rsid w:val="0059743D"/>
    <w:rsid w:val="005A01B0"/>
    <w:rsid w:val="005A0283"/>
    <w:rsid w:val="005A15AB"/>
    <w:rsid w:val="005A1A30"/>
    <w:rsid w:val="005A4735"/>
    <w:rsid w:val="005A54E6"/>
    <w:rsid w:val="005A5664"/>
    <w:rsid w:val="005A5F77"/>
    <w:rsid w:val="005A6CDD"/>
    <w:rsid w:val="005A780B"/>
    <w:rsid w:val="005A795C"/>
    <w:rsid w:val="005B1062"/>
    <w:rsid w:val="005B1978"/>
    <w:rsid w:val="005B199C"/>
    <w:rsid w:val="005B211E"/>
    <w:rsid w:val="005B235E"/>
    <w:rsid w:val="005B268A"/>
    <w:rsid w:val="005B2954"/>
    <w:rsid w:val="005B2BD5"/>
    <w:rsid w:val="005B2EF8"/>
    <w:rsid w:val="005B30CD"/>
    <w:rsid w:val="005B354D"/>
    <w:rsid w:val="005B3FF5"/>
    <w:rsid w:val="005B4381"/>
    <w:rsid w:val="005B45EE"/>
    <w:rsid w:val="005B4EF9"/>
    <w:rsid w:val="005B556B"/>
    <w:rsid w:val="005B641D"/>
    <w:rsid w:val="005B64B2"/>
    <w:rsid w:val="005B67DF"/>
    <w:rsid w:val="005B68FA"/>
    <w:rsid w:val="005B76FE"/>
    <w:rsid w:val="005C0292"/>
    <w:rsid w:val="005C06F0"/>
    <w:rsid w:val="005C0AA9"/>
    <w:rsid w:val="005C14A6"/>
    <w:rsid w:val="005C1793"/>
    <w:rsid w:val="005C1C16"/>
    <w:rsid w:val="005C1D68"/>
    <w:rsid w:val="005C2059"/>
    <w:rsid w:val="005C23C3"/>
    <w:rsid w:val="005C24EB"/>
    <w:rsid w:val="005C2581"/>
    <w:rsid w:val="005C2971"/>
    <w:rsid w:val="005C316D"/>
    <w:rsid w:val="005C323E"/>
    <w:rsid w:val="005C446B"/>
    <w:rsid w:val="005C46EC"/>
    <w:rsid w:val="005C4902"/>
    <w:rsid w:val="005C534C"/>
    <w:rsid w:val="005C69D7"/>
    <w:rsid w:val="005C78E3"/>
    <w:rsid w:val="005D0482"/>
    <w:rsid w:val="005D1258"/>
    <w:rsid w:val="005D193C"/>
    <w:rsid w:val="005D194A"/>
    <w:rsid w:val="005D2D4A"/>
    <w:rsid w:val="005D32FD"/>
    <w:rsid w:val="005D3AA0"/>
    <w:rsid w:val="005D442F"/>
    <w:rsid w:val="005D542B"/>
    <w:rsid w:val="005D6DDB"/>
    <w:rsid w:val="005D75F0"/>
    <w:rsid w:val="005D779C"/>
    <w:rsid w:val="005D7B48"/>
    <w:rsid w:val="005D7C5C"/>
    <w:rsid w:val="005E04D4"/>
    <w:rsid w:val="005E1395"/>
    <w:rsid w:val="005E1581"/>
    <w:rsid w:val="005E3A52"/>
    <w:rsid w:val="005E4E7C"/>
    <w:rsid w:val="005E4ED2"/>
    <w:rsid w:val="005E5C5C"/>
    <w:rsid w:val="005E6625"/>
    <w:rsid w:val="005E6666"/>
    <w:rsid w:val="005E6FA7"/>
    <w:rsid w:val="005E7753"/>
    <w:rsid w:val="005E77EE"/>
    <w:rsid w:val="005E7C41"/>
    <w:rsid w:val="005E7C6E"/>
    <w:rsid w:val="005F1B75"/>
    <w:rsid w:val="005F1BCC"/>
    <w:rsid w:val="005F25A7"/>
    <w:rsid w:val="005F31C8"/>
    <w:rsid w:val="005F39EE"/>
    <w:rsid w:val="005F3ECD"/>
    <w:rsid w:val="005F4F9F"/>
    <w:rsid w:val="005F4FE5"/>
    <w:rsid w:val="005F54E8"/>
    <w:rsid w:val="005F5512"/>
    <w:rsid w:val="005F592C"/>
    <w:rsid w:val="005F5CB8"/>
    <w:rsid w:val="005F5E5A"/>
    <w:rsid w:val="005F6E7E"/>
    <w:rsid w:val="005F747F"/>
    <w:rsid w:val="00600C83"/>
    <w:rsid w:val="006020B8"/>
    <w:rsid w:val="0060274F"/>
    <w:rsid w:val="00602959"/>
    <w:rsid w:val="00602FF7"/>
    <w:rsid w:val="006040F5"/>
    <w:rsid w:val="00604321"/>
    <w:rsid w:val="00604BA1"/>
    <w:rsid w:val="00606380"/>
    <w:rsid w:val="00607321"/>
    <w:rsid w:val="0060752E"/>
    <w:rsid w:val="00607956"/>
    <w:rsid w:val="00607B34"/>
    <w:rsid w:val="00610CD4"/>
    <w:rsid w:val="0061131A"/>
    <w:rsid w:val="0061156D"/>
    <w:rsid w:val="00611898"/>
    <w:rsid w:val="006119CE"/>
    <w:rsid w:val="00611DAD"/>
    <w:rsid w:val="00612EE9"/>
    <w:rsid w:val="006130BE"/>
    <w:rsid w:val="006133A1"/>
    <w:rsid w:val="0061361D"/>
    <w:rsid w:val="006138A6"/>
    <w:rsid w:val="00613C5A"/>
    <w:rsid w:val="00613F76"/>
    <w:rsid w:val="00614F3A"/>
    <w:rsid w:val="00614FCD"/>
    <w:rsid w:val="00615139"/>
    <w:rsid w:val="0061617C"/>
    <w:rsid w:val="0061619A"/>
    <w:rsid w:val="006165D1"/>
    <w:rsid w:val="006172D7"/>
    <w:rsid w:val="00617800"/>
    <w:rsid w:val="00617B30"/>
    <w:rsid w:val="00617DF2"/>
    <w:rsid w:val="00617EF4"/>
    <w:rsid w:val="006202D4"/>
    <w:rsid w:val="00620970"/>
    <w:rsid w:val="00621AB4"/>
    <w:rsid w:val="00622FF9"/>
    <w:rsid w:val="006232F4"/>
    <w:rsid w:val="006239D8"/>
    <w:rsid w:val="006247DB"/>
    <w:rsid w:val="006258D8"/>
    <w:rsid w:val="00625E43"/>
    <w:rsid w:val="006268B8"/>
    <w:rsid w:val="00627372"/>
    <w:rsid w:val="00630F89"/>
    <w:rsid w:val="006316B8"/>
    <w:rsid w:val="00631712"/>
    <w:rsid w:val="006319C9"/>
    <w:rsid w:val="00631ECF"/>
    <w:rsid w:val="006325D8"/>
    <w:rsid w:val="0063281F"/>
    <w:rsid w:val="00632897"/>
    <w:rsid w:val="00632DC2"/>
    <w:rsid w:val="00632FAC"/>
    <w:rsid w:val="0063339F"/>
    <w:rsid w:val="006335E6"/>
    <w:rsid w:val="006336FA"/>
    <w:rsid w:val="00633D60"/>
    <w:rsid w:val="006342B9"/>
    <w:rsid w:val="0063455E"/>
    <w:rsid w:val="00634656"/>
    <w:rsid w:val="0063566C"/>
    <w:rsid w:val="006369E2"/>
    <w:rsid w:val="00636E5A"/>
    <w:rsid w:val="00636ECB"/>
    <w:rsid w:val="006379E5"/>
    <w:rsid w:val="00637CBE"/>
    <w:rsid w:val="00637DB8"/>
    <w:rsid w:val="006412E2"/>
    <w:rsid w:val="006414D2"/>
    <w:rsid w:val="00641965"/>
    <w:rsid w:val="00641980"/>
    <w:rsid w:val="00641C62"/>
    <w:rsid w:val="00642C84"/>
    <w:rsid w:val="006433A0"/>
    <w:rsid w:val="006436D4"/>
    <w:rsid w:val="00643BC4"/>
    <w:rsid w:val="00645829"/>
    <w:rsid w:val="00645E1F"/>
    <w:rsid w:val="00646516"/>
    <w:rsid w:val="00647E04"/>
    <w:rsid w:val="00647FB4"/>
    <w:rsid w:val="00650946"/>
    <w:rsid w:val="006518BA"/>
    <w:rsid w:val="00651992"/>
    <w:rsid w:val="00651BD4"/>
    <w:rsid w:val="00652275"/>
    <w:rsid w:val="00652656"/>
    <w:rsid w:val="00653C35"/>
    <w:rsid w:val="00653E0F"/>
    <w:rsid w:val="00654728"/>
    <w:rsid w:val="00654E51"/>
    <w:rsid w:val="00654E8B"/>
    <w:rsid w:val="006550CB"/>
    <w:rsid w:val="00655C16"/>
    <w:rsid w:val="00655C7C"/>
    <w:rsid w:val="00655D4B"/>
    <w:rsid w:val="00655E00"/>
    <w:rsid w:val="00656153"/>
    <w:rsid w:val="00657AFB"/>
    <w:rsid w:val="00657D87"/>
    <w:rsid w:val="0066090D"/>
    <w:rsid w:val="00660A85"/>
    <w:rsid w:val="00661366"/>
    <w:rsid w:val="00661D4D"/>
    <w:rsid w:val="00662545"/>
    <w:rsid w:val="00662B93"/>
    <w:rsid w:val="0066399F"/>
    <w:rsid w:val="00664475"/>
    <w:rsid w:val="00664590"/>
    <w:rsid w:val="00664F06"/>
    <w:rsid w:val="006654AB"/>
    <w:rsid w:val="00665FF2"/>
    <w:rsid w:val="0066607A"/>
    <w:rsid w:val="006660EE"/>
    <w:rsid w:val="0066631B"/>
    <w:rsid w:val="006668D1"/>
    <w:rsid w:val="00666D93"/>
    <w:rsid w:val="00666F64"/>
    <w:rsid w:val="00667464"/>
    <w:rsid w:val="00667CFD"/>
    <w:rsid w:val="0067000A"/>
    <w:rsid w:val="0067037B"/>
    <w:rsid w:val="0067046D"/>
    <w:rsid w:val="006706B4"/>
    <w:rsid w:val="00670A7F"/>
    <w:rsid w:val="00670E19"/>
    <w:rsid w:val="006711D6"/>
    <w:rsid w:val="0067128D"/>
    <w:rsid w:val="006714FE"/>
    <w:rsid w:val="0067154D"/>
    <w:rsid w:val="006717CC"/>
    <w:rsid w:val="00671AD8"/>
    <w:rsid w:val="0067472A"/>
    <w:rsid w:val="00675E80"/>
    <w:rsid w:val="0067630D"/>
    <w:rsid w:val="006769AB"/>
    <w:rsid w:val="00676D3E"/>
    <w:rsid w:val="00677241"/>
    <w:rsid w:val="006773BC"/>
    <w:rsid w:val="00677D82"/>
    <w:rsid w:val="00680245"/>
    <w:rsid w:val="00680C9F"/>
    <w:rsid w:val="00681557"/>
    <w:rsid w:val="00682199"/>
    <w:rsid w:val="00682C39"/>
    <w:rsid w:val="00682E88"/>
    <w:rsid w:val="00685DBA"/>
    <w:rsid w:val="006860DF"/>
    <w:rsid w:val="006864D5"/>
    <w:rsid w:val="006912A1"/>
    <w:rsid w:val="006913AD"/>
    <w:rsid w:val="0069168D"/>
    <w:rsid w:val="00692125"/>
    <w:rsid w:val="006926C9"/>
    <w:rsid w:val="006928A2"/>
    <w:rsid w:val="00692B47"/>
    <w:rsid w:val="00694141"/>
    <w:rsid w:val="00694314"/>
    <w:rsid w:val="00694724"/>
    <w:rsid w:val="00694C35"/>
    <w:rsid w:val="00694C79"/>
    <w:rsid w:val="006954AF"/>
    <w:rsid w:val="006968AF"/>
    <w:rsid w:val="00696D5F"/>
    <w:rsid w:val="006970EA"/>
    <w:rsid w:val="00697FC7"/>
    <w:rsid w:val="006A0312"/>
    <w:rsid w:val="006A03CF"/>
    <w:rsid w:val="006A06B2"/>
    <w:rsid w:val="006A125F"/>
    <w:rsid w:val="006A1952"/>
    <w:rsid w:val="006A265C"/>
    <w:rsid w:val="006A2C63"/>
    <w:rsid w:val="006A2D3A"/>
    <w:rsid w:val="006A330F"/>
    <w:rsid w:val="006A48DB"/>
    <w:rsid w:val="006A4ACA"/>
    <w:rsid w:val="006A4CAA"/>
    <w:rsid w:val="006A4D35"/>
    <w:rsid w:val="006A51DD"/>
    <w:rsid w:val="006A5585"/>
    <w:rsid w:val="006A5BF5"/>
    <w:rsid w:val="006A5EBF"/>
    <w:rsid w:val="006A6E08"/>
    <w:rsid w:val="006A7D48"/>
    <w:rsid w:val="006B0462"/>
    <w:rsid w:val="006B095C"/>
    <w:rsid w:val="006B0F37"/>
    <w:rsid w:val="006B1169"/>
    <w:rsid w:val="006B173C"/>
    <w:rsid w:val="006B1A5B"/>
    <w:rsid w:val="006B2754"/>
    <w:rsid w:val="006B3D6C"/>
    <w:rsid w:val="006B3FFF"/>
    <w:rsid w:val="006B452A"/>
    <w:rsid w:val="006B49E3"/>
    <w:rsid w:val="006B4C49"/>
    <w:rsid w:val="006B58AA"/>
    <w:rsid w:val="006B6A18"/>
    <w:rsid w:val="006B6CCF"/>
    <w:rsid w:val="006B7024"/>
    <w:rsid w:val="006B7798"/>
    <w:rsid w:val="006C0B7B"/>
    <w:rsid w:val="006C0BBF"/>
    <w:rsid w:val="006C0F98"/>
    <w:rsid w:val="006C17A7"/>
    <w:rsid w:val="006C2953"/>
    <w:rsid w:val="006C3DE1"/>
    <w:rsid w:val="006C4305"/>
    <w:rsid w:val="006C550C"/>
    <w:rsid w:val="006C5CE5"/>
    <w:rsid w:val="006C689F"/>
    <w:rsid w:val="006C7BBD"/>
    <w:rsid w:val="006D0421"/>
    <w:rsid w:val="006D0619"/>
    <w:rsid w:val="006D0ED8"/>
    <w:rsid w:val="006D2DD4"/>
    <w:rsid w:val="006D2E70"/>
    <w:rsid w:val="006D35EF"/>
    <w:rsid w:val="006D3E7C"/>
    <w:rsid w:val="006D4A63"/>
    <w:rsid w:val="006D4EC0"/>
    <w:rsid w:val="006D5AE1"/>
    <w:rsid w:val="006D65FB"/>
    <w:rsid w:val="006D671D"/>
    <w:rsid w:val="006D695B"/>
    <w:rsid w:val="006D74CB"/>
    <w:rsid w:val="006D78E8"/>
    <w:rsid w:val="006E0ACF"/>
    <w:rsid w:val="006E0C93"/>
    <w:rsid w:val="006E15FC"/>
    <w:rsid w:val="006E160A"/>
    <w:rsid w:val="006E2145"/>
    <w:rsid w:val="006E259B"/>
    <w:rsid w:val="006E292A"/>
    <w:rsid w:val="006E2A02"/>
    <w:rsid w:val="006E5213"/>
    <w:rsid w:val="006E5226"/>
    <w:rsid w:val="006E597B"/>
    <w:rsid w:val="006E5A05"/>
    <w:rsid w:val="006E6650"/>
    <w:rsid w:val="006E6901"/>
    <w:rsid w:val="006E6F77"/>
    <w:rsid w:val="006E7BC2"/>
    <w:rsid w:val="006E7CEF"/>
    <w:rsid w:val="006F05F8"/>
    <w:rsid w:val="006F066B"/>
    <w:rsid w:val="006F15D1"/>
    <w:rsid w:val="006F2745"/>
    <w:rsid w:val="006F2A50"/>
    <w:rsid w:val="006F2C47"/>
    <w:rsid w:val="006F31BF"/>
    <w:rsid w:val="006F377A"/>
    <w:rsid w:val="006F3D87"/>
    <w:rsid w:val="006F40DB"/>
    <w:rsid w:val="006F4444"/>
    <w:rsid w:val="006F45C5"/>
    <w:rsid w:val="006F45F1"/>
    <w:rsid w:val="006F4630"/>
    <w:rsid w:val="006F4633"/>
    <w:rsid w:val="006F487B"/>
    <w:rsid w:val="006F498A"/>
    <w:rsid w:val="006F4B70"/>
    <w:rsid w:val="006F67C5"/>
    <w:rsid w:val="006F7D83"/>
    <w:rsid w:val="00700074"/>
    <w:rsid w:val="00700298"/>
    <w:rsid w:val="007003AB"/>
    <w:rsid w:val="00701113"/>
    <w:rsid w:val="0070164A"/>
    <w:rsid w:val="0070173B"/>
    <w:rsid w:val="00702FFE"/>
    <w:rsid w:val="0070339E"/>
    <w:rsid w:val="00703617"/>
    <w:rsid w:val="00705025"/>
    <w:rsid w:val="0070534B"/>
    <w:rsid w:val="007058B4"/>
    <w:rsid w:val="00706248"/>
    <w:rsid w:val="0070630E"/>
    <w:rsid w:val="00706442"/>
    <w:rsid w:val="0070684A"/>
    <w:rsid w:val="00706A0F"/>
    <w:rsid w:val="007074B1"/>
    <w:rsid w:val="007079FD"/>
    <w:rsid w:val="0071009B"/>
    <w:rsid w:val="007103DF"/>
    <w:rsid w:val="00710B7C"/>
    <w:rsid w:val="00710D0B"/>
    <w:rsid w:val="00710E65"/>
    <w:rsid w:val="00710F81"/>
    <w:rsid w:val="007111A2"/>
    <w:rsid w:val="0071145C"/>
    <w:rsid w:val="00711EE0"/>
    <w:rsid w:val="0071201C"/>
    <w:rsid w:val="00713044"/>
    <w:rsid w:val="00713BCC"/>
    <w:rsid w:val="007144AC"/>
    <w:rsid w:val="0071581C"/>
    <w:rsid w:val="00715D83"/>
    <w:rsid w:val="00715E43"/>
    <w:rsid w:val="007166E2"/>
    <w:rsid w:val="00717456"/>
    <w:rsid w:val="00717DD4"/>
    <w:rsid w:val="0072089D"/>
    <w:rsid w:val="007209E4"/>
    <w:rsid w:val="00720A0B"/>
    <w:rsid w:val="00720BEA"/>
    <w:rsid w:val="00720F94"/>
    <w:rsid w:val="00721A02"/>
    <w:rsid w:val="00721EF4"/>
    <w:rsid w:val="00722636"/>
    <w:rsid w:val="007230CA"/>
    <w:rsid w:val="00723759"/>
    <w:rsid w:val="00723BF6"/>
    <w:rsid w:val="00723D3E"/>
    <w:rsid w:val="00723F48"/>
    <w:rsid w:val="00724A2B"/>
    <w:rsid w:val="007251E1"/>
    <w:rsid w:val="00726324"/>
    <w:rsid w:val="007265B5"/>
    <w:rsid w:val="0072671A"/>
    <w:rsid w:val="00727E2E"/>
    <w:rsid w:val="007301F5"/>
    <w:rsid w:val="00730C73"/>
    <w:rsid w:val="00730FBC"/>
    <w:rsid w:val="00732EA0"/>
    <w:rsid w:val="007332F4"/>
    <w:rsid w:val="00733764"/>
    <w:rsid w:val="007338B7"/>
    <w:rsid w:val="00733C3E"/>
    <w:rsid w:val="007340EC"/>
    <w:rsid w:val="0073425A"/>
    <w:rsid w:val="00734521"/>
    <w:rsid w:val="007351F7"/>
    <w:rsid w:val="007354CC"/>
    <w:rsid w:val="007355C8"/>
    <w:rsid w:val="00737B38"/>
    <w:rsid w:val="007402C3"/>
    <w:rsid w:val="0074089F"/>
    <w:rsid w:val="00740BD0"/>
    <w:rsid w:val="00741B65"/>
    <w:rsid w:val="00741FD4"/>
    <w:rsid w:val="0074276F"/>
    <w:rsid w:val="00742F24"/>
    <w:rsid w:val="00744001"/>
    <w:rsid w:val="00744E4A"/>
    <w:rsid w:val="00745135"/>
    <w:rsid w:val="0074567E"/>
    <w:rsid w:val="00745F72"/>
    <w:rsid w:val="007472C5"/>
    <w:rsid w:val="00747DF3"/>
    <w:rsid w:val="00750879"/>
    <w:rsid w:val="0075095C"/>
    <w:rsid w:val="00751089"/>
    <w:rsid w:val="00751589"/>
    <w:rsid w:val="007516CE"/>
    <w:rsid w:val="00751C73"/>
    <w:rsid w:val="00752255"/>
    <w:rsid w:val="007523CA"/>
    <w:rsid w:val="007526E6"/>
    <w:rsid w:val="00753797"/>
    <w:rsid w:val="00753F6B"/>
    <w:rsid w:val="00753F8A"/>
    <w:rsid w:val="00754310"/>
    <w:rsid w:val="00754D45"/>
    <w:rsid w:val="007555E5"/>
    <w:rsid w:val="00755814"/>
    <w:rsid w:val="00755B66"/>
    <w:rsid w:val="00755B6C"/>
    <w:rsid w:val="00755D66"/>
    <w:rsid w:val="007560CC"/>
    <w:rsid w:val="007565F3"/>
    <w:rsid w:val="00756A39"/>
    <w:rsid w:val="00756B94"/>
    <w:rsid w:val="00757056"/>
    <w:rsid w:val="00757588"/>
    <w:rsid w:val="00757622"/>
    <w:rsid w:val="00757F88"/>
    <w:rsid w:val="0076022F"/>
    <w:rsid w:val="007604A9"/>
    <w:rsid w:val="00760AF8"/>
    <w:rsid w:val="007611E1"/>
    <w:rsid w:val="0076124C"/>
    <w:rsid w:val="007615B5"/>
    <w:rsid w:val="007617D6"/>
    <w:rsid w:val="00761819"/>
    <w:rsid w:val="007619EF"/>
    <w:rsid w:val="00761E65"/>
    <w:rsid w:val="00762511"/>
    <w:rsid w:val="0076255E"/>
    <w:rsid w:val="0076284E"/>
    <w:rsid w:val="0076388C"/>
    <w:rsid w:val="007641B9"/>
    <w:rsid w:val="007642C5"/>
    <w:rsid w:val="007649C7"/>
    <w:rsid w:val="00764D75"/>
    <w:rsid w:val="00764D7D"/>
    <w:rsid w:val="007652B7"/>
    <w:rsid w:val="007656F7"/>
    <w:rsid w:val="0076587D"/>
    <w:rsid w:val="00766373"/>
    <w:rsid w:val="00766D12"/>
    <w:rsid w:val="0076775D"/>
    <w:rsid w:val="007717F4"/>
    <w:rsid w:val="007720DF"/>
    <w:rsid w:val="0077262D"/>
    <w:rsid w:val="007726E9"/>
    <w:rsid w:val="00772940"/>
    <w:rsid w:val="00772EF1"/>
    <w:rsid w:val="00773B04"/>
    <w:rsid w:val="00774616"/>
    <w:rsid w:val="00774785"/>
    <w:rsid w:val="00775AAB"/>
    <w:rsid w:val="00775AB7"/>
    <w:rsid w:val="00776B46"/>
    <w:rsid w:val="00776B50"/>
    <w:rsid w:val="0077711B"/>
    <w:rsid w:val="00777F03"/>
    <w:rsid w:val="0078026C"/>
    <w:rsid w:val="00780BED"/>
    <w:rsid w:val="00781127"/>
    <w:rsid w:val="007813C8"/>
    <w:rsid w:val="007822D1"/>
    <w:rsid w:val="007827BC"/>
    <w:rsid w:val="00782AB3"/>
    <w:rsid w:val="00783149"/>
    <w:rsid w:val="007836B7"/>
    <w:rsid w:val="00783AD7"/>
    <w:rsid w:val="0078409B"/>
    <w:rsid w:val="007841FB"/>
    <w:rsid w:val="0078474A"/>
    <w:rsid w:val="00784E5E"/>
    <w:rsid w:val="00784F00"/>
    <w:rsid w:val="007850F6"/>
    <w:rsid w:val="007857B7"/>
    <w:rsid w:val="007857FE"/>
    <w:rsid w:val="00785F4A"/>
    <w:rsid w:val="0078697F"/>
    <w:rsid w:val="00786E7A"/>
    <w:rsid w:val="00786EB5"/>
    <w:rsid w:val="00787849"/>
    <w:rsid w:val="00787E9D"/>
    <w:rsid w:val="00790662"/>
    <w:rsid w:val="0079110A"/>
    <w:rsid w:val="00791489"/>
    <w:rsid w:val="00791503"/>
    <w:rsid w:val="007915C6"/>
    <w:rsid w:val="007916DD"/>
    <w:rsid w:val="00791997"/>
    <w:rsid w:val="00791A17"/>
    <w:rsid w:val="0079355C"/>
    <w:rsid w:val="00793AAE"/>
    <w:rsid w:val="00794045"/>
    <w:rsid w:val="00794163"/>
    <w:rsid w:val="0079431F"/>
    <w:rsid w:val="007944B6"/>
    <w:rsid w:val="00794DC4"/>
    <w:rsid w:val="007954DE"/>
    <w:rsid w:val="00795CD5"/>
    <w:rsid w:val="00796BF4"/>
    <w:rsid w:val="00796E49"/>
    <w:rsid w:val="00797243"/>
    <w:rsid w:val="00797369"/>
    <w:rsid w:val="00797AD2"/>
    <w:rsid w:val="00797F17"/>
    <w:rsid w:val="00797FCA"/>
    <w:rsid w:val="007A0A85"/>
    <w:rsid w:val="007A1595"/>
    <w:rsid w:val="007A2101"/>
    <w:rsid w:val="007A3AC2"/>
    <w:rsid w:val="007A4173"/>
    <w:rsid w:val="007A46DA"/>
    <w:rsid w:val="007A4EFD"/>
    <w:rsid w:val="007A5224"/>
    <w:rsid w:val="007A57B0"/>
    <w:rsid w:val="007A5D50"/>
    <w:rsid w:val="007A62A1"/>
    <w:rsid w:val="007A69AA"/>
    <w:rsid w:val="007B096A"/>
    <w:rsid w:val="007B0C78"/>
    <w:rsid w:val="007B1644"/>
    <w:rsid w:val="007B1A46"/>
    <w:rsid w:val="007B1AAF"/>
    <w:rsid w:val="007B2332"/>
    <w:rsid w:val="007B299E"/>
    <w:rsid w:val="007B2CFC"/>
    <w:rsid w:val="007B38D1"/>
    <w:rsid w:val="007B39EF"/>
    <w:rsid w:val="007B474C"/>
    <w:rsid w:val="007B5D25"/>
    <w:rsid w:val="007B5EDF"/>
    <w:rsid w:val="007B7198"/>
    <w:rsid w:val="007B74D3"/>
    <w:rsid w:val="007B77F6"/>
    <w:rsid w:val="007B793C"/>
    <w:rsid w:val="007C039A"/>
    <w:rsid w:val="007C0FDF"/>
    <w:rsid w:val="007C1618"/>
    <w:rsid w:val="007C1690"/>
    <w:rsid w:val="007C1850"/>
    <w:rsid w:val="007C23F4"/>
    <w:rsid w:val="007C2975"/>
    <w:rsid w:val="007C2B93"/>
    <w:rsid w:val="007C2B97"/>
    <w:rsid w:val="007C2D89"/>
    <w:rsid w:val="007C2DB9"/>
    <w:rsid w:val="007C341B"/>
    <w:rsid w:val="007C3922"/>
    <w:rsid w:val="007C4427"/>
    <w:rsid w:val="007C4D75"/>
    <w:rsid w:val="007C6274"/>
    <w:rsid w:val="007C6F2B"/>
    <w:rsid w:val="007C7B26"/>
    <w:rsid w:val="007D012D"/>
    <w:rsid w:val="007D09EB"/>
    <w:rsid w:val="007D0C2C"/>
    <w:rsid w:val="007D0C5E"/>
    <w:rsid w:val="007D1778"/>
    <w:rsid w:val="007D1A78"/>
    <w:rsid w:val="007D1BA6"/>
    <w:rsid w:val="007D53A9"/>
    <w:rsid w:val="007D568A"/>
    <w:rsid w:val="007D5E55"/>
    <w:rsid w:val="007D60E5"/>
    <w:rsid w:val="007D6301"/>
    <w:rsid w:val="007D6356"/>
    <w:rsid w:val="007D677F"/>
    <w:rsid w:val="007D69EF"/>
    <w:rsid w:val="007D717D"/>
    <w:rsid w:val="007D795C"/>
    <w:rsid w:val="007E13F1"/>
    <w:rsid w:val="007E2C8F"/>
    <w:rsid w:val="007E2CE6"/>
    <w:rsid w:val="007E33AF"/>
    <w:rsid w:val="007E3EAA"/>
    <w:rsid w:val="007E4B12"/>
    <w:rsid w:val="007E5A4E"/>
    <w:rsid w:val="007E5A56"/>
    <w:rsid w:val="007E6CF0"/>
    <w:rsid w:val="007E7F8B"/>
    <w:rsid w:val="007F03BF"/>
    <w:rsid w:val="007F0777"/>
    <w:rsid w:val="007F0D03"/>
    <w:rsid w:val="007F1020"/>
    <w:rsid w:val="007F1286"/>
    <w:rsid w:val="007F276D"/>
    <w:rsid w:val="007F27AC"/>
    <w:rsid w:val="007F381E"/>
    <w:rsid w:val="007F3F84"/>
    <w:rsid w:val="007F4715"/>
    <w:rsid w:val="007F4C6F"/>
    <w:rsid w:val="007F55B6"/>
    <w:rsid w:val="007F7281"/>
    <w:rsid w:val="007F7C5F"/>
    <w:rsid w:val="007F7D76"/>
    <w:rsid w:val="007F7F2E"/>
    <w:rsid w:val="007F7FC2"/>
    <w:rsid w:val="0080041B"/>
    <w:rsid w:val="0080093B"/>
    <w:rsid w:val="00800D05"/>
    <w:rsid w:val="00800EE8"/>
    <w:rsid w:val="008012C5"/>
    <w:rsid w:val="00802378"/>
    <w:rsid w:val="0080257E"/>
    <w:rsid w:val="008026C8"/>
    <w:rsid w:val="008032C0"/>
    <w:rsid w:val="00803912"/>
    <w:rsid w:val="00803FA5"/>
    <w:rsid w:val="008048FD"/>
    <w:rsid w:val="00804E60"/>
    <w:rsid w:val="008055C5"/>
    <w:rsid w:val="0080576A"/>
    <w:rsid w:val="0080580F"/>
    <w:rsid w:val="00805F15"/>
    <w:rsid w:val="0080627F"/>
    <w:rsid w:val="0080628B"/>
    <w:rsid w:val="0080663C"/>
    <w:rsid w:val="008077A3"/>
    <w:rsid w:val="008077B5"/>
    <w:rsid w:val="00810386"/>
    <w:rsid w:val="0081190E"/>
    <w:rsid w:val="00812C03"/>
    <w:rsid w:val="00812C74"/>
    <w:rsid w:val="0081338B"/>
    <w:rsid w:val="00813D0C"/>
    <w:rsid w:val="00814053"/>
    <w:rsid w:val="008141E7"/>
    <w:rsid w:val="00814A5D"/>
    <w:rsid w:val="00814D88"/>
    <w:rsid w:val="008151DF"/>
    <w:rsid w:val="008160EE"/>
    <w:rsid w:val="0081631D"/>
    <w:rsid w:val="008168AF"/>
    <w:rsid w:val="00816C0A"/>
    <w:rsid w:val="00817462"/>
    <w:rsid w:val="008178CF"/>
    <w:rsid w:val="00820805"/>
    <w:rsid w:val="008214C5"/>
    <w:rsid w:val="008217DD"/>
    <w:rsid w:val="00821F6B"/>
    <w:rsid w:val="00822241"/>
    <w:rsid w:val="00823170"/>
    <w:rsid w:val="0082355F"/>
    <w:rsid w:val="008239B8"/>
    <w:rsid w:val="00823A3D"/>
    <w:rsid w:val="008245C9"/>
    <w:rsid w:val="008246B8"/>
    <w:rsid w:val="008258FC"/>
    <w:rsid w:val="00825C69"/>
    <w:rsid w:val="00825D36"/>
    <w:rsid w:val="00825E14"/>
    <w:rsid w:val="0082651F"/>
    <w:rsid w:val="00827026"/>
    <w:rsid w:val="008307CA"/>
    <w:rsid w:val="00832438"/>
    <w:rsid w:val="00832927"/>
    <w:rsid w:val="00833EB3"/>
    <w:rsid w:val="008341D4"/>
    <w:rsid w:val="0083443D"/>
    <w:rsid w:val="00834699"/>
    <w:rsid w:val="008358FD"/>
    <w:rsid w:val="00835A46"/>
    <w:rsid w:val="00835D59"/>
    <w:rsid w:val="008360CB"/>
    <w:rsid w:val="0083622F"/>
    <w:rsid w:val="008364C8"/>
    <w:rsid w:val="0083669D"/>
    <w:rsid w:val="00836E11"/>
    <w:rsid w:val="0083740A"/>
    <w:rsid w:val="00837410"/>
    <w:rsid w:val="00837669"/>
    <w:rsid w:val="00837CF9"/>
    <w:rsid w:val="008407BA"/>
    <w:rsid w:val="00841FF0"/>
    <w:rsid w:val="00842C79"/>
    <w:rsid w:val="00842EB0"/>
    <w:rsid w:val="0084312E"/>
    <w:rsid w:val="00843BD6"/>
    <w:rsid w:val="00843C04"/>
    <w:rsid w:val="00843DE7"/>
    <w:rsid w:val="00845C2C"/>
    <w:rsid w:val="0084654B"/>
    <w:rsid w:val="008476AE"/>
    <w:rsid w:val="00847AF4"/>
    <w:rsid w:val="00847BFF"/>
    <w:rsid w:val="00847DEA"/>
    <w:rsid w:val="008506DD"/>
    <w:rsid w:val="008514DC"/>
    <w:rsid w:val="00851706"/>
    <w:rsid w:val="008525AC"/>
    <w:rsid w:val="00852C25"/>
    <w:rsid w:val="008537F5"/>
    <w:rsid w:val="008563C9"/>
    <w:rsid w:val="008568C4"/>
    <w:rsid w:val="00856A95"/>
    <w:rsid w:val="008570CF"/>
    <w:rsid w:val="00857561"/>
    <w:rsid w:val="00857727"/>
    <w:rsid w:val="00860922"/>
    <w:rsid w:val="00860E0C"/>
    <w:rsid w:val="00860FED"/>
    <w:rsid w:val="0086136E"/>
    <w:rsid w:val="00861A41"/>
    <w:rsid w:val="00861DD4"/>
    <w:rsid w:val="00861F15"/>
    <w:rsid w:val="00862179"/>
    <w:rsid w:val="008623FF"/>
    <w:rsid w:val="00862552"/>
    <w:rsid w:val="00862CE2"/>
    <w:rsid w:val="00862D10"/>
    <w:rsid w:val="0086346A"/>
    <w:rsid w:val="0086469B"/>
    <w:rsid w:val="00864F29"/>
    <w:rsid w:val="0086548E"/>
    <w:rsid w:val="008655CC"/>
    <w:rsid w:val="00865BCF"/>
    <w:rsid w:val="008662A4"/>
    <w:rsid w:val="00866831"/>
    <w:rsid w:val="00866AEC"/>
    <w:rsid w:val="00866C2A"/>
    <w:rsid w:val="00866FC1"/>
    <w:rsid w:val="0087049D"/>
    <w:rsid w:val="00871CE8"/>
    <w:rsid w:val="008723C2"/>
    <w:rsid w:val="00872FBF"/>
    <w:rsid w:val="00873534"/>
    <w:rsid w:val="0087429D"/>
    <w:rsid w:val="00874910"/>
    <w:rsid w:val="00874FC1"/>
    <w:rsid w:val="00875377"/>
    <w:rsid w:val="00875A4A"/>
    <w:rsid w:val="00875EF0"/>
    <w:rsid w:val="00877446"/>
    <w:rsid w:val="00877830"/>
    <w:rsid w:val="00880133"/>
    <w:rsid w:val="0088122F"/>
    <w:rsid w:val="008822A4"/>
    <w:rsid w:val="008828CC"/>
    <w:rsid w:val="00882A20"/>
    <w:rsid w:val="00882BE8"/>
    <w:rsid w:val="00883BC6"/>
    <w:rsid w:val="00883C38"/>
    <w:rsid w:val="00884224"/>
    <w:rsid w:val="00884CD5"/>
    <w:rsid w:val="008854E1"/>
    <w:rsid w:val="0088648E"/>
    <w:rsid w:val="00886CC2"/>
    <w:rsid w:val="00887040"/>
    <w:rsid w:val="00887F22"/>
    <w:rsid w:val="00890BC7"/>
    <w:rsid w:val="00892216"/>
    <w:rsid w:val="0089221D"/>
    <w:rsid w:val="008925D5"/>
    <w:rsid w:val="008934CF"/>
    <w:rsid w:val="00893B91"/>
    <w:rsid w:val="00893C1B"/>
    <w:rsid w:val="00893FD9"/>
    <w:rsid w:val="00894164"/>
    <w:rsid w:val="00895148"/>
    <w:rsid w:val="0089539C"/>
    <w:rsid w:val="0089562F"/>
    <w:rsid w:val="00895DF8"/>
    <w:rsid w:val="00896576"/>
    <w:rsid w:val="00896721"/>
    <w:rsid w:val="008967E1"/>
    <w:rsid w:val="008974AD"/>
    <w:rsid w:val="00897983"/>
    <w:rsid w:val="00897E2E"/>
    <w:rsid w:val="008A02B7"/>
    <w:rsid w:val="008A1BFE"/>
    <w:rsid w:val="008A1EE3"/>
    <w:rsid w:val="008A2B3A"/>
    <w:rsid w:val="008A2CB6"/>
    <w:rsid w:val="008A2DD9"/>
    <w:rsid w:val="008A323E"/>
    <w:rsid w:val="008A35E1"/>
    <w:rsid w:val="008A4DC3"/>
    <w:rsid w:val="008A4F31"/>
    <w:rsid w:val="008A6557"/>
    <w:rsid w:val="008A759B"/>
    <w:rsid w:val="008A7617"/>
    <w:rsid w:val="008B023B"/>
    <w:rsid w:val="008B213C"/>
    <w:rsid w:val="008B2240"/>
    <w:rsid w:val="008B33C2"/>
    <w:rsid w:val="008B3D05"/>
    <w:rsid w:val="008B5150"/>
    <w:rsid w:val="008B5174"/>
    <w:rsid w:val="008B51B7"/>
    <w:rsid w:val="008B55F5"/>
    <w:rsid w:val="008B5D16"/>
    <w:rsid w:val="008B715C"/>
    <w:rsid w:val="008B7197"/>
    <w:rsid w:val="008B785F"/>
    <w:rsid w:val="008B7C2E"/>
    <w:rsid w:val="008C0DCA"/>
    <w:rsid w:val="008C0E05"/>
    <w:rsid w:val="008C106F"/>
    <w:rsid w:val="008C1654"/>
    <w:rsid w:val="008C2753"/>
    <w:rsid w:val="008C2D46"/>
    <w:rsid w:val="008C30D7"/>
    <w:rsid w:val="008C3632"/>
    <w:rsid w:val="008C48E0"/>
    <w:rsid w:val="008C640E"/>
    <w:rsid w:val="008C6585"/>
    <w:rsid w:val="008C7943"/>
    <w:rsid w:val="008D053A"/>
    <w:rsid w:val="008D1300"/>
    <w:rsid w:val="008D14FA"/>
    <w:rsid w:val="008D15EE"/>
    <w:rsid w:val="008D257A"/>
    <w:rsid w:val="008D29B8"/>
    <w:rsid w:val="008D2E81"/>
    <w:rsid w:val="008D3082"/>
    <w:rsid w:val="008D31CD"/>
    <w:rsid w:val="008D31FD"/>
    <w:rsid w:val="008D3209"/>
    <w:rsid w:val="008D3828"/>
    <w:rsid w:val="008D38A6"/>
    <w:rsid w:val="008D3924"/>
    <w:rsid w:val="008D41BE"/>
    <w:rsid w:val="008D5032"/>
    <w:rsid w:val="008D51B0"/>
    <w:rsid w:val="008D5D6A"/>
    <w:rsid w:val="008D774F"/>
    <w:rsid w:val="008D7D31"/>
    <w:rsid w:val="008E087E"/>
    <w:rsid w:val="008E0A61"/>
    <w:rsid w:val="008E0C93"/>
    <w:rsid w:val="008E107E"/>
    <w:rsid w:val="008E10FD"/>
    <w:rsid w:val="008E1A9F"/>
    <w:rsid w:val="008E34D1"/>
    <w:rsid w:val="008E3683"/>
    <w:rsid w:val="008E3F0C"/>
    <w:rsid w:val="008E40D1"/>
    <w:rsid w:val="008E5206"/>
    <w:rsid w:val="008E53CE"/>
    <w:rsid w:val="008E6A18"/>
    <w:rsid w:val="008E6E74"/>
    <w:rsid w:val="008E7926"/>
    <w:rsid w:val="008E7FA6"/>
    <w:rsid w:val="008F0737"/>
    <w:rsid w:val="008F1719"/>
    <w:rsid w:val="008F1B10"/>
    <w:rsid w:val="008F2EE9"/>
    <w:rsid w:val="008F32BD"/>
    <w:rsid w:val="008F371A"/>
    <w:rsid w:val="008F3B5E"/>
    <w:rsid w:val="008F3DD4"/>
    <w:rsid w:val="008F3FFF"/>
    <w:rsid w:val="008F40EE"/>
    <w:rsid w:val="008F4182"/>
    <w:rsid w:val="008F4482"/>
    <w:rsid w:val="008F49B0"/>
    <w:rsid w:val="008F4CA4"/>
    <w:rsid w:val="008F4EA8"/>
    <w:rsid w:val="008F5194"/>
    <w:rsid w:val="008F57BA"/>
    <w:rsid w:val="008F61A1"/>
    <w:rsid w:val="008F6300"/>
    <w:rsid w:val="008F6AB4"/>
    <w:rsid w:val="008F6D8C"/>
    <w:rsid w:val="008F6F66"/>
    <w:rsid w:val="008F7582"/>
    <w:rsid w:val="008F7900"/>
    <w:rsid w:val="008F7B1B"/>
    <w:rsid w:val="009001B9"/>
    <w:rsid w:val="0090024B"/>
    <w:rsid w:val="009002A0"/>
    <w:rsid w:val="00900702"/>
    <w:rsid w:val="00900811"/>
    <w:rsid w:val="009017DA"/>
    <w:rsid w:val="00901BCD"/>
    <w:rsid w:val="00902439"/>
    <w:rsid w:val="00904BC4"/>
    <w:rsid w:val="00904DB1"/>
    <w:rsid w:val="0090567A"/>
    <w:rsid w:val="009058CC"/>
    <w:rsid w:val="009059D9"/>
    <w:rsid w:val="00905ACE"/>
    <w:rsid w:val="00905EC4"/>
    <w:rsid w:val="009060EF"/>
    <w:rsid w:val="00906D96"/>
    <w:rsid w:val="00906F16"/>
    <w:rsid w:val="00907761"/>
    <w:rsid w:val="00910023"/>
    <w:rsid w:val="0091008E"/>
    <w:rsid w:val="0091045A"/>
    <w:rsid w:val="00911CA6"/>
    <w:rsid w:val="00912477"/>
    <w:rsid w:val="00912891"/>
    <w:rsid w:val="009132AF"/>
    <w:rsid w:val="009136B3"/>
    <w:rsid w:val="00915156"/>
    <w:rsid w:val="0091587D"/>
    <w:rsid w:val="00916896"/>
    <w:rsid w:val="00916C2D"/>
    <w:rsid w:val="00916D0E"/>
    <w:rsid w:val="00916EEE"/>
    <w:rsid w:val="00917040"/>
    <w:rsid w:val="009173C0"/>
    <w:rsid w:val="00917430"/>
    <w:rsid w:val="00917E41"/>
    <w:rsid w:val="00920CD2"/>
    <w:rsid w:val="00920EC7"/>
    <w:rsid w:val="00921348"/>
    <w:rsid w:val="00921494"/>
    <w:rsid w:val="009224B9"/>
    <w:rsid w:val="0092252D"/>
    <w:rsid w:val="00922640"/>
    <w:rsid w:val="009232C2"/>
    <w:rsid w:val="00923498"/>
    <w:rsid w:val="00924250"/>
    <w:rsid w:val="00924FE8"/>
    <w:rsid w:val="00925481"/>
    <w:rsid w:val="0092562C"/>
    <w:rsid w:val="00926E8C"/>
    <w:rsid w:val="009276E7"/>
    <w:rsid w:val="00930685"/>
    <w:rsid w:val="00930874"/>
    <w:rsid w:val="009315B8"/>
    <w:rsid w:val="0093160E"/>
    <w:rsid w:val="009316A3"/>
    <w:rsid w:val="00931E82"/>
    <w:rsid w:val="009321AC"/>
    <w:rsid w:val="009321CE"/>
    <w:rsid w:val="00932E05"/>
    <w:rsid w:val="00934044"/>
    <w:rsid w:val="00934DAA"/>
    <w:rsid w:val="00934F02"/>
    <w:rsid w:val="00935B14"/>
    <w:rsid w:val="00936EB0"/>
    <w:rsid w:val="00937724"/>
    <w:rsid w:val="009377B2"/>
    <w:rsid w:val="00937DB1"/>
    <w:rsid w:val="0094020D"/>
    <w:rsid w:val="00940B0B"/>
    <w:rsid w:val="009410E3"/>
    <w:rsid w:val="0094117D"/>
    <w:rsid w:val="00941929"/>
    <w:rsid w:val="00941BB3"/>
    <w:rsid w:val="00941E97"/>
    <w:rsid w:val="00942677"/>
    <w:rsid w:val="00943EDC"/>
    <w:rsid w:val="00944AE9"/>
    <w:rsid w:val="00944DC1"/>
    <w:rsid w:val="00945988"/>
    <w:rsid w:val="00945E0A"/>
    <w:rsid w:val="00945FC6"/>
    <w:rsid w:val="009469C1"/>
    <w:rsid w:val="00946A5A"/>
    <w:rsid w:val="00946F01"/>
    <w:rsid w:val="00947520"/>
    <w:rsid w:val="009475F6"/>
    <w:rsid w:val="009478F5"/>
    <w:rsid w:val="00947AEF"/>
    <w:rsid w:val="00951036"/>
    <w:rsid w:val="00952231"/>
    <w:rsid w:val="009533C6"/>
    <w:rsid w:val="0095416E"/>
    <w:rsid w:val="00954929"/>
    <w:rsid w:val="00954E86"/>
    <w:rsid w:val="009557A4"/>
    <w:rsid w:val="00955A48"/>
    <w:rsid w:val="00955DC7"/>
    <w:rsid w:val="0096140D"/>
    <w:rsid w:val="009614B3"/>
    <w:rsid w:val="00961B6E"/>
    <w:rsid w:val="009629C2"/>
    <w:rsid w:val="00962E98"/>
    <w:rsid w:val="00963091"/>
    <w:rsid w:val="009633BA"/>
    <w:rsid w:val="00963A62"/>
    <w:rsid w:val="00963EC9"/>
    <w:rsid w:val="009651B3"/>
    <w:rsid w:val="0096528E"/>
    <w:rsid w:val="00965776"/>
    <w:rsid w:val="009657BF"/>
    <w:rsid w:val="00965823"/>
    <w:rsid w:val="00965CFD"/>
    <w:rsid w:val="00966AD0"/>
    <w:rsid w:val="0097003A"/>
    <w:rsid w:val="00970687"/>
    <w:rsid w:val="00970FB9"/>
    <w:rsid w:val="00971CD5"/>
    <w:rsid w:val="00971F16"/>
    <w:rsid w:val="00972064"/>
    <w:rsid w:val="00973102"/>
    <w:rsid w:val="00973723"/>
    <w:rsid w:val="00974683"/>
    <w:rsid w:val="009746BB"/>
    <w:rsid w:val="00974996"/>
    <w:rsid w:val="00975402"/>
    <w:rsid w:val="00975E5E"/>
    <w:rsid w:val="009762FF"/>
    <w:rsid w:val="00976CFA"/>
    <w:rsid w:val="009774A4"/>
    <w:rsid w:val="00981036"/>
    <w:rsid w:val="00981841"/>
    <w:rsid w:val="009824A1"/>
    <w:rsid w:val="009829F5"/>
    <w:rsid w:val="009832AA"/>
    <w:rsid w:val="009835E2"/>
    <w:rsid w:val="0098484C"/>
    <w:rsid w:val="00984EE1"/>
    <w:rsid w:val="00985E98"/>
    <w:rsid w:val="009861DD"/>
    <w:rsid w:val="00986616"/>
    <w:rsid w:val="00987A67"/>
    <w:rsid w:val="00990E15"/>
    <w:rsid w:val="00991468"/>
    <w:rsid w:val="00991953"/>
    <w:rsid w:val="00992B58"/>
    <w:rsid w:val="0099372F"/>
    <w:rsid w:val="00993B73"/>
    <w:rsid w:val="00995B1A"/>
    <w:rsid w:val="00996068"/>
    <w:rsid w:val="00997366"/>
    <w:rsid w:val="00997B35"/>
    <w:rsid w:val="009A0822"/>
    <w:rsid w:val="009A0AE7"/>
    <w:rsid w:val="009A0B39"/>
    <w:rsid w:val="009A0C03"/>
    <w:rsid w:val="009A0C57"/>
    <w:rsid w:val="009A116D"/>
    <w:rsid w:val="009A25AB"/>
    <w:rsid w:val="009A2868"/>
    <w:rsid w:val="009A2B29"/>
    <w:rsid w:val="009A2E9C"/>
    <w:rsid w:val="009A2F16"/>
    <w:rsid w:val="009A337E"/>
    <w:rsid w:val="009A3F76"/>
    <w:rsid w:val="009A4A5F"/>
    <w:rsid w:val="009A5F37"/>
    <w:rsid w:val="009A60DC"/>
    <w:rsid w:val="009A6D25"/>
    <w:rsid w:val="009A7331"/>
    <w:rsid w:val="009A736A"/>
    <w:rsid w:val="009A7FB9"/>
    <w:rsid w:val="009B04C1"/>
    <w:rsid w:val="009B137D"/>
    <w:rsid w:val="009B2B10"/>
    <w:rsid w:val="009B3388"/>
    <w:rsid w:val="009B3A08"/>
    <w:rsid w:val="009B49F4"/>
    <w:rsid w:val="009B6015"/>
    <w:rsid w:val="009B60AF"/>
    <w:rsid w:val="009B783F"/>
    <w:rsid w:val="009C0A4C"/>
    <w:rsid w:val="009C0BF5"/>
    <w:rsid w:val="009C1DB9"/>
    <w:rsid w:val="009C253C"/>
    <w:rsid w:val="009C2C98"/>
    <w:rsid w:val="009C32D7"/>
    <w:rsid w:val="009C36A5"/>
    <w:rsid w:val="009C372F"/>
    <w:rsid w:val="009C4010"/>
    <w:rsid w:val="009C40F7"/>
    <w:rsid w:val="009C4212"/>
    <w:rsid w:val="009C4C1B"/>
    <w:rsid w:val="009C4F85"/>
    <w:rsid w:val="009C5D90"/>
    <w:rsid w:val="009C6603"/>
    <w:rsid w:val="009C66FC"/>
    <w:rsid w:val="009C67AE"/>
    <w:rsid w:val="009C70DA"/>
    <w:rsid w:val="009C7F1C"/>
    <w:rsid w:val="009D0A65"/>
    <w:rsid w:val="009D0E62"/>
    <w:rsid w:val="009D0FCD"/>
    <w:rsid w:val="009D1242"/>
    <w:rsid w:val="009D1B2D"/>
    <w:rsid w:val="009D1EF3"/>
    <w:rsid w:val="009D2156"/>
    <w:rsid w:val="009D2E08"/>
    <w:rsid w:val="009D2EA1"/>
    <w:rsid w:val="009D3654"/>
    <w:rsid w:val="009D413C"/>
    <w:rsid w:val="009D4B8A"/>
    <w:rsid w:val="009D5BB0"/>
    <w:rsid w:val="009D5D40"/>
    <w:rsid w:val="009D641F"/>
    <w:rsid w:val="009D6ADC"/>
    <w:rsid w:val="009D6B28"/>
    <w:rsid w:val="009D75B3"/>
    <w:rsid w:val="009D798F"/>
    <w:rsid w:val="009D79F2"/>
    <w:rsid w:val="009D7EDD"/>
    <w:rsid w:val="009D7F61"/>
    <w:rsid w:val="009E013A"/>
    <w:rsid w:val="009E139B"/>
    <w:rsid w:val="009E1D14"/>
    <w:rsid w:val="009E1E5F"/>
    <w:rsid w:val="009E1F8B"/>
    <w:rsid w:val="009E248D"/>
    <w:rsid w:val="009E3036"/>
    <w:rsid w:val="009E3892"/>
    <w:rsid w:val="009E3A2B"/>
    <w:rsid w:val="009E3B2F"/>
    <w:rsid w:val="009E3D97"/>
    <w:rsid w:val="009E3FD3"/>
    <w:rsid w:val="009E5509"/>
    <w:rsid w:val="009E5D01"/>
    <w:rsid w:val="009E6B9E"/>
    <w:rsid w:val="009E6E58"/>
    <w:rsid w:val="009E7E83"/>
    <w:rsid w:val="009F1BA8"/>
    <w:rsid w:val="009F2731"/>
    <w:rsid w:val="009F290C"/>
    <w:rsid w:val="009F2F89"/>
    <w:rsid w:val="009F33B5"/>
    <w:rsid w:val="009F3416"/>
    <w:rsid w:val="009F3482"/>
    <w:rsid w:val="009F3AD9"/>
    <w:rsid w:val="009F41DC"/>
    <w:rsid w:val="009F4729"/>
    <w:rsid w:val="009F4B8E"/>
    <w:rsid w:val="009F4B98"/>
    <w:rsid w:val="009F564B"/>
    <w:rsid w:val="009F5B56"/>
    <w:rsid w:val="009F6FCE"/>
    <w:rsid w:val="009F7406"/>
    <w:rsid w:val="00A0021B"/>
    <w:rsid w:val="00A0037D"/>
    <w:rsid w:val="00A00882"/>
    <w:rsid w:val="00A01785"/>
    <w:rsid w:val="00A01F31"/>
    <w:rsid w:val="00A02114"/>
    <w:rsid w:val="00A0285F"/>
    <w:rsid w:val="00A04F56"/>
    <w:rsid w:val="00A0519C"/>
    <w:rsid w:val="00A05351"/>
    <w:rsid w:val="00A057C0"/>
    <w:rsid w:val="00A05D06"/>
    <w:rsid w:val="00A06585"/>
    <w:rsid w:val="00A06955"/>
    <w:rsid w:val="00A06CC3"/>
    <w:rsid w:val="00A0763D"/>
    <w:rsid w:val="00A07C56"/>
    <w:rsid w:val="00A07D73"/>
    <w:rsid w:val="00A07E55"/>
    <w:rsid w:val="00A07F79"/>
    <w:rsid w:val="00A10068"/>
    <w:rsid w:val="00A11C44"/>
    <w:rsid w:val="00A11E9B"/>
    <w:rsid w:val="00A12BA1"/>
    <w:rsid w:val="00A12CEF"/>
    <w:rsid w:val="00A1356D"/>
    <w:rsid w:val="00A1362B"/>
    <w:rsid w:val="00A13B21"/>
    <w:rsid w:val="00A14134"/>
    <w:rsid w:val="00A14167"/>
    <w:rsid w:val="00A1438A"/>
    <w:rsid w:val="00A1632F"/>
    <w:rsid w:val="00A1678D"/>
    <w:rsid w:val="00A16C9F"/>
    <w:rsid w:val="00A17B11"/>
    <w:rsid w:val="00A17B64"/>
    <w:rsid w:val="00A17DC2"/>
    <w:rsid w:val="00A20170"/>
    <w:rsid w:val="00A20DEE"/>
    <w:rsid w:val="00A21A45"/>
    <w:rsid w:val="00A22D1C"/>
    <w:rsid w:val="00A22D71"/>
    <w:rsid w:val="00A23117"/>
    <w:rsid w:val="00A2359D"/>
    <w:rsid w:val="00A241C7"/>
    <w:rsid w:val="00A242D0"/>
    <w:rsid w:val="00A24497"/>
    <w:rsid w:val="00A24A1D"/>
    <w:rsid w:val="00A26049"/>
    <w:rsid w:val="00A265F6"/>
    <w:rsid w:val="00A26748"/>
    <w:rsid w:val="00A26F9A"/>
    <w:rsid w:val="00A272F9"/>
    <w:rsid w:val="00A273E2"/>
    <w:rsid w:val="00A27FE3"/>
    <w:rsid w:val="00A3060B"/>
    <w:rsid w:val="00A30A15"/>
    <w:rsid w:val="00A317C6"/>
    <w:rsid w:val="00A32044"/>
    <w:rsid w:val="00A33F99"/>
    <w:rsid w:val="00A34596"/>
    <w:rsid w:val="00A34A6E"/>
    <w:rsid w:val="00A354E5"/>
    <w:rsid w:val="00A35654"/>
    <w:rsid w:val="00A37A0B"/>
    <w:rsid w:val="00A37E34"/>
    <w:rsid w:val="00A4042B"/>
    <w:rsid w:val="00A40779"/>
    <w:rsid w:val="00A407DD"/>
    <w:rsid w:val="00A40D2E"/>
    <w:rsid w:val="00A40E58"/>
    <w:rsid w:val="00A41A0F"/>
    <w:rsid w:val="00A41E39"/>
    <w:rsid w:val="00A41EF0"/>
    <w:rsid w:val="00A4207A"/>
    <w:rsid w:val="00A42CD4"/>
    <w:rsid w:val="00A4321F"/>
    <w:rsid w:val="00A4351C"/>
    <w:rsid w:val="00A438BF"/>
    <w:rsid w:val="00A442CA"/>
    <w:rsid w:val="00A444D4"/>
    <w:rsid w:val="00A46D5E"/>
    <w:rsid w:val="00A46E52"/>
    <w:rsid w:val="00A4729B"/>
    <w:rsid w:val="00A47349"/>
    <w:rsid w:val="00A475DE"/>
    <w:rsid w:val="00A5030B"/>
    <w:rsid w:val="00A51B5C"/>
    <w:rsid w:val="00A51BD2"/>
    <w:rsid w:val="00A52425"/>
    <w:rsid w:val="00A52458"/>
    <w:rsid w:val="00A52564"/>
    <w:rsid w:val="00A525AD"/>
    <w:rsid w:val="00A52B38"/>
    <w:rsid w:val="00A532BE"/>
    <w:rsid w:val="00A53906"/>
    <w:rsid w:val="00A53BEA"/>
    <w:rsid w:val="00A53F26"/>
    <w:rsid w:val="00A54A72"/>
    <w:rsid w:val="00A54D54"/>
    <w:rsid w:val="00A5683A"/>
    <w:rsid w:val="00A56C49"/>
    <w:rsid w:val="00A56CA1"/>
    <w:rsid w:val="00A57664"/>
    <w:rsid w:val="00A578D8"/>
    <w:rsid w:val="00A57A90"/>
    <w:rsid w:val="00A57E4D"/>
    <w:rsid w:val="00A60A23"/>
    <w:rsid w:val="00A61355"/>
    <w:rsid w:val="00A6174C"/>
    <w:rsid w:val="00A61A04"/>
    <w:rsid w:val="00A62CEA"/>
    <w:rsid w:val="00A62E61"/>
    <w:rsid w:val="00A63008"/>
    <w:rsid w:val="00A64304"/>
    <w:rsid w:val="00A648D4"/>
    <w:rsid w:val="00A66434"/>
    <w:rsid w:val="00A668EF"/>
    <w:rsid w:val="00A67690"/>
    <w:rsid w:val="00A67F0F"/>
    <w:rsid w:val="00A70058"/>
    <w:rsid w:val="00A700C3"/>
    <w:rsid w:val="00A7049C"/>
    <w:rsid w:val="00A70A50"/>
    <w:rsid w:val="00A70F68"/>
    <w:rsid w:val="00A71461"/>
    <w:rsid w:val="00A7153A"/>
    <w:rsid w:val="00A72487"/>
    <w:rsid w:val="00A72ABD"/>
    <w:rsid w:val="00A72E2A"/>
    <w:rsid w:val="00A732FC"/>
    <w:rsid w:val="00A73FE1"/>
    <w:rsid w:val="00A74045"/>
    <w:rsid w:val="00A74197"/>
    <w:rsid w:val="00A74AC6"/>
    <w:rsid w:val="00A74C7A"/>
    <w:rsid w:val="00A75ADF"/>
    <w:rsid w:val="00A761C8"/>
    <w:rsid w:val="00A764AC"/>
    <w:rsid w:val="00A77CD9"/>
    <w:rsid w:val="00A77D97"/>
    <w:rsid w:val="00A77EE5"/>
    <w:rsid w:val="00A80FC5"/>
    <w:rsid w:val="00A8113D"/>
    <w:rsid w:val="00A81A57"/>
    <w:rsid w:val="00A820F9"/>
    <w:rsid w:val="00A8233D"/>
    <w:rsid w:val="00A82450"/>
    <w:rsid w:val="00A82994"/>
    <w:rsid w:val="00A829EC"/>
    <w:rsid w:val="00A832FC"/>
    <w:rsid w:val="00A83D11"/>
    <w:rsid w:val="00A84E9C"/>
    <w:rsid w:val="00A85763"/>
    <w:rsid w:val="00A85C4F"/>
    <w:rsid w:val="00A8650A"/>
    <w:rsid w:val="00A86643"/>
    <w:rsid w:val="00A86B82"/>
    <w:rsid w:val="00A872D8"/>
    <w:rsid w:val="00A8757E"/>
    <w:rsid w:val="00A901F9"/>
    <w:rsid w:val="00A9047E"/>
    <w:rsid w:val="00A90699"/>
    <w:rsid w:val="00A9097B"/>
    <w:rsid w:val="00A90D74"/>
    <w:rsid w:val="00A90EE4"/>
    <w:rsid w:val="00A9243F"/>
    <w:rsid w:val="00A92794"/>
    <w:rsid w:val="00A92A19"/>
    <w:rsid w:val="00A93865"/>
    <w:rsid w:val="00A938A5"/>
    <w:rsid w:val="00A93C6F"/>
    <w:rsid w:val="00A94060"/>
    <w:rsid w:val="00A94B39"/>
    <w:rsid w:val="00A9642F"/>
    <w:rsid w:val="00A96A3C"/>
    <w:rsid w:val="00A96D16"/>
    <w:rsid w:val="00A97DE3"/>
    <w:rsid w:val="00AA0216"/>
    <w:rsid w:val="00AA0980"/>
    <w:rsid w:val="00AA1045"/>
    <w:rsid w:val="00AA19D3"/>
    <w:rsid w:val="00AA1D3F"/>
    <w:rsid w:val="00AA3053"/>
    <w:rsid w:val="00AA333D"/>
    <w:rsid w:val="00AA385E"/>
    <w:rsid w:val="00AA4118"/>
    <w:rsid w:val="00AA4230"/>
    <w:rsid w:val="00AA4ED5"/>
    <w:rsid w:val="00AA56BC"/>
    <w:rsid w:val="00AA5A0B"/>
    <w:rsid w:val="00AA5A37"/>
    <w:rsid w:val="00AA5AE3"/>
    <w:rsid w:val="00AA75DE"/>
    <w:rsid w:val="00AB01D9"/>
    <w:rsid w:val="00AB0DF5"/>
    <w:rsid w:val="00AB2CA2"/>
    <w:rsid w:val="00AB2CBC"/>
    <w:rsid w:val="00AB30E0"/>
    <w:rsid w:val="00AB30F0"/>
    <w:rsid w:val="00AB3555"/>
    <w:rsid w:val="00AB3AC0"/>
    <w:rsid w:val="00AB3EFD"/>
    <w:rsid w:val="00AB50A9"/>
    <w:rsid w:val="00AB59E1"/>
    <w:rsid w:val="00AB6221"/>
    <w:rsid w:val="00AB62EB"/>
    <w:rsid w:val="00AB6BA0"/>
    <w:rsid w:val="00AB7862"/>
    <w:rsid w:val="00AC0204"/>
    <w:rsid w:val="00AC0537"/>
    <w:rsid w:val="00AC1297"/>
    <w:rsid w:val="00AC3969"/>
    <w:rsid w:val="00AC409D"/>
    <w:rsid w:val="00AC439F"/>
    <w:rsid w:val="00AC4651"/>
    <w:rsid w:val="00AC5743"/>
    <w:rsid w:val="00AC5908"/>
    <w:rsid w:val="00AC5B70"/>
    <w:rsid w:val="00AC64B4"/>
    <w:rsid w:val="00AC65DB"/>
    <w:rsid w:val="00AC6C6C"/>
    <w:rsid w:val="00AC71B3"/>
    <w:rsid w:val="00AC72D0"/>
    <w:rsid w:val="00AC73DF"/>
    <w:rsid w:val="00AC750F"/>
    <w:rsid w:val="00AC7651"/>
    <w:rsid w:val="00AC791A"/>
    <w:rsid w:val="00AC7E1C"/>
    <w:rsid w:val="00AC7F21"/>
    <w:rsid w:val="00AD036A"/>
    <w:rsid w:val="00AD1ADA"/>
    <w:rsid w:val="00AD1FC9"/>
    <w:rsid w:val="00AD22F1"/>
    <w:rsid w:val="00AD247A"/>
    <w:rsid w:val="00AD276C"/>
    <w:rsid w:val="00AD2855"/>
    <w:rsid w:val="00AD31B8"/>
    <w:rsid w:val="00AD33E9"/>
    <w:rsid w:val="00AD3515"/>
    <w:rsid w:val="00AD41BC"/>
    <w:rsid w:val="00AD4684"/>
    <w:rsid w:val="00AD4E88"/>
    <w:rsid w:val="00AD4FF3"/>
    <w:rsid w:val="00AD5026"/>
    <w:rsid w:val="00AD55B6"/>
    <w:rsid w:val="00AD5E04"/>
    <w:rsid w:val="00AD67C3"/>
    <w:rsid w:val="00AD6A92"/>
    <w:rsid w:val="00AD6B42"/>
    <w:rsid w:val="00AE0A55"/>
    <w:rsid w:val="00AE22AF"/>
    <w:rsid w:val="00AE2920"/>
    <w:rsid w:val="00AE320F"/>
    <w:rsid w:val="00AE4AFD"/>
    <w:rsid w:val="00AE4B17"/>
    <w:rsid w:val="00AE54DE"/>
    <w:rsid w:val="00AE5D69"/>
    <w:rsid w:val="00AE6DE7"/>
    <w:rsid w:val="00AE7837"/>
    <w:rsid w:val="00AF0586"/>
    <w:rsid w:val="00AF074B"/>
    <w:rsid w:val="00AF196C"/>
    <w:rsid w:val="00AF1E95"/>
    <w:rsid w:val="00AF3862"/>
    <w:rsid w:val="00AF39DD"/>
    <w:rsid w:val="00AF4819"/>
    <w:rsid w:val="00AF4EED"/>
    <w:rsid w:val="00AF53A4"/>
    <w:rsid w:val="00AF5753"/>
    <w:rsid w:val="00AF6266"/>
    <w:rsid w:val="00AF7697"/>
    <w:rsid w:val="00AF7750"/>
    <w:rsid w:val="00AF77E3"/>
    <w:rsid w:val="00AF7F02"/>
    <w:rsid w:val="00AF7F81"/>
    <w:rsid w:val="00AF7FDD"/>
    <w:rsid w:val="00B00397"/>
    <w:rsid w:val="00B01916"/>
    <w:rsid w:val="00B01F14"/>
    <w:rsid w:val="00B02BBF"/>
    <w:rsid w:val="00B0333E"/>
    <w:rsid w:val="00B03822"/>
    <w:rsid w:val="00B03C7C"/>
    <w:rsid w:val="00B03E9D"/>
    <w:rsid w:val="00B04C4C"/>
    <w:rsid w:val="00B04F25"/>
    <w:rsid w:val="00B059FD"/>
    <w:rsid w:val="00B06716"/>
    <w:rsid w:val="00B068E1"/>
    <w:rsid w:val="00B10538"/>
    <w:rsid w:val="00B10760"/>
    <w:rsid w:val="00B1108B"/>
    <w:rsid w:val="00B11413"/>
    <w:rsid w:val="00B119E6"/>
    <w:rsid w:val="00B11B9B"/>
    <w:rsid w:val="00B13174"/>
    <w:rsid w:val="00B134A8"/>
    <w:rsid w:val="00B13587"/>
    <w:rsid w:val="00B1412A"/>
    <w:rsid w:val="00B1492F"/>
    <w:rsid w:val="00B14EED"/>
    <w:rsid w:val="00B15B4D"/>
    <w:rsid w:val="00B16BF0"/>
    <w:rsid w:val="00B16EF6"/>
    <w:rsid w:val="00B200FF"/>
    <w:rsid w:val="00B21601"/>
    <w:rsid w:val="00B21878"/>
    <w:rsid w:val="00B23832"/>
    <w:rsid w:val="00B23B1D"/>
    <w:rsid w:val="00B23F3A"/>
    <w:rsid w:val="00B2445D"/>
    <w:rsid w:val="00B2496E"/>
    <w:rsid w:val="00B25450"/>
    <w:rsid w:val="00B25506"/>
    <w:rsid w:val="00B25CBB"/>
    <w:rsid w:val="00B261D8"/>
    <w:rsid w:val="00B2676E"/>
    <w:rsid w:val="00B26E7D"/>
    <w:rsid w:val="00B301D3"/>
    <w:rsid w:val="00B323A0"/>
    <w:rsid w:val="00B32CDD"/>
    <w:rsid w:val="00B3319E"/>
    <w:rsid w:val="00B3419B"/>
    <w:rsid w:val="00B34FB9"/>
    <w:rsid w:val="00B35336"/>
    <w:rsid w:val="00B36186"/>
    <w:rsid w:val="00B36E37"/>
    <w:rsid w:val="00B420C6"/>
    <w:rsid w:val="00B42748"/>
    <w:rsid w:val="00B449FC"/>
    <w:rsid w:val="00B44E82"/>
    <w:rsid w:val="00B45FC3"/>
    <w:rsid w:val="00B47C02"/>
    <w:rsid w:val="00B5059F"/>
    <w:rsid w:val="00B50A4D"/>
    <w:rsid w:val="00B511E8"/>
    <w:rsid w:val="00B513BF"/>
    <w:rsid w:val="00B516C3"/>
    <w:rsid w:val="00B517C4"/>
    <w:rsid w:val="00B522F9"/>
    <w:rsid w:val="00B53855"/>
    <w:rsid w:val="00B54AE3"/>
    <w:rsid w:val="00B54E4A"/>
    <w:rsid w:val="00B551BF"/>
    <w:rsid w:val="00B55F0C"/>
    <w:rsid w:val="00B56C8C"/>
    <w:rsid w:val="00B6043E"/>
    <w:rsid w:val="00B60AFF"/>
    <w:rsid w:val="00B627A6"/>
    <w:rsid w:val="00B62D29"/>
    <w:rsid w:val="00B62F6A"/>
    <w:rsid w:val="00B637B5"/>
    <w:rsid w:val="00B6389C"/>
    <w:rsid w:val="00B6401F"/>
    <w:rsid w:val="00B64784"/>
    <w:rsid w:val="00B65AEF"/>
    <w:rsid w:val="00B65C4B"/>
    <w:rsid w:val="00B6612F"/>
    <w:rsid w:val="00B66210"/>
    <w:rsid w:val="00B666DF"/>
    <w:rsid w:val="00B669CA"/>
    <w:rsid w:val="00B670CE"/>
    <w:rsid w:val="00B709B2"/>
    <w:rsid w:val="00B709DC"/>
    <w:rsid w:val="00B70A1D"/>
    <w:rsid w:val="00B71D40"/>
    <w:rsid w:val="00B72C22"/>
    <w:rsid w:val="00B762AD"/>
    <w:rsid w:val="00B768EE"/>
    <w:rsid w:val="00B77AA0"/>
    <w:rsid w:val="00B77C86"/>
    <w:rsid w:val="00B8029E"/>
    <w:rsid w:val="00B80714"/>
    <w:rsid w:val="00B807F0"/>
    <w:rsid w:val="00B813FB"/>
    <w:rsid w:val="00B81420"/>
    <w:rsid w:val="00B81CB5"/>
    <w:rsid w:val="00B83742"/>
    <w:rsid w:val="00B83FAE"/>
    <w:rsid w:val="00B847AC"/>
    <w:rsid w:val="00B84840"/>
    <w:rsid w:val="00B84856"/>
    <w:rsid w:val="00B84913"/>
    <w:rsid w:val="00B85AFD"/>
    <w:rsid w:val="00B85B27"/>
    <w:rsid w:val="00B85B52"/>
    <w:rsid w:val="00B85CAB"/>
    <w:rsid w:val="00B85CE8"/>
    <w:rsid w:val="00B8639D"/>
    <w:rsid w:val="00B871AD"/>
    <w:rsid w:val="00B87879"/>
    <w:rsid w:val="00B87DAA"/>
    <w:rsid w:val="00B91E3F"/>
    <w:rsid w:val="00B93439"/>
    <w:rsid w:val="00B943FE"/>
    <w:rsid w:val="00B94558"/>
    <w:rsid w:val="00B94798"/>
    <w:rsid w:val="00B951A0"/>
    <w:rsid w:val="00B96D92"/>
    <w:rsid w:val="00B9734B"/>
    <w:rsid w:val="00B977E0"/>
    <w:rsid w:val="00BA0667"/>
    <w:rsid w:val="00BA07A0"/>
    <w:rsid w:val="00BA0A17"/>
    <w:rsid w:val="00BA0C88"/>
    <w:rsid w:val="00BA0F63"/>
    <w:rsid w:val="00BA19EE"/>
    <w:rsid w:val="00BA1B51"/>
    <w:rsid w:val="00BA217F"/>
    <w:rsid w:val="00BA2295"/>
    <w:rsid w:val="00BA2917"/>
    <w:rsid w:val="00BA2E4E"/>
    <w:rsid w:val="00BA4A51"/>
    <w:rsid w:val="00BA4DF4"/>
    <w:rsid w:val="00BA4F71"/>
    <w:rsid w:val="00BA5ADA"/>
    <w:rsid w:val="00BA5F75"/>
    <w:rsid w:val="00BA622E"/>
    <w:rsid w:val="00BA671F"/>
    <w:rsid w:val="00BA6AF3"/>
    <w:rsid w:val="00BA6CD9"/>
    <w:rsid w:val="00BA7B16"/>
    <w:rsid w:val="00BB0698"/>
    <w:rsid w:val="00BB0818"/>
    <w:rsid w:val="00BB090F"/>
    <w:rsid w:val="00BB1A37"/>
    <w:rsid w:val="00BB2439"/>
    <w:rsid w:val="00BB277B"/>
    <w:rsid w:val="00BB2AE2"/>
    <w:rsid w:val="00BB3193"/>
    <w:rsid w:val="00BB34E5"/>
    <w:rsid w:val="00BB36AD"/>
    <w:rsid w:val="00BB3B7D"/>
    <w:rsid w:val="00BB3E74"/>
    <w:rsid w:val="00BB3F1E"/>
    <w:rsid w:val="00BB42FD"/>
    <w:rsid w:val="00BB4AF6"/>
    <w:rsid w:val="00BB50DF"/>
    <w:rsid w:val="00BB5B74"/>
    <w:rsid w:val="00BB5EF3"/>
    <w:rsid w:val="00BB6355"/>
    <w:rsid w:val="00BB63E3"/>
    <w:rsid w:val="00BB6AA0"/>
    <w:rsid w:val="00BB6CE2"/>
    <w:rsid w:val="00BC0362"/>
    <w:rsid w:val="00BC0780"/>
    <w:rsid w:val="00BC146E"/>
    <w:rsid w:val="00BC1537"/>
    <w:rsid w:val="00BC229C"/>
    <w:rsid w:val="00BC26C7"/>
    <w:rsid w:val="00BC2940"/>
    <w:rsid w:val="00BC2BF8"/>
    <w:rsid w:val="00BC31B5"/>
    <w:rsid w:val="00BC3717"/>
    <w:rsid w:val="00BC38D2"/>
    <w:rsid w:val="00BC3D61"/>
    <w:rsid w:val="00BC3D90"/>
    <w:rsid w:val="00BC5797"/>
    <w:rsid w:val="00BC5D1D"/>
    <w:rsid w:val="00BC6404"/>
    <w:rsid w:val="00BC6A84"/>
    <w:rsid w:val="00BC6ABF"/>
    <w:rsid w:val="00BC6AEB"/>
    <w:rsid w:val="00BC6BAB"/>
    <w:rsid w:val="00BC7734"/>
    <w:rsid w:val="00BD0377"/>
    <w:rsid w:val="00BD07FA"/>
    <w:rsid w:val="00BD0DE1"/>
    <w:rsid w:val="00BD1375"/>
    <w:rsid w:val="00BD1EBF"/>
    <w:rsid w:val="00BD27C1"/>
    <w:rsid w:val="00BD2EBE"/>
    <w:rsid w:val="00BD3008"/>
    <w:rsid w:val="00BD3339"/>
    <w:rsid w:val="00BD3B51"/>
    <w:rsid w:val="00BD3E70"/>
    <w:rsid w:val="00BD3F48"/>
    <w:rsid w:val="00BD445D"/>
    <w:rsid w:val="00BD45A8"/>
    <w:rsid w:val="00BD47CC"/>
    <w:rsid w:val="00BD4DE4"/>
    <w:rsid w:val="00BD5F95"/>
    <w:rsid w:val="00BD6C97"/>
    <w:rsid w:val="00BD72E9"/>
    <w:rsid w:val="00BD79C5"/>
    <w:rsid w:val="00BD7A30"/>
    <w:rsid w:val="00BE017D"/>
    <w:rsid w:val="00BE07A8"/>
    <w:rsid w:val="00BE09BF"/>
    <w:rsid w:val="00BE1FB1"/>
    <w:rsid w:val="00BE2300"/>
    <w:rsid w:val="00BE254D"/>
    <w:rsid w:val="00BE327F"/>
    <w:rsid w:val="00BE3EAC"/>
    <w:rsid w:val="00BE504D"/>
    <w:rsid w:val="00BE55D4"/>
    <w:rsid w:val="00BE5C85"/>
    <w:rsid w:val="00BE604F"/>
    <w:rsid w:val="00BE65BD"/>
    <w:rsid w:val="00BE6D88"/>
    <w:rsid w:val="00BE7175"/>
    <w:rsid w:val="00BE72FF"/>
    <w:rsid w:val="00BE7553"/>
    <w:rsid w:val="00BE7E83"/>
    <w:rsid w:val="00BF0E67"/>
    <w:rsid w:val="00BF0F86"/>
    <w:rsid w:val="00BF1F80"/>
    <w:rsid w:val="00BF2C40"/>
    <w:rsid w:val="00BF2DA3"/>
    <w:rsid w:val="00BF31C6"/>
    <w:rsid w:val="00BF3486"/>
    <w:rsid w:val="00BF3864"/>
    <w:rsid w:val="00BF52E5"/>
    <w:rsid w:val="00BF68CB"/>
    <w:rsid w:val="00BF6988"/>
    <w:rsid w:val="00BF6FB8"/>
    <w:rsid w:val="00BF7E5C"/>
    <w:rsid w:val="00C00112"/>
    <w:rsid w:val="00C0032E"/>
    <w:rsid w:val="00C0072A"/>
    <w:rsid w:val="00C00933"/>
    <w:rsid w:val="00C00D04"/>
    <w:rsid w:val="00C01885"/>
    <w:rsid w:val="00C02849"/>
    <w:rsid w:val="00C034CC"/>
    <w:rsid w:val="00C03505"/>
    <w:rsid w:val="00C037BF"/>
    <w:rsid w:val="00C03C82"/>
    <w:rsid w:val="00C03F8B"/>
    <w:rsid w:val="00C045F5"/>
    <w:rsid w:val="00C04CA5"/>
    <w:rsid w:val="00C04DC7"/>
    <w:rsid w:val="00C051DB"/>
    <w:rsid w:val="00C06039"/>
    <w:rsid w:val="00C064A6"/>
    <w:rsid w:val="00C0701F"/>
    <w:rsid w:val="00C071F8"/>
    <w:rsid w:val="00C072CF"/>
    <w:rsid w:val="00C07388"/>
    <w:rsid w:val="00C073CC"/>
    <w:rsid w:val="00C07627"/>
    <w:rsid w:val="00C076AD"/>
    <w:rsid w:val="00C07CA0"/>
    <w:rsid w:val="00C1086B"/>
    <w:rsid w:val="00C10D98"/>
    <w:rsid w:val="00C10DCC"/>
    <w:rsid w:val="00C11D7D"/>
    <w:rsid w:val="00C12656"/>
    <w:rsid w:val="00C13E80"/>
    <w:rsid w:val="00C148EB"/>
    <w:rsid w:val="00C14B57"/>
    <w:rsid w:val="00C15104"/>
    <w:rsid w:val="00C1550B"/>
    <w:rsid w:val="00C1552E"/>
    <w:rsid w:val="00C158B1"/>
    <w:rsid w:val="00C15A10"/>
    <w:rsid w:val="00C164F6"/>
    <w:rsid w:val="00C16549"/>
    <w:rsid w:val="00C16FF5"/>
    <w:rsid w:val="00C1736F"/>
    <w:rsid w:val="00C17A77"/>
    <w:rsid w:val="00C204FD"/>
    <w:rsid w:val="00C206C9"/>
    <w:rsid w:val="00C20AD7"/>
    <w:rsid w:val="00C20BF1"/>
    <w:rsid w:val="00C20DAA"/>
    <w:rsid w:val="00C212CC"/>
    <w:rsid w:val="00C2131B"/>
    <w:rsid w:val="00C21AB8"/>
    <w:rsid w:val="00C21C85"/>
    <w:rsid w:val="00C21D72"/>
    <w:rsid w:val="00C22065"/>
    <w:rsid w:val="00C233BA"/>
    <w:rsid w:val="00C2381E"/>
    <w:rsid w:val="00C24376"/>
    <w:rsid w:val="00C24934"/>
    <w:rsid w:val="00C25019"/>
    <w:rsid w:val="00C25384"/>
    <w:rsid w:val="00C25A1F"/>
    <w:rsid w:val="00C26179"/>
    <w:rsid w:val="00C27099"/>
    <w:rsid w:val="00C2737A"/>
    <w:rsid w:val="00C273F9"/>
    <w:rsid w:val="00C278EC"/>
    <w:rsid w:val="00C30631"/>
    <w:rsid w:val="00C306B6"/>
    <w:rsid w:val="00C309C4"/>
    <w:rsid w:val="00C31927"/>
    <w:rsid w:val="00C32178"/>
    <w:rsid w:val="00C3282F"/>
    <w:rsid w:val="00C32959"/>
    <w:rsid w:val="00C32AD8"/>
    <w:rsid w:val="00C32D9E"/>
    <w:rsid w:val="00C33A25"/>
    <w:rsid w:val="00C33B1D"/>
    <w:rsid w:val="00C3421D"/>
    <w:rsid w:val="00C361E8"/>
    <w:rsid w:val="00C362AF"/>
    <w:rsid w:val="00C3644A"/>
    <w:rsid w:val="00C36F83"/>
    <w:rsid w:val="00C374DD"/>
    <w:rsid w:val="00C37EB9"/>
    <w:rsid w:val="00C37FAE"/>
    <w:rsid w:val="00C37FDE"/>
    <w:rsid w:val="00C4022C"/>
    <w:rsid w:val="00C4053F"/>
    <w:rsid w:val="00C415EA"/>
    <w:rsid w:val="00C4209A"/>
    <w:rsid w:val="00C4395E"/>
    <w:rsid w:val="00C43FCE"/>
    <w:rsid w:val="00C44BAD"/>
    <w:rsid w:val="00C45FB7"/>
    <w:rsid w:val="00C46E02"/>
    <w:rsid w:val="00C47317"/>
    <w:rsid w:val="00C505CB"/>
    <w:rsid w:val="00C50EBD"/>
    <w:rsid w:val="00C510B4"/>
    <w:rsid w:val="00C52103"/>
    <w:rsid w:val="00C52CE1"/>
    <w:rsid w:val="00C52E2A"/>
    <w:rsid w:val="00C53877"/>
    <w:rsid w:val="00C53D5A"/>
    <w:rsid w:val="00C541BC"/>
    <w:rsid w:val="00C5422F"/>
    <w:rsid w:val="00C55074"/>
    <w:rsid w:val="00C556F5"/>
    <w:rsid w:val="00C55B01"/>
    <w:rsid w:val="00C55B4B"/>
    <w:rsid w:val="00C56758"/>
    <w:rsid w:val="00C56938"/>
    <w:rsid w:val="00C56B23"/>
    <w:rsid w:val="00C56C17"/>
    <w:rsid w:val="00C57CF6"/>
    <w:rsid w:val="00C57E9F"/>
    <w:rsid w:val="00C60DC8"/>
    <w:rsid w:val="00C60ED5"/>
    <w:rsid w:val="00C61CF9"/>
    <w:rsid w:val="00C644BB"/>
    <w:rsid w:val="00C64CA4"/>
    <w:rsid w:val="00C6734C"/>
    <w:rsid w:val="00C674B2"/>
    <w:rsid w:val="00C70E06"/>
    <w:rsid w:val="00C71B96"/>
    <w:rsid w:val="00C724B4"/>
    <w:rsid w:val="00C724FB"/>
    <w:rsid w:val="00C72688"/>
    <w:rsid w:val="00C72A85"/>
    <w:rsid w:val="00C73621"/>
    <w:rsid w:val="00C73E79"/>
    <w:rsid w:val="00C73F3D"/>
    <w:rsid w:val="00C742C7"/>
    <w:rsid w:val="00C749CD"/>
    <w:rsid w:val="00C74C26"/>
    <w:rsid w:val="00C75291"/>
    <w:rsid w:val="00C75384"/>
    <w:rsid w:val="00C75695"/>
    <w:rsid w:val="00C75797"/>
    <w:rsid w:val="00C759DB"/>
    <w:rsid w:val="00C75A65"/>
    <w:rsid w:val="00C760C0"/>
    <w:rsid w:val="00C76C5D"/>
    <w:rsid w:val="00C77978"/>
    <w:rsid w:val="00C809AB"/>
    <w:rsid w:val="00C80D13"/>
    <w:rsid w:val="00C81650"/>
    <w:rsid w:val="00C81DDC"/>
    <w:rsid w:val="00C827D0"/>
    <w:rsid w:val="00C82B0F"/>
    <w:rsid w:val="00C82C63"/>
    <w:rsid w:val="00C83E6A"/>
    <w:rsid w:val="00C84579"/>
    <w:rsid w:val="00C8574E"/>
    <w:rsid w:val="00C85C35"/>
    <w:rsid w:val="00C86502"/>
    <w:rsid w:val="00C86820"/>
    <w:rsid w:val="00C86AA8"/>
    <w:rsid w:val="00C87668"/>
    <w:rsid w:val="00C87A0D"/>
    <w:rsid w:val="00C87BA5"/>
    <w:rsid w:val="00C9021E"/>
    <w:rsid w:val="00C90458"/>
    <w:rsid w:val="00C905E1"/>
    <w:rsid w:val="00C90D09"/>
    <w:rsid w:val="00C90E60"/>
    <w:rsid w:val="00C9112F"/>
    <w:rsid w:val="00C915D0"/>
    <w:rsid w:val="00C91D2A"/>
    <w:rsid w:val="00C923B6"/>
    <w:rsid w:val="00C93189"/>
    <w:rsid w:val="00C93D2E"/>
    <w:rsid w:val="00C95467"/>
    <w:rsid w:val="00C9550D"/>
    <w:rsid w:val="00C9551E"/>
    <w:rsid w:val="00C95562"/>
    <w:rsid w:val="00C9582C"/>
    <w:rsid w:val="00C96720"/>
    <w:rsid w:val="00C97241"/>
    <w:rsid w:val="00C9794A"/>
    <w:rsid w:val="00CA0CC8"/>
    <w:rsid w:val="00CA0FA4"/>
    <w:rsid w:val="00CA1121"/>
    <w:rsid w:val="00CA1A63"/>
    <w:rsid w:val="00CA28D3"/>
    <w:rsid w:val="00CA32EB"/>
    <w:rsid w:val="00CA35B6"/>
    <w:rsid w:val="00CA3678"/>
    <w:rsid w:val="00CA3BE5"/>
    <w:rsid w:val="00CA3D27"/>
    <w:rsid w:val="00CA454C"/>
    <w:rsid w:val="00CA4C00"/>
    <w:rsid w:val="00CA4CFC"/>
    <w:rsid w:val="00CA5093"/>
    <w:rsid w:val="00CA6A5A"/>
    <w:rsid w:val="00CA708B"/>
    <w:rsid w:val="00CA7746"/>
    <w:rsid w:val="00CB014B"/>
    <w:rsid w:val="00CB0B58"/>
    <w:rsid w:val="00CB102F"/>
    <w:rsid w:val="00CB1C19"/>
    <w:rsid w:val="00CB2E91"/>
    <w:rsid w:val="00CB321A"/>
    <w:rsid w:val="00CB33E2"/>
    <w:rsid w:val="00CB3A12"/>
    <w:rsid w:val="00CB3EEF"/>
    <w:rsid w:val="00CB45AC"/>
    <w:rsid w:val="00CB4A63"/>
    <w:rsid w:val="00CB5059"/>
    <w:rsid w:val="00CB5233"/>
    <w:rsid w:val="00CB60B6"/>
    <w:rsid w:val="00CB63A9"/>
    <w:rsid w:val="00CB6BBF"/>
    <w:rsid w:val="00CB7084"/>
    <w:rsid w:val="00CB76E8"/>
    <w:rsid w:val="00CC018D"/>
    <w:rsid w:val="00CC13D2"/>
    <w:rsid w:val="00CC1930"/>
    <w:rsid w:val="00CC2003"/>
    <w:rsid w:val="00CC2535"/>
    <w:rsid w:val="00CC2F81"/>
    <w:rsid w:val="00CC36F9"/>
    <w:rsid w:val="00CC3924"/>
    <w:rsid w:val="00CC3BC5"/>
    <w:rsid w:val="00CC3CEE"/>
    <w:rsid w:val="00CC4019"/>
    <w:rsid w:val="00CC422C"/>
    <w:rsid w:val="00CC4BE9"/>
    <w:rsid w:val="00CC4FBE"/>
    <w:rsid w:val="00CC51C2"/>
    <w:rsid w:val="00CC53C8"/>
    <w:rsid w:val="00CC60E5"/>
    <w:rsid w:val="00CC6116"/>
    <w:rsid w:val="00CC628A"/>
    <w:rsid w:val="00CC65EA"/>
    <w:rsid w:val="00CC77EE"/>
    <w:rsid w:val="00CC7EDB"/>
    <w:rsid w:val="00CD0674"/>
    <w:rsid w:val="00CD0B7B"/>
    <w:rsid w:val="00CD120F"/>
    <w:rsid w:val="00CD4241"/>
    <w:rsid w:val="00CD4952"/>
    <w:rsid w:val="00CD4C6D"/>
    <w:rsid w:val="00CD5837"/>
    <w:rsid w:val="00CD5A2E"/>
    <w:rsid w:val="00CD63D2"/>
    <w:rsid w:val="00CD718B"/>
    <w:rsid w:val="00CE0294"/>
    <w:rsid w:val="00CE0E9E"/>
    <w:rsid w:val="00CE1491"/>
    <w:rsid w:val="00CE22AB"/>
    <w:rsid w:val="00CE2679"/>
    <w:rsid w:val="00CE2A90"/>
    <w:rsid w:val="00CE30D0"/>
    <w:rsid w:val="00CE3345"/>
    <w:rsid w:val="00CE3621"/>
    <w:rsid w:val="00CE3E51"/>
    <w:rsid w:val="00CE3E84"/>
    <w:rsid w:val="00CE4574"/>
    <w:rsid w:val="00CE4A9B"/>
    <w:rsid w:val="00CE4FEE"/>
    <w:rsid w:val="00CE52DF"/>
    <w:rsid w:val="00CE551E"/>
    <w:rsid w:val="00CE55CB"/>
    <w:rsid w:val="00CE575F"/>
    <w:rsid w:val="00CE5980"/>
    <w:rsid w:val="00CE5A76"/>
    <w:rsid w:val="00CE5DD3"/>
    <w:rsid w:val="00CE64D0"/>
    <w:rsid w:val="00CE6EC0"/>
    <w:rsid w:val="00CE741C"/>
    <w:rsid w:val="00CE74C2"/>
    <w:rsid w:val="00CE77C8"/>
    <w:rsid w:val="00CE798F"/>
    <w:rsid w:val="00CF0512"/>
    <w:rsid w:val="00CF2BA5"/>
    <w:rsid w:val="00CF2BB0"/>
    <w:rsid w:val="00CF2C7B"/>
    <w:rsid w:val="00CF2F1E"/>
    <w:rsid w:val="00CF3380"/>
    <w:rsid w:val="00CF4B62"/>
    <w:rsid w:val="00CF5481"/>
    <w:rsid w:val="00CF6A5F"/>
    <w:rsid w:val="00CF6E89"/>
    <w:rsid w:val="00CF7808"/>
    <w:rsid w:val="00CF7B8C"/>
    <w:rsid w:val="00D00792"/>
    <w:rsid w:val="00D00A34"/>
    <w:rsid w:val="00D0255C"/>
    <w:rsid w:val="00D02C7B"/>
    <w:rsid w:val="00D02F45"/>
    <w:rsid w:val="00D03192"/>
    <w:rsid w:val="00D03346"/>
    <w:rsid w:val="00D03593"/>
    <w:rsid w:val="00D03CAA"/>
    <w:rsid w:val="00D04A48"/>
    <w:rsid w:val="00D04C06"/>
    <w:rsid w:val="00D06425"/>
    <w:rsid w:val="00D07086"/>
    <w:rsid w:val="00D0765B"/>
    <w:rsid w:val="00D076C8"/>
    <w:rsid w:val="00D1089E"/>
    <w:rsid w:val="00D10DC7"/>
    <w:rsid w:val="00D11527"/>
    <w:rsid w:val="00D1204F"/>
    <w:rsid w:val="00D12443"/>
    <w:rsid w:val="00D128B7"/>
    <w:rsid w:val="00D12DF8"/>
    <w:rsid w:val="00D13169"/>
    <w:rsid w:val="00D13252"/>
    <w:rsid w:val="00D14596"/>
    <w:rsid w:val="00D14B08"/>
    <w:rsid w:val="00D14E71"/>
    <w:rsid w:val="00D14EFF"/>
    <w:rsid w:val="00D14FA3"/>
    <w:rsid w:val="00D154DC"/>
    <w:rsid w:val="00D15EC4"/>
    <w:rsid w:val="00D1628D"/>
    <w:rsid w:val="00D208E1"/>
    <w:rsid w:val="00D20DC6"/>
    <w:rsid w:val="00D20E18"/>
    <w:rsid w:val="00D21641"/>
    <w:rsid w:val="00D21DA7"/>
    <w:rsid w:val="00D22EDF"/>
    <w:rsid w:val="00D2300E"/>
    <w:rsid w:val="00D23142"/>
    <w:rsid w:val="00D2370B"/>
    <w:rsid w:val="00D253F1"/>
    <w:rsid w:val="00D259D5"/>
    <w:rsid w:val="00D267C0"/>
    <w:rsid w:val="00D2744B"/>
    <w:rsid w:val="00D30415"/>
    <w:rsid w:val="00D30495"/>
    <w:rsid w:val="00D31642"/>
    <w:rsid w:val="00D31831"/>
    <w:rsid w:val="00D31CF5"/>
    <w:rsid w:val="00D31E8D"/>
    <w:rsid w:val="00D31FD0"/>
    <w:rsid w:val="00D3228C"/>
    <w:rsid w:val="00D32450"/>
    <w:rsid w:val="00D32A5C"/>
    <w:rsid w:val="00D32D43"/>
    <w:rsid w:val="00D33682"/>
    <w:rsid w:val="00D33F55"/>
    <w:rsid w:val="00D3472D"/>
    <w:rsid w:val="00D34C40"/>
    <w:rsid w:val="00D351D2"/>
    <w:rsid w:val="00D36D54"/>
    <w:rsid w:val="00D37447"/>
    <w:rsid w:val="00D374F6"/>
    <w:rsid w:val="00D37AC1"/>
    <w:rsid w:val="00D37FFA"/>
    <w:rsid w:val="00D4104C"/>
    <w:rsid w:val="00D41AF1"/>
    <w:rsid w:val="00D41B26"/>
    <w:rsid w:val="00D42007"/>
    <w:rsid w:val="00D42563"/>
    <w:rsid w:val="00D4382A"/>
    <w:rsid w:val="00D43C87"/>
    <w:rsid w:val="00D43EA4"/>
    <w:rsid w:val="00D45265"/>
    <w:rsid w:val="00D45708"/>
    <w:rsid w:val="00D45F93"/>
    <w:rsid w:val="00D45FD8"/>
    <w:rsid w:val="00D46661"/>
    <w:rsid w:val="00D46977"/>
    <w:rsid w:val="00D46B3E"/>
    <w:rsid w:val="00D473BC"/>
    <w:rsid w:val="00D47D2A"/>
    <w:rsid w:val="00D5124C"/>
    <w:rsid w:val="00D513A0"/>
    <w:rsid w:val="00D51BEA"/>
    <w:rsid w:val="00D51F48"/>
    <w:rsid w:val="00D51F95"/>
    <w:rsid w:val="00D529CF"/>
    <w:rsid w:val="00D52ED5"/>
    <w:rsid w:val="00D534D1"/>
    <w:rsid w:val="00D53BE7"/>
    <w:rsid w:val="00D53D9D"/>
    <w:rsid w:val="00D53E97"/>
    <w:rsid w:val="00D5469D"/>
    <w:rsid w:val="00D54892"/>
    <w:rsid w:val="00D54D44"/>
    <w:rsid w:val="00D5584E"/>
    <w:rsid w:val="00D55E99"/>
    <w:rsid w:val="00D55EBB"/>
    <w:rsid w:val="00D5659A"/>
    <w:rsid w:val="00D56B5A"/>
    <w:rsid w:val="00D5722D"/>
    <w:rsid w:val="00D5780B"/>
    <w:rsid w:val="00D60200"/>
    <w:rsid w:val="00D6039A"/>
    <w:rsid w:val="00D60810"/>
    <w:rsid w:val="00D61093"/>
    <w:rsid w:val="00D61393"/>
    <w:rsid w:val="00D63DA3"/>
    <w:rsid w:val="00D63FD3"/>
    <w:rsid w:val="00D64D8C"/>
    <w:rsid w:val="00D64DF5"/>
    <w:rsid w:val="00D6527C"/>
    <w:rsid w:val="00D65509"/>
    <w:rsid w:val="00D6589B"/>
    <w:rsid w:val="00D65C32"/>
    <w:rsid w:val="00D65D1E"/>
    <w:rsid w:val="00D65DC3"/>
    <w:rsid w:val="00D66388"/>
    <w:rsid w:val="00D670F3"/>
    <w:rsid w:val="00D67447"/>
    <w:rsid w:val="00D6794F"/>
    <w:rsid w:val="00D67E7B"/>
    <w:rsid w:val="00D710CC"/>
    <w:rsid w:val="00D71143"/>
    <w:rsid w:val="00D712F7"/>
    <w:rsid w:val="00D718C6"/>
    <w:rsid w:val="00D71BA7"/>
    <w:rsid w:val="00D72365"/>
    <w:rsid w:val="00D725CC"/>
    <w:rsid w:val="00D72899"/>
    <w:rsid w:val="00D72DC2"/>
    <w:rsid w:val="00D73720"/>
    <w:rsid w:val="00D751AC"/>
    <w:rsid w:val="00D751B8"/>
    <w:rsid w:val="00D76977"/>
    <w:rsid w:val="00D771AD"/>
    <w:rsid w:val="00D7756E"/>
    <w:rsid w:val="00D77CD7"/>
    <w:rsid w:val="00D77E26"/>
    <w:rsid w:val="00D805C7"/>
    <w:rsid w:val="00D808E2"/>
    <w:rsid w:val="00D80A6B"/>
    <w:rsid w:val="00D80C65"/>
    <w:rsid w:val="00D82323"/>
    <w:rsid w:val="00D830CA"/>
    <w:rsid w:val="00D83715"/>
    <w:rsid w:val="00D8395A"/>
    <w:rsid w:val="00D844F0"/>
    <w:rsid w:val="00D847C9"/>
    <w:rsid w:val="00D848F8"/>
    <w:rsid w:val="00D8539A"/>
    <w:rsid w:val="00D85BCA"/>
    <w:rsid w:val="00D863C0"/>
    <w:rsid w:val="00D867B9"/>
    <w:rsid w:val="00D86919"/>
    <w:rsid w:val="00D87ED6"/>
    <w:rsid w:val="00D90083"/>
    <w:rsid w:val="00D90254"/>
    <w:rsid w:val="00D906A3"/>
    <w:rsid w:val="00D9075D"/>
    <w:rsid w:val="00D90763"/>
    <w:rsid w:val="00D90B2A"/>
    <w:rsid w:val="00D90DB9"/>
    <w:rsid w:val="00D90F24"/>
    <w:rsid w:val="00D91E93"/>
    <w:rsid w:val="00D92011"/>
    <w:rsid w:val="00D9253C"/>
    <w:rsid w:val="00D930B6"/>
    <w:rsid w:val="00D931A0"/>
    <w:rsid w:val="00D93200"/>
    <w:rsid w:val="00D93926"/>
    <w:rsid w:val="00D93B83"/>
    <w:rsid w:val="00D93BBA"/>
    <w:rsid w:val="00D9468F"/>
    <w:rsid w:val="00D94E9D"/>
    <w:rsid w:val="00D959C8"/>
    <w:rsid w:val="00D95B9B"/>
    <w:rsid w:val="00D95D68"/>
    <w:rsid w:val="00D9624F"/>
    <w:rsid w:val="00D96695"/>
    <w:rsid w:val="00D96722"/>
    <w:rsid w:val="00D97590"/>
    <w:rsid w:val="00DA01AF"/>
    <w:rsid w:val="00DA0A91"/>
    <w:rsid w:val="00DA191A"/>
    <w:rsid w:val="00DA2137"/>
    <w:rsid w:val="00DA2461"/>
    <w:rsid w:val="00DA25B7"/>
    <w:rsid w:val="00DA4076"/>
    <w:rsid w:val="00DA4FA4"/>
    <w:rsid w:val="00DA5235"/>
    <w:rsid w:val="00DA59F3"/>
    <w:rsid w:val="00DA6018"/>
    <w:rsid w:val="00DA6229"/>
    <w:rsid w:val="00DA6377"/>
    <w:rsid w:val="00DA6915"/>
    <w:rsid w:val="00DA6B71"/>
    <w:rsid w:val="00DA6BE7"/>
    <w:rsid w:val="00DA6C82"/>
    <w:rsid w:val="00DA6E3F"/>
    <w:rsid w:val="00DA7270"/>
    <w:rsid w:val="00DA778B"/>
    <w:rsid w:val="00DB09A8"/>
    <w:rsid w:val="00DB13C5"/>
    <w:rsid w:val="00DB1975"/>
    <w:rsid w:val="00DB1F88"/>
    <w:rsid w:val="00DB2A0A"/>
    <w:rsid w:val="00DB32BD"/>
    <w:rsid w:val="00DB3C63"/>
    <w:rsid w:val="00DB400B"/>
    <w:rsid w:val="00DB584A"/>
    <w:rsid w:val="00DB586F"/>
    <w:rsid w:val="00DB591B"/>
    <w:rsid w:val="00DB5AE6"/>
    <w:rsid w:val="00DB649B"/>
    <w:rsid w:val="00DB662F"/>
    <w:rsid w:val="00DB70DF"/>
    <w:rsid w:val="00DB71A2"/>
    <w:rsid w:val="00DB777D"/>
    <w:rsid w:val="00DC0488"/>
    <w:rsid w:val="00DC1072"/>
    <w:rsid w:val="00DC1D39"/>
    <w:rsid w:val="00DC2F4A"/>
    <w:rsid w:val="00DC3065"/>
    <w:rsid w:val="00DC31D2"/>
    <w:rsid w:val="00DC4174"/>
    <w:rsid w:val="00DC49A0"/>
    <w:rsid w:val="00DC50CC"/>
    <w:rsid w:val="00DC541E"/>
    <w:rsid w:val="00DC5444"/>
    <w:rsid w:val="00DC5F69"/>
    <w:rsid w:val="00DC68D0"/>
    <w:rsid w:val="00DC6EBF"/>
    <w:rsid w:val="00DC6FF1"/>
    <w:rsid w:val="00DD0B7C"/>
    <w:rsid w:val="00DD1601"/>
    <w:rsid w:val="00DD1864"/>
    <w:rsid w:val="00DD2406"/>
    <w:rsid w:val="00DD2884"/>
    <w:rsid w:val="00DD296E"/>
    <w:rsid w:val="00DD37EB"/>
    <w:rsid w:val="00DD3849"/>
    <w:rsid w:val="00DD556E"/>
    <w:rsid w:val="00DD5D87"/>
    <w:rsid w:val="00DD63F0"/>
    <w:rsid w:val="00DD6678"/>
    <w:rsid w:val="00DD68E0"/>
    <w:rsid w:val="00DD713B"/>
    <w:rsid w:val="00DD7D1B"/>
    <w:rsid w:val="00DE0D34"/>
    <w:rsid w:val="00DE2686"/>
    <w:rsid w:val="00DE29EB"/>
    <w:rsid w:val="00DE2BF4"/>
    <w:rsid w:val="00DE2E99"/>
    <w:rsid w:val="00DE2FEE"/>
    <w:rsid w:val="00DE3945"/>
    <w:rsid w:val="00DE4106"/>
    <w:rsid w:val="00DE41CE"/>
    <w:rsid w:val="00DE52F8"/>
    <w:rsid w:val="00DE5B06"/>
    <w:rsid w:val="00DE5C00"/>
    <w:rsid w:val="00DE6330"/>
    <w:rsid w:val="00DE6577"/>
    <w:rsid w:val="00DE670A"/>
    <w:rsid w:val="00DE6E41"/>
    <w:rsid w:val="00DE75C2"/>
    <w:rsid w:val="00DE7652"/>
    <w:rsid w:val="00DE76A7"/>
    <w:rsid w:val="00DE7F15"/>
    <w:rsid w:val="00DF16E2"/>
    <w:rsid w:val="00DF19CC"/>
    <w:rsid w:val="00DF1FA9"/>
    <w:rsid w:val="00DF22A1"/>
    <w:rsid w:val="00DF2FFC"/>
    <w:rsid w:val="00DF3237"/>
    <w:rsid w:val="00DF3728"/>
    <w:rsid w:val="00DF37D0"/>
    <w:rsid w:val="00DF3847"/>
    <w:rsid w:val="00DF4212"/>
    <w:rsid w:val="00DF431E"/>
    <w:rsid w:val="00DF439B"/>
    <w:rsid w:val="00DF5E57"/>
    <w:rsid w:val="00DF7A3F"/>
    <w:rsid w:val="00DF7D4B"/>
    <w:rsid w:val="00DF7FB1"/>
    <w:rsid w:val="00E00328"/>
    <w:rsid w:val="00E01465"/>
    <w:rsid w:val="00E018E9"/>
    <w:rsid w:val="00E01985"/>
    <w:rsid w:val="00E02087"/>
    <w:rsid w:val="00E02374"/>
    <w:rsid w:val="00E026C8"/>
    <w:rsid w:val="00E03F2A"/>
    <w:rsid w:val="00E04666"/>
    <w:rsid w:val="00E055AC"/>
    <w:rsid w:val="00E06805"/>
    <w:rsid w:val="00E06B5D"/>
    <w:rsid w:val="00E070A0"/>
    <w:rsid w:val="00E111A5"/>
    <w:rsid w:val="00E11493"/>
    <w:rsid w:val="00E125D4"/>
    <w:rsid w:val="00E12B71"/>
    <w:rsid w:val="00E12DF5"/>
    <w:rsid w:val="00E134B7"/>
    <w:rsid w:val="00E14BC7"/>
    <w:rsid w:val="00E151B8"/>
    <w:rsid w:val="00E166F7"/>
    <w:rsid w:val="00E176C9"/>
    <w:rsid w:val="00E17E9B"/>
    <w:rsid w:val="00E17F67"/>
    <w:rsid w:val="00E207EF"/>
    <w:rsid w:val="00E20BCF"/>
    <w:rsid w:val="00E20EA2"/>
    <w:rsid w:val="00E2205D"/>
    <w:rsid w:val="00E22079"/>
    <w:rsid w:val="00E22381"/>
    <w:rsid w:val="00E2295D"/>
    <w:rsid w:val="00E23410"/>
    <w:rsid w:val="00E23D14"/>
    <w:rsid w:val="00E24902"/>
    <w:rsid w:val="00E249B3"/>
    <w:rsid w:val="00E24F04"/>
    <w:rsid w:val="00E25B04"/>
    <w:rsid w:val="00E25B53"/>
    <w:rsid w:val="00E25F9F"/>
    <w:rsid w:val="00E26628"/>
    <w:rsid w:val="00E26DFA"/>
    <w:rsid w:val="00E277B5"/>
    <w:rsid w:val="00E306E8"/>
    <w:rsid w:val="00E307F5"/>
    <w:rsid w:val="00E308AD"/>
    <w:rsid w:val="00E30AC2"/>
    <w:rsid w:val="00E3159C"/>
    <w:rsid w:val="00E31857"/>
    <w:rsid w:val="00E31AE6"/>
    <w:rsid w:val="00E32606"/>
    <w:rsid w:val="00E32713"/>
    <w:rsid w:val="00E33314"/>
    <w:rsid w:val="00E3338C"/>
    <w:rsid w:val="00E34D70"/>
    <w:rsid w:val="00E34EA4"/>
    <w:rsid w:val="00E35FE5"/>
    <w:rsid w:val="00E36453"/>
    <w:rsid w:val="00E37942"/>
    <w:rsid w:val="00E37DCA"/>
    <w:rsid w:val="00E40D25"/>
    <w:rsid w:val="00E40EA9"/>
    <w:rsid w:val="00E40FAC"/>
    <w:rsid w:val="00E41500"/>
    <w:rsid w:val="00E41752"/>
    <w:rsid w:val="00E417F1"/>
    <w:rsid w:val="00E421D6"/>
    <w:rsid w:val="00E42617"/>
    <w:rsid w:val="00E426DF"/>
    <w:rsid w:val="00E4278C"/>
    <w:rsid w:val="00E42B40"/>
    <w:rsid w:val="00E439A3"/>
    <w:rsid w:val="00E43E2D"/>
    <w:rsid w:val="00E446CA"/>
    <w:rsid w:val="00E4526D"/>
    <w:rsid w:val="00E45E5C"/>
    <w:rsid w:val="00E460C5"/>
    <w:rsid w:val="00E46A91"/>
    <w:rsid w:val="00E46CE3"/>
    <w:rsid w:val="00E46F86"/>
    <w:rsid w:val="00E475D3"/>
    <w:rsid w:val="00E50B9E"/>
    <w:rsid w:val="00E50D3A"/>
    <w:rsid w:val="00E51B7D"/>
    <w:rsid w:val="00E52027"/>
    <w:rsid w:val="00E52462"/>
    <w:rsid w:val="00E52780"/>
    <w:rsid w:val="00E527A3"/>
    <w:rsid w:val="00E52834"/>
    <w:rsid w:val="00E528C3"/>
    <w:rsid w:val="00E53556"/>
    <w:rsid w:val="00E53CF7"/>
    <w:rsid w:val="00E54B34"/>
    <w:rsid w:val="00E55324"/>
    <w:rsid w:val="00E57EE7"/>
    <w:rsid w:val="00E609C0"/>
    <w:rsid w:val="00E61167"/>
    <w:rsid w:val="00E615D7"/>
    <w:rsid w:val="00E619D4"/>
    <w:rsid w:val="00E6272B"/>
    <w:rsid w:val="00E6297D"/>
    <w:rsid w:val="00E62E79"/>
    <w:rsid w:val="00E630F6"/>
    <w:rsid w:val="00E64277"/>
    <w:rsid w:val="00E64854"/>
    <w:rsid w:val="00E64913"/>
    <w:rsid w:val="00E64D94"/>
    <w:rsid w:val="00E650EF"/>
    <w:rsid w:val="00E6541D"/>
    <w:rsid w:val="00E661D6"/>
    <w:rsid w:val="00E6661C"/>
    <w:rsid w:val="00E66B7A"/>
    <w:rsid w:val="00E66FF6"/>
    <w:rsid w:val="00E67234"/>
    <w:rsid w:val="00E67B39"/>
    <w:rsid w:val="00E67FF9"/>
    <w:rsid w:val="00E7036B"/>
    <w:rsid w:val="00E7044A"/>
    <w:rsid w:val="00E708D2"/>
    <w:rsid w:val="00E70B7D"/>
    <w:rsid w:val="00E70D5E"/>
    <w:rsid w:val="00E7106F"/>
    <w:rsid w:val="00E711AA"/>
    <w:rsid w:val="00E711EE"/>
    <w:rsid w:val="00E71FE4"/>
    <w:rsid w:val="00E728E0"/>
    <w:rsid w:val="00E72A86"/>
    <w:rsid w:val="00E73857"/>
    <w:rsid w:val="00E74885"/>
    <w:rsid w:val="00E74979"/>
    <w:rsid w:val="00E751EF"/>
    <w:rsid w:val="00E75256"/>
    <w:rsid w:val="00E75403"/>
    <w:rsid w:val="00E756E7"/>
    <w:rsid w:val="00E75B70"/>
    <w:rsid w:val="00E762F9"/>
    <w:rsid w:val="00E76569"/>
    <w:rsid w:val="00E7665C"/>
    <w:rsid w:val="00E76F55"/>
    <w:rsid w:val="00E76F5A"/>
    <w:rsid w:val="00E80056"/>
    <w:rsid w:val="00E801C9"/>
    <w:rsid w:val="00E806A3"/>
    <w:rsid w:val="00E807CB"/>
    <w:rsid w:val="00E80CF2"/>
    <w:rsid w:val="00E815DD"/>
    <w:rsid w:val="00E816F2"/>
    <w:rsid w:val="00E824FB"/>
    <w:rsid w:val="00E82E4A"/>
    <w:rsid w:val="00E834D7"/>
    <w:rsid w:val="00E837A5"/>
    <w:rsid w:val="00E84156"/>
    <w:rsid w:val="00E8487D"/>
    <w:rsid w:val="00E84E1D"/>
    <w:rsid w:val="00E86088"/>
    <w:rsid w:val="00E860F5"/>
    <w:rsid w:val="00E8618C"/>
    <w:rsid w:val="00E86219"/>
    <w:rsid w:val="00E86737"/>
    <w:rsid w:val="00E867CD"/>
    <w:rsid w:val="00E8713F"/>
    <w:rsid w:val="00E871E4"/>
    <w:rsid w:val="00E875AA"/>
    <w:rsid w:val="00E878D0"/>
    <w:rsid w:val="00E878DF"/>
    <w:rsid w:val="00E87DA2"/>
    <w:rsid w:val="00E902FF"/>
    <w:rsid w:val="00E90D76"/>
    <w:rsid w:val="00E91118"/>
    <w:rsid w:val="00E9134A"/>
    <w:rsid w:val="00E91488"/>
    <w:rsid w:val="00E9180C"/>
    <w:rsid w:val="00E91F1B"/>
    <w:rsid w:val="00E921CA"/>
    <w:rsid w:val="00E92A82"/>
    <w:rsid w:val="00E9371F"/>
    <w:rsid w:val="00E93883"/>
    <w:rsid w:val="00E94674"/>
    <w:rsid w:val="00E94959"/>
    <w:rsid w:val="00E94D00"/>
    <w:rsid w:val="00E94FC5"/>
    <w:rsid w:val="00E94FEE"/>
    <w:rsid w:val="00E9580D"/>
    <w:rsid w:val="00E958FB"/>
    <w:rsid w:val="00E95900"/>
    <w:rsid w:val="00E95E85"/>
    <w:rsid w:val="00E9688C"/>
    <w:rsid w:val="00E96E81"/>
    <w:rsid w:val="00E96EC9"/>
    <w:rsid w:val="00E97F36"/>
    <w:rsid w:val="00EA0FB2"/>
    <w:rsid w:val="00EA1848"/>
    <w:rsid w:val="00EA2913"/>
    <w:rsid w:val="00EA3197"/>
    <w:rsid w:val="00EA3949"/>
    <w:rsid w:val="00EA3B2F"/>
    <w:rsid w:val="00EA44B7"/>
    <w:rsid w:val="00EA4E00"/>
    <w:rsid w:val="00EA7C62"/>
    <w:rsid w:val="00EB0EB9"/>
    <w:rsid w:val="00EB1322"/>
    <w:rsid w:val="00EB15A5"/>
    <w:rsid w:val="00EB270A"/>
    <w:rsid w:val="00EB29E7"/>
    <w:rsid w:val="00EB4E41"/>
    <w:rsid w:val="00EB5046"/>
    <w:rsid w:val="00EB57F9"/>
    <w:rsid w:val="00EB584D"/>
    <w:rsid w:val="00EB5DD2"/>
    <w:rsid w:val="00EB728F"/>
    <w:rsid w:val="00EB7380"/>
    <w:rsid w:val="00EB7F7F"/>
    <w:rsid w:val="00EC044C"/>
    <w:rsid w:val="00EC21C0"/>
    <w:rsid w:val="00EC2507"/>
    <w:rsid w:val="00EC3C9D"/>
    <w:rsid w:val="00EC3E19"/>
    <w:rsid w:val="00EC4B3E"/>
    <w:rsid w:val="00EC592D"/>
    <w:rsid w:val="00EC6088"/>
    <w:rsid w:val="00EC67B1"/>
    <w:rsid w:val="00EC6A36"/>
    <w:rsid w:val="00EC6F70"/>
    <w:rsid w:val="00EC7E8A"/>
    <w:rsid w:val="00ED00C9"/>
    <w:rsid w:val="00ED08E7"/>
    <w:rsid w:val="00ED115F"/>
    <w:rsid w:val="00ED1DB7"/>
    <w:rsid w:val="00ED2175"/>
    <w:rsid w:val="00ED5258"/>
    <w:rsid w:val="00ED5836"/>
    <w:rsid w:val="00ED5E1B"/>
    <w:rsid w:val="00ED6007"/>
    <w:rsid w:val="00ED6FD6"/>
    <w:rsid w:val="00EE0C1F"/>
    <w:rsid w:val="00EE11AC"/>
    <w:rsid w:val="00EE15BD"/>
    <w:rsid w:val="00EE16D3"/>
    <w:rsid w:val="00EE20CF"/>
    <w:rsid w:val="00EE260F"/>
    <w:rsid w:val="00EE3090"/>
    <w:rsid w:val="00EE3644"/>
    <w:rsid w:val="00EE3AC2"/>
    <w:rsid w:val="00EE3C1A"/>
    <w:rsid w:val="00EE3F11"/>
    <w:rsid w:val="00EE486F"/>
    <w:rsid w:val="00EE524D"/>
    <w:rsid w:val="00EE5A66"/>
    <w:rsid w:val="00EE5AD1"/>
    <w:rsid w:val="00EE6939"/>
    <w:rsid w:val="00EE7B86"/>
    <w:rsid w:val="00EF06CB"/>
    <w:rsid w:val="00EF0886"/>
    <w:rsid w:val="00EF08B8"/>
    <w:rsid w:val="00EF0D6F"/>
    <w:rsid w:val="00EF0E9A"/>
    <w:rsid w:val="00EF261A"/>
    <w:rsid w:val="00EF2884"/>
    <w:rsid w:val="00EF2D56"/>
    <w:rsid w:val="00EF3B0C"/>
    <w:rsid w:val="00EF3CD8"/>
    <w:rsid w:val="00EF4740"/>
    <w:rsid w:val="00EF4FE8"/>
    <w:rsid w:val="00EF5157"/>
    <w:rsid w:val="00EF5764"/>
    <w:rsid w:val="00EF5821"/>
    <w:rsid w:val="00EF6263"/>
    <w:rsid w:val="00EF7376"/>
    <w:rsid w:val="00EF7E08"/>
    <w:rsid w:val="00EF7F30"/>
    <w:rsid w:val="00F00DC0"/>
    <w:rsid w:val="00F01155"/>
    <w:rsid w:val="00F02496"/>
    <w:rsid w:val="00F0344E"/>
    <w:rsid w:val="00F03BAA"/>
    <w:rsid w:val="00F042FA"/>
    <w:rsid w:val="00F0678A"/>
    <w:rsid w:val="00F06AC2"/>
    <w:rsid w:val="00F06F84"/>
    <w:rsid w:val="00F06F97"/>
    <w:rsid w:val="00F07F31"/>
    <w:rsid w:val="00F114EB"/>
    <w:rsid w:val="00F11907"/>
    <w:rsid w:val="00F12DDF"/>
    <w:rsid w:val="00F132C9"/>
    <w:rsid w:val="00F13B08"/>
    <w:rsid w:val="00F1404D"/>
    <w:rsid w:val="00F14B17"/>
    <w:rsid w:val="00F14DE8"/>
    <w:rsid w:val="00F14E5C"/>
    <w:rsid w:val="00F15425"/>
    <w:rsid w:val="00F15E17"/>
    <w:rsid w:val="00F200E0"/>
    <w:rsid w:val="00F208B5"/>
    <w:rsid w:val="00F21562"/>
    <w:rsid w:val="00F21ED5"/>
    <w:rsid w:val="00F220DC"/>
    <w:rsid w:val="00F2303C"/>
    <w:rsid w:val="00F23672"/>
    <w:rsid w:val="00F23A7B"/>
    <w:rsid w:val="00F23BEF"/>
    <w:rsid w:val="00F2418F"/>
    <w:rsid w:val="00F24200"/>
    <w:rsid w:val="00F251B0"/>
    <w:rsid w:val="00F255C9"/>
    <w:rsid w:val="00F2617D"/>
    <w:rsid w:val="00F277DA"/>
    <w:rsid w:val="00F27BD1"/>
    <w:rsid w:val="00F30B6D"/>
    <w:rsid w:val="00F310E4"/>
    <w:rsid w:val="00F31F23"/>
    <w:rsid w:val="00F32390"/>
    <w:rsid w:val="00F33452"/>
    <w:rsid w:val="00F338BA"/>
    <w:rsid w:val="00F341AA"/>
    <w:rsid w:val="00F35684"/>
    <w:rsid w:val="00F357A4"/>
    <w:rsid w:val="00F357D4"/>
    <w:rsid w:val="00F36825"/>
    <w:rsid w:val="00F36885"/>
    <w:rsid w:val="00F3783E"/>
    <w:rsid w:val="00F3785F"/>
    <w:rsid w:val="00F40A21"/>
    <w:rsid w:val="00F41E5A"/>
    <w:rsid w:val="00F43C0B"/>
    <w:rsid w:val="00F43C6D"/>
    <w:rsid w:val="00F446AC"/>
    <w:rsid w:val="00F45984"/>
    <w:rsid w:val="00F463DD"/>
    <w:rsid w:val="00F477B6"/>
    <w:rsid w:val="00F50132"/>
    <w:rsid w:val="00F50792"/>
    <w:rsid w:val="00F51B16"/>
    <w:rsid w:val="00F52189"/>
    <w:rsid w:val="00F5292B"/>
    <w:rsid w:val="00F52D66"/>
    <w:rsid w:val="00F52F91"/>
    <w:rsid w:val="00F53E77"/>
    <w:rsid w:val="00F53F97"/>
    <w:rsid w:val="00F5490C"/>
    <w:rsid w:val="00F54A6A"/>
    <w:rsid w:val="00F5569E"/>
    <w:rsid w:val="00F560CA"/>
    <w:rsid w:val="00F5619C"/>
    <w:rsid w:val="00F56358"/>
    <w:rsid w:val="00F56ADE"/>
    <w:rsid w:val="00F57293"/>
    <w:rsid w:val="00F5773D"/>
    <w:rsid w:val="00F57CD0"/>
    <w:rsid w:val="00F57E3B"/>
    <w:rsid w:val="00F608BB"/>
    <w:rsid w:val="00F60EB1"/>
    <w:rsid w:val="00F618CE"/>
    <w:rsid w:val="00F6236C"/>
    <w:rsid w:val="00F624B3"/>
    <w:rsid w:val="00F62EC6"/>
    <w:rsid w:val="00F63A91"/>
    <w:rsid w:val="00F64169"/>
    <w:rsid w:val="00F64279"/>
    <w:rsid w:val="00F646E8"/>
    <w:rsid w:val="00F651A3"/>
    <w:rsid w:val="00F65D8A"/>
    <w:rsid w:val="00F663EF"/>
    <w:rsid w:val="00F673BB"/>
    <w:rsid w:val="00F70E48"/>
    <w:rsid w:val="00F70FB2"/>
    <w:rsid w:val="00F7222B"/>
    <w:rsid w:val="00F73293"/>
    <w:rsid w:val="00F732C2"/>
    <w:rsid w:val="00F7339C"/>
    <w:rsid w:val="00F74F74"/>
    <w:rsid w:val="00F7572E"/>
    <w:rsid w:val="00F75A1D"/>
    <w:rsid w:val="00F76180"/>
    <w:rsid w:val="00F762B1"/>
    <w:rsid w:val="00F76F31"/>
    <w:rsid w:val="00F80105"/>
    <w:rsid w:val="00F809EC"/>
    <w:rsid w:val="00F80C96"/>
    <w:rsid w:val="00F810FB"/>
    <w:rsid w:val="00F81E92"/>
    <w:rsid w:val="00F82031"/>
    <w:rsid w:val="00F829A0"/>
    <w:rsid w:val="00F83264"/>
    <w:rsid w:val="00F83730"/>
    <w:rsid w:val="00F84344"/>
    <w:rsid w:val="00F84765"/>
    <w:rsid w:val="00F848AA"/>
    <w:rsid w:val="00F84B2D"/>
    <w:rsid w:val="00F85308"/>
    <w:rsid w:val="00F85A19"/>
    <w:rsid w:val="00F85CC1"/>
    <w:rsid w:val="00F86B60"/>
    <w:rsid w:val="00F86C8B"/>
    <w:rsid w:val="00F8703B"/>
    <w:rsid w:val="00F878FF"/>
    <w:rsid w:val="00F87D25"/>
    <w:rsid w:val="00F90474"/>
    <w:rsid w:val="00F907DF"/>
    <w:rsid w:val="00F90B50"/>
    <w:rsid w:val="00F90BC1"/>
    <w:rsid w:val="00F91344"/>
    <w:rsid w:val="00F9176F"/>
    <w:rsid w:val="00F92026"/>
    <w:rsid w:val="00F922F1"/>
    <w:rsid w:val="00F9267C"/>
    <w:rsid w:val="00F92ACF"/>
    <w:rsid w:val="00F92B83"/>
    <w:rsid w:val="00F934AB"/>
    <w:rsid w:val="00F93630"/>
    <w:rsid w:val="00F9393E"/>
    <w:rsid w:val="00F93D94"/>
    <w:rsid w:val="00F93FC4"/>
    <w:rsid w:val="00F95061"/>
    <w:rsid w:val="00F95EA7"/>
    <w:rsid w:val="00F97F62"/>
    <w:rsid w:val="00FA0123"/>
    <w:rsid w:val="00FA02D2"/>
    <w:rsid w:val="00FA1078"/>
    <w:rsid w:val="00FA1A88"/>
    <w:rsid w:val="00FA1BF0"/>
    <w:rsid w:val="00FA46B8"/>
    <w:rsid w:val="00FA499A"/>
    <w:rsid w:val="00FA4FA8"/>
    <w:rsid w:val="00FA50BB"/>
    <w:rsid w:val="00FA5457"/>
    <w:rsid w:val="00FA56C0"/>
    <w:rsid w:val="00FA59E7"/>
    <w:rsid w:val="00FA6E1B"/>
    <w:rsid w:val="00FA74EA"/>
    <w:rsid w:val="00FA74EE"/>
    <w:rsid w:val="00FA76C8"/>
    <w:rsid w:val="00FB06E6"/>
    <w:rsid w:val="00FB0AC1"/>
    <w:rsid w:val="00FB20C9"/>
    <w:rsid w:val="00FB2370"/>
    <w:rsid w:val="00FB247A"/>
    <w:rsid w:val="00FB2AF7"/>
    <w:rsid w:val="00FB3470"/>
    <w:rsid w:val="00FB3A58"/>
    <w:rsid w:val="00FB4379"/>
    <w:rsid w:val="00FB48F5"/>
    <w:rsid w:val="00FB5BB4"/>
    <w:rsid w:val="00FB5C22"/>
    <w:rsid w:val="00FB617D"/>
    <w:rsid w:val="00FB68B3"/>
    <w:rsid w:val="00FB7017"/>
    <w:rsid w:val="00FB7505"/>
    <w:rsid w:val="00FB79AD"/>
    <w:rsid w:val="00FB7A40"/>
    <w:rsid w:val="00FC0818"/>
    <w:rsid w:val="00FC081F"/>
    <w:rsid w:val="00FC0C9D"/>
    <w:rsid w:val="00FC1341"/>
    <w:rsid w:val="00FC29FF"/>
    <w:rsid w:val="00FC2F19"/>
    <w:rsid w:val="00FC3B3E"/>
    <w:rsid w:val="00FC3C30"/>
    <w:rsid w:val="00FC3DA6"/>
    <w:rsid w:val="00FC3E5D"/>
    <w:rsid w:val="00FC51EE"/>
    <w:rsid w:val="00FC5656"/>
    <w:rsid w:val="00FC5770"/>
    <w:rsid w:val="00FC5CBF"/>
    <w:rsid w:val="00FC5E4F"/>
    <w:rsid w:val="00FC5FD0"/>
    <w:rsid w:val="00FC61CD"/>
    <w:rsid w:val="00FC620F"/>
    <w:rsid w:val="00FC63F0"/>
    <w:rsid w:val="00FC76C1"/>
    <w:rsid w:val="00FD016B"/>
    <w:rsid w:val="00FD1746"/>
    <w:rsid w:val="00FD1B0B"/>
    <w:rsid w:val="00FD356E"/>
    <w:rsid w:val="00FD4C63"/>
    <w:rsid w:val="00FD4D1A"/>
    <w:rsid w:val="00FD4E0E"/>
    <w:rsid w:val="00FD5225"/>
    <w:rsid w:val="00FD5513"/>
    <w:rsid w:val="00FD576F"/>
    <w:rsid w:val="00FD5D37"/>
    <w:rsid w:val="00FD5ED1"/>
    <w:rsid w:val="00FD6383"/>
    <w:rsid w:val="00FD6EE2"/>
    <w:rsid w:val="00FD7A59"/>
    <w:rsid w:val="00FE010F"/>
    <w:rsid w:val="00FE0807"/>
    <w:rsid w:val="00FE0CEF"/>
    <w:rsid w:val="00FE0FB7"/>
    <w:rsid w:val="00FE1327"/>
    <w:rsid w:val="00FE18E8"/>
    <w:rsid w:val="00FE21D0"/>
    <w:rsid w:val="00FE25CC"/>
    <w:rsid w:val="00FE28E7"/>
    <w:rsid w:val="00FE2E1C"/>
    <w:rsid w:val="00FE2F13"/>
    <w:rsid w:val="00FE30AE"/>
    <w:rsid w:val="00FE3B23"/>
    <w:rsid w:val="00FE40C5"/>
    <w:rsid w:val="00FE5538"/>
    <w:rsid w:val="00FE5B33"/>
    <w:rsid w:val="00FE61BA"/>
    <w:rsid w:val="00FE6366"/>
    <w:rsid w:val="00FE6DD0"/>
    <w:rsid w:val="00FF133E"/>
    <w:rsid w:val="00FF2A9A"/>
    <w:rsid w:val="00FF3069"/>
    <w:rsid w:val="00FF30F5"/>
    <w:rsid w:val="00FF39A0"/>
    <w:rsid w:val="00FF4658"/>
    <w:rsid w:val="00FF4A22"/>
    <w:rsid w:val="00FF5F6C"/>
    <w:rsid w:val="00FF7555"/>
    <w:rsid w:val="00FF7653"/>
    <w:rsid w:val="00FF7EF9"/>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2C4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sz w:val="24"/>
        <w:szCs w:val="24"/>
        <w:bdr w:val="nil"/>
        <w:lang w:val="lt-LT" w:eastAsia="lt-L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480" w:lineRule="auto"/>
    </w:pPr>
    <w:rPr>
      <w:rFonts w:eastAsia="Times New Roman"/>
      <w:color w:val="000000"/>
      <w:u w:color="000000"/>
      <w:lang w:val="en-US"/>
    </w:rPr>
  </w:style>
  <w:style w:type="paragraph" w:styleId="Heading1">
    <w:name w:val="heading 1"/>
    <w:basedOn w:val="Normal"/>
    <w:next w:val="Normal"/>
    <w:link w:val="Heading1Char"/>
    <w:uiPriority w:val="9"/>
    <w:qFormat/>
    <w:rsid w:val="00CC53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9355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82355F"/>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40" w:lineRule="auto"/>
      <w:outlineLvl w:val="2"/>
    </w:pPr>
    <w:rPr>
      <w:b/>
      <w:bCs/>
      <w:color w:val="auto"/>
      <w:sz w:val="27"/>
      <w:szCs w:val="27"/>
      <w:bdr w:val="none" w:sz="0" w:space="0" w:color="auto"/>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right" w:pos="8640"/>
        <w:tab w:val="right" w:pos="9360"/>
      </w:tabs>
      <w:suppressAutoHyphens/>
      <w:spacing w:line="480" w:lineRule="auto"/>
    </w:pPr>
    <w:rPr>
      <w:rFonts w:hAnsi="Arial Unicode MS" w:cs="Arial Unicode MS"/>
      <w:color w:val="000000"/>
      <w:u w:color="000000"/>
      <w:lang w:val="en-US"/>
    </w:rPr>
  </w:style>
  <w:style w:type="paragraph" w:customStyle="1" w:styleId="HeaderFooter">
    <w:name w:val="Header &amp; Footer"/>
    <w:pPr>
      <w:tabs>
        <w:tab w:val="right" w:pos="9020"/>
      </w:tabs>
    </w:pPr>
    <w:rPr>
      <w:rFonts w:ascii="Helvetica" w:eastAsia="Helvetica" w:hAnsi="Helvetica" w:cs="Helvetica"/>
      <w:color w:val="000000"/>
    </w:rPr>
  </w:style>
  <w:style w:type="paragraph" w:customStyle="1" w:styleId="AbstractText">
    <w:name w:val="Abstract Text"/>
    <w:pPr>
      <w:suppressAutoHyphens/>
      <w:spacing w:line="480" w:lineRule="auto"/>
    </w:pPr>
    <w:rPr>
      <w:rFonts w:hAnsi="Arial Unicode MS" w:cs="Arial Unicode MS"/>
      <w:color w:val="000000"/>
      <w:u w:color="000000"/>
      <w:lang w:val="en-US"/>
    </w:rPr>
  </w:style>
  <w:style w:type="paragraph" w:customStyle="1" w:styleId="Default">
    <w:name w:val="Default"/>
    <w:rPr>
      <w:rFonts w:ascii="Helvetica" w:eastAsia="Helvetica" w:hAnsi="Helvetica" w:cs="Helvetica"/>
      <w:color w:val="000000"/>
      <w:sz w:val="22"/>
      <w:szCs w:val="22"/>
    </w:rPr>
  </w:style>
  <w:style w:type="paragraph" w:styleId="BodyText">
    <w:name w:val="Body Text"/>
    <w:link w:val="BodyTextChar"/>
    <w:pPr>
      <w:suppressAutoHyphens/>
      <w:spacing w:line="480" w:lineRule="auto"/>
      <w:ind w:firstLine="720"/>
    </w:pPr>
    <w:rPr>
      <w:rFonts w:hAnsi="Arial Unicode MS" w:cs="Arial Unicode MS"/>
      <w:color w:val="000000"/>
      <w:u w:color="000000"/>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imes New Roman"/>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847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75E"/>
    <w:rPr>
      <w:rFonts w:ascii="Tahoma" w:eastAsia="Times New Roman" w:hAnsi="Tahoma" w:cs="Tahoma"/>
      <w:color w:val="000000"/>
      <w:sz w:val="16"/>
      <w:szCs w:val="16"/>
      <w:u w:color="000000"/>
      <w:lang w:val="en-US"/>
    </w:rPr>
  </w:style>
  <w:style w:type="paragraph" w:styleId="CommentSubject">
    <w:name w:val="annotation subject"/>
    <w:basedOn w:val="CommentText"/>
    <w:next w:val="CommentText"/>
    <w:link w:val="CommentSubjectChar"/>
    <w:uiPriority w:val="99"/>
    <w:semiHidden/>
    <w:unhideWhenUsed/>
    <w:rsid w:val="0048475E"/>
    <w:rPr>
      <w:b/>
      <w:bCs/>
    </w:rPr>
  </w:style>
  <w:style w:type="character" w:customStyle="1" w:styleId="CommentSubjectChar">
    <w:name w:val="Comment Subject Char"/>
    <w:basedOn w:val="CommentTextChar"/>
    <w:link w:val="CommentSubject"/>
    <w:uiPriority w:val="99"/>
    <w:semiHidden/>
    <w:rsid w:val="0048475E"/>
    <w:rPr>
      <w:rFonts w:eastAsia="Times New Roman"/>
      <w:b/>
      <w:bCs/>
      <w:color w:val="000000"/>
      <w:u w:color="000000"/>
      <w:lang w:val="en-US"/>
    </w:rPr>
  </w:style>
  <w:style w:type="paragraph" w:styleId="Footer">
    <w:name w:val="footer"/>
    <w:basedOn w:val="Normal"/>
    <w:link w:val="FooterChar"/>
    <w:uiPriority w:val="99"/>
    <w:unhideWhenUsed/>
    <w:rsid w:val="00467532"/>
    <w:pPr>
      <w:tabs>
        <w:tab w:val="center" w:pos="4819"/>
        <w:tab w:val="right" w:pos="9638"/>
      </w:tabs>
      <w:spacing w:line="240" w:lineRule="auto"/>
    </w:pPr>
  </w:style>
  <w:style w:type="character" w:customStyle="1" w:styleId="FooterChar">
    <w:name w:val="Footer Char"/>
    <w:basedOn w:val="DefaultParagraphFont"/>
    <w:link w:val="Footer"/>
    <w:uiPriority w:val="99"/>
    <w:rsid w:val="00467532"/>
    <w:rPr>
      <w:rFonts w:eastAsia="Times New Roman"/>
      <w:color w:val="000000"/>
      <w:sz w:val="24"/>
      <w:szCs w:val="24"/>
      <w:u w:color="000000"/>
      <w:lang w:val="en-US"/>
    </w:rPr>
  </w:style>
  <w:style w:type="character" w:customStyle="1" w:styleId="None">
    <w:name w:val="None"/>
    <w:rsid w:val="007A4173"/>
  </w:style>
  <w:style w:type="character" w:customStyle="1" w:styleId="Hyperlink0">
    <w:name w:val="Hyperlink.0"/>
    <w:basedOn w:val="None"/>
    <w:rsid w:val="00385D8C"/>
    <w:rPr>
      <w:sz w:val="20"/>
      <w:szCs w:val="20"/>
      <w:shd w:val="clear" w:color="auto" w:fill="FFFF00"/>
      <w:lang w:val="en-US"/>
    </w:rPr>
  </w:style>
  <w:style w:type="character" w:customStyle="1" w:styleId="Hyperlink1">
    <w:name w:val="Hyperlink.1"/>
    <w:basedOn w:val="None"/>
    <w:rsid w:val="00385D8C"/>
    <w:rPr>
      <w:i/>
      <w:iCs/>
      <w:sz w:val="20"/>
      <w:szCs w:val="20"/>
      <w:shd w:val="clear" w:color="auto" w:fill="FFFF00"/>
    </w:rPr>
  </w:style>
  <w:style w:type="character" w:customStyle="1" w:styleId="Hyperlink2">
    <w:name w:val="Hyperlink.2"/>
    <w:basedOn w:val="None"/>
    <w:rsid w:val="00385D8C"/>
    <w:rPr>
      <w:shd w:val="clear" w:color="auto" w:fill="FFFF00"/>
      <w:lang w:val="en-US"/>
    </w:rPr>
  </w:style>
  <w:style w:type="character" w:customStyle="1" w:styleId="Hyperlink3">
    <w:name w:val="Hyperlink.3"/>
    <w:basedOn w:val="None"/>
    <w:rsid w:val="00385D8C"/>
    <w:rPr>
      <w:sz w:val="20"/>
      <w:szCs w:val="20"/>
      <w:shd w:val="clear" w:color="auto" w:fill="FFFF00"/>
      <w:lang w:val="en-US"/>
    </w:rPr>
  </w:style>
  <w:style w:type="character" w:customStyle="1" w:styleId="apple-converted-space">
    <w:name w:val="apple-converted-space"/>
    <w:basedOn w:val="DefaultParagraphFont"/>
    <w:rsid w:val="00D9075D"/>
  </w:style>
  <w:style w:type="paragraph" w:styleId="NormalWeb">
    <w:name w:val="Normal (Web)"/>
    <w:basedOn w:val="Normal"/>
    <w:uiPriority w:val="99"/>
    <w:unhideWhenUsed/>
    <w:rsid w:val="00996068"/>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40" w:lineRule="auto"/>
    </w:pPr>
    <w:rPr>
      <w:color w:val="auto"/>
      <w:bdr w:val="none" w:sz="0" w:space="0" w:color="auto"/>
      <w:lang w:val="lt-LT"/>
    </w:rPr>
  </w:style>
  <w:style w:type="paragraph" w:customStyle="1" w:styleId="abstract">
    <w:name w:val="abstract"/>
    <w:basedOn w:val="Normal"/>
    <w:uiPriority w:val="99"/>
    <w:rsid w:val="00C1550B"/>
    <w:pPr>
      <w:pBdr>
        <w:top w:val="none" w:sz="0" w:space="0" w:color="auto"/>
        <w:left w:val="none" w:sz="0" w:space="0" w:color="auto"/>
        <w:bottom w:val="none" w:sz="0" w:space="0" w:color="auto"/>
        <w:right w:val="none" w:sz="0" w:space="0" w:color="auto"/>
        <w:between w:val="none" w:sz="0" w:space="0" w:color="auto"/>
        <w:bar w:val="none" w:sz="0" w:color="auto"/>
      </w:pBdr>
      <w:spacing w:before="120"/>
    </w:pPr>
    <w:rPr>
      <w:color w:val="auto"/>
      <w:kern w:val="1"/>
      <w:sz w:val="20"/>
      <w:bdr w:val="none" w:sz="0" w:space="0" w:color="auto"/>
      <w:lang w:eastAsia="ar-SA"/>
    </w:rPr>
  </w:style>
  <w:style w:type="paragraph" w:styleId="ListParagraph">
    <w:name w:val="List Paragraph"/>
    <w:basedOn w:val="Normal"/>
    <w:uiPriority w:val="34"/>
    <w:qFormat/>
    <w:rsid w:val="007827BC"/>
    <w:pPr>
      <w:ind w:left="720"/>
      <w:contextualSpacing/>
    </w:pPr>
  </w:style>
  <w:style w:type="paragraph" w:styleId="HTMLPreformatted">
    <w:name w:val="HTML Preformatted"/>
    <w:basedOn w:val="Normal"/>
    <w:link w:val="HTMLPreformattedChar"/>
    <w:uiPriority w:val="99"/>
    <w:semiHidden/>
    <w:unhideWhenUsed/>
    <w:rsid w:val="0096528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color w:val="auto"/>
      <w:sz w:val="20"/>
      <w:szCs w:val="20"/>
      <w:bdr w:val="none" w:sz="0" w:space="0" w:color="auto"/>
      <w:lang w:val="lt-LT"/>
    </w:rPr>
  </w:style>
  <w:style w:type="character" w:customStyle="1" w:styleId="HTMLPreformattedChar">
    <w:name w:val="HTML Preformatted Char"/>
    <w:basedOn w:val="DefaultParagraphFont"/>
    <w:link w:val="HTMLPreformatted"/>
    <w:uiPriority w:val="99"/>
    <w:semiHidden/>
    <w:rsid w:val="0096528E"/>
    <w:rPr>
      <w:rFonts w:ascii="Courier New" w:eastAsia="Times New Roman" w:hAnsi="Courier New" w:cs="Courier New"/>
      <w:bdr w:val="none" w:sz="0" w:space="0" w:color="auto"/>
    </w:rPr>
  </w:style>
  <w:style w:type="character" w:customStyle="1" w:styleId="Heading3Char">
    <w:name w:val="Heading 3 Char"/>
    <w:basedOn w:val="DefaultParagraphFont"/>
    <w:link w:val="Heading3"/>
    <w:uiPriority w:val="9"/>
    <w:rsid w:val="0082355F"/>
    <w:rPr>
      <w:rFonts w:eastAsia="Times New Roman"/>
      <w:b/>
      <w:bCs/>
      <w:sz w:val="27"/>
      <w:szCs w:val="27"/>
      <w:bdr w:val="none" w:sz="0" w:space="0" w:color="auto"/>
    </w:rPr>
  </w:style>
  <w:style w:type="paragraph" w:customStyle="1" w:styleId="diser">
    <w:name w:val="diser"/>
    <w:basedOn w:val="Normal"/>
    <w:link w:val="diserChar"/>
    <w:qFormat/>
    <w:rsid w:val="00573819"/>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360" w:lineRule="auto"/>
      <w:ind w:firstLine="567"/>
      <w:jc w:val="both"/>
    </w:pPr>
    <w:rPr>
      <w:sz w:val="26"/>
      <w:bdr w:val="none" w:sz="0" w:space="0" w:color="auto"/>
      <w:lang w:val="lt-LT"/>
    </w:rPr>
  </w:style>
  <w:style w:type="character" w:customStyle="1" w:styleId="diserChar">
    <w:name w:val="diser Char"/>
    <w:link w:val="diser"/>
    <w:rsid w:val="00573819"/>
    <w:rPr>
      <w:rFonts w:eastAsia="Times New Roman"/>
      <w:color w:val="000000"/>
      <w:sz w:val="26"/>
      <w:bdr w:val="none" w:sz="0" w:space="0" w:color="auto"/>
    </w:rPr>
  </w:style>
  <w:style w:type="character" w:customStyle="1" w:styleId="BodyTextChar">
    <w:name w:val="Body Text Char"/>
    <w:basedOn w:val="DefaultParagraphFont"/>
    <w:link w:val="BodyText"/>
    <w:rsid w:val="007E6CF0"/>
    <w:rPr>
      <w:rFonts w:hAnsi="Arial Unicode MS" w:cs="Arial Unicode MS"/>
      <w:color w:val="000000"/>
      <w:u w:color="000000"/>
      <w:lang w:val="en-US"/>
    </w:rPr>
  </w:style>
  <w:style w:type="character" w:customStyle="1" w:styleId="apple-tab-span">
    <w:name w:val="apple-tab-span"/>
    <w:basedOn w:val="DefaultParagraphFont"/>
    <w:rsid w:val="004F45E8"/>
  </w:style>
  <w:style w:type="table" w:styleId="TableGrid">
    <w:name w:val="Table Grid"/>
    <w:basedOn w:val="TableNormal"/>
    <w:uiPriority w:val="39"/>
    <w:rsid w:val="00F8703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40B0B"/>
  </w:style>
  <w:style w:type="paragraph" w:customStyle="1" w:styleId="Tabletitle">
    <w:name w:val="Table title"/>
    <w:basedOn w:val="Normal"/>
    <w:next w:val="Normal"/>
    <w:qFormat/>
    <w:rsid w:val="002C1970"/>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line="360" w:lineRule="auto"/>
    </w:pPr>
    <w:rPr>
      <w:color w:val="auto"/>
      <w:bdr w:val="none" w:sz="0" w:space="0" w:color="auto"/>
      <w:lang w:val="en-GB" w:eastAsia="en-GB"/>
    </w:rPr>
  </w:style>
  <w:style w:type="paragraph" w:customStyle="1" w:styleId="Newparagraph">
    <w:name w:val="New paragraph"/>
    <w:basedOn w:val="Normal"/>
    <w:qFormat/>
    <w:rsid w:val="002C1970"/>
    <w:pPr>
      <w:pBdr>
        <w:top w:val="none" w:sz="0" w:space="0" w:color="auto"/>
        <w:left w:val="none" w:sz="0" w:space="0" w:color="auto"/>
        <w:bottom w:val="none" w:sz="0" w:space="0" w:color="auto"/>
        <w:right w:val="none" w:sz="0" w:space="0" w:color="auto"/>
        <w:between w:val="none" w:sz="0" w:space="0" w:color="auto"/>
        <w:bar w:val="none" w:sz="0" w:color="auto"/>
      </w:pBdr>
      <w:suppressAutoHyphens w:val="0"/>
      <w:ind w:firstLine="720"/>
    </w:pPr>
    <w:rPr>
      <w:color w:val="auto"/>
      <w:bdr w:val="none" w:sz="0" w:space="0" w:color="auto"/>
      <w:lang w:val="en-GB" w:eastAsia="en-GB"/>
    </w:rPr>
  </w:style>
  <w:style w:type="character" w:customStyle="1" w:styleId="Heading1Char">
    <w:name w:val="Heading 1 Char"/>
    <w:basedOn w:val="DefaultParagraphFont"/>
    <w:link w:val="Heading1"/>
    <w:uiPriority w:val="9"/>
    <w:rsid w:val="00CC53C8"/>
    <w:rPr>
      <w:rFonts w:asciiTheme="majorHAnsi" w:eastAsiaTheme="majorEastAsia" w:hAnsiTheme="majorHAnsi" w:cstheme="majorBidi"/>
      <w:color w:val="365F91" w:themeColor="accent1" w:themeShade="BF"/>
      <w:sz w:val="32"/>
      <w:szCs w:val="32"/>
      <w:u w:color="000000"/>
      <w:lang w:val="en-US"/>
    </w:rPr>
  </w:style>
  <w:style w:type="paragraph" w:styleId="Revision">
    <w:name w:val="Revision"/>
    <w:hidden/>
    <w:uiPriority w:val="99"/>
    <w:semiHidden/>
    <w:rsid w:val="006A031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u w:color="000000"/>
      <w:lang w:val="en-US"/>
    </w:rPr>
  </w:style>
  <w:style w:type="character" w:customStyle="1" w:styleId="Heading2Char">
    <w:name w:val="Heading 2 Char"/>
    <w:basedOn w:val="DefaultParagraphFont"/>
    <w:link w:val="Heading2"/>
    <w:uiPriority w:val="9"/>
    <w:rsid w:val="0079355C"/>
    <w:rPr>
      <w:rFonts w:asciiTheme="majorHAnsi" w:eastAsiaTheme="majorEastAsia" w:hAnsiTheme="majorHAnsi" w:cstheme="majorBidi"/>
      <w:color w:val="365F91" w:themeColor="accent1" w:themeShade="BF"/>
      <w:sz w:val="26"/>
      <w:szCs w:val="26"/>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59382">
      <w:bodyDiv w:val="1"/>
      <w:marLeft w:val="0"/>
      <w:marRight w:val="0"/>
      <w:marTop w:val="0"/>
      <w:marBottom w:val="0"/>
      <w:divBdr>
        <w:top w:val="none" w:sz="0" w:space="0" w:color="auto"/>
        <w:left w:val="none" w:sz="0" w:space="0" w:color="auto"/>
        <w:bottom w:val="none" w:sz="0" w:space="0" w:color="auto"/>
        <w:right w:val="none" w:sz="0" w:space="0" w:color="auto"/>
      </w:divBdr>
      <w:divsChild>
        <w:div w:id="1687946001">
          <w:marLeft w:val="0"/>
          <w:marRight w:val="0"/>
          <w:marTop w:val="0"/>
          <w:marBottom w:val="0"/>
          <w:divBdr>
            <w:top w:val="none" w:sz="0" w:space="0" w:color="auto"/>
            <w:left w:val="none" w:sz="0" w:space="0" w:color="auto"/>
            <w:bottom w:val="none" w:sz="0" w:space="0" w:color="auto"/>
            <w:right w:val="none" w:sz="0" w:space="0" w:color="auto"/>
          </w:divBdr>
        </w:div>
        <w:div w:id="2052681140">
          <w:marLeft w:val="0"/>
          <w:marRight w:val="0"/>
          <w:marTop w:val="0"/>
          <w:marBottom w:val="0"/>
          <w:divBdr>
            <w:top w:val="none" w:sz="0" w:space="0" w:color="auto"/>
            <w:left w:val="none" w:sz="0" w:space="0" w:color="auto"/>
            <w:bottom w:val="none" w:sz="0" w:space="0" w:color="auto"/>
            <w:right w:val="none" w:sz="0" w:space="0" w:color="auto"/>
          </w:divBdr>
          <w:divsChild>
            <w:div w:id="122121906">
              <w:marLeft w:val="0"/>
              <w:marRight w:val="0"/>
              <w:marTop w:val="0"/>
              <w:marBottom w:val="0"/>
              <w:divBdr>
                <w:top w:val="none" w:sz="0" w:space="0" w:color="auto"/>
                <w:left w:val="none" w:sz="0" w:space="0" w:color="auto"/>
                <w:bottom w:val="none" w:sz="0" w:space="0" w:color="auto"/>
                <w:right w:val="none" w:sz="0" w:space="0" w:color="auto"/>
              </w:divBdr>
            </w:div>
            <w:div w:id="316422210">
              <w:marLeft w:val="0"/>
              <w:marRight w:val="0"/>
              <w:marTop w:val="0"/>
              <w:marBottom w:val="0"/>
              <w:divBdr>
                <w:top w:val="none" w:sz="0" w:space="0" w:color="auto"/>
                <w:left w:val="none" w:sz="0" w:space="0" w:color="auto"/>
                <w:bottom w:val="none" w:sz="0" w:space="0" w:color="auto"/>
                <w:right w:val="none" w:sz="0" w:space="0" w:color="auto"/>
              </w:divBdr>
              <w:divsChild>
                <w:div w:id="1822770777">
                  <w:marLeft w:val="0"/>
                  <w:marRight w:val="0"/>
                  <w:marTop w:val="0"/>
                  <w:marBottom w:val="0"/>
                  <w:divBdr>
                    <w:top w:val="none" w:sz="0" w:space="0" w:color="auto"/>
                    <w:left w:val="none" w:sz="0" w:space="0" w:color="auto"/>
                    <w:bottom w:val="none" w:sz="0" w:space="0" w:color="auto"/>
                    <w:right w:val="none" w:sz="0" w:space="0" w:color="auto"/>
                  </w:divBdr>
                </w:div>
                <w:div w:id="2099326689">
                  <w:marLeft w:val="0"/>
                  <w:marRight w:val="0"/>
                  <w:marTop w:val="0"/>
                  <w:marBottom w:val="0"/>
                  <w:divBdr>
                    <w:top w:val="none" w:sz="0" w:space="0" w:color="auto"/>
                    <w:left w:val="none" w:sz="0" w:space="0" w:color="auto"/>
                    <w:bottom w:val="none" w:sz="0" w:space="0" w:color="auto"/>
                    <w:right w:val="none" w:sz="0" w:space="0" w:color="auto"/>
                  </w:divBdr>
                  <w:divsChild>
                    <w:div w:id="296494569">
                      <w:marLeft w:val="0"/>
                      <w:marRight w:val="0"/>
                      <w:marTop w:val="0"/>
                      <w:marBottom w:val="0"/>
                      <w:divBdr>
                        <w:top w:val="none" w:sz="0" w:space="0" w:color="auto"/>
                        <w:left w:val="none" w:sz="0" w:space="0" w:color="auto"/>
                        <w:bottom w:val="none" w:sz="0" w:space="0" w:color="auto"/>
                        <w:right w:val="none" w:sz="0" w:space="0" w:color="auto"/>
                      </w:divBdr>
                      <w:divsChild>
                        <w:div w:id="174728931">
                          <w:marLeft w:val="0"/>
                          <w:marRight w:val="0"/>
                          <w:marTop w:val="0"/>
                          <w:marBottom w:val="0"/>
                          <w:divBdr>
                            <w:top w:val="none" w:sz="0" w:space="0" w:color="auto"/>
                            <w:left w:val="none" w:sz="0" w:space="0" w:color="auto"/>
                            <w:bottom w:val="none" w:sz="0" w:space="0" w:color="auto"/>
                            <w:right w:val="none" w:sz="0" w:space="0" w:color="auto"/>
                          </w:divBdr>
                          <w:divsChild>
                            <w:div w:id="173612957">
                              <w:marLeft w:val="0"/>
                              <w:marRight w:val="0"/>
                              <w:marTop w:val="0"/>
                              <w:marBottom w:val="0"/>
                              <w:divBdr>
                                <w:top w:val="none" w:sz="0" w:space="0" w:color="auto"/>
                                <w:left w:val="none" w:sz="0" w:space="0" w:color="auto"/>
                                <w:bottom w:val="none" w:sz="0" w:space="0" w:color="auto"/>
                                <w:right w:val="none" w:sz="0" w:space="0" w:color="auto"/>
                              </w:divBdr>
                            </w:div>
                            <w:div w:id="835150546">
                              <w:marLeft w:val="0"/>
                              <w:marRight w:val="0"/>
                              <w:marTop w:val="0"/>
                              <w:marBottom w:val="0"/>
                              <w:divBdr>
                                <w:top w:val="none" w:sz="0" w:space="0" w:color="auto"/>
                                <w:left w:val="none" w:sz="0" w:space="0" w:color="auto"/>
                                <w:bottom w:val="none" w:sz="0" w:space="0" w:color="auto"/>
                                <w:right w:val="none" w:sz="0" w:space="0" w:color="auto"/>
                              </w:divBdr>
                              <w:divsChild>
                                <w:div w:id="580674134">
                                  <w:marLeft w:val="0"/>
                                  <w:marRight w:val="0"/>
                                  <w:marTop w:val="0"/>
                                  <w:marBottom w:val="0"/>
                                  <w:divBdr>
                                    <w:top w:val="none" w:sz="0" w:space="0" w:color="auto"/>
                                    <w:left w:val="none" w:sz="0" w:space="0" w:color="auto"/>
                                    <w:bottom w:val="none" w:sz="0" w:space="0" w:color="auto"/>
                                    <w:right w:val="none" w:sz="0" w:space="0" w:color="auto"/>
                                  </w:divBdr>
                                </w:div>
                                <w:div w:id="2092458618">
                                  <w:marLeft w:val="0"/>
                                  <w:marRight w:val="0"/>
                                  <w:marTop w:val="0"/>
                                  <w:marBottom w:val="0"/>
                                  <w:divBdr>
                                    <w:top w:val="none" w:sz="0" w:space="0" w:color="auto"/>
                                    <w:left w:val="none" w:sz="0" w:space="0" w:color="auto"/>
                                    <w:bottom w:val="none" w:sz="0" w:space="0" w:color="auto"/>
                                    <w:right w:val="none" w:sz="0" w:space="0" w:color="auto"/>
                                  </w:divBdr>
                                  <w:divsChild>
                                    <w:div w:id="21639439">
                                      <w:marLeft w:val="0"/>
                                      <w:marRight w:val="0"/>
                                      <w:marTop w:val="0"/>
                                      <w:marBottom w:val="0"/>
                                      <w:divBdr>
                                        <w:top w:val="none" w:sz="0" w:space="0" w:color="auto"/>
                                        <w:left w:val="none" w:sz="0" w:space="0" w:color="auto"/>
                                        <w:bottom w:val="none" w:sz="0" w:space="0" w:color="auto"/>
                                        <w:right w:val="none" w:sz="0" w:space="0" w:color="auto"/>
                                      </w:divBdr>
                                      <w:divsChild>
                                        <w:div w:id="43217117">
                                          <w:marLeft w:val="0"/>
                                          <w:marRight w:val="0"/>
                                          <w:marTop w:val="0"/>
                                          <w:marBottom w:val="0"/>
                                          <w:divBdr>
                                            <w:top w:val="none" w:sz="0" w:space="0" w:color="auto"/>
                                            <w:left w:val="none" w:sz="0" w:space="0" w:color="auto"/>
                                            <w:bottom w:val="none" w:sz="0" w:space="0" w:color="auto"/>
                                            <w:right w:val="none" w:sz="0" w:space="0" w:color="auto"/>
                                          </w:divBdr>
                                        </w:div>
                                        <w:div w:id="1024402605">
                                          <w:marLeft w:val="0"/>
                                          <w:marRight w:val="0"/>
                                          <w:marTop w:val="0"/>
                                          <w:marBottom w:val="0"/>
                                          <w:divBdr>
                                            <w:top w:val="none" w:sz="0" w:space="0" w:color="auto"/>
                                            <w:left w:val="none" w:sz="0" w:space="0" w:color="auto"/>
                                            <w:bottom w:val="none" w:sz="0" w:space="0" w:color="auto"/>
                                            <w:right w:val="none" w:sz="0" w:space="0" w:color="auto"/>
                                          </w:divBdr>
                                          <w:divsChild>
                                            <w:div w:id="181862847">
                                              <w:marLeft w:val="0"/>
                                              <w:marRight w:val="0"/>
                                              <w:marTop w:val="0"/>
                                              <w:marBottom w:val="0"/>
                                              <w:divBdr>
                                                <w:top w:val="none" w:sz="0" w:space="0" w:color="auto"/>
                                                <w:left w:val="none" w:sz="0" w:space="0" w:color="auto"/>
                                                <w:bottom w:val="none" w:sz="0" w:space="0" w:color="auto"/>
                                                <w:right w:val="none" w:sz="0" w:space="0" w:color="auto"/>
                                              </w:divBdr>
                                            </w:div>
                                            <w:div w:id="1394422693">
                                              <w:marLeft w:val="0"/>
                                              <w:marRight w:val="0"/>
                                              <w:marTop w:val="0"/>
                                              <w:marBottom w:val="0"/>
                                              <w:divBdr>
                                                <w:top w:val="none" w:sz="0" w:space="0" w:color="auto"/>
                                                <w:left w:val="none" w:sz="0" w:space="0" w:color="auto"/>
                                                <w:bottom w:val="none" w:sz="0" w:space="0" w:color="auto"/>
                                                <w:right w:val="none" w:sz="0" w:space="0" w:color="auto"/>
                                              </w:divBdr>
                                              <w:divsChild>
                                                <w:div w:id="165174571">
                                                  <w:marLeft w:val="0"/>
                                                  <w:marRight w:val="0"/>
                                                  <w:marTop w:val="0"/>
                                                  <w:marBottom w:val="0"/>
                                                  <w:divBdr>
                                                    <w:top w:val="none" w:sz="0" w:space="0" w:color="auto"/>
                                                    <w:left w:val="none" w:sz="0" w:space="0" w:color="auto"/>
                                                    <w:bottom w:val="none" w:sz="0" w:space="0" w:color="auto"/>
                                                    <w:right w:val="none" w:sz="0" w:space="0" w:color="auto"/>
                                                  </w:divBdr>
                                                  <w:divsChild>
                                                    <w:div w:id="1004360275">
                                                      <w:marLeft w:val="0"/>
                                                      <w:marRight w:val="0"/>
                                                      <w:marTop w:val="0"/>
                                                      <w:marBottom w:val="0"/>
                                                      <w:divBdr>
                                                        <w:top w:val="none" w:sz="0" w:space="0" w:color="auto"/>
                                                        <w:left w:val="none" w:sz="0" w:space="0" w:color="auto"/>
                                                        <w:bottom w:val="none" w:sz="0" w:space="0" w:color="auto"/>
                                                        <w:right w:val="none" w:sz="0" w:space="0" w:color="auto"/>
                                                      </w:divBdr>
                                                      <w:divsChild>
                                                        <w:div w:id="280302563">
                                                          <w:marLeft w:val="0"/>
                                                          <w:marRight w:val="0"/>
                                                          <w:marTop w:val="0"/>
                                                          <w:marBottom w:val="0"/>
                                                          <w:divBdr>
                                                            <w:top w:val="none" w:sz="0" w:space="0" w:color="auto"/>
                                                            <w:left w:val="none" w:sz="0" w:space="0" w:color="auto"/>
                                                            <w:bottom w:val="none" w:sz="0" w:space="0" w:color="auto"/>
                                                            <w:right w:val="none" w:sz="0" w:space="0" w:color="auto"/>
                                                          </w:divBdr>
                                                        </w:div>
                                                        <w:div w:id="1762331829">
                                                          <w:marLeft w:val="0"/>
                                                          <w:marRight w:val="0"/>
                                                          <w:marTop w:val="0"/>
                                                          <w:marBottom w:val="0"/>
                                                          <w:divBdr>
                                                            <w:top w:val="none" w:sz="0" w:space="0" w:color="auto"/>
                                                            <w:left w:val="none" w:sz="0" w:space="0" w:color="auto"/>
                                                            <w:bottom w:val="none" w:sz="0" w:space="0" w:color="auto"/>
                                                            <w:right w:val="none" w:sz="0" w:space="0" w:color="auto"/>
                                                          </w:divBdr>
                                                          <w:divsChild>
                                                            <w:div w:id="1461220757">
                                                              <w:marLeft w:val="0"/>
                                                              <w:marRight w:val="0"/>
                                                              <w:marTop w:val="0"/>
                                                              <w:marBottom w:val="0"/>
                                                              <w:divBdr>
                                                                <w:top w:val="none" w:sz="0" w:space="0" w:color="auto"/>
                                                                <w:left w:val="none" w:sz="0" w:space="0" w:color="auto"/>
                                                                <w:bottom w:val="none" w:sz="0" w:space="0" w:color="auto"/>
                                                                <w:right w:val="none" w:sz="0" w:space="0" w:color="auto"/>
                                                              </w:divBdr>
                                                              <w:divsChild>
                                                                <w:div w:id="345600136">
                                                                  <w:marLeft w:val="0"/>
                                                                  <w:marRight w:val="0"/>
                                                                  <w:marTop w:val="0"/>
                                                                  <w:marBottom w:val="0"/>
                                                                  <w:divBdr>
                                                                    <w:top w:val="none" w:sz="0" w:space="0" w:color="auto"/>
                                                                    <w:left w:val="none" w:sz="0" w:space="0" w:color="auto"/>
                                                                    <w:bottom w:val="none" w:sz="0" w:space="0" w:color="auto"/>
                                                                    <w:right w:val="none" w:sz="0" w:space="0" w:color="auto"/>
                                                                  </w:divBdr>
                                                                  <w:divsChild>
                                                                    <w:div w:id="1741126223">
                                                                      <w:marLeft w:val="0"/>
                                                                      <w:marRight w:val="0"/>
                                                                      <w:marTop w:val="0"/>
                                                                      <w:marBottom w:val="0"/>
                                                                      <w:divBdr>
                                                                        <w:top w:val="none" w:sz="0" w:space="0" w:color="auto"/>
                                                                        <w:left w:val="none" w:sz="0" w:space="0" w:color="auto"/>
                                                                        <w:bottom w:val="none" w:sz="0" w:space="0" w:color="auto"/>
                                                                        <w:right w:val="none" w:sz="0" w:space="0" w:color="auto"/>
                                                                      </w:divBdr>
                                                                      <w:divsChild>
                                                                        <w:div w:id="1880706075">
                                                                          <w:marLeft w:val="0"/>
                                                                          <w:marRight w:val="0"/>
                                                                          <w:marTop w:val="0"/>
                                                                          <w:marBottom w:val="0"/>
                                                                          <w:divBdr>
                                                                            <w:top w:val="none" w:sz="0" w:space="0" w:color="auto"/>
                                                                            <w:left w:val="none" w:sz="0" w:space="0" w:color="auto"/>
                                                                            <w:bottom w:val="none" w:sz="0" w:space="0" w:color="auto"/>
                                                                            <w:right w:val="none" w:sz="0" w:space="0" w:color="auto"/>
                                                                          </w:divBdr>
                                                                          <w:divsChild>
                                                                            <w:div w:id="294674982">
                                                                              <w:marLeft w:val="0"/>
                                                                              <w:marRight w:val="0"/>
                                                                              <w:marTop w:val="0"/>
                                                                              <w:marBottom w:val="0"/>
                                                                              <w:divBdr>
                                                                                <w:top w:val="none" w:sz="0" w:space="0" w:color="auto"/>
                                                                                <w:left w:val="none" w:sz="0" w:space="0" w:color="auto"/>
                                                                                <w:bottom w:val="none" w:sz="0" w:space="0" w:color="auto"/>
                                                                                <w:right w:val="none" w:sz="0" w:space="0" w:color="auto"/>
                                                                              </w:divBdr>
                                                                              <w:divsChild>
                                                                                <w:div w:id="1544251072">
                                                                                  <w:marLeft w:val="0"/>
                                                                                  <w:marRight w:val="0"/>
                                                                                  <w:marTop w:val="0"/>
                                                                                  <w:marBottom w:val="0"/>
                                                                                  <w:divBdr>
                                                                                    <w:top w:val="none" w:sz="0" w:space="0" w:color="auto"/>
                                                                                    <w:left w:val="none" w:sz="0" w:space="0" w:color="auto"/>
                                                                                    <w:bottom w:val="none" w:sz="0" w:space="0" w:color="auto"/>
                                                                                    <w:right w:val="none" w:sz="0" w:space="0" w:color="auto"/>
                                                                                  </w:divBdr>
                                                                                  <w:divsChild>
                                                                                    <w:div w:id="1555040770">
                                                                                      <w:marLeft w:val="0"/>
                                                                                      <w:marRight w:val="0"/>
                                                                                      <w:marTop w:val="0"/>
                                                                                      <w:marBottom w:val="0"/>
                                                                                      <w:divBdr>
                                                                                        <w:top w:val="none" w:sz="0" w:space="0" w:color="auto"/>
                                                                                        <w:left w:val="none" w:sz="0" w:space="0" w:color="auto"/>
                                                                                        <w:bottom w:val="none" w:sz="0" w:space="0" w:color="auto"/>
                                                                                        <w:right w:val="none" w:sz="0" w:space="0" w:color="auto"/>
                                                                                      </w:divBdr>
                                                                                      <w:divsChild>
                                                                                        <w:div w:id="575866203">
                                                                                          <w:marLeft w:val="0"/>
                                                                                          <w:marRight w:val="0"/>
                                                                                          <w:marTop w:val="0"/>
                                                                                          <w:marBottom w:val="0"/>
                                                                                          <w:divBdr>
                                                                                            <w:top w:val="none" w:sz="0" w:space="0" w:color="auto"/>
                                                                                            <w:left w:val="none" w:sz="0" w:space="0" w:color="auto"/>
                                                                                            <w:bottom w:val="none" w:sz="0" w:space="0" w:color="auto"/>
                                                                                            <w:right w:val="none" w:sz="0" w:space="0" w:color="auto"/>
                                                                                          </w:divBdr>
                                                                                          <w:divsChild>
                                                                                            <w:div w:id="853879252">
                                                                                              <w:marLeft w:val="0"/>
                                                                                              <w:marRight w:val="0"/>
                                                                                              <w:marTop w:val="0"/>
                                                                                              <w:marBottom w:val="0"/>
                                                                                              <w:divBdr>
                                                                                                <w:top w:val="none" w:sz="0" w:space="0" w:color="auto"/>
                                                                                                <w:left w:val="none" w:sz="0" w:space="0" w:color="auto"/>
                                                                                                <w:bottom w:val="none" w:sz="0" w:space="0" w:color="auto"/>
                                                                                                <w:right w:val="none" w:sz="0" w:space="0" w:color="auto"/>
                                                                                              </w:divBdr>
                                                                                              <w:divsChild>
                                                                                                <w:div w:id="30809727">
                                                                                                  <w:marLeft w:val="0"/>
                                                                                                  <w:marRight w:val="0"/>
                                                                                                  <w:marTop w:val="0"/>
                                                                                                  <w:marBottom w:val="0"/>
                                                                                                  <w:divBdr>
                                                                                                    <w:top w:val="none" w:sz="0" w:space="0" w:color="auto"/>
                                                                                                    <w:left w:val="none" w:sz="0" w:space="0" w:color="auto"/>
                                                                                                    <w:bottom w:val="none" w:sz="0" w:space="0" w:color="auto"/>
                                                                                                    <w:right w:val="none" w:sz="0" w:space="0" w:color="auto"/>
                                                                                                  </w:divBdr>
                                                                                                  <w:divsChild>
                                                                                                    <w:div w:id="1680083799">
                                                                                                      <w:marLeft w:val="0"/>
                                                                                                      <w:marRight w:val="0"/>
                                                                                                      <w:marTop w:val="0"/>
                                                                                                      <w:marBottom w:val="0"/>
                                                                                                      <w:divBdr>
                                                                                                        <w:top w:val="none" w:sz="0" w:space="0" w:color="auto"/>
                                                                                                        <w:left w:val="none" w:sz="0" w:space="0" w:color="auto"/>
                                                                                                        <w:bottom w:val="none" w:sz="0" w:space="0" w:color="auto"/>
                                                                                                        <w:right w:val="none" w:sz="0" w:space="0" w:color="auto"/>
                                                                                                      </w:divBdr>
                                                                                                      <w:divsChild>
                                                                                                        <w:div w:id="215314666">
                                                                                                          <w:marLeft w:val="0"/>
                                                                                                          <w:marRight w:val="0"/>
                                                                                                          <w:marTop w:val="0"/>
                                                                                                          <w:marBottom w:val="0"/>
                                                                                                          <w:divBdr>
                                                                                                            <w:top w:val="none" w:sz="0" w:space="0" w:color="auto"/>
                                                                                                            <w:left w:val="none" w:sz="0" w:space="0" w:color="auto"/>
                                                                                                            <w:bottom w:val="none" w:sz="0" w:space="0" w:color="auto"/>
                                                                                                            <w:right w:val="none" w:sz="0" w:space="0" w:color="auto"/>
                                                                                                          </w:divBdr>
                                                                                                          <w:divsChild>
                                                                                                            <w:div w:id="1102840465">
                                                                                                              <w:marLeft w:val="0"/>
                                                                                                              <w:marRight w:val="0"/>
                                                                                                              <w:marTop w:val="0"/>
                                                                                                              <w:marBottom w:val="0"/>
                                                                                                              <w:divBdr>
                                                                                                                <w:top w:val="none" w:sz="0" w:space="0" w:color="auto"/>
                                                                                                                <w:left w:val="none" w:sz="0" w:space="0" w:color="auto"/>
                                                                                                                <w:bottom w:val="none" w:sz="0" w:space="0" w:color="auto"/>
                                                                                                                <w:right w:val="none" w:sz="0" w:space="0" w:color="auto"/>
                                                                                                              </w:divBdr>
                                                                                                              <w:divsChild>
                                                                                                                <w:div w:id="1567104137">
                                                                                                                  <w:marLeft w:val="0"/>
                                                                                                                  <w:marRight w:val="0"/>
                                                                                                                  <w:marTop w:val="0"/>
                                                                                                                  <w:marBottom w:val="0"/>
                                                                                                                  <w:divBdr>
                                                                                                                    <w:top w:val="none" w:sz="0" w:space="0" w:color="auto"/>
                                                                                                                    <w:left w:val="none" w:sz="0" w:space="0" w:color="auto"/>
                                                                                                                    <w:bottom w:val="none" w:sz="0" w:space="0" w:color="auto"/>
                                                                                                                    <w:right w:val="none" w:sz="0" w:space="0" w:color="auto"/>
                                                                                                                  </w:divBdr>
                                                                                                                  <w:divsChild>
                                                                                                                    <w:div w:id="1922986037">
                                                                                                                      <w:marLeft w:val="0"/>
                                                                                                                      <w:marRight w:val="0"/>
                                                                                                                      <w:marTop w:val="0"/>
                                                                                                                      <w:marBottom w:val="0"/>
                                                                                                                      <w:divBdr>
                                                                                                                        <w:top w:val="none" w:sz="0" w:space="0" w:color="auto"/>
                                                                                                                        <w:left w:val="none" w:sz="0" w:space="0" w:color="auto"/>
                                                                                                                        <w:bottom w:val="none" w:sz="0" w:space="0" w:color="auto"/>
                                                                                                                        <w:right w:val="none" w:sz="0" w:space="0" w:color="auto"/>
                                                                                                                      </w:divBdr>
                                                                                                                      <w:divsChild>
                                                                                                                        <w:div w:id="650795255">
                                                                                                                          <w:marLeft w:val="0"/>
                                                                                                                          <w:marRight w:val="0"/>
                                                                                                                          <w:marTop w:val="0"/>
                                                                                                                          <w:marBottom w:val="0"/>
                                                                                                                          <w:divBdr>
                                                                                                                            <w:top w:val="none" w:sz="0" w:space="0" w:color="auto"/>
                                                                                                                            <w:left w:val="none" w:sz="0" w:space="0" w:color="auto"/>
                                                                                                                            <w:bottom w:val="none" w:sz="0" w:space="0" w:color="auto"/>
                                                                                                                            <w:right w:val="none" w:sz="0" w:space="0" w:color="auto"/>
                                                                                                                          </w:divBdr>
                                                                                                                          <w:divsChild>
                                                                                                                            <w:div w:id="1913809806">
                                                                                                                              <w:marLeft w:val="0"/>
                                                                                                                              <w:marRight w:val="0"/>
                                                                                                                              <w:marTop w:val="0"/>
                                                                                                                              <w:marBottom w:val="0"/>
                                                                                                                              <w:divBdr>
                                                                                                                                <w:top w:val="none" w:sz="0" w:space="0" w:color="auto"/>
                                                                                                                                <w:left w:val="none" w:sz="0" w:space="0" w:color="auto"/>
                                                                                                                                <w:bottom w:val="none" w:sz="0" w:space="0" w:color="auto"/>
                                                                                                                                <w:right w:val="none" w:sz="0" w:space="0" w:color="auto"/>
                                                                                                                              </w:divBdr>
                                                                                                                              <w:divsChild>
                                                                                                                                <w:div w:id="690881143">
                                                                                                                                  <w:marLeft w:val="0"/>
                                                                                                                                  <w:marRight w:val="0"/>
                                                                                                                                  <w:marTop w:val="0"/>
                                                                                                                                  <w:marBottom w:val="0"/>
                                                                                                                                  <w:divBdr>
                                                                                                                                    <w:top w:val="none" w:sz="0" w:space="0" w:color="auto"/>
                                                                                                                                    <w:left w:val="none" w:sz="0" w:space="0" w:color="auto"/>
                                                                                                                                    <w:bottom w:val="none" w:sz="0" w:space="0" w:color="auto"/>
                                                                                                                                    <w:right w:val="none" w:sz="0" w:space="0" w:color="auto"/>
                                                                                                                                  </w:divBdr>
                                                                                                                                  <w:divsChild>
                                                                                                                                    <w:div w:id="1942646848">
                                                                                                                                      <w:marLeft w:val="0"/>
                                                                                                                                      <w:marRight w:val="0"/>
                                                                                                                                      <w:marTop w:val="0"/>
                                                                                                                                      <w:marBottom w:val="0"/>
                                                                                                                                      <w:divBdr>
                                                                                                                                        <w:top w:val="none" w:sz="0" w:space="0" w:color="auto"/>
                                                                                                                                        <w:left w:val="none" w:sz="0" w:space="0" w:color="auto"/>
                                                                                                                                        <w:bottom w:val="none" w:sz="0" w:space="0" w:color="auto"/>
                                                                                                                                        <w:right w:val="none" w:sz="0" w:space="0" w:color="auto"/>
                                                                                                                                      </w:divBdr>
                                                                                                                                      <w:divsChild>
                                                                                                                                        <w:div w:id="665591956">
                                                                                                                                          <w:marLeft w:val="0"/>
                                                                                                                                          <w:marRight w:val="0"/>
                                                                                                                                          <w:marTop w:val="0"/>
                                                                                                                                          <w:marBottom w:val="0"/>
                                                                                                                                          <w:divBdr>
                                                                                                                                            <w:top w:val="none" w:sz="0" w:space="0" w:color="auto"/>
                                                                                                                                            <w:left w:val="none" w:sz="0" w:space="0" w:color="auto"/>
                                                                                                                                            <w:bottom w:val="none" w:sz="0" w:space="0" w:color="auto"/>
                                                                                                                                            <w:right w:val="none" w:sz="0" w:space="0" w:color="auto"/>
                                                                                                                                          </w:divBdr>
                                                                                                                                          <w:divsChild>
                                                                                                                                            <w:div w:id="10501030">
                                                                                                                                              <w:marLeft w:val="0"/>
                                                                                                                                              <w:marRight w:val="0"/>
                                                                                                                                              <w:marTop w:val="0"/>
                                                                                                                                              <w:marBottom w:val="0"/>
                                                                                                                                              <w:divBdr>
                                                                                                                                                <w:top w:val="none" w:sz="0" w:space="0" w:color="auto"/>
                                                                                                                                                <w:left w:val="none" w:sz="0" w:space="0" w:color="auto"/>
                                                                                                                                                <w:bottom w:val="none" w:sz="0" w:space="0" w:color="auto"/>
                                                                                                                                                <w:right w:val="none" w:sz="0" w:space="0" w:color="auto"/>
                                                                                                                                              </w:divBdr>
                                                                                                                                              <w:divsChild>
                                                                                                                                                <w:div w:id="1087922281">
                                                                                                                                                  <w:marLeft w:val="0"/>
                                                                                                                                                  <w:marRight w:val="0"/>
                                                                                                                                                  <w:marTop w:val="0"/>
                                                                                                                                                  <w:marBottom w:val="0"/>
                                                                                                                                                  <w:divBdr>
                                                                                                                                                    <w:top w:val="none" w:sz="0" w:space="0" w:color="auto"/>
                                                                                                                                                    <w:left w:val="none" w:sz="0" w:space="0" w:color="auto"/>
                                                                                                                                                    <w:bottom w:val="none" w:sz="0" w:space="0" w:color="auto"/>
                                                                                                                                                    <w:right w:val="none" w:sz="0" w:space="0" w:color="auto"/>
                                                                                                                                                  </w:divBdr>
                                                                                                                                                  <w:divsChild>
                                                                                                                                                    <w:div w:id="554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809705">
                                                      <w:marLeft w:val="0"/>
                                                      <w:marRight w:val="0"/>
                                                      <w:marTop w:val="0"/>
                                                      <w:marBottom w:val="0"/>
                                                      <w:divBdr>
                                                        <w:top w:val="none" w:sz="0" w:space="0" w:color="auto"/>
                                                        <w:left w:val="none" w:sz="0" w:space="0" w:color="auto"/>
                                                        <w:bottom w:val="none" w:sz="0" w:space="0" w:color="auto"/>
                                                        <w:right w:val="none" w:sz="0" w:space="0" w:color="auto"/>
                                                      </w:divBdr>
                                                    </w:div>
                                                  </w:divsChild>
                                                </w:div>
                                                <w:div w:id="1014498615">
                                                  <w:marLeft w:val="0"/>
                                                  <w:marRight w:val="0"/>
                                                  <w:marTop w:val="0"/>
                                                  <w:marBottom w:val="0"/>
                                                  <w:divBdr>
                                                    <w:top w:val="none" w:sz="0" w:space="0" w:color="auto"/>
                                                    <w:left w:val="none" w:sz="0" w:space="0" w:color="auto"/>
                                                    <w:bottom w:val="none" w:sz="0" w:space="0" w:color="auto"/>
                                                    <w:right w:val="none" w:sz="0" w:space="0" w:color="auto"/>
                                                  </w:divBdr>
                                                </w:div>
                                                <w:div w:id="1152526372">
                                                  <w:marLeft w:val="0"/>
                                                  <w:marRight w:val="0"/>
                                                  <w:marTop w:val="0"/>
                                                  <w:marBottom w:val="0"/>
                                                  <w:divBdr>
                                                    <w:top w:val="none" w:sz="0" w:space="0" w:color="auto"/>
                                                    <w:left w:val="none" w:sz="0" w:space="0" w:color="auto"/>
                                                    <w:bottom w:val="none" w:sz="0" w:space="0" w:color="auto"/>
                                                    <w:right w:val="none" w:sz="0" w:space="0" w:color="auto"/>
                                                  </w:divBdr>
                                                </w:div>
                                                <w:div w:id="13496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6271">
                              <w:marLeft w:val="0"/>
                              <w:marRight w:val="0"/>
                              <w:marTop w:val="0"/>
                              <w:marBottom w:val="0"/>
                              <w:divBdr>
                                <w:top w:val="none" w:sz="0" w:space="0" w:color="auto"/>
                                <w:left w:val="none" w:sz="0" w:space="0" w:color="auto"/>
                                <w:bottom w:val="none" w:sz="0" w:space="0" w:color="auto"/>
                                <w:right w:val="none" w:sz="0" w:space="0" w:color="auto"/>
                              </w:divBdr>
                            </w:div>
                            <w:div w:id="1739551563">
                              <w:marLeft w:val="0"/>
                              <w:marRight w:val="0"/>
                              <w:marTop w:val="0"/>
                              <w:marBottom w:val="0"/>
                              <w:divBdr>
                                <w:top w:val="none" w:sz="0" w:space="0" w:color="auto"/>
                                <w:left w:val="none" w:sz="0" w:space="0" w:color="auto"/>
                                <w:bottom w:val="none" w:sz="0" w:space="0" w:color="auto"/>
                                <w:right w:val="none" w:sz="0" w:space="0" w:color="auto"/>
                              </w:divBdr>
                            </w:div>
                          </w:divsChild>
                        </w:div>
                        <w:div w:id="397169452">
                          <w:marLeft w:val="0"/>
                          <w:marRight w:val="0"/>
                          <w:marTop w:val="0"/>
                          <w:marBottom w:val="0"/>
                          <w:divBdr>
                            <w:top w:val="none" w:sz="0" w:space="0" w:color="auto"/>
                            <w:left w:val="none" w:sz="0" w:space="0" w:color="auto"/>
                            <w:bottom w:val="none" w:sz="0" w:space="0" w:color="auto"/>
                            <w:right w:val="none" w:sz="0" w:space="0" w:color="auto"/>
                          </w:divBdr>
                        </w:div>
                      </w:divsChild>
                    </w:div>
                    <w:div w:id="7614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13255">
      <w:bodyDiv w:val="1"/>
      <w:marLeft w:val="0"/>
      <w:marRight w:val="0"/>
      <w:marTop w:val="0"/>
      <w:marBottom w:val="0"/>
      <w:divBdr>
        <w:top w:val="none" w:sz="0" w:space="0" w:color="auto"/>
        <w:left w:val="none" w:sz="0" w:space="0" w:color="auto"/>
        <w:bottom w:val="none" w:sz="0" w:space="0" w:color="auto"/>
        <w:right w:val="none" w:sz="0" w:space="0" w:color="auto"/>
      </w:divBdr>
      <w:divsChild>
        <w:div w:id="640501008">
          <w:marLeft w:val="0"/>
          <w:marRight w:val="0"/>
          <w:marTop w:val="0"/>
          <w:marBottom w:val="0"/>
          <w:divBdr>
            <w:top w:val="none" w:sz="0" w:space="0" w:color="auto"/>
            <w:left w:val="none" w:sz="0" w:space="0" w:color="auto"/>
            <w:bottom w:val="none" w:sz="0" w:space="0" w:color="auto"/>
            <w:right w:val="none" w:sz="0" w:space="0" w:color="auto"/>
          </w:divBdr>
        </w:div>
        <w:div w:id="286013571">
          <w:marLeft w:val="0"/>
          <w:marRight w:val="0"/>
          <w:marTop w:val="0"/>
          <w:marBottom w:val="0"/>
          <w:divBdr>
            <w:top w:val="none" w:sz="0" w:space="0" w:color="auto"/>
            <w:left w:val="none" w:sz="0" w:space="0" w:color="auto"/>
            <w:bottom w:val="none" w:sz="0" w:space="0" w:color="auto"/>
            <w:right w:val="none" w:sz="0" w:space="0" w:color="auto"/>
          </w:divBdr>
        </w:div>
        <w:div w:id="247616997">
          <w:marLeft w:val="0"/>
          <w:marRight w:val="0"/>
          <w:marTop w:val="0"/>
          <w:marBottom w:val="0"/>
          <w:divBdr>
            <w:top w:val="none" w:sz="0" w:space="0" w:color="auto"/>
            <w:left w:val="none" w:sz="0" w:space="0" w:color="auto"/>
            <w:bottom w:val="none" w:sz="0" w:space="0" w:color="auto"/>
            <w:right w:val="none" w:sz="0" w:space="0" w:color="auto"/>
          </w:divBdr>
        </w:div>
        <w:div w:id="1302613156">
          <w:marLeft w:val="0"/>
          <w:marRight w:val="0"/>
          <w:marTop w:val="0"/>
          <w:marBottom w:val="0"/>
          <w:divBdr>
            <w:top w:val="none" w:sz="0" w:space="0" w:color="auto"/>
            <w:left w:val="none" w:sz="0" w:space="0" w:color="auto"/>
            <w:bottom w:val="none" w:sz="0" w:space="0" w:color="auto"/>
            <w:right w:val="none" w:sz="0" w:space="0" w:color="auto"/>
          </w:divBdr>
        </w:div>
        <w:div w:id="1587349424">
          <w:marLeft w:val="0"/>
          <w:marRight w:val="0"/>
          <w:marTop w:val="0"/>
          <w:marBottom w:val="0"/>
          <w:divBdr>
            <w:top w:val="none" w:sz="0" w:space="0" w:color="auto"/>
            <w:left w:val="none" w:sz="0" w:space="0" w:color="auto"/>
            <w:bottom w:val="none" w:sz="0" w:space="0" w:color="auto"/>
            <w:right w:val="none" w:sz="0" w:space="0" w:color="auto"/>
          </w:divBdr>
        </w:div>
      </w:divsChild>
    </w:div>
    <w:div w:id="108822409">
      <w:bodyDiv w:val="1"/>
      <w:marLeft w:val="0"/>
      <w:marRight w:val="0"/>
      <w:marTop w:val="0"/>
      <w:marBottom w:val="0"/>
      <w:divBdr>
        <w:top w:val="none" w:sz="0" w:space="0" w:color="auto"/>
        <w:left w:val="none" w:sz="0" w:space="0" w:color="auto"/>
        <w:bottom w:val="none" w:sz="0" w:space="0" w:color="auto"/>
        <w:right w:val="none" w:sz="0" w:space="0" w:color="auto"/>
      </w:divBdr>
    </w:div>
    <w:div w:id="146097999">
      <w:bodyDiv w:val="1"/>
      <w:marLeft w:val="0"/>
      <w:marRight w:val="0"/>
      <w:marTop w:val="0"/>
      <w:marBottom w:val="0"/>
      <w:divBdr>
        <w:top w:val="none" w:sz="0" w:space="0" w:color="auto"/>
        <w:left w:val="none" w:sz="0" w:space="0" w:color="auto"/>
        <w:bottom w:val="none" w:sz="0" w:space="0" w:color="auto"/>
        <w:right w:val="none" w:sz="0" w:space="0" w:color="auto"/>
      </w:divBdr>
    </w:div>
    <w:div w:id="164708288">
      <w:bodyDiv w:val="1"/>
      <w:marLeft w:val="0"/>
      <w:marRight w:val="0"/>
      <w:marTop w:val="0"/>
      <w:marBottom w:val="0"/>
      <w:divBdr>
        <w:top w:val="none" w:sz="0" w:space="0" w:color="auto"/>
        <w:left w:val="none" w:sz="0" w:space="0" w:color="auto"/>
        <w:bottom w:val="none" w:sz="0" w:space="0" w:color="auto"/>
        <w:right w:val="none" w:sz="0" w:space="0" w:color="auto"/>
      </w:divBdr>
    </w:div>
    <w:div w:id="209340578">
      <w:bodyDiv w:val="1"/>
      <w:marLeft w:val="0"/>
      <w:marRight w:val="0"/>
      <w:marTop w:val="0"/>
      <w:marBottom w:val="0"/>
      <w:divBdr>
        <w:top w:val="none" w:sz="0" w:space="0" w:color="auto"/>
        <w:left w:val="none" w:sz="0" w:space="0" w:color="auto"/>
        <w:bottom w:val="none" w:sz="0" w:space="0" w:color="auto"/>
        <w:right w:val="none" w:sz="0" w:space="0" w:color="auto"/>
      </w:divBdr>
    </w:div>
    <w:div w:id="229659633">
      <w:bodyDiv w:val="1"/>
      <w:marLeft w:val="0"/>
      <w:marRight w:val="0"/>
      <w:marTop w:val="0"/>
      <w:marBottom w:val="0"/>
      <w:divBdr>
        <w:top w:val="none" w:sz="0" w:space="0" w:color="auto"/>
        <w:left w:val="none" w:sz="0" w:space="0" w:color="auto"/>
        <w:bottom w:val="none" w:sz="0" w:space="0" w:color="auto"/>
        <w:right w:val="none" w:sz="0" w:space="0" w:color="auto"/>
      </w:divBdr>
    </w:div>
    <w:div w:id="307132569">
      <w:bodyDiv w:val="1"/>
      <w:marLeft w:val="0"/>
      <w:marRight w:val="0"/>
      <w:marTop w:val="0"/>
      <w:marBottom w:val="0"/>
      <w:divBdr>
        <w:top w:val="none" w:sz="0" w:space="0" w:color="auto"/>
        <w:left w:val="none" w:sz="0" w:space="0" w:color="auto"/>
        <w:bottom w:val="none" w:sz="0" w:space="0" w:color="auto"/>
        <w:right w:val="none" w:sz="0" w:space="0" w:color="auto"/>
      </w:divBdr>
    </w:div>
    <w:div w:id="343634167">
      <w:bodyDiv w:val="1"/>
      <w:marLeft w:val="0"/>
      <w:marRight w:val="0"/>
      <w:marTop w:val="0"/>
      <w:marBottom w:val="0"/>
      <w:divBdr>
        <w:top w:val="none" w:sz="0" w:space="0" w:color="auto"/>
        <w:left w:val="none" w:sz="0" w:space="0" w:color="auto"/>
        <w:bottom w:val="none" w:sz="0" w:space="0" w:color="auto"/>
        <w:right w:val="none" w:sz="0" w:space="0" w:color="auto"/>
      </w:divBdr>
    </w:div>
    <w:div w:id="353074522">
      <w:bodyDiv w:val="1"/>
      <w:marLeft w:val="0"/>
      <w:marRight w:val="0"/>
      <w:marTop w:val="0"/>
      <w:marBottom w:val="0"/>
      <w:divBdr>
        <w:top w:val="none" w:sz="0" w:space="0" w:color="auto"/>
        <w:left w:val="none" w:sz="0" w:space="0" w:color="auto"/>
        <w:bottom w:val="none" w:sz="0" w:space="0" w:color="auto"/>
        <w:right w:val="none" w:sz="0" w:space="0" w:color="auto"/>
      </w:divBdr>
    </w:div>
    <w:div w:id="469323395">
      <w:bodyDiv w:val="1"/>
      <w:marLeft w:val="0"/>
      <w:marRight w:val="0"/>
      <w:marTop w:val="0"/>
      <w:marBottom w:val="0"/>
      <w:divBdr>
        <w:top w:val="none" w:sz="0" w:space="0" w:color="auto"/>
        <w:left w:val="none" w:sz="0" w:space="0" w:color="auto"/>
        <w:bottom w:val="none" w:sz="0" w:space="0" w:color="auto"/>
        <w:right w:val="none" w:sz="0" w:space="0" w:color="auto"/>
      </w:divBdr>
    </w:div>
    <w:div w:id="529494594">
      <w:bodyDiv w:val="1"/>
      <w:marLeft w:val="0"/>
      <w:marRight w:val="0"/>
      <w:marTop w:val="0"/>
      <w:marBottom w:val="0"/>
      <w:divBdr>
        <w:top w:val="none" w:sz="0" w:space="0" w:color="auto"/>
        <w:left w:val="none" w:sz="0" w:space="0" w:color="auto"/>
        <w:bottom w:val="none" w:sz="0" w:space="0" w:color="auto"/>
        <w:right w:val="none" w:sz="0" w:space="0" w:color="auto"/>
      </w:divBdr>
    </w:div>
    <w:div w:id="567308528">
      <w:bodyDiv w:val="1"/>
      <w:marLeft w:val="0"/>
      <w:marRight w:val="0"/>
      <w:marTop w:val="0"/>
      <w:marBottom w:val="0"/>
      <w:divBdr>
        <w:top w:val="none" w:sz="0" w:space="0" w:color="auto"/>
        <w:left w:val="none" w:sz="0" w:space="0" w:color="auto"/>
        <w:bottom w:val="none" w:sz="0" w:space="0" w:color="auto"/>
        <w:right w:val="none" w:sz="0" w:space="0" w:color="auto"/>
      </w:divBdr>
      <w:divsChild>
        <w:div w:id="1952973075">
          <w:marLeft w:val="0"/>
          <w:marRight w:val="0"/>
          <w:marTop w:val="0"/>
          <w:marBottom w:val="0"/>
          <w:divBdr>
            <w:top w:val="none" w:sz="0" w:space="0" w:color="auto"/>
            <w:left w:val="none" w:sz="0" w:space="0" w:color="auto"/>
            <w:bottom w:val="none" w:sz="0" w:space="0" w:color="auto"/>
            <w:right w:val="none" w:sz="0" w:space="0" w:color="auto"/>
          </w:divBdr>
        </w:div>
        <w:div w:id="1016423108">
          <w:marLeft w:val="0"/>
          <w:marRight w:val="0"/>
          <w:marTop w:val="0"/>
          <w:marBottom w:val="0"/>
          <w:divBdr>
            <w:top w:val="none" w:sz="0" w:space="0" w:color="auto"/>
            <w:left w:val="none" w:sz="0" w:space="0" w:color="auto"/>
            <w:bottom w:val="none" w:sz="0" w:space="0" w:color="auto"/>
            <w:right w:val="none" w:sz="0" w:space="0" w:color="auto"/>
          </w:divBdr>
        </w:div>
        <w:div w:id="273825126">
          <w:marLeft w:val="0"/>
          <w:marRight w:val="0"/>
          <w:marTop w:val="0"/>
          <w:marBottom w:val="0"/>
          <w:divBdr>
            <w:top w:val="none" w:sz="0" w:space="0" w:color="auto"/>
            <w:left w:val="none" w:sz="0" w:space="0" w:color="auto"/>
            <w:bottom w:val="none" w:sz="0" w:space="0" w:color="auto"/>
            <w:right w:val="none" w:sz="0" w:space="0" w:color="auto"/>
          </w:divBdr>
        </w:div>
        <w:div w:id="174853131">
          <w:marLeft w:val="0"/>
          <w:marRight w:val="0"/>
          <w:marTop w:val="0"/>
          <w:marBottom w:val="0"/>
          <w:divBdr>
            <w:top w:val="none" w:sz="0" w:space="0" w:color="auto"/>
            <w:left w:val="none" w:sz="0" w:space="0" w:color="auto"/>
            <w:bottom w:val="none" w:sz="0" w:space="0" w:color="auto"/>
            <w:right w:val="none" w:sz="0" w:space="0" w:color="auto"/>
          </w:divBdr>
        </w:div>
        <w:div w:id="48312618">
          <w:marLeft w:val="0"/>
          <w:marRight w:val="0"/>
          <w:marTop w:val="0"/>
          <w:marBottom w:val="0"/>
          <w:divBdr>
            <w:top w:val="none" w:sz="0" w:space="0" w:color="auto"/>
            <w:left w:val="none" w:sz="0" w:space="0" w:color="auto"/>
            <w:bottom w:val="none" w:sz="0" w:space="0" w:color="auto"/>
            <w:right w:val="none" w:sz="0" w:space="0" w:color="auto"/>
          </w:divBdr>
        </w:div>
      </w:divsChild>
    </w:div>
    <w:div w:id="627518414">
      <w:bodyDiv w:val="1"/>
      <w:marLeft w:val="0"/>
      <w:marRight w:val="0"/>
      <w:marTop w:val="0"/>
      <w:marBottom w:val="0"/>
      <w:divBdr>
        <w:top w:val="none" w:sz="0" w:space="0" w:color="auto"/>
        <w:left w:val="none" w:sz="0" w:space="0" w:color="auto"/>
        <w:bottom w:val="none" w:sz="0" w:space="0" w:color="auto"/>
        <w:right w:val="none" w:sz="0" w:space="0" w:color="auto"/>
      </w:divBdr>
    </w:div>
    <w:div w:id="635717618">
      <w:bodyDiv w:val="1"/>
      <w:marLeft w:val="0"/>
      <w:marRight w:val="0"/>
      <w:marTop w:val="0"/>
      <w:marBottom w:val="0"/>
      <w:divBdr>
        <w:top w:val="none" w:sz="0" w:space="0" w:color="auto"/>
        <w:left w:val="none" w:sz="0" w:space="0" w:color="auto"/>
        <w:bottom w:val="none" w:sz="0" w:space="0" w:color="auto"/>
        <w:right w:val="none" w:sz="0" w:space="0" w:color="auto"/>
      </w:divBdr>
    </w:div>
    <w:div w:id="642734608">
      <w:bodyDiv w:val="1"/>
      <w:marLeft w:val="0"/>
      <w:marRight w:val="0"/>
      <w:marTop w:val="0"/>
      <w:marBottom w:val="0"/>
      <w:divBdr>
        <w:top w:val="none" w:sz="0" w:space="0" w:color="auto"/>
        <w:left w:val="none" w:sz="0" w:space="0" w:color="auto"/>
        <w:bottom w:val="none" w:sz="0" w:space="0" w:color="auto"/>
        <w:right w:val="none" w:sz="0" w:space="0" w:color="auto"/>
      </w:divBdr>
    </w:div>
    <w:div w:id="809714529">
      <w:bodyDiv w:val="1"/>
      <w:marLeft w:val="0"/>
      <w:marRight w:val="0"/>
      <w:marTop w:val="0"/>
      <w:marBottom w:val="0"/>
      <w:divBdr>
        <w:top w:val="none" w:sz="0" w:space="0" w:color="auto"/>
        <w:left w:val="none" w:sz="0" w:space="0" w:color="auto"/>
        <w:bottom w:val="none" w:sz="0" w:space="0" w:color="auto"/>
        <w:right w:val="none" w:sz="0" w:space="0" w:color="auto"/>
      </w:divBdr>
    </w:div>
    <w:div w:id="819809981">
      <w:bodyDiv w:val="1"/>
      <w:marLeft w:val="0"/>
      <w:marRight w:val="0"/>
      <w:marTop w:val="0"/>
      <w:marBottom w:val="0"/>
      <w:divBdr>
        <w:top w:val="none" w:sz="0" w:space="0" w:color="auto"/>
        <w:left w:val="none" w:sz="0" w:space="0" w:color="auto"/>
        <w:bottom w:val="none" w:sz="0" w:space="0" w:color="auto"/>
        <w:right w:val="none" w:sz="0" w:space="0" w:color="auto"/>
      </w:divBdr>
    </w:div>
    <w:div w:id="832641621">
      <w:bodyDiv w:val="1"/>
      <w:marLeft w:val="0"/>
      <w:marRight w:val="0"/>
      <w:marTop w:val="0"/>
      <w:marBottom w:val="0"/>
      <w:divBdr>
        <w:top w:val="none" w:sz="0" w:space="0" w:color="auto"/>
        <w:left w:val="none" w:sz="0" w:space="0" w:color="auto"/>
        <w:bottom w:val="none" w:sz="0" w:space="0" w:color="auto"/>
        <w:right w:val="none" w:sz="0" w:space="0" w:color="auto"/>
      </w:divBdr>
    </w:div>
    <w:div w:id="920406345">
      <w:bodyDiv w:val="1"/>
      <w:marLeft w:val="0"/>
      <w:marRight w:val="0"/>
      <w:marTop w:val="0"/>
      <w:marBottom w:val="0"/>
      <w:divBdr>
        <w:top w:val="none" w:sz="0" w:space="0" w:color="auto"/>
        <w:left w:val="none" w:sz="0" w:space="0" w:color="auto"/>
        <w:bottom w:val="none" w:sz="0" w:space="0" w:color="auto"/>
        <w:right w:val="none" w:sz="0" w:space="0" w:color="auto"/>
      </w:divBdr>
    </w:div>
    <w:div w:id="1008171112">
      <w:bodyDiv w:val="1"/>
      <w:marLeft w:val="0"/>
      <w:marRight w:val="0"/>
      <w:marTop w:val="0"/>
      <w:marBottom w:val="0"/>
      <w:divBdr>
        <w:top w:val="none" w:sz="0" w:space="0" w:color="auto"/>
        <w:left w:val="none" w:sz="0" w:space="0" w:color="auto"/>
        <w:bottom w:val="none" w:sz="0" w:space="0" w:color="auto"/>
        <w:right w:val="none" w:sz="0" w:space="0" w:color="auto"/>
      </w:divBdr>
    </w:div>
    <w:div w:id="1022170566">
      <w:bodyDiv w:val="1"/>
      <w:marLeft w:val="0"/>
      <w:marRight w:val="0"/>
      <w:marTop w:val="0"/>
      <w:marBottom w:val="0"/>
      <w:divBdr>
        <w:top w:val="none" w:sz="0" w:space="0" w:color="auto"/>
        <w:left w:val="none" w:sz="0" w:space="0" w:color="auto"/>
        <w:bottom w:val="none" w:sz="0" w:space="0" w:color="auto"/>
        <w:right w:val="none" w:sz="0" w:space="0" w:color="auto"/>
      </w:divBdr>
    </w:div>
    <w:div w:id="1063218879">
      <w:bodyDiv w:val="1"/>
      <w:marLeft w:val="0"/>
      <w:marRight w:val="0"/>
      <w:marTop w:val="0"/>
      <w:marBottom w:val="0"/>
      <w:divBdr>
        <w:top w:val="none" w:sz="0" w:space="0" w:color="auto"/>
        <w:left w:val="none" w:sz="0" w:space="0" w:color="auto"/>
        <w:bottom w:val="none" w:sz="0" w:space="0" w:color="auto"/>
        <w:right w:val="none" w:sz="0" w:space="0" w:color="auto"/>
      </w:divBdr>
    </w:div>
    <w:div w:id="1074544221">
      <w:bodyDiv w:val="1"/>
      <w:marLeft w:val="0"/>
      <w:marRight w:val="0"/>
      <w:marTop w:val="0"/>
      <w:marBottom w:val="0"/>
      <w:divBdr>
        <w:top w:val="none" w:sz="0" w:space="0" w:color="auto"/>
        <w:left w:val="none" w:sz="0" w:space="0" w:color="auto"/>
        <w:bottom w:val="none" w:sz="0" w:space="0" w:color="auto"/>
        <w:right w:val="none" w:sz="0" w:space="0" w:color="auto"/>
      </w:divBdr>
    </w:div>
    <w:div w:id="1113984822">
      <w:bodyDiv w:val="1"/>
      <w:marLeft w:val="0"/>
      <w:marRight w:val="0"/>
      <w:marTop w:val="0"/>
      <w:marBottom w:val="0"/>
      <w:divBdr>
        <w:top w:val="none" w:sz="0" w:space="0" w:color="auto"/>
        <w:left w:val="none" w:sz="0" w:space="0" w:color="auto"/>
        <w:bottom w:val="none" w:sz="0" w:space="0" w:color="auto"/>
        <w:right w:val="none" w:sz="0" w:space="0" w:color="auto"/>
      </w:divBdr>
    </w:div>
    <w:div w:id="1125536664">
      <w:bodyDiv w:val="1"/>
      <w:marLeft w:val="0"/>
      <w:marRight w:val="0"/>
      <w:marTop w:val="0"/>
      <w:marBottom w:val="0"/>
      <w:divBdr>
        <w:top w:val="none" w:sz="0" w:space="0" w:color="auto"/>
        <w:left w:val="none" w:sz="0" w:space="0" w:color="auto"/>
        <w:bottom w:val="none" w:sz="0" w:space="0" w:color="auto"/>
        <w:right w:val="none" w:sz="0" w:space="0" w:color="auto"/>
      </w:divBdr>
    </w:div>
    <w:div w:id="1146388282">
      <w:bodyDiv w:val="1"/>
      <w:marLeft w:val="0"/>
      <w:marRight w:val="0"/>
      <w:marTop w:val="0"/>
      <w:marBottom w:val="0"/>
      <w:divBdr>
        <w:top w:val="none" w:sz="0" w:space="0" w:color="auto"/>
        <w:left w:val="none" w:sz="0" w:space="0" w:color="auto"/>
        <w:bottom w:val="none" w:sz="0" w:space="0" w:color="auto"/>
        <w:right w:val="none" w:sz="0" w:space="0" w:color="auto"/>
      </w:divBdr>
      <w:divsChild>
        <w:div w:id="278297908">
          <w:marLeft w:val="0"/>
          <w:marRight w:val="0"/>
          <w:marTop w:val="0"/>
          <w:marBottom w:val="0"/>
          <w:divBdr>
            <w:top w:val="none" w:sz="0" w:space="0" w:color="auto"/>
            <w:left w:val="none" w:sz="0" w:space="0" w:color="auto"/>
            <w:bottom w:val="none" w:sz="0" w:space="0" w:color="auto"/>
            <w:right w:val="none" w:sz="0" w:space="0" w:color="auto"/>
          </w:divBdr>
        </w:div>
        <w:div w:id="872614918">
          <w:marLeft w:val="0"/>
          <w:marRight w:val="0"/>
          <w:marTop w:val="0"/>
          <w:marBottom w:val="0"/>
          <w:divBdr>
            <w:top w:val="none" w:sz="0" w:space="0" w:color="auto"/>
            <w:left w:val="none" w:sz="0" w:space="0" w:color="auto"/>
            <w:bottom w:val="none" w:sz="0" w:space="0" w:color="auto"/>
            <w:right w:val="none" w:sz="0" w:space="0" w:color="auto"/>
          </w:divBdr>
        </w:div>
        <w:div w:id="1546525126">
          <w:marLeft w:val="0"/>
          <w:marRight w:val="0"/>
          <w:marTop w:val="0"/>
          <w:marBottom w:val="0"/>
          <w:divBdr>
            <w:top w:val="none" w:sz="0" w:space="0" w:color="auto"/>
            <w:left w:val="none" w:sz="0" w:space="0" w:color="auto"/>
            <w:bottom w:val="none" w:sz="0" w:space="0" w:color="auto"/>
            <w:right w:val="none" w:sz="0" w:space="0" w:color="auto"/>
          </w:divBdr>
        </w:div>
      </w:divsChild>
    </w:div>
    <w:div w:id="1199272097">
      <w:bodyDiv w:val="1"/>
      <w:marLeft w:val="0"/>
      <w:marRight w:val="0"/>
      <w:marTop w:val="0"/>
      <w:marBottom w:val="0"/>
      <w:divBdr>
        <w:top w:val="none" w:sz="0" w:space="0" w:color="auto"/>
        <w:left w:val="none" w:sz="0" w:space="0" w:color="auto"/>
        <w:bottom w:val="none" w:sz="0" w:space="0" w:color="auto"/>
        <w:right w:val="none" w:sz="0" w:space="0" w:color="auto"/>
      </w:divBdr>
    </w:div>
    <w:div w:id="1308970504">
      <w:bodyDiv w:val="1"/>
      <w:marLeft w:val="0"/>
      <w:marRight w:val="0"/>
      <w:marTop w:val="0"/>
      <w:marBottom w:val="0"/>
      <w:divBdr>
        <w:top w:val="none" w:sz="0" w:space="0" w:color="auto"/>
        <w:left w:val="none" w:sz="0" w:space="0" w:color="auto"/>
        <w:bottom w:val="none" w:sz="0" w:space="0" w:color="auto"/>
        <w:right w:val="none" w:sz="0" w:space="0" w:color="auto"/>
      </w:divBdr>
    </w:div>
    <w:div w:id="1347362726">
      <w:bodyDiv w:val="1"/>
      <w:marLeft w:val="0"/>
      <w:marRight w:val="0"/>
      <w:marTop w:val="0"/>
      <w:marBottom w:val="0"/>
      <w:divBdr>
        <w:top w:val="none" w:sz="0" w:space="0" w:color="auto"/>
        <w:left w:val="none" w:sz="0" w:space="0" w:color="auto"/>
        <w:bottom w:val="none" w:sz="0" w:space="0" w:color="auto"/>
        <w:right w:val="none" w:sz="0" w:space="0" w:color="auto"/>
      </w:divBdr>
    </w:div>
    <w:div w:id="1391880993">
      <w:bodyDiv w:val="1"/>
      <w:marLeft w:val="0"/>
      <w:marRight w:val="0"/>
      <w:marTop w:val="0"/>
      <w:marBottom w:val="0"/>
      <w:divBdr>
        <w:top w:val="none" w:sz="0" w:space="0" w:color="auto"/>
        <w:left w:val="none" w:sz="0" w:space="0" w:color="auto"/>
        <w:bottom w:val="none" w:sz="0" w:space="0" w:color="auto"/>
        <w:right w:val="none" w:sz="0" w:space="0" w:color="auto"/>
      </w:divBdr>
    </w:div>
    <w:div w:id="1408306746">
      <w:bodyDiv w:val="1"/>
      <w:marLeft w:val="0"/>
      <w:marRight w:val="0"/>
      <w:marTop w:val="0"/>
      <w:marBottom w:val="0"/>
      <w:divBdr>
        <w:top w:val="none" w:sz="0" w:space="0" w:color="auto"/>
        <w:left w:val="none" w:sz="0" w:space="0" w:color="auto"/>
        <w:bottom w:val="none" w:sz="0" w:space="0" w:color="auto"/>
        <w:right w:val="none" w:sz="0" w:space="0" w:color="auto"/>
      </w:divBdr>
    </w:div>
    <w:div w:id="1422948136">
      <w:bodyDiv w:val="1"/>
      <w:marLeft w:val="0"/>
      <w:marRight w:val="0"/>
      <w:marTop w:val="0"/>
      <w:marBottom w:val="0"/>
      <w:divBdr>
        <w:top w:val="none" w:sz="0" w:space="0" w:color="auto"/>
        <w:left w:val="none" w:sz="0" w:space="0" w:color="auto"/>
        <w:bottom w:val="none" w:sz="0" w:space="0" w:color="auto"/>
        <w:right w:val="none" w:sz="0" w:space="0" w:color="auto"/>
      </w:divBdr>
    </w:div>
    <w:div w:id="1451708034">
      <w:bodyDiv w:val="1"/>
      <w:marLeft w:val="0"/>
      <w:marRight w:val="0"/>
      <w:marTop w:val="0"/>
      <w:marBottom w:val="0"/>
      <w:divBdr>
        <w:top w:val="none" w:sz="0" w:space="0" w:color="auto"/>
        <w:left w:val="none" w:sz="0" w:space="0" w:color="auto"/>
        <w:bottom w:val="none" w:sz="0" w:space="0" w:color="auto"/>
        <w:right w:val="none" w:sz="0" w:space="0" w:color="auto"/>
      </w:divBdr>
    </w:div>
    <w:div w:id="1477531603">
      <w:bodyDiv w:val="1"/>
      <w:marLeft w:val="0"/>
      <w:marRight w:val="0"/>
      <w:marTop w:val="0"/>
      <w:marBottom w:val="0"/>
      <w:divBdr>
        <w:top w:val="none" w:sz="0" w:space="0" w:color="auto"/>
        <w:left w:val="none" w:sz="0" w:space="0" w:color="auto"/>
        <w:bottom w:val="none" w:sz="0" w:space="0" w:color="auto"/>
        <w:right w:val="none" w:sz="0" w:space="0" w:color="auto"/>
      </w:divBdr>
    </w:div>
    <w:div w:id="1503663397">
      <w:bodyDiv w:val="1"/>
      <w:marLeft w:val="0"/>
      <w:marRight w:val="0"/>
      <w:marTop w:val="0"/>
      <w:marBottom w:val="0"/>
      <w:divBdr>
        <w:top w:val="none" w:sz="0" w:space="0" w:color="auto"/>
        <w:left w:val="none" w:sz="0" w:space="0" w:color="auto"/>
        <w:bottom w:val="none" w:sz="0" w:space="0" w:color="auto"/>
        <w:right w:val="none" w:sz="0" w:space="0" w:color="auto"/>
      </w:divBdr>
    </w:div>
    <w:div w:id="1566723554">
      <w:bodyDiv w:val="1"/>
      <w:marLeft w:val="0"/>
      <w:marRight w:val="0"/>
      <w:marTop w:val="0"/>
      <w:marBottom w:val="0"/>
      <w:divBdr>
        <w:top w:val="none" w:sz="0" w:space="0" w:color="auto"/>
        <w:left w:val="none" w:sz="0" w:space="0" w:color="auto"/>
        <w:bottom w:val="none" w:sz="0" w:space="0" w:color="auto"/>
        <w:right w:val="none" w:sz="0" w:space="0" w:color="auto"/>
      </w:divBdr>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sChild>
        <w:div w:id="150022033">
          <w:marLeft w:val="225"/>
          <w:marRight w:val="0"/>
          <w:marTop w:val="0"/>
          <w:marBottom w:val="0"/>
          <w:divBdr>
            <w:top w:val="none" w:sz="0" w:space="0" w:color="auto"/>
            <w:left w:val="none" w:sz="0" w:space="0" w:color="auto"/>
            <w:bottom w:val="none" w:sz="0" w:space="0" w:color="auto"/>
            <w:right w:val="none" w:sz="0" w:space="0" w:color="auto"/>
          </w:divBdr>
        </w:div>
        <w:div w:id="1536192175">
          <w:marLeft w:val="225"/>
          <w:marRight w:val="0"/>
          <w:marTop w:val="0"/>
          <w:marBottom w:val="0"/>
          <w:divBdr>
            <w:top w:val="none" w:sz="0" w:space="0" w:color="auto"/>
            <w:left w:val="none" w:sz="0" w:space="0" w:color="auto"/>
            <w:bottom w:val="none" w:sz="0" w:space="0" w:color="auto"/>
            <w:right w:val="none" w:sz="0" w:space="0" w:color="auto"/>
          </w:divBdr>
        </w:div>
        <w:div w:id="1723138244">
          <w:marLeft w:val="0"/>
          <w:marRight w:val="0"/>
          <w:marTop w:val="270"/>
          <w:marBottom w:val="60"/>
          <w:divBdr>
            <w:top w:val="none" w:sz="0" w:space="0" w:color="auto"/>
            <w:left w:val="none" w:sz="0" w:space="0" w:color="auto"/>
            <w:bottom w:val="none" w:sz="0" w:space="0" w:color="auto"/>
            <w:right w:val="none" w:sz="0" w:space="0" w:color="auto"/>
          </w:divBdr>
        </w:div>
      </w:divsChild>
    </w:div>
    <w:div w:id="1645574441">
      <w:bodyDiv w:val="1"/>
      <w:marLeft w:val="0"/>
      <w:marRight w:val="0"/>
      <w:marTop w:val="0"/>
      <w:marBottom w:val="0"/>
      <w:divBdr>
        <w:top w:val="none" w:sz="0" w:space="0" w:color="auto"/>
        <w:left w:val="none" w:sz="0" w:space="0" w:color="auto"/>
        <w:bottom w:val="none" w:sz="0" w:space="0" w:color="auto"/>
        <w:right w:val="none" w:sz="0" w:space="0" w:color="auto"/>
      </w:divBdr>
    </w:div>
    <w:div w:id="1664310415">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692219427">
      <w:bodyDiv w:val="1"/>
      <w:marLeft w:val="0"/>
      <w:marRight w:val="0"/>
      <w:marTop w:val="0"/>
      <w:marBottom w:val="0"/>
      <w:divBdr>
        <w:top w:val="none" w:sz="0" w:space="0" w:color="auto"/>
        <w:left w:val="none" w:sz="0" w:space="0" w:color="auto"/>
        <w:bottom w:val="none" w:sz="0" w:space="0" w:color="auto"/>
        <w:right w:val="none" w:sz="0" w:space="0" w:color="auto"/>
      </w:divBdr>
    </w:div>
    <w:div w:id="1725563495">
      <w:bodyDiv w:val="1"/>
      <w:marLeft w:val="0"/>
      <w:marRight w:val="0"/>
      <w:marTop w:val="0"/>
      <w:marBottom w:val="0"/>
      <w:divBdr>
        <w:top w:val="none" w:sz="0" w:space="0" w:color="auto"/>
        <w:left w:val="none" w:sz="0" w:space="0" w:color="auto"/>
        <w:bottom w:val="none" w:sz="0" w:space="0" w:color="auto"/>
        <w:right w:val="none" w:sz="0" w:space="0" w:color="auto"/>
      </w:divBdr>
    </w:div>
    <w:div w:id="2037467087">
      <w:bodyDiv w:val="1"/>
      <w:marLeft w:val="0"/>
      <w:marRight w:val="0"/>
      <w:marTop w:val="0"/>
      <w:marBottom w:val="0"/>
      <w:divBdr>
        <w:top w:val="none" w:sz="0" w:space="0" w:color="auto"/>
        <w:left w:val="none" w:sz="0" w:space="0" w:color="auto"/>
        <w:bottom w:val="none" w:sz="0" w:space="0" w:color="auto"/>
        <w:right w:val="none" w:sz="0" w:space="0" w:color="auto"/>
      </w:divBdr>
    </w:div>
    <w:div w:id="2105414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zlauskas@fsf.vu.l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3ED2A-0439-4F28-85AC-47BF1C4E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69507</Words>
  <Characters>39620</Characters>
  <Application>Microsoft Office Word</Application>
  <DocSecurity>0</DocSecurity>
  <Lines>330</Lines>
  <Paragraphs>217</Paragraphs>
  <ScaleCrop>false</ScaleCrop>
  <HeadingPairs>
    <vt:vector size="6" baseType="variant">
      <vt:variant>
        <vt:lpstr>Title</vt:lpstr>
      </vt:variant>
      <vt:variant>
        <vt:i4>1</vt:i4>
      </vt:variant>
      <vt:variant>
        <vt:lpstr>Titel</vt:lpstr>
      </vt:variant>
      <vt:variant>
        <vt:i4>1</vt:i4>
      </vt:variant>
      <vt:variant>
        <vt:lpstr>Pavadinimas</vt:lpstr>
      </vt:variant>
      <vt:variant>
        <vt:i4>1</vt:i4>
      </vt:variant>
    </vt:vector>
  </HeadingPairs>
  <TitlesOfParts>
    <vt:vector size="3" baseType="lpstr">
      <vt:lpstr/>
      <vt:lpstr/>
      <vt:lpstr/>
    </vt:vector>
  </TitlesOfParts>
  <Company/>
  <LinksUpToDate>false</LinksUpToDate>
  <CharactersWithSpaces>108910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2019-11-09T19:47:00Z</dcterms:created>
  <dcterms:modified xsi:type="dcterms:W3CDTF">2020-01-24T09:13:00Z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790a2865-11c3-39f7-b956-23f619dfed6d</vt:lpwstr>
  </property>
</Properties>
</file>