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3F8F" w14:textId="77777777" w:rsidR="0007392C" w:rsidRPr="00586A35" w:rsidRDefault="008D3956" w:rsidP="007A502C">
      <w:pPr>
        <w:pStyle w:val="Titledocument"/>
        <w:rPr>
          <w14:ligatures w14:val="standard"/>
        </w:rPr>
      </w:pPr>
      <w:r>
        <w:rPr>
          <w:bCs/>
          <w14:ligatures w14:val="standard"/>
        </w:rPr>
        <w:t>A Virtual Reality</w:t>
      </w:r>
      <w:r w:rsidR="003C3338" w:rsidRPr="00586A35">
        <w:rPr>
          <w:bCs/>
          <w14:ligatures w14:val="standard"/>
        </w:rPr>
        <w:t xml:space="preserve"> </w:t>
      </w:r>
      <w:r>
        <w:rPr>
          <w:bCs/>
          <w14:ligatures w14:val="standard"/>
        </w:rPr>
        <w:t>Training Tool to Improve Weight-Related Communication Across Healthcare Settings</w:t>
      </w:r>
    </w:p>
    <w:p w14:paraId="5AE83A5F"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1A143E28" w14:textId="77777777" w:rsidR="008D3956" w:rsidRPr="00586A35" w:rsidRDefault="008D3956" w:rsidP="008D3956">
      <w:pPr>
        <w:pStyle w:val="Authors"/>
        <w:jc w:val="center"/>
        <w:rPr>
          <w14:ligatures w14:val="standard"/>
        </w:rPr>
      </w:pPr>
      <w:r>
        <w:rPr>
          <w:rStyle w:val="FirstName"/>
          <w14:ligatures w14:val="standard"/>
        </w:rPr>
        <w:t>Fiona Quigley</w:t>
      </w:r>
      <w:r w:rsidR="00C75532" w:rsidRPr="00C14A4F">
        <w:rPr>
          <w:vertAlign w:val="superscript"/>
        </w:rPr>
        <w:t>†</w:t>
      </w:r>
      <w:r w:rsidRPr="00586A35">
        <w:rPr>
          <w14:ligatures w14:val="standard"/>
        </w:rPr>
        <w:br/>
      </w:r>
      <w:r w:rsidRPr="00586A35">
        <w:rPr>
          <w:rStyle w:val="OrgDiv"/>
          <w:color w:val="auto"/>
          <w:sz w:val="20"/>
          <w14:ligatures w14:val="standard"/>
        </w:rPr>
        <w:t xml:space="preserve"> </w:t>
      </w:r>
      <w:r>
        <w:rPr>
          <w:rStyle w:val="OrgDiv"/>
          <w:color w:val="auto"/>
          <w:sz w:val="20"/>
          <w14:ligatures w14:val="standard"/>
        </w:rPr>
        <w:t>Institute of Nursing and Health Research (INHR)</w:t>
      </w:r>
      <w:r w:rsidRPr="00586A35">
        <w:rPr>
          <w:rStyle w:val="OrgName"/>
          <w:color w:val="auto"/>
          <w:sz w:val="20"/>
          <w14:ligatures w14:val="standard"/>
        </w:rPr>
        <w:br/>
        <w:t xml:space="preserve"> </w:t>
      </w:r>
      <w:r>
        <w:rPr>
          <w:rStyle w:val="OrgName"/>
          <w:color w:val="auto"/>
          <w:sz w:val="20"/>
          <w14:ligatures w14:val="standard"/>
        </w:rPr>
        <w:t>Ulster University</w:t>
      </w:r>
      <w:r w:rsidRPr="00586A35">
        <w:rPr>
          <w:rStyle w:val="OrgName"/>
          <w:color w:val="auto"/>
          <w:sz w:val="20"/>
          <w14:ligatures w14:val="standard"/>
        </w:rPr>
        <w:br/>
      </w:r>
      <w:r>
        <w:rPr>
          <w:rStyle w:val="City"/>
          <w:sz w:val="20"/>
          <w14:ligatures w14:val="standard"/>
        </w:rPr>
        <w:t>Belfast Northern Ireland</w:t>
      </w:r>
      <w:r w:rsidRPr="00586A35">
        <w:rPr>
          <w:sz w:val="20"/>
          <w14:ligatures w14:val="standard"/>
        </w:rPr>
        <w:br/>
      </w:r>
      <w:r>
        <w:rPr>
          <w:rStyle w:val="Email"/>
          <w:color w:val="auto"/>
          <w:sz w:val="20"/>
          <w14:ligatures w14:val="standard"/>
        </w:rPr>
        <w:t>quigley-f5@ulster.ac.uk</w:t>
      </w:r>
    </w:p>
    <w:p w14:paraId="15A150BC" w14:textId="77777777" w:rsidR="008D3956" w:rsidRPr="00586A35" w:rsidRDefault="00CD0132" w:rsidP="008D3956">
      <w:pPr>
        <w:pStyle w:val="Authors"/>
        <w:jc w:val="center"/>
        <w:rPr>
          <w14:ligatures w14:val="standard"/>
        </w:rPr>
      </w:pPr>
      <w:r>
        <w:rPr>
          <w:rStyle w:val="FirstName"/>
          <w14:ligatures w14:val="standard"/>
        </w:rPr>
        <w:t>Huiru Z</w:t>
      </w:r>
      <w:r w:rsidR="00D40699">
        <w:rPr>
          <w:rStyle w:val="FirstName"/>
          <w14:ligatures w14:val="standard"/>
        </w:rPr>
        <w:t>h</w:t>
      </w:r>
      <w:r>
        <w:rPr>
          <w:rStyle w:val="FirstName"/>
          <w14:ligatures w14:val="standard"/>
        </w:rPr>
        <w:t>eng</w:t>
      </w:r>
      <w:r w:rsidR="008D3956" w:rsidRPr="00586A35">
        <w:rPr>
          <w14:ligatures w14:val="standard"/>
        </w:rPr>
        <w:br/>
      </w:r>
      <w:r w:rsidR="002A63EA">
        <w:rPr>
          <w:rStyle w:val="OrgDiv"/>
          <w:color w:val="auto"/>
          <w:sz w:val="20"/>
          <w14:ligatures w14:val="standard"/>
        </w:rPr>
        <w:t>School of Computing</w:t>
      </w:r>
      <w:r w:rsidR="008D3956" w:rsidRPr="00586A35">
        <w:rPr>
          <w:rStyle w:val="OrgName"/>
          <w:color w:val="auto"/>
          <w:sz w:val="20"/>
          <w14:ligatures w14:val="standard"/>
        </w:rPr>
        <w:br/>
        <w:t xml:space="preserve"> </w:t>
      </w:r>
      <w:r w:rsidR="008D3956">
        <w:rPr>
          <w:rStyle w:val="OrgName"/>
          <w:color w:val="auto"/>
          <w:sz w:val="20"/>
          <w14:ligatures w14:val="standard"/>
        </w:rPr>
        <w:t>Ulster University</w:t>
      </w:r>
      <w:r w:rsidR="008D3956" w:rsidRPr="00586A35">
        <w:rPr>
          <w:rStyle w:val="OrgName"/>
          <w:color w:val="auto"/>
          <w:sz w:val="20"/>
          <w14:ligatures w14:val="standard"/>
        </w:rPr>
        <w:br/>
      </w:r>
      <w:r w:rsidR="008D3956">
        <w:rPr>
          <w:rStyle w:val="City"/>
          <w:sz w:val="20"/>
          <w14:ligatures w14:val="standard"/>
        </w:rPr>
        <w:t>Belfast Northern Ireland</w:t>
      </w:r>
      <w:r w:rsidR="008D3956" w:rsidRPr="00586A35">
        <w:rPr>
          <w:sz w:val="20"/>
          <w14:ligatures w14:val="standard"/>
        </w:rPr>
        <w:br/>
      </w:r>
      <w:r>
        <w:rPr>
          <w:rStyle w:val="Email"/>
          <w:color w:val="auto"/>
          <w:sz w:val="20"/>
          <w14:ligatures w14:val="standard"/>
        </w:rPr>
        <w:t>h.z</w:t>
      </w:r>
      <w:r w:rsidR="00D40699">
        <w:rPr>
          <w:rStyle w:val="Email"/>
          <w:color w:val="auto"/>
          <w:sz w:val="20"/>
          <w14:ligatures w14:val="standard"/>
        </w:rPr>
        <w:t>h</w:t>
      </w:r>
      <w:r>
        <w:rPr>
          <w:rStyle w:val="Email"/>
          <w:color w:val="auto"/>
          <w:sz w:val="20"/>
          <w14:ligatures w14:val="standard"/>
        </w:rPr>
        <w:t>eng</w:t>
      </w:r>
      <w:r w:rsidR="008D3956">
        <w:rPr>
          <w:rStyle w:val="Email"/>
          <w:color w:val="auto"/>
          <w:sz w:val="20"/>
          <w14:ligatures w14:val="standard"/>
        </w:rPr>
        <w:t>@ulster.ac.uk</w:t>
      </w:r>
    </w:p>
    <w:p w14:paraId="68A30BB8" w14:textId="77777777" w:rsidR="008D3956" w:rsidRPr="00586A35" w:rsidRDefault="008D3956" w:rsidP="008D3956">
      <w:pPr>
        <w:pStyle w:val="Authors"/>
        <w:jc w:val="center"/>
        <w:rPr>
          <w14:ligatures w14:val="standard"/>
        </w:rPr>
      </w:pPr>
      <w:r>
        <w:rPr>
          <w:rStyle w:val="FirstName"/>
          <w14:ligatures w14:val="standard"/>
        </w:rPr>
        <w:t>Anne Moorhead</w:t>
      </w:r>
      <w:r w:rsidRPr="00586A35">
        <w:rPr>
          <w14:ligatures w14:val="standard"/>
        </w:rPr>
        <w:br/>
      </w:r>
      <w:r w:rsidRPr="00586A35">
        <w:rPr>
          <w:rStyle w:val="OrgDiv"/>
          <w:color w:val="auto"/>
          <w:sz w:val="20"/>
          <w14:ligatures w14:val="standard"/>
        </w:rPr>
        <w:t xml:space="preserve"> </w:t>
      </w:r>
      <w:r>
        <w:rPr>
          <w:rStyle w:val="OrgDiv"/>
          <w:color w:val="auto"/>
          <w:sz w:val="20"/>
          <w14:ligatures w14:val="standard"/>
        </w:rPr>
        <w:t xml:space="preserve">School of Communication </w:t>
      </w:r>
      <w:r w:rsidR="006D4C09">
        <w:rPr>
          <w:rStyle w:val="OrgDiv"/>
          <w:color w:val="auto"/>
          <w:sz w:val="20"/>
          <w14:ligatures w14:val="standard"/>
        </w:rPr>
        <w:br/>
      </w:r>
      <w:r>
        <w:rPr>
          <w:rStyle w:val="OrgDiv"/>
          <w:color w:val="auto"/>
          <w:sz w:val="20"/>
          <w14:ligatures w14:val="standard"/>
        </w:rPr>
        <w:t>&amp; Media/INHR</w:t>
      </w:r>
      <w:r w:rsidRPr="00586A35">
        <w:rPr>
          <w:rStyle w:val="OrgName"/>
          <w:color w:val="auto"/>
          <w:sz w:val="20"/>
          <w14:ligatures w14:val="standard"/>
        </w:rPr>
        <w:br/>
        <w:t xml:space="preserve"> </w:t>
      </w:r>
      <w:r>
        <w:rPr>
          <w:rStyle w:val="OrgName"/>
          <w:color w:val="auto"/>
          <w:sz w:val="20"/>
          <w14:ligatures w14:val="standard"/>
        </w:rPr>
        <w:t>Ulster University</w:t>
      </w:r>
      <w:r w:rsidRPr="00586A35">
        <w:rPr>
          <w:rStyle w:val="OrgName"/>
          <w:color w:val="auto"/>
          <w:sz w:val="20"/>
          <w14:ligatures w14:val="standard"/>
        </w:rPr>
        <w:br/>
      </w:r>
      <w:r>
        <w:rPr>
          <w:rStyle w:val="City"/>
          <w:sz w:val="20"/>
          <w14:ligatures w14:val="standard"/>
        </w:rPr>
        <w:t>Belfast Northern Ireland</w:t>
      </w:r>
      <w:r w:rsidRPr="00586A35">
        <w:rPr>
          <w:sz w:val="20"/>
          <w14:ligatures w14:val="standard"/>
        </w:rPr>
        <w:br/>
      </w:r>
      <w:r w:rsidR="00CD0132">
        <w:rPr>
          <w:rStyle w:val="Email"/>
          <w:color w:val="auto"/>
          <w:sz w:val="20"/>
          <w14:ligatures w14:val="standard"/>
        </w:rPr>
        <w:t>a.moorhead</w:t>
      </w:r>
      <w:r>
        <w:rPr>
          <w:rStyle w:val="Email"/>
          <w:color w:val="auto"/>
          <w:sz w:val="20"/>
          <w14:ligatures w14:val="standard"/>
        </w:rPr>
        <w:t>@ulster.ac.uk</w:t>
      </w:r>
    </w:p>
    <w:p w14:paraId="5205805D" w14:textId="77777777" w:rsidR="008D3956" w:rsidRPr="00586A35" w:rsidRDefault="00CD0132" w:rsidP="008D3956">
      <w:pPr>
        <w:pStyle w:val="Authors"/>
        <w:jc w:val="center"/>
        <w:rPr>
          <w14:ligatures w14:val="standard"/>
        </w:rPr>
      </w:pPr>
      <w:r>
        <w:rPr>
          <w:rStyle w:val="FirstName"/>
          <w14:ligatures w14:val="standard"/>
        </w:rPr>
        <w:t>Toni McAloon</w:t>
      </w:r>
      <w:r w:rsidR="008D3956" w:rsidRPr="00586A35">
        <w:rPr>
          <w14:ligatures w14:val="standard"/>
        </w:rPr>
        <w:br/>
      </w:r>
      <w:r>
        <w:rPr>
          <w:rStyle w:val="OrgDiv"/>
          <w:color w:val="auto"/>
          <w:sz w:val="20"/>
          <w14:ligatures w14:val="standard"/>
        </w:rPr>
        <w:t>School of Nursing/INHR</w:t>
      </w:r>
      <w:r w:rsidR="008D3956" w:rsidRPr="00586A35">
        <w:rPr>
          <w:rStyle w:val="OrgName"/>
          <w:color w:val="auto"/>
          <w:sz w:val="20"/>
          <w14:ligatures w14:val="standard"/>
        </w:rPr>
        <w:br/>
        <w:t xml:space="preserve"> </w:t>
      </w:r>
      <w:r w:rsidR="008D3956">
        <w:rPr>
          <w:rStyle w:val="OrgName"/>
          <w:color w:val="auto"/>
          <w:sz w:val="20"/>
          <w14:ligatures w14:val="standard"/>
        </w:rPr>
        <w:t>Ulster University</w:t>
      </w:r>
      <w:r w:rsidR="008D3956" w:rsidRPr="00586A35">
        <w:rPr>
          <w:rStyle w:val="OrgName"/>
          <w:color w:val="auto"/>
          <w:sz w:val="20"/>
          <w14:ligatures w14:val="standard"/>
        </w:rPr>
        <w:br/>
      </w:r>
      <w:r w:rsidR="008D3956">
        <w:rPr>
          <w:rStyle w:val="City"/>
          <w:sz w:val="20"/>
          <w14:ligatures w14:val="standard"/>
        </w:rPr>
        <w:t>Belfast Northern Ireland</w:t>
      </w:r>
      <w:r w:rsidR="008D3956" w:rsidRPr="00586A35">
        <w:rPr>
          <w:sz w:val="20"/>
          <w14:ligatures w14:val="standard"/>
        </w:rPr>
        <w:br/>
      </w:r>
      <w:r>
        <w:rPr>
          <w:rStyle w:val="Email"/>
          <w:color w:val="auto"/>
          <w:sz w:val="20"/>
          <w14:ligatures w14:val="standard"/>
        </w:rPr>
        <w:t>t.mcaloon</w:t>
      </w:r>
      <w:r w:rsidR="008D3956">
        <w:rPr>
          <w:rStyle w:val="Email"/>
          <w:color w:val="auto"/>
          <w:sz w:val="20"/>
          <w14:ligatures w14:val="standard"/>
        </w:rPr>
        <w:t>@ulster.ac.uk</w:t>
      </w:r>
    </w:p>
    <w:p w14:paraId="381A468E" w14:textId="77777777" w:rsidR="008D3956" w:rsidRPr="00586A35" w:rsidRDefault="008D3956" w:rsidP="008D3956">
      <w:pPr>
        <w:pStyle w:val="Authors"/>
        <w:jc w:val="center"/>
        <w:rPr>
          <w14:ligatures w14:val="standard"/>
        </w:rPr>
      </w:pPr>
      <w:r>
        <w:rPr>
          <w:rStyle w:val="FirstName"/>
          <w14:ligatures w14:val="standard"/>
        </w:rPr>
        <w:t>Raymond Bond</w:t>
      </w:r>
      <w:r w:rsidRPr="00586A35">
        <w:rPr>
          <w14:ligatures w14:val="standard"/>
        </w:rPr>
        <w:br/>
      </w:r>
      <w:r w:rsidRPr="00586A35">
        <w:rPr>
          <w:rStyle w:val="OrgDiv"/>
          <w:color w:val="auto"/>
          <w:sz w:val="20"/>
          <w14:ligatures w14:val="standard"/>
        </w:rPr>
        <w:t xml:space="preserve"> </w:t>
      </w:r>
      <w:r>
        <w:rPr>
          <w:rStyle w:val="OrgDiv"/>
          <w:color w:val="auto"/>
          <w:sz w:val="20"/>
          <w14:ligatures w14:val="standard"/>
        </w:rPr>
        <w:t>School of Computing</w:t>
      </w:r>
      <w:r w:rsidRPr="00586A35">
        <w:rPr>
          <w:rStyle w:val="OrgName"/>
          <w:color w:val="auto"/>
          <w:sz w:val="20"/>
          <w14:ligatures w14:val="standard"/>
        </w:rPr>
        <w:br/>
        <w:t xml:space="preserve"> </w:t>
      </w:r>
      <w:r>
        <w:rPr>
          <w:rStyle w:val="OrgName"/>
          <w:color w:val="auto"/>
          <w:sz w:val="20"/>
          <w14:ligatures w14:val="standard"/>
        </w:rPr>
        <w:t>Ulster University</w:t>
      </w:r>
      <w:r w:rsidRPr="00586A35">
        <w:rPr>
          <w:rStyle w:val="OrgName"/>
          <w:color w:val="auto"/>
          <w:sz w:val="20"/>
          <w14:ligatures w14:val="standard"/>
        </w:rPr>
        <w:br/>
        <w:t xml:space="preserve"> </w:t>
      </w:r>
      <w:r>
        <w:rPr>
          <w:rStyle w:val="City"/>
          <w:sz w:val="20"/>
          <w14:ligatures w14:val="standard"/>
        </w:rPr>
        <w:t>Belfast Northern Ireland</w:t>
      </w:r>
      <w:r w:rsidRPr="00586A35">
        <w:rPr>
          <w:sz w:val="20"/>
          <w14:ligatures w14:val="standard"/>
        </w:rPr>
        <w:br/>
      </w:r>
      <w:r w:rsidR="00CD0132">
        <w:rPr>
          <w:rStyle w:val="Email"/>
          <w:color w:val="auto"/>
          <w:sz w:val="20"/>
          <w14:ligatures w14:val="standard"/>
        </w:rPr>
        <w:t>rb</w:t>
      </w:r>
      <w:r>
        <w:rPr>
          <w:rStyle w:val="Email"/>
          <w:color w:val="auto"/>
          <w:sz w:val="20"/>
          <w14:ligatures w14:val="standard"/>
        </w:rPr>
        <w:t>.</w:t>
      </w:r>
      <w:r w:rsidR="00CD0132">
        <w:rPr>
          <w:rStyle w:val="Email"/>
          <w:color w:val="auto"/>
          <w:sz w:val="20"/>
          <w14:ligatures w14:val="standard"/>
        </w:rPr>
        <w:t>bond</w:t>
      </w:r>
      <w:r>
        <w:rPr>
          <w:rStyle w:val="Email"/>
          <w:color w:val="auto"/>
          <w:sz w:val="20"/>
          <w14:ligatures w14:val="standard"/>
        </w:rPr>
        <w:t>@ulster.ac.uk</w:t>
      </w:r>
      <w:r w:rsidRPr="00586A35">
        <w:rPr>
          <w:sz w:val="20"/>
          <w14:ligatures w14:val="standard"/>
        </w:rPr>
        <w:t xml:space="preserve"> </w:t>
      </w:r>
    </w:p>
    <w:p w14:paraId="63117619" w14:textId="77777777" w:rsidR="00CD0132" w:rsidRDefault="00CD0132" w:rsidP="008D3956">
      <w:pPr>
        <w:pStyle w:val="Authors"/>
        <w:jc w:val="center"/>
        <w:rPr>
          <w:rStyle w:val="FirstName"/>
          <w14:ligatures w14:val="standard"/>
        </w:rPr>
      </w:pPr>
    </w:p>
    <w:p w14:paraId="2FEC85FC" w14:textId="77777777" w:rsidR="008D3956" w:rsidRPr="00CD0132" w:rsidRDefault="008D3956" w:rsidP="00CD0132">
      <w:pPr>
        <w:pStyle w:val="Authors"/>
        <w:jc w:val="center"/>
        <w:rPr>
          <w14:ligatures w14:val="standard"/>
        </w:rPr>
        <w:sectPr w:rsidR="008D3956" w:rsidRPr="00CD0132"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r w:rsidRPr="00586A35">
        <w:rPr>
          <w:rStyle w:val="OrgName"/>
          <w:color w:val="auto"/>
          <w:sz w:val="20"/>
          <w14:ligatures w14:val="standard"/>
        </w:rPr>
        <w:br/>
      </w:r>
      <w:r w:rsidRPr="00586A35">
        <w:rPr>
          <w:sz w:val="20"/>
          <w14:ligatures w14:val="standard"/>
        </w:rPr>
        <w:br/>
        <w:t xml:space="preserve"> </w:t>
      </w:r>
    </w:p>
    <w:p w14:paraId="1FDCD36A" w14:textId="77777777" w:rsidR="008D3956" w:rsidRPr="0039733F" w:rsidRDefault="008D3956" w:rsidP="00694749">
      <w:pPr>
        <w:pStyle w:val="AbsHead"/>
        <w:rPr>
          <w:sz w:val="16"/>
          <w:szCs w:val="16"/>
          <w14:ligatures w14:val="standard"/>
        </w:rPr>
      </w:pPr>
    </w:p>
    <w:p w14:paraId="75A74C31" w14:textId="77777777" w:rsidR="008D3956" w:rsidRPr="0039733F" w:rsidRDefault="008D3956" w:rsidP="00694749">
      <w:pPr>
        <w:pStyle w:val="AbsHead"/>
        <w:rPr>
          <w:sz w:val="12"/>
          <w:szCs w:val="12"/>
          <w14:ligatures w14:val="standard"/>
        </w:rPr>
        <w:sectPr w:rsidR="008D3956" w:rsidRPr="0039733F"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2E22E6F8" w14:textId="77777777" w:rsidR="0007392C" w:rsidRPr="00586A35" w:rsidRDefault="007A502C" w:rsidP="002A63EA">
      <w:pPr>
        <w:pStyle w:val="AbsHead"/>
        <w:jc w:val="both"/>
        <w:rPr>
          <w14:ligatures w14:val="standard"/>
        </w:rPr>
      </w:pPr>
      <w:r w:rsidRPr="00586A35">
        <w:rPr>
          <w14:ligatures w14:val="standard"/>
        </w:rPr>
        <w:t>ABSTRACT</w:t>
      </w:r>
    </w:p>
    <w:p w14:paraId="0C03729E" w14:textId="77777777" w:rsidR="00BE2887" w:rsidRDefault="00BE2887" w:rsidP="002A63EA">
      <w:pPr>
        <w:pStyle w:val="Abstract"/>
        <w:rPr>
          <w:rFonts w:eastAsia="Verdana"/>
          <w14:ligatures w14:val="standard"/>
        </w:rPr>
      </w:pPr>
      <w:r w:rsidRPr="00BE2887">
        <w:rPr>
          <w:rFonts w:eastAsia="Verdana"/>
          <w14:ligatures w14:val="standard"/>
        </w:rPr>
        <w:t xml:space="preserve">Overweight and obesity is a global health problem and the related challenges are complex and difficult to address. Healthcare professionals working across different settings have opportunities to engage in weight-related discussions, but often there are perceived barriers to communication. Training in this area provides healthcare professionals with little opportunity for skills-based communication practice because </w:t>
      </w:r>
      <w:r w:rsidR="00F57F72">
        <w:rPr>
          <w:rFonts w:eastAsia="Verdana"/>
          <w14:ligatures w14:val="standard"/>
        </w:rPr>
        <w:t>the training</w:t>
      </w:r>
      <w:r w:rsidRPr="00BE2887">
        <w:rPr>
          <w:rFonts w:eastAsia="Verdana"/>
          <w14:ligatures w14:val="standard"/>
        </w:rPr>
        <w:t xml:space="preserve"> is </w:t>
      </w:r>
      <w:r w:rsidR="00F57F72">
        <w:rPr>
          <w:rFonts w:eastAsia="Verdana"/>
          <w14:ligatures w14:val="standard"/>
        </w:rPr>
        <w:t xml:space="preserve">mostly </w:t>
      </w:r>
      <w:r w:rsidRPr="00BE2887">
        <w:rPr>
          <w:rFonts w:eastAsia="Verdana"/>
          <w14:ligatures w14:val="standard"/>
        </w:rPr>
        <w:t>limited to</w:t>
      </w:r>
      <w:r w:rsidR="00F57F72">
        <w:rPr>
          <w:rFonts w:eastAsia="Verdana"/>
          <w14:ligatures w14:val="standard"/>
        </w:rPr>
        <w:t xml:space="preserve"> the </w:t>
      </w:r>
      <w:r w:rsidRPr="00BE2887">
        <w:rPr>
          <w:rFonts w:eastAsia="Verdana"/>
          <w14:ligatures w14:val="standard"/>
        </w:rPr>
        <w:t xml:space="preserve">medical </w:t>
      </w:r>
      <w:r w:rsidR="00484C62">
        <w:rPr>
          <w:rFonts w:eastAsia="Verdana"/>
          <w14:ligatures w14:val="standard"/>
        </w:rPr>
        <w:t>impacts</w:t>
      </w:r>
      <w:r w:rsidRPr="00BE2887">
        <w:rPr>
          <w:rFonts w:eastAsia="Verdana"/>
          <w14:ligatures w14:val="standard"/>
        </w:rPr>
        <w:t xml:space="preserve"> of overweight and obesity. A virtual reality</w:t>
      </w:r>
      <w:r w:rsidR="00F81CEB">
        <w:rPr>
          <w:rFonts w:eastAsia="Verdana"/>
          <w14:ligatures w14:val="standard"/>
        </w:rPr>
        <w:t xml:space="preserve"> (VR)</w:t>
      </w:r>
      <w:r w:rsidRPr="00BE2887">
        <w:rPr>
          <w:rFonts w:eastAsia="Verdana"/>
          <w14:ligatures w14:val="standard"/>
        </w:rPr>
        <w:t xml:space="preserve"> training tool </w:t>
      </w:r>
      <w:r w:rsidR="00F57F72">
        <w:rPr>
          <w:rFonts w:eastAsia="Verdana"/>
          <w14:ligatures w14:val="standard"/>
        </w:rPr>
        <w:t>could</w:t>
      </w:r>
      <w:r w:rsidRPr="00BE2887">
        <w:rPr>
          <w:rFonts w:eastAsia="Verdana"/>
          <w14:ligatures w14:val="standard"/>
        </w:rPr>
        <w:t xml:space="preserve"> offer the opportunity to learn and practice sensitive communication skills in a safe and practical way. This paper describes the research methodology that will be used to develop and test the feasibility of a VR training tool to improve weight-related communication with patients who are overweight and obese in healthcare settings. </w:t>
      </w:r>
    </w:p>
    <w:p w14:paraId="7B50C58D" w14:textId="77777777" w:rsidR="00C75532" w:rsidRPr="00C75532" w:rsidRDefault="00B32968" w:rsidP="00C75532">
      <w:pPr>
        <w:pStyle w:val="Abstract"/>
        <w:rPr>
          <w:rFonts w:eastAsia="Verdana"/>
          <w14:ligatures w14:val="standard"/>
        </w:rPr>
      </w:pPr>
      <w:r w:rsidRPr="00B32968">
        <w:rPr>
          <w:rFonts w:eastAsia="Verdana"/>
          <w14:ligatures w14:val="standard"/>
        </w:rPr>
        <w:t>The study design will use a mixed method approach</w:t>
      </w:r>
      <w:r w:rsidR="00484C62">
        <w:rPr>
          <w:rFonts w:eastAsia="Verdana"/>
          <w14:ligatures w14:val="standard"/>
        </w:rPr>
        <w:t xml:space="preserve"> over </w:t>
      </w:r>
      <w:r w:rsidRPr="00B32968">
        <w:rPr>
          <w:rFonts w:eastAsia="Verdana"/>
          <w14:ligatures w14:val="standard"/>
        </w:rPr>
        <w:t xml:space="preserve">4 phases; (1) Systematic literature review (2) </w:t>
      </w:r>
      <w:r w:rsidR="00484C62">
        <w:rPr>
          <w:rFonts w:eastAsia="Verdana"/>
          <w14:ligatures w14:val="standard"/>
        </w:rPr>
        <w:t>Design</w:t>
      </w:r>
      <w:r w:rsidRPr="00B32968">
        <w:rPr>
          <w:rFonts w:eastAsia="Verdana"/>
          <w14:ligatures w14:val="standard"/>
        </w:rPr>
        <w:t xml:space="preserve"> and development of the VR training tool (3) Usability testing and (4) A Feasibility study of the VR training tool. A Twitter chat will be used to gather feedback from the public and </w:t>
      </w:r>
      <w:r w:rsidR="007808DB">
        <w:rPr>
          <w:rFonts w:eastAsia="Verdana"/>
          <w14:ligatures w14:val="standard"/>
        </w:rPr>
        <w:t>semi-</w:t>
      </w:r>
      <w:r w:rsidRPr="00B32968">
        <w:rPr>
          <w:rFonts w:eastAsia="Verdana"/>
          <w14:ligatures w14:val="standard"/>
        </w:rPr>
        <w:t>structured interviews with healthcare professionals will inform the design of the VR tool. The anticipated outcome of this PhD is the development and feasibility testing of a VR training tool to improve weight-related communication with patients who are overweight and obese in healthcare settings.</w:t>
      </w:r>
    </w:p>
    <w:p w14:paraId="64B7AE3A" w14:textId="77777777" w:rsidR="00C75532" w:rsidRPr="00C75532" w:rsidRDefault="00C75532" w:rsidP="00C75532">
      <w:pPr>
        <w:pStyle w:val="CCSHead"/>
        <w:jc w:val="both"/>
        <w:rPr>
          <w:lang w:eastAsia="it-IT"/>
          <w14:ligatures w14:val="standard"/>
        </w:rPr>
      </w:pPr>
      <w:r w:rsidRPr="00586A35">
        <w:rPr>
          <w:lang w:eastAsia="it-IT"/>
          <w14:ligatures w14:val="standard"/>
        </w:rPr>
        <w:t>CCS CONCEPTS</w:t>
      </w:r>
    </w:p>
    <w:p w14:paraId="75A3D895" w14:textId="77777777" w:rsidR="00B32968" w:rsidRPr="00B32968" w:rsidRDefault="003C3338" w:rsidP="002A63EA">
      <w:pPr>
        <w:pStyle w:val="CCSDescription"/>
      </w:pPr>
      <w:r w:rsidRPr="00B32968">
        <w:t>• </w:t>
      </w:r>
      <w:r w:rsidR="00B32968" w:rsidRPr="00B32968">
        <w:t>Human-centered computing • Human computer interaction (HCI) • HCI design and evaluation methods • User studies • Usability testing</w:t>
      </w:r>
    </w:p>
    <w:p w14:paraId="29B8D373" w14:textId="77777777" w:rsidR="00B4487F" w:rsidRDefault="00B32968" w:rsidP="002A63EA">
      <w:pPr>
        <w:pStyle w:val="CCSDescription"/>
      </w:pPr>
      <w:r w:rsidRPr="00B32968">
        <w:t xml:space="preserve">• Interaction paradigms • Virtual reality </w:t>
      </w:r>
    </w:p>
    <w:p w14:paraId="3294BE6A" w14:textId="77777777" w:rsidR="00B4487F" w:rsidRPr="00B32968" w:rsidRDefault="00B4487F" w:rsidP="002A63EA">
      <w:pPr>
        <w:pStyle w:val="CCSDescription"/>
      </w:pPr>
      <w:r w:rsidRPr="00B32968">
        <w:t xml:space="preserve">• </w:t>
      </w:r>
      <w:r>
        <w:t xml:space="preserve">Interaction design process and methods </w:t>
      </w:r>
      <w:r w:rsidRPr="00B32968">
        <w:t>•</w:t>
      </w:r>
      <w:r>
        <w:t xml:space="preserve"> Scenario-based design</w:t>
      </w:r>
    </w:p>
    <w:p w14:paraId="0F59C7F8" w14:textId="77777777" w:rsidR="00C75532" w:rsidRDefault="00C75532" w:rsidP="00C75532">
      <w:pPr>
        <w:pStyle w:val="FootnoteText"/>
        <w:framePr w:w="4695" w:h="2190" w:hRule="exact" w:hSpace="187" w:wrap="around" w:vAnchor="page" w:hAnchor="page" w:x="1074" w:y="11945" w:anchorLock="1"/>
      </w:pPr>
      <w:r w:rsidRPr="00C14A4F">
        <w:rPr>
          <w:vertAlign w:val="superscript"/>
        </w:rPr>
        <w:t>†</w:t>
      </w:r>
      <w:r w:rsidRPr="00C14A4F">
        <w:t xml:space="preserve">Author </w:t>
      </w:r>
      <w:r>
        <w:t>Note</w:t>
      </w:r>
    </w:p>
    <w:p w14:paraId="0259384F" w14:textId="77777777" w:rsidR="00C75532" w:rsidRDefault="00C75532" w:rsidP="00C75532">
      <w:pPr>
        <w:pStyle w:val="PermissionBlock"/>
        <w:framePr w:w="4695" w:h="2190" w:hRule="exact" w:hSpace="187" w:wrap="around" w:vAnchor="page" w:hAnchor="page" w:x="1074" w:y="11945" w:anchorLock="1"/>
        <w:jc w:val="left"/>
        <w:rPr>
          <w:color w:val="201F1E"/>
          <w:szCs w:val="14"/>
          <w:shd w:val="clear" w:color="auto" w:fill="FFFFFF"/>
        </w:rPr>
      </w:pPr>
      <w:r w:rsidRPr="00C75532">
        <w:rPr>
          <w:szCs w:val="14"/>
        </w:rPr>
        <w:t xml:space="preserve">Permission to make digital or hard copies of all or part of this work for personal or classroom use is granted without fee </w:t>
      </w:r>
      <w:proofErr w:type="gramStart"/>
      <w:r w:rsidRPr="00C75532">
        <w:rPr>
          <w:szCs w:val="14"/>
        </w:rPr>
        <w:t>provided</w:t>
      </w:r>
      <w:r>
        <w:rPr>
          <w:szCs w:val="14"/>
        </w:rPr>
        <w:t xml:space="preserve"> </w:t>
      </w:r>
      <w:r w:rsidRPr="00C75532">
        <w:rPr>
          <w:szCs w:val="14"/>
        </w:rPr>
        <w:t>that</w:t>
      </w:r>
      <w:proofErr w:type="gramEnd"/>
      <w:r w:rsidRPr="00C75532">
        <w:rPr>
          <w:szCs w:val="14"/>
        </w:rPr>
        <w:t xml:space="preserve"> copies are not made or distributed for profit or commercial advantage and that copies bear this notice and the full</w:t>
      </w:r>
      <w:r w:rsidRPr="00C75532">
        <w:rPr>
          <w:color w:val="201F1E"/>
          <w:szCs w:val="14"/>
          <w:shd w:val="clear" w:color="auto" w:fill="FFFFFF"/>
        </w:rPr>
        <w:t xml:space="preserve"> </w:t>
      </w:r>
      <w:r w:rsidRPr="00C75532">
        <w:rPr>
          <w:szCs w:val="14"/>
        </w:rPr>
        <w:t>citation on the first page. Copyrights for components of this work owned by others than ACM must be honored. Abstracting with credit is permitted. To copy otherwise, or republish, to post on servers or to redistribute to lists, requires prior specific permission and/or a fee</w:t>
      </w:r>
      <w:r w:rsidRPr="00C75532">
        <w:rPr>
          <w:color w:val="201F1E"/>
          <w:szCs w:val="14"/>
          <w:shd w:val="clear" w:color="auto" w:fill="FFFFFF"/>
        </w:rPr>
        <w:t xml:space="preserve">. </w:t>
      </w:r>
      <w:r w:rsidRPr="00C75532">
        <w:rPr>
          <w:szCs w:val="14"/>
        </w:rPr>
        <w:t>Request permissions from</w:t>
      </w:r>
      <w:r w:rsidRPr="00C75532">
        <w:rPr>
          <w:color w:val="201F1E"/>
          <w:szCs w:val="14"/>
          <w:shd w:val="clear" w:color="auto" w:fill="FFFFFF"/>
        </w:rPr>
        <w:t xml:space="preserve"> Permissions@acm.org.</w:t>
      </w:r>
      <w:r w:rsidRPr="00C75532">
        <w:rPr>
          <w:color w:val="201F1E"/>
          <w:szCs w:val="14"/>
        </w:rPr>
        <w:br/>
      </w:r>
      <w:r w:rsidRPr="00C75532">
        <w:rPr>
          <w:color w:val="201F1E"/>
          <w:szCs w:val="14"/>
        </w:rPr>
        <w:br/>
      </w:r>
      <w:r w:rsidRPr="00C75532">
        <w:rPr>
          <w:i/>
          <w:iCs/>
          <w:color w:val="201F1E"/>
          <w:szCs w:val="14"/>
          <w:shd w:val="clear" w:color="auto" w:fill="FFFFFF"/>
        </w:rPr>
        <w:t>ECCE 2019,</w:t>
      </w:r>
      <w:r w:rsidRPr="00C75532">
        <w:rPr>
          <w:color w:val="201F1E"/>
          <w:szCs w:val="14"/>
          <w:shd w:val="clear" w:color="auto" w:fill="FFFFFF"/>
        </w:rPr>
        <w:t> September 10–13, 2019, BELFAST, United Kingdom </w:t>
      </w:r>
      <w:r w:rsidRPr="00C75532">
        <w:rPr>
          <w:color w:val="201F1E"/>
          <w:szCs w:val="14"/>
        </w:rPr>
        <w:br/>
      </w:r>
      <w:r w:rsidRPr="00C75532">
        <w:rPr>
          <w:color w:val="201F1E"/>
          <w:szCs w:val="14"/>
          <w:shd w:val="clear" w:color="auto" w:fill="FFFFFF"/>
        </w:rPr>
        <w:t>© 2019 Association for Computing Machinery.</w:t>
      </w:r>
    </w:p>
    <w:p w14:paraId="33D1DF8E" w14:textId="77777777" w:rsidR="00C75532" w:rsidRDefault="00C75532" w:rsidP="00C75532">
      <w:pPr>
        <w:pStyle w:val="PermissionBlock"/>
        <w:framePr w:w="4695" w:h="2190" w:hRule="exact" w:hSpace="187" w:wrap="around" w:vAnchor="page" w:hAnchor="page" w:x="1074" w:y="11945" w:anchorLock="1"/>
        <w:jc w:val="left"/>
        <w:rPr>
          <w:color w:val="201F1E"/>
          <w:szCs w:val="14"/>
          <w:shd w:val="clear" w:color="auto" w:fill="FFFFFF"/>
        </w:rPr>
      </w:pPr>
      <w:r w:rsidRPr="00C75532">
        <w:rPr>
          <w:rStyle w:val="mark54ywiq40p"/>
          <w:color w:val="201F1E"/>
          <w:szCs w:val="14"/>
          <w:bdr w:val="none" w:sz="0" w:space="0" w:color="auto" w:frame="1"/>
          <w:shd w:val="clear" w:color="auto" w:fill="FFFFFF"/>
        </w:rPr>
        <w:t>ACM</w:t>
      </w:r>
      <w:r w:rsidRPr="00C75532">
        <w:rPr>
          <w:color w:val="201F1E"/>
          <w:szCs w:val="14"/>
          <w:shd w:val="clear" w:color="auto" w:fill="FFFFFF"/>
        </w:rPr>
        <w:t> ISBN 978-1-4503-7166</w:t>
      </w:r>
      <w:r>
        <w:rPr>
          <w:color w:val="201F1E"/>
          <w:szCs w:val="14"/>
          <w:shd w:val="clear" w:color="auto" w:fill="FFFFFF"/>
        </w:rPr>
        <w:t xml:space="preserve"> </w:t>
      </w:r>
      <w:r w:rsidRPr="00C75532">
        <w:rPr>
          <w:color w:val="201F1E"/>
          <w:szCs w:val="14"/>
          <w:shd w:val="clear" w:color="auto" w:fill="FFFFFF"/>
        </w:rPr>
        <w:t>7/19/09…$15.00 </w:t>
      </w:r>
    </w:p>
    <w:p w14:paraId="157A0E8D" w14:textId="77777777" w:rsidR="00484C62" w:rsidRPr="00C75532" w:rsidRDefault="00C75532" w:rsidP="00C75532">
      <w:pPr>
        <w:pStyle w:val="PermissionBlock"/>
        <w:framePr w:w="4695" w:h="2190" w:hRule="exact" w:hSpace="187" w:wrap="around" w:vAnchor="page" w:hAnchor="page" w:x="1074" w:y="11945" w:anchorLock="1"/>
        <w:jc w:val="left"/>
        <w:rPr>
          <w:b/>
          <w:szCs w:val="14"/>
        </w:rPr>
      </w:pPr>
      <w:r w:rsidRPr="00C75532">
        <w:rPr>
          <w:color w:val="201F1E"/>
          <w:szCs w:val="14"/>
          <w:shd w:val="clear" w:color="auto" w:fill="FFFFFF"/>
        </w:rPr>
        <w:t>https://doi.org/10.1145/3335082.3335121</w:t>
      </w:r>
    </w:p>
    <w:p w14:paraId="068CF80A" w14:textId="77777777" w:rsidR="00484C62" w:rsidRPr="0039733F" w:rsidRDefault="00484C62" w:rsidP="002A63EA">
      <w:pPr>
        <w:pStyle w:val="KeyWords"/>
        <w:rPr>
          <w:b/>
          <w:sz w:val="16"/>
          <w:szCs w:val="16"/>
        </w:rPr>
      </w:pPr>
    </w:p>
    <w:p w14:paraId="69144FAD" w14:textId="77777777" w:rsidR="0007392C" w:rsidRPr="00B4487F" w:rsidRDefault="00675128" w:rsidP="002A63EA">
      <w:pPr>
        <w:pStyle w:val="KeyWords"/>
        <w:rPr>
          <w:b/>
          <w:sz w:val="22"/>
        </w:rPr>
      </w:pPr>
      <w:r w:rsidRPr="00B4487F">
        <w:rPr>
          <w:b/>
          <w:sz w:val="22"/>
        </w:rPr>
        <w:t>KEYWORDS</w:t>
      </w:r>
    </w:p>
    <w:p w14:paraId="4B419AF4" w14:textId="77777777" w:rsidR="0007392C" w:rsidRPr="00B32968" w:rsidRDefault="001C4C27" w:rsidP="002A63EA">
      <w:r w:rsidRPr="00B32968">
        <w:t>Virtual reality</w:t>
      </w:r>
      <w:r w:rsidR="00675128" w:rsidRPr="00B32968">
        <w:t xml:space="preserve">, </w:t>
      </w:r>
      <w:r w:rsidRPr="00B32968">
        <w:t xml:space="preserve">Digital learning, </w:t>
      </w:r>
      <w:r w:rsidR="00B4487F">
        <w:t xml:space="preserve">eLearning, </w:t>
      </w:r>
      <w:r w:rsidRPr="00B32968">
        <w:t>Connected health</w:t>
      </w:r>
      <w:r w:rsidR="00675128" w:rsidRPr="00B32968">
        <w:t xml:space="preserve">, </w:t>
      </w:r>
      <w:r w:rsidRPr="00B32968">
        <w:t>Health communication</w:t>
      </w:r>
      <w:r w:rsidR="00675128" w:rsidRPr="00B32968">
        <w:t xml:space="preserve">, </w:t>
      </w:r>
      <w:r w:rsidR="00B4487F">
        <w:t xml:space="preserve">Healthcare professionals, </w:t>
      </w:r>
      <w:r w:rsidRPr="00B32968">
        <w:t>Weight management, Obesity management</w:t>
      </w:r>
    </w:p>
    <w:p w14:paraId="2EE26D31" w14:textId="77777777" w:rsidR="0007392C" w:rsidRPr="00586A35" w:rsidRDefault="00675128" w:rsidP="0039733F">
      <w:pPr>
        <w:pStyle w:val="Head1"/>
      </w:pPr>
      <w:r w:rsidRPr="00586A35">
        <w:rPr>
          <w:rStyle w:val="Label"/>
          <w14:ligatures w14:val="standard"/>
        </w:rPr>
        <w:t>1</w:t>
      </w:r>
      <w:r w:rsidR="008F1608">
        <w:t xml:space="preserve"> </w:t>
      </w:r>
      <w:r w:rsidR="00B32968">
        <w:t>Background</w:t>
      </w:r>
    </w:p>
    <w:p w14:paraId="3F83AF84" w14:textId="77777777" w:rsidR="00B32968" w:rsidRPr="00B32968" w:rsidRDefault="00B32968" w:rsidP="002A63EA">
      <w:pPr>
        <w:pStyle w:val="Para"/>
        <w:ind w:firstLine="0"/>
        <w:jc w:val="both"/>
      </w:pPr>
      <w:r w:rsidRPr="00B32968">
        <w:t xml:space="preserve">The World Health </w:t>
      </w:r>
      <w:proofErr w:type="spellStart"/>
      <w:r w:rsidRPr="00B32968">
        <w:t>Organisation</w:t>
      </w:r>
      <w:proofErr w:type="spellEnd"/>
      <w:r w:rsidRPr="00B32968">
        <w:t xml:space="preserve"> (WHO) defined overweight and obesity as ‘abnormal or excessive fat accumulation that presents a risk to health’. Globally, 39% of adults aged 18 and over are overweight, and 13% are obese</w:t>
      </w:r>
      <w:r w:rsidR="00865171">
        <w:t xml:space="preserve"> [1</w:t>
      </w:r>
      <w:r w:rsidR="00AF22B4">
        <w:t>]</w:t>
      </w:r>
      <w:r w:rsidRPr="00B32968">
        <w:t xml:space="preserve">. According to the most recent </w:t>
      </w:r>
      <w:proofErr w:type="spellStart"/>
      <w:r w:rsidRPr="00B32968">
        <w:t>Organisation</w:t>
      </w:r>
      <w:proofErr w:type="spellEnd"/>
      <w:r w:rsidRPr="00B32968">
        <w:t xml:space="preserve"> for Economic Co-operation and Development indicators, UK obesity prevalence is 27%, and 36% are overweight</w:t>
      </w:r>
      <w:r w:rsidR="00F57F72">
        <w:t xml:space="preserve"> [2]</w:t>
      </w:r>
      <w:r w:rsidRPr="00B32968">
        <w:t>. The 2017/18 Health Survey Northern Ireland (NI) shows the rise in overweight and obesity rates since 2010 - and are currently at 64%</w:t>
      </w:r>
      <w:r w:rsidR="00AF22B4">
        <w:t xml:space="preserve"> [3]</w:t>
      </w:r>
      <w:r w:rsidRPr="00B32968">
        <w:t xml:space="preserve">. Initiatives such as the ‘Fitter Future for all (NI)’ framework, launched in 2012 to address and prevent obesity, have so far made little impact. </w:t>
      </w:r>
    </w:p>
    <w:p w14:paraId="39F13611" w14:textId="77777777" w:rsidR="00B32968" w:rsidRPr="00B32968" w:rsidRDefault="00B32968" w:rsidP="002A63EA">
      <w:pPr>
        <w:shd w:val="clear" w:color="auto" w:fill="FFFFFF"/>
        <w:textAlignment w:val="baseline"/>
        <w:rPr>
          <w:rFonts w:eastAsia="Verdana"/>
          <w14:ligatures w14:val="standard"/>
        </w:rPr>
      </w:pPr>
    </w:p>
    <w:p w14:paraId="2FFD7689" w14:textId="29B92B14" w:rsidR="0039733F" w:rsidRDefault="00B32968" w:rsidP="00484C62">
      <w:pPr>
        <w:pStyle w:val="Para"/>
        <w:ind w:firstLine="0"/>
        <w:jc w:val="both"/>
        <w:rPr>
          <w:rStyle w:val="Label"/>
        </w:rPr>
      </w:pPr>
      <w:r w:rsidRPr="00D679AB">
        <w:t>Effective health communication is known to positively impact patient outcomes, if it is sensitive, accurate and honest</w:t>
      </w:r>
      <w:r w:rsidR="00865171">
        <w:t xml:space="preserve"> [4]</w:t>
      </w:r>
      <w:r w:rsidR="00AF22B4">
        <w:t>.</w:t>
      </w:r>
      <w:r w:rsidRPr="00D679AB">
        <w:t xml:space="preserve"> Communicating about weight and obesity is especially challenging, as it can negatively impact the relationship between the healthcare professional and the patient</w:t>
      </w:r>
      <w:r w:rsidR="00AF22B4">
        <w:t xml:space="preserve"> </w:t>
      </w:r>
      <w:r w:rsidR="00865171">
        <w:t>[5]</w:t>
      </w:r>
      <w:r w:rsidRPr="00D679AB">
        <w:t>. Many patients show ambivalence to weight management interventions and report that there is too much focus on their weight to the detriment of other health goals</w:t>
      </w:r>
      <w:r w:rsidR="00865171">
        <w:t xml:space="preserve"> [6,7]</w:t>
      </w:r>
      <w:r w:rsidRPr="00D679AB">
        <w:fldChar w:fldCharType="begin"/>
      </w:r>
      <w:r w:rsidRPr="00D679AB">
        <w:instrText>ADDIN RW.CITE{{2066 Mold,Freda 2013; 2067 Brown,I. 2012}}</w:instrText>
      </w:r>
      <w:r w:rsidRPr="00D679AB">
        <w:fldChar w:fldCharType="end"/>
      </w:r>
      <w:r w:rsidRPr="00D679AB">
        <w:t xml:space="preserve">. Healthcare professionals can also hold ambivalence in raising the topic of weight </w:t>
      </w:r>
      <w:r w:rsidR="00865171">
        <w:t>[8, 5]</w:t>
      </w:r>
      <w:r w:rsidR="00AF22B4" w:rsidRPr="00AF22B4">
        <w:t>.</w:t>
      </w:r>
      <w:r w:rsidRPr="00D679AB">
        <w:t xml:space="preserve"> </w:t>
      </w:r>
    </w:p>
    <w:p w14:paraId="28842F2A" w14:textId="77777777" w:rsidR="00D679AB" w:rsidRPr="00586A35" w:rsidRDefault="00D679AB" w:rsidP="002A63EA">
      <w:pPr>
        <w:pStyle w:val="Head2"/>
      </w:pPr>
      <w:r>
        <w:rPr>
          <w:rStyle w:val="Label"/>
        </w:rPr>
        <w:lastRenderedPageBreak/>
        <w:t>2</w:t>
      </w:r>
      <w:r w:rsidR="008F1608">
        <w:t xml:space="preserve"> </w:t>
      </w:r>
      <w:r w:rsidR="00484C62">
        <w:t>Better</w:t>
      </w:r>
      <w:r w:rsidR="002A63EA">
        <w:t xml:space="preserve"> </w:t>
      </w:r>
      <w:r>
        <w:t>Training for Healthcare Professionals</w:t>
      </w:r>
    </w:p>
    <w:p w14:paraId="72122271" w14:textId="77777777" w:rsidR="00B4487F" w:rsidRPr="00D679AB" w:rsidRDefault="004A425F" w:rsidP="0066392F">
      <w:pPr>
        <w:pStyle w:val="Para"/>
        <w:ind w:firstLine="0"/>
        <w:jc w:val="both"/>
      </w:pPr>
      <w:r w:rsidRPr="00D679AB">
        <w:t>H</w:t>
      </w:r>
      <w:r w:rsidR="00B4487F" w:rsidRPr="00D679AB">
        <w:t xml:space="preserve">ealthcare professionals </w:t>
      </w:r>
      <w:r w:rsidRPr="00D679AB">
        <w:t xml:space="preserve">in the UK </w:t>
      </w:r>
      <w:r w:rsidR="00B4487F" w:rsidRPr="00D679AB">
        <w:t>have</w:t>
      </w:r>
      <w:r w:rsidRPr="00D679AB">
        <w:t xml:space="preserve"> a range of</w:t>
      </w:r>
      <w:r w:rsidR="00B4487F" w:rsidRPr="00D679AB">
        <w:t xml:space="preserve"> online training options for weight and obesity management, but the training addresses medical </w:t>
      </w:r>
      <w:r w:rsidR="00484C62">
        <w:t>impacts</w:t>
      </w:r>
      <w:r w:rsidR="00B4487F" w:rsidRPr="00D679AB">
        <w:t xml:space="preserve"> of obesity, rather than communication skills. </w:t>
      </w:r>
      <w:r w:rsidR="00F57F72">
        <w:t xml:space="preserve">In 2018, </w:t>
      </w:r>
      <w:r w:rsidR="00B4487F" w:rsidRPr="00D679AB">
        <w:t xml:space="preserve">The All-Party Parliamentary Group on Obesity reported that 42% of people were unconformable talking to their GP about obesity, and only 26% felt respected when seeking treatment </w:t>
      </w:r>
      <w:r w:rsidR="0066392F">
        <w:t>[9]</w:t>
      </w:r>
      <w:r w:rsidR="00B4487F" w:rsidRPr="00D679AB">
        <w:t>. While the online training content</w:t>
      </w:r>
      <w:r w:rsidR="00F57F72">
        <w:t xml:space="preserve"> for healthcare professionals in this area</w:t>
      </w:r>
      <w:r w:rsidR="00B4487F" w:rsidRPr="00D679AB">
        <w:t xml:space="preserve"> is written by experts, the presentation is text-heavy</w:t>
      </w:r>
      <w:r w:rsidR="00B82743">
        <w:t xml:space="preserve"> and linear. The overall learning experience</w:t>
      </w:r>
      <w:r w:rsidR="00B4487F" w:rsidRPr="00D679AB">
        <w:t xml:space="preserve"> provides little opportunity for practice, reflection and feedback, which are essential to skills-based learning</w:t>
      </w:r>
      <w:r w:rsidR="0066392F">
        <w:t xml:space="preserve"> [10, 11]</w:t>
      </w:r>
      <w:r w:rsidR="00B4487F" w:rsidRPr="00D679AB">
        <w:t xml:space="preserve">. Communication for healthcare professionals is a skill that needs deliberate practice. </w:t>
      </w:r>
    </w:p>
    <w:p w14:paraId="3CC02E21" w14:textId="77777777" w:rsidR="00B4487F" w:rsidRDefault="00B4487F" w:rsidP="002A63EA">
      <w:pPr>
        <w:rPr>
          <w:rFonts w:ascii="Times New Roman" w:hAnsi="Times New Roman" w:cs="Times New Roman"/>
        </w:rPr>
      </w:pPr>
    </w:p>
    <w:p w14:paraId="33B6832D" w14:textId="77777777" w:rsidR="00B4487F" w:rsidRDefault="00B4487F" w:rsidP="00F81CEB">
      <w:pPr>
        <w:pStyle w:val="Para"/>
        <w:ind w:firstLine="0"/>
        <w:jc w:val="both"/>
      </w:pPr>
      <w:r w:rsidRPr="00D679AB">
        <w:t>VR</w:t>
      </w:r>
      <w:r w:rsidR="00F81CEB">
        <w:t xml:space="preserve"> </w:t>
      </w:r>
      <w:r w:rsidRPr="00D679AB">
        <w:t xml:space="preserve">can be defined as “The experience in which the user is effectively immersed in a responsive virtual world” </w:t>
      </w:r>
      <w:r w:rsidR="0066392F">
        <w:t>[12]</w:t>
      </w:r>
      <w:r w:rsidRPr="00D679AB">
        <w:t>. VR training approaches have not yet been used to teach weight-related communication but have been for other topics of sensitive communication. These topics include child</w:t>
      </w:r>
      <w:r w:rsidR="00AF22B4">
        <w:t xml:space="preserve"> </w:t>
      </w:r>
      <w:r w:rsidRPr="00D679AB">
        <w:t>safeguarding</w:t>
      </w:r>
      <w:r w:rsidR="00D368A0">
        <w:t>,</w:t>
      </w:r>
      <w:r w:rsidR="00AF22B4">
        <w:t xml:space="preserve"> </w:t>
      </w:r>
      <w:r w:rsidRPr="00D679AB">
        <w:t>vaccination education</w:t>
      </w:r>
      <w:r w:rsidR="0066392F">
        <w:t xml:space="preserve"> [1</w:t>
      </w:r>
      <w:r w:rsidR="00D368A0">
        <w:t>3</w:t>
      </w:r>
      <w:r w:rsidR="0066392F">
        <w:t>]</w:t>
      </w:r>
      <w:r w:rsidRPr="00D679AB">
        <w:t xml:space="preserve"> and reactions to unreasonable requests for antibiotics</w:t>
      </w:r>
      <w:r w:rsidR="0066392F">
        <w:t xml:space="preserve"> [1</w:t>
      </w:r>
      <w:r w:rsidR="00D368A0">
        <w:t>4</w:t>
      </w:r>
      <w:r w:rsidR="0066392F">
        <w:t>]</w:t>
      </w:r>
      <w:r w:rsidRPr="00D679AB">
        <w:t>. VR as a training tool offers many benefits including supporting hands-on practice in a safe way</w:t>
      </w:r>
      <w:r w:rsidR="0066392F">
        <w:t xml:space="preserve"> [1</w:t>
      </w:r>
      <w:r w:rsidR="00D368A0">
        <w:t>5</w:t>
      </w:r>
      <w:r w:rsidR="0066392F">
        <w:t>]</w:t>
      </w:r>
      <w:r w:rsidRPr="00D679AB">
        <w:t xml:space="preserve">, increased engagement because of a high-fidelity experience </w:t>
      </w:r>
      <w:r w:rsidR="0066392F">
        <w:t>[1</w:t>
      </w:r>
      <w:r w:rsidR="00D368A0">
        <w:t>6</w:t>
      </w:r>
      <w:r w:rsidR="0066392F">
        <w:t>]</w:t>
      </w:r>
      <w:r w:rsidR="00AF22B4">
        <w:t xml:space="preserve">, </w:t>
      </w:r>
      <w:r w:rsidRPr="00D679AB">
        <w:t xml:space="preserve">increased learning retention </w:t>
      </w:r>
      <w:r w:rsidR="0066392F">
        <w:t>[1</w:t>
      </w:r>
      <w:r w:rsidR="00D368A0">
        <w:t>7</w:t>
      </w:r>
      <w:r w:rsidR="0066392F">
        <w:t xml:space="preserve">] </w:t>
      </w:r>
      <w:r w:rsidRPr="00D679AB">
        <w:t xml:space="preserve">and the ability to model and teach empathy </w:t>
      </w:r>
      <w:r w:rsidR="0066392F">
        <w:t>[1</w:t>
      </w:r>
      <w:r w:rsidR="00D368A0">
        <w:t>8</w:t>
      </w:r>
      <w:r w:rsidR="0066392F">
        <w:t>]</w:t>
      </w:r>
      <w:r w:rsidRPr="00D679AB">
        <w:t xml:space="preserve">. </w:t>
      </w:r>
    </w:p>
    <w:p w14:paraId="7BD3315B" w14:textId="77777777" w:rsidR="00D679AB" w:rsidRDefault="00D679AB" w:rsidP="002A63EA">
      <w:pPr>
        <w:pStyle w:val="Para"/>
        <w:jc w:val="both"/>
      </w:pPr>
    </w:p>
    <w:p w14:paraId="7019725B" w14:textId="77777777" w:rsidR="00D679AB" w:rsidRPr="00D679AB" w:rsidRDefault="00EC5B28" w:rsidP="002A63EA">
      <w:pPr>
        <w:pStyle w:val="Head2"/>
      </w:pPr>
      <w:r>
        <w:rPr>
          <w:rStyle w:val="Label"/>
        </w:rPr>
        <w:t>3</w:t>
      </w:r>
      <w:r w:rsidR="008F1608">
        <w:t xml:space="preserve"> </w:t>
      </w:r>
      <w:r w:rsidR="00D679AB">
        <w:t>Research Gap</w:t>
      </w:r>
    </w:p>
    <w:p w14:paraId="1B450878" w14:textId="77777777" w:rsidR="00B4487F" w:rsidRPr="00D679AB" w:rsidRDefault="00B4487F" w:rsidP="00F81CEB">
      <w:pPr>
        <w:pStyle w:val="Para"/>
        <w:ind w:firstLine="0"/>
        <w:jc w:val="both"/>
      </w:pPr>
      <w:r w:rsidRPr="00D679AB">
        <w:t>There is a gap in the literature for evidenced-based research on weight-related communication for healthcare professionals</w:t>
      </w:r>
      <w:r w:rsidR="00B82743">
        <w:t xml:space="preserve">, which </w:t>
      </w:r>
      <w:r w:rsidRPr="00D679AB">
        <w:t>positive</w:t>
      </w:r>
      <w:r w:rsidR="00B82743">
        <w:t>ly</w:t>
      </w:r>
      <w:r w:rsidRPr="00D679AB">
        <w:t xml:space="preserve"> impact</w:t>
      </w:r>
      <w:r w:rsidR="00B82743">
        <w:t>s</w:t>
      </w:r>
      <w:r w:rsidRPr="00D679AB">
        <w:t xml:space="preserve"> patients</w:t>
      </w:r>
      <w:r w:rsidR="00AF22B4">
        <w:t xml:space="preserve"> </w:t>
      </w:r>
      <w:r w:rsidR="00346BEF">
        <w:t>[19, 20]</w:t>
      </w:r>
      <w:r w:rsidRPr="00D679AB">
        <w:t>.</w:t>
      </w:r>
      <w:r>
        <w:t xml:space="preserve"> </w:t>
      </w:r>
      <w:r w:rsidRPr="00D679AB">
        <w:t>Common communication challenges have emerged, including how to raise the topic sensitively</w:t>
      </w:r>
      <w:r w:rsidR="00346BEF">
        <w:t xml:space="preserve">, </w:t>
      </w:r>
      <w:r w:rsidRPr="00D679AB">
        <w:t>preferred language</w:t>
      </w:r>
      <w:r w:rsidR="00346BEF">
        <w:t xml:space="preserve"> [21]</w:t>
      </w:r>
      <w:r w:rsidRPr="00D679AB">
        <w:t>, whether to use opportunistic or structured strategies</w:t>
      </w:r>
      <w:r w:rsidR="00346BEF">
        <w:t xml:space="preserve"> [22]</w:t>
      </w:r>
      <w:r w:rsidRPr="00D679AB">
        <w:t xml:space="preserve"> and taking a life-course approach to weight and obesity management. The interest in weight bias has increased, with a clear link to patient motivation</w:t>
      </w:r>
      <w:r w:rsidR="00B82743">
        <w:t xml:space="preserve"> </w:t>
      </w:r>
      <w:r w:rsidR="00346BEF">
        <w:t>[23, 24]</w:t>
      </w:r>
      <w:r w:rsidRPr="00D679AB">
        <w:t>. However, research on interventions to reduce weight bias are still at early stages</w:t>
      </w:r>
      <w:r w:rsidR="00AF22B4">
        <w:t xml:space="preserve"> [25, 26]</w:t>
      </w:r>
      <w:r w:rsidRPr="004A425F">
        <w:t>.</w:t>
      </w:r>
      <w:r w:rsidRPr="00D679AB">
        <w:t xml:space="preserve"> Empathy can be important for effective health communication but the link between empathy and weight stigma is not clear</w:t>
      </w:r>
      <w:r w:rsidR="00AF22B4">
        <w:t xml:space="preserve"> [27]</w:t>
      </w:r>
      <w:r w:rsidRPr="00D679AB">
        <w:t xml:space="preserve">.  </w:t>
      </w:r>
    </w:p>
    <w:p w14:paraId="42629D5D" w14:textId="77777777" w:rsidR="00B4487F" w:rsidRDefault="00B4487F" w:rsidP="002A63EA">
      <w:pPr>
        <w:rPr>
          <w:b/>
        </w:rPr>
      </w:pPr>
    </w:p>
    <w:p w14:paraId="5C3BD459" w14:textId="77777777" w:rsidR="00B4487F" w:rsidRPr="00EC5B28" w:rsidRDefault="00EC5B28" w:rsidP="00F81CEB">
      <w:pPr>
        <w:pStyle w:val="Head3"/>
      </w:pPr>
      <w:r>
        <w:t>3</w:t>
      </w:r>
      <w:r w:rsidRPr="00EC5B28">
        <w:t xml:space="preserve">.1 </w:t>
      </w:r>
      <w:r w:rsidR="00B4487F" w:rsidRPr="00EC5B28">
        <w:t xml:space="preserve">Research </w:t>
      </w:r>
      <w:r w:rsidR="00CC3720">
        <w:t>Q</w:t>
      </w:r>
      <w:r w:rsidR="00B4487F" w:rsidRPr="00EC5B28">
        <w:t>uestion</w:t>
      </w:r>
    </w:p>
    <w:p w14:paraId="7E4E32D2" w14:textId="77777777" w:rsidR="00B4487F" w:rsidRDefault="00B4487F" w:rsidP="00F81CEB">
      <w:pPr>
        <w:pStyle w:val="Para"/>
        <w:ind w:firstLine="0"/>
        <w:jc w:val="both"/>
      </w:pPr>
      <w:r w:rsidRPr="00EC5B28">
        <w:t>How can a VR training tool improve weight-related communication in healthcare settings?</w:t>
      </w:r>
    </w:p>
    <w:p w14:paraId="19008FFD" w14:textId="77777777" w:rsidR="00B4487F" w:rsidRPr="00EC5B28" w:rsidRDefault="00F607A3" w:rsidP="00AF22B4">
      <w:pPr>
        <w:pStyle w:val="Head3"/>
        <w:ind w:left="0" w:firstLine="0"/>
        <w:rPr>
          <w:rStyle w:val="apple-style-span"/>
        </w:rPr>
      </w:pPr>
      <w:r>
        <w:rPr>
          <w:rStyle w:val="apple-style-span"/>
        </w:rPr>
        <w:br/>
      </w:r>
      <w:r w:rsidR="00B4487F">
        <w:rPr>
          <w:rStyle w:val="apple-style-span"/>
        </w:rPr>
        <w:t>Aim</w:t>
      </w:r>
    </w:p>
    <w:p w14:paraId="45A08D64" w14:textId="77777777" w:rsidR="004A425F" w:rsidRPr="00EC5B28" w:rsidRDefault="00B4487F" w:rsidP="002A63EA">
      <w:pPr>
        <w:pStyle w:val="Para"/>
        <w:ind w:firstLine="0"/>
        <w:jc w:val="both"/>
      </w:pPr>
      <w:r w:rsidRPr="00D679AB">
        <w:t xml:space="preserve">To develop and evaluate a VR training tool to improve weight-related communication with patients who are overweight and obese in healthcare settings. </w:t>
      </w:r>
    </w:p>
    <w:p w14:paraId="3B5CFCCF" w14:textId="77777777" w:rsidR="004A425F" w:rsidRDefault="004A425F" w:rsidP="002A63EA">
      <w:pPr>
        <w:rPr>
          <w:rFonts w:ascii="Times New Roman" w:eastAsia="Times New Roman" w:hAnsi="Times New Roman" w:cs="Times New Roman"/>
          <w:b/>
          <w:color w:val="000000"/>
        </w:rPr>
      </w:pPr>
    </w:p>
    <w:p w14:paraId="56445451" w14:textId="77777777" w:rsidR="0039733F" w:rsidRDefault="0039733F" w:rsidP="002A63EA">
      <w:pPr>
        <w:rPr>
          <w:rFonts w:ascii="Times New Roman" w:eastAsia="Times New Roman" w:hAnsi="Times New Roman" w:cs="Times New Roman"/>
          <w:b/>
          <w:color w:val="000000"/>
        </w:rPr>
      </w:pPr>
    </w:p>
    <w:p w14:paraId="02827DF5" w14:textId="77777777" w:rsidR="0039733F" w:rsidRDefault="0039733F" w:rsidP="002A63EA">
      <w:pPr>
        <w:rPr>
          <w:rFonts w:ascii="Times New Roman" w:eastAsia="Times New Roman" w:hAnsi="Times New Roman" w:cs="Times New Roman"/>
          <w:b/>
          <w:color w:val="000000"/>
        </w:rPr>
      </w:pPr>
    </w:p>
    <w:p w14:paraId="626F5429" w14:textId="77777777" w:rsidR="0039733F" w:rsidRDefault="0039733F" w:rsidP="002A63EA">
      <w:pPr>
        <w:rPr>
          <w:rFonts w:ascii="Times New Roman" w:eastAsia="Times New Roman" w:hAnsi="Times New Roman" w:cs="Times New Roman"/>
          <w:b/>
          <w:color w:val="000000"/>
        </w:rPr>
      </w:pPr>
    </w:p>
    <w:p w14:paraId="6A77E939" w14:textId="77777777" w:rsidR="0039733F" w:rsidRDefault="0039733F" w:rsidP="002A63EA">
      <w:pPr>
        <w:rPr>
          <w:rFonts w:ascii="Times New Roman" w:eastAsia="Times New Roman" w:hAnsi="Times New Roman" w:cs="Times New Roman"/>
          <w:b/>
          <w:color w:val="000000"/>
        </w:rPr>
      </w:pPr>
    </w:p>
    <w:p w14:paraId="795B75F9" w14:textId="63FC8B46" w:rsidR="00B4487F" w:rsidRPr="00715AA9" w:rsidRDefault="00B4487F" w:rsidP="002A63EA">
      <w:pPr>
        <w:rPr>
          <w:rFonts w:ascii="Times New Roman" w:eastAsia="Times New Roman" w:hAnsi="Times New Roman" w:cs="Times New Roman"/>
          <w:b/>
          <w:color w:val="000000"/>
        </w:rPr>
      </w:pPr>
      <w:bookmarkStart w:id="0" w:name="_GoBack"/>
      <w:bookmarkEnd w:id="0"/>
      <w:r w:rsidRPr="00715AA9">
        <w:rPr>
          <w:rFonts w:ascii="Times New Roman" w:eastAsia="Times New Roman" w:hAnsi="Times New Roman" w:cs="Times New Roman"/>
          <w:b/>
          <w:color w:val="000000"/>
        </w:rPr>
        <w:t>Objectives</w:t>
      </w:r>
    </w:p>
    <w:p w14:paraId="44C9DD6C" w14:textId="77777777" w:rsidR="00B4487F" w:rsidRPr="002A63EA" w:rsidRDefault="004A425F" w:rsidP="002A63EA">
      <w:pPr>
        <w:rPr>
          <w:rFonts w:ascii="Times New Roman" w:hAnsi="Times New Roman" w:cs="Times New Roman"/>
        </w:rPr>
      </w:pPr>
      <w:r>
        <w:rPr>
          <w:rFonts w:ascii="Times New Roman" w:hAnsi="Times New Roman" w:cs="Times New Roman"/>
        </w:rPr>
        <w:t>The objectives are:</w:t>
      </w:r>
    </w:p>
    <w:p w14:paraId="0F405DC4" w14:textId="77777777" w:rsidR="00B4487F" w:rsidRPr="002A63EA" w:rsidRDefault="00B4487F" w:rsidP="002A63EA">
      <w:pPr>
        <w:pStyle w:val="ListParagraph"/>
        <w:numPr>
          <w:ilvl w:val="0"/>
          <w:numId w:val="15"/>
        </w:numPr>
        <w:shd w:val="clear" w:color="auto" w:fill="FFFFFF"/>
        <w:tabs>
          <w:tab w:val="clear" w:pos="360"/>
        </w:tabs>
        <w:spacing w:before="100" w:beforeAutospacing="1" w:after="100" w:afterAutospacing="1" w:line="240" w:lineRule="auto"/>
        <w:contextualSpacing/>
        <w:rPr>
          <w14:ligatures w14:val="standard"/>
        </w:rPr>
      </w:pPr>
      <w:r w:rsidRPr="002A63EA">
        <w:rPr>
          <w14:ligatures w14:val="standard"/>
        </w:rPr>
        <w:t xml:space="preserve">To review the current literature on </w:t>
      </w:r>
      <w:r w:rsidR="00C06B30">
        <w:rPr>
          <w14:ligatures w14:val="standard"/>
        </w:rPr>
        <w:t>digital</w:t>
      </w:r>
      <w:r w:rsidRPr="002A63EA">
        <w:rPr>
          <w14:ligatures w14:val="standard"/>
        </w:rPr>
        <w:t xml:space="preserve"> training tools that support weight-related communication in healthcare settings. </w:t>
      </w:r>
    </w:p>
    <w:p w14:paraId="3359E067" w14:textId="77777777" w:rsidR="00B4487F" w:rsidRPr="002A63EA" w:rsidRDefault="00B4487F" w:rsidP="002A63EA">
      <w:pPr>
        <w:pStyle w:val="ListParagraph"/>
        <w:numPr>
          <w:ilvl w:val="0"/>
          <w:numId w:val="15"/>
        </w:numPr>
        <w:shd w:val="clear" w:color="auto" w:fill="FFFFFF"/>
        <w:tabs>
          <w:tab w:val="clear" w:pos="360"/>
        </w:tabs>
        <w:spacing w:before="100" w:beforeAutospacing="1" w:after="100" w:afterAutospacing="1" w:line="240" w:lineRule="auto"/>
        <w:contextualSpacing/>
        <w:rPr>
          <w14:ligatures w14:val="standard"/>
        </w:rPr>
      </w:pPr>
      <w:r w:rsidRPr="002A63EA">
        <w:rPr>
          <w14:ligatures w14:val="standard"/>
        </w:rPr>
        <w:t xml:space="preserve">To design and develop a VR training tool to improve weight-related communication in healthcare settings. </w:t>
      </w:r>
    </w:p>
    <w:p w14:paraId="1A028BBD" w14:textId="77777777" w:rsidR="00B4487F" w:rsidRPr="002A63EA" w:rsidRDefault="00B4487F" w:rsidP="002A63EA">
      <w:pPr>
        <w:pStyle w:val="ListParagraph"/>
        <w:numPr>
          <w:ilvl w:val="0"/>
          <w:numId w:val="15"/>
        </w:numPr>
        <w:shd w:val="clear" w:color="auto" w:fill="FFFFFF"/>
        <w:tabs>
          <w:tab w:val="clear" w:pos="360"/>
        </w:tabs>
        <w:spacing w:before="100" w:beforeAutospacing="1" w:after="100" w:afterAutospacing="1" w:line="240" w:lineRule="auto"/>
        <w:rPr>
          <w14:ligatures w14:val="standard"/>
        </w:rPr>
      </w:pPr>
      <w:r w:rsidRPr="002A63EA">
        <w:rPr>
          <w14:ligatures w14:val="standard"/>
        </w:rPr>
        <w:t xml:space="preserve">To test the usability of the VR training tool to improve weight-related communication in healthcare settings. </w:t>
      </w:r>
    </w:p>
    <w:p w14:paraId="6EB78D9A" w14:textId="77777777" w:rsidR="004A425F" w:rsidRPr="00F81CEB" w:rsidRDefault="00B4487F" w:rsidP="00F81CEB">
      <w:pPr>
        <w:pStyle w:val="ListParagraph"/>
        <w:numPr>
          <w:ilvl w:val="0"/>
          <w:numId w:val="15"/>
        </w:numPr>
        <w:shd w:val="clear" w:color="auto" w:fill="FFFFFF"/>
        <w:tabs>
          <w:tab w:val="clear" w:pos="360"/>
        </w:tabs>
        <w:spacing w:before="100" w:beforeAutospacing="1" w:after="100" w:afterAutospacing="1" w:line="240" w:lineRule="auto"/>
        <w:rPr>
          <w14:ligatures w14:val="standard"/>
        </w:rPr>
      </w:pPr>
      <w:r w:rsidRPr="002A63EA">
        <w:rPr>
          <w14:ligatures w14:val="standard"/>
        </w:rPr>
        <w:t xml:space="preserve">To conduct a feasibility study of the VR training tool to improve weight-related communication in healthcare settings. </w:t>
      </w:r>
    </w:p>
    <w:p w14:paraId="12C032C7" w14:textId="77777777" w:rsidR="00D679AB" w:rsidRPr="00D679AB" w:rsidRDefault="00EC5B28" w:rsidP="002A63EA">
      <w:pPr>
        <w:pStyle w:val="Head2"/>
      </w:pPr>
      <w:r>
        <w:rPr>
          <w:rStyle w:val="Label"/>
        </w:rPr>
        <w:t>4</w:t>
      </w:r>
      <w:r w:rsidR="008F1608">
        <w:t xml:space="preserve"> </w:t>
      </w:r>
      <w:r w:rsidR="00D679AB">
        <w:t>Methodology</w:t>
      </w:r>
    </w:p>
    <w:p w14:paraId="7268AA12" w14:textId="77777777" w:rsidR="004A425F" w:rsidRPr="00D679AB" w:rsidRDefault="004A425F" w:rsidP="00F81CEB">
      <w:pPr>
        <w:pStyle w:val="Para"/>
        <w:ind w:firstLine="0"/>
        <w:jc w:val="both"/>
      </w:pPr>
      <w:r w:rsidRPr="00D679AB">
        <w:t>This research project will use a mixed</w:t>
      </w:r>
      <w:r w:rsidR="00B82743">
        <w:t xml:space="preserve"> </w:t>
      </w:r>
      <w:r w:rsidRPr="00D679AB">
        <w:t>method feasibility study to design, develop and determine the impact of a VR training approach to weight-related communication i</w:t>
      </w:r>
      <w:r w:rsidR="00B82743">
        <w:t>n</w:t>
      </w:r>
      <w:r w:rsidRPr="00D679AB">
        <w:t xml:space="preserve"> healthcare settings. The project will comprise four phases and will progress in accordance with guidelines laid out in the Medical Research Council (MRC) Framework for Developing and Evaluating Complex Interventions, as updated 2008. </w:t>
      </w:r>
    </w:p>
    <w:p w14:paraId="34517411" w14:textId="77777777" w:rsidR="004A425F" w:rsidRDefault="004A425F" w:rsidP="002A63EA">
      <w:pPr>
        <w:pStyle w:val="ListNumber"/>
        <w:numPr>
          <w:ilvl w:val="0"/>
          <w:numId w:val="0"/>
        </w:numPr>
        <w:ind w:left="360"/>
      </w:pPr>
    </w:p>
    <w:p w14:paraId="33DE9003" w14:textId="77777777" w:rsidR="00D679AB" w:rsidRPr="004F3C1D" w:rsidRDefault="00EC5B28" w:rsidP="00F81CEB">
      <w:pPr>
        <w:pStyle w:val="Head3"/>
      </w:pPr>
      <w:r>
        <w:t>4</w:t>
      </w:r>
      <w:r w:rsidR="00D679AB">
        <w:t xml:space="preserve">.1 </w:t>
      </w:r>
      <w:r>
        <w:t>Phase 1: Systematic Literature Review</w:t>
      </w:r>
    </w:p>
    <w:p w14:paraId="7C4782C7" w14:textId="77777777" w:rsidR="004A425F" w:rsidRDefault="004A425F" w:rsidP="00F81CEB">
      <w:pPr>
        <w:pStyle w:val="Para"/>
        <w:ind w:firstLine="0"/>
        <w:jc w:val="both"/>
      </w:pPr>
      <w:r>
        <w:t xml:space="preserve">The systematic </w:t>
      </w:r>
      <w:r w:rsidRPr="00CB464C">
        <w:t xml:space="preserve">literature review </w:t>
      </w:r>
      <w:r>
        <w:t xml:space="preserve">will identify best practice and </w:t>
      </w:r>
      <w:r w:rsidRPr="00CB464C">
        <w:t>barriers and gaps in current communications approaches</w:t>
      </w:r>
      <w:r>
        <w:t xml:space="preserve"> </w:t>
      </w:r>
      <w:r w:rsidRPr="00CB464C">
        <w:t xml:space="preserve">to addressing the topic of weight and obesity in </w:t>
      </w:r>
      <w:r>
        <w:t>healthcare settings. The focus of the literature review will be exploring how to apply effective communication theory to design and develop the VR</w:t>
      </w:r>
      <w:r w:rsidR="00F81CEB">
        <w:t xml:space="preserve"> </w:t>
      </w:r>
      <w:r>
        <w:t xml:space="preserve">training tool and the role of empathy in weight-related communication. </w:t>
      </w:r>
    </w:p>
    <w:p w14:paraId="5E70F544" w14:textId="77777777" w:rsidR="00F81CEB" w:rsidRDefault="00F81CEB" w:rsidP="00F81CEB">
      <w:pPr>
        <w:pStyle w:val="Para"/>
        <w:ind w:firstLine="0"/>
        <w:jc w:val="both"/>
      </w:pPr>
    </w:p>
    <w:p w14:paraId="2E7E1DFA" w14:textId="77777777" w:rsidR="004A425F" w:rsidRDefault="004A425F" w:rsidP="00F81CEB">
      <w:pPr>
        <w:pStyle w:val="Para"/>
        <w:ind w:firstLine="0"/>
        <w:jc w:val="both"/>
      </w:pPr>
      <w:r>
        <w:t>The systematic literature review will be conducted based on the following question:</w:t>
      </w:r>
    </w:p>
    <w:p w14:paraId="3750C55B" w14:textId="77777777" w:rsidR="00F81CEB" w:rsidRDefault="00F81CEB" w:rsidP="00F81CEB">
      <w:pPr>
        <w:pStyle w:val="Para"/>
        <w:ind w:firstLine="0"/>
        <w:jc w:val="both"/>
      </w:pPr>
    </w:p>
    <w:p w14:paraId="30AFFD1D" w14:textId="77777777" w:rsidR="004A425F" w:rsidRPr="004F3C1D" w:rsidRDefault="004A425F" w:rsidP="00F81CEB">
      <w:pPr>
        <w:pStyle w:val="Para"/>
        <w:ind w:firstLine="0"/>
        <w:jc w:val="both"/>
      </w:pPr>
      <w:r w:rsidRPr="004F3C1D">
        <w:t xml:space="preserve">“Do </w:t>
      </w:r>
      <w:r>
        <w:t>digital training tools</w:t>
      </w:r>
      <w:r w:rsidRPr="004F3C1D">
        <w:t xml:space="preserve"> assist with weight and obesity communication in </w:t>
      </w:r>
      <w:r>
        <w:t>healthcare settings?</w:t>
      </w:r>
      <w:r w:rsidRPr="004F3C1D">
        <w:t>”</w:t>
      </w:r>
    </w:p>
    <w:p w14:paraId="6A8E1F31" w14:textId="77777777" w:rsidR="004A425F" w:rsidRDefault="004A425F" w:rsidP="002A63EA">
      <w:pPr>
        <w:pStyle w:val="ListNumber"/>
        <w:numPr>
          <w:ilvl w:val="0"/>
          <w:numId w:val="0"/>
        </w:numPr>
        <w:ind w:left="360" w:hanging="360"/>
      </w:pPr>
    </w:p>
    <w:p w14:paraId="694F9CF3" w14:textId="77777777" w:rsidR="004A425F" w:rsidRDefault="00EC5B28" w:rsidP="00F81CEB">
      <w:pPr>
        <w:pStyle w:val="Head3"/>
      </w:pPr>
      <w:r>
        <w:t>4</w:t>
      </w:r>
      <w:r w:rsidR="004A425F">
        <w:t xml:space="preserve">.2 </w:t>
      </w:r>
      <w:r w:rsidR="004A425F" w:rsidRPr="004F3C1D">
        <w:t xml:space="preserve">Phase 2: </w:t>
      </w:r>
      <w:r w:rsidR="00C06B30">
        <w:t>D</w:t>
      </w:r>
      <w:r w:rsidR="004A425F">
        <w:t xml:space="preserve">esign and </w:t>
      </w:r>
      <w:r w:rsidR="00CC3720">
        <w:t>D</w:t>
      </w:r>
      <w:r w:rsidR="004A425F">
        <w:t xml:space="preserve">evelopment of the VR </w:t>
      </w:r>
      <w:r w:rsidR="00CC3720">
        <w:t>T</w:t>
      </w:r>
      <w:r w:rsidR="004A425F">
        <w:t xml:space="preserve">raining </w:t>
      </w:r>
      <w:r w:rsidR="00CC3720">
        <w:t>T</w:t>
      </w:r>
      <w:r w:rsidR="004A425F">
        <w:t xml:space="preserve">ool </w:t>
      </w:r>
    </w:p>
    <w:p w14:paraId="2E4503AD" w14:textId="77777777" w:rsidR="004A425F" w:rsidRPr="00EC5B28" w:rsidRDefault="004A425F" w:rsidP="00F81CEB">
      <w:pPr>
        <w:pStyle w:val="Para"/>
        <w:ind w:firstLine="0"/>
        <w:jc w:val="both"/>
      </w:pPr>
      <w:r w:rsidRPr="00EC5B28">
        <w:t xml:space="preserve">In this phase, the content and features of the VR tool will be scoped and prototyped. Content scoping includes (1) Review of healthcare practice-based guidelines, (2) Semi-structured interviews with healthcare professionals and (3) A Twitter chat to elicit feedback from the public on discussing the topic of weight. Thematic analysis will be used to </w:t>
      </w:r>
      <w:proofErr w:type="spellStart"/>
      <w:r w:rsidRPr="00EC5B28">
        <w:t>analyse</w:t>
      </w:r>
      <w:proofErr w:type="spellEnd"/>
      <w:r w:rsidRPr="00EC5B28">
        <w:t xml:space="preserve"> the semi-structured interviews and sentiment analysis will be used to </w:t>
      </w:r>
      <w:proofErr w:type="spellStart"/>
      <w:r w:rsidRPr="00EC5B28">
        <w:t>analyse</w:t>
      </w:r>
      <w:proofErr w:type="spellEnd"/>
      <w:r w:rsidRPr="00EC5B28">
        <w:t xml:space="preserve"> the Twitter chat. The result will be a set of patient personas, typical communication challenges and communication techniques that will inform conversation scripts. The scripts will be modelled in the Unity 3D platform as communication scenarios for healthcare professionals to engage with. This phase of the project corresponds to the “Design” and “Development” phase of the MRC framework.</w:t>
      </w:r>
    </w:p>
    <w:p w14:paraId="28AABED1" w14:textId="77777777" w:rsidR="004A425F" w:rsidRDefault="004A425F" w:rsidP="002A63EA"/>
    <w:p w14:paraId="39672FE4" w14:textId="77777777" w:rsidR="00C75532" w:rsidRDefault="00C75532" w:rsidP="00F81CEB">
      <w:pPr>
        <w:pStyle w:val="Head3"/>
      </w:pPr>
    </w:p>
    <w:p w14:paraId="46A5211C" w14:textId="77777777" w:rsidR="004A425F" w:rsidRPr="004A425F" w:rsidRDefault="00EC5B28" w:rsidP="00F81CEB">
      <w:pPr>
        <w:pStyle w:val="Head3"/>
      </w:pPr>
      <w:r>
        <w:lastRenderedPageBreak/>
        <w:t>4</w:t>
      </w:r>
      <w:r w:rsidR="004A425F">
        <w:t xml:space="preserve">.3 </w:t>
      </w:r>
      <w:r w:rsidR="004A425F" w:rsidRPr="004F3C1D">
        <w:t xml:space="preserve">Phase </w:t>
      </w:r>
      <w:r w:rsidR="004A425F">
        <w:t>3</w:t>
      </w:r>
      <w:r w:rsidR="004A425F" w:rsidRPr="004F3C1D">
        <w:t xml:space="preserve">: </w:t>
      </w:r>
      <w:r w:rsidR="00CC3720">
        <w:t>U</w:t>
      </w:r>
      <w:r w:rsidR="004A425F" w:rsidRPr="004F3C1D">
        <w:t xml:space="preserve">sability </w:t>
      </w:r>
      <w:r w:rsidR="00CC3720">
        <w:t>T</w:t>
      </w:r>
      <w:r w:rsidR="004A425F" w:rsidRPr="004F3C1D">
        <w:t>esting</w:t>
      </w:r>
    </w:p>
    <w:p w14:paraId="47F3FC7F" w14:textId="77777777" w:rsidR="004A425F" w:rsidRPr="00EC5B28" w:rsidRDefault="004A425F" w:rsidP="00F607A3">
      <w:pPr>
        <w:pStyle w:val="para0"/>
        <w:ind w:left="0" w:firstLine="0"/>
        <w:rPr>
          <w:rFonts w:ascii="Linux Libertine" w:eastAsiaTheme="minorHAnsi" w:hAnsi="Linux Libertine" w:cstheme="minorBidi"/>
          <w:sz w:val="18"/>
          <w:szCs w:val="22"/>
        </w:rPr>
      </w:pPr>
      <w:r w:rsidRPr="00EC5B28">
        <w:rPr>
          <w:rFonts w:ascii="Linux Libertine" w:eastAsiaTheme="minorHAnsi" w:hAnsi="Linux Libertine" w:cstheme="minorBidi"/>
          <w:sz w:val="18"/>
          <w:szCs w:val="22"/>
        </w:rPr>
        <w:t xml:space="preserve">This phase will test the usability of prototype. Convenience sampling will be used to select between 15 to 50 healthcare professionals from at least two Health and Social Care Trusts in Northern Ireland. The usability testing will take place as individual sessions. The Eye Tribe integrated with the Oculus Rift head mounted display will be used to track and </w:t>
      </w:r>
      <w:proofErr w:type="spellStart"/>
      <w:r w:rsidRPr="00EC5B28">
        <w:rPr>
          <w:rFonts w:ascii="Linux Libertine" w:eastAsiaTheme="minorHAnsi" w:hAnsi="Linux Libertine" w:cstheme="minorBidi"/>
          <w:sz w:val="18"/>
          <w:szCs w:val="22"/>
        </w:rPr>
        <w:t>analyse</w:t>
      </w:r>
      <w:proofErr w:type="spellEnd"/>
      <w:r w:rsidRPr="00EC5B28">
        <w:rPr>
          <w:rFonts w:ascii="Linux Libertine" w:eastAsiaTheme="minorHAnsi" w:hAnsi="Linux Libertine" w:cstheme="minorBidi"/>
          <w:sz w:val="18"/>
          <w:szCs w:val="22"/>
        </w:rPr>
        <w:t xml:space="preserve"> eye movements. Three usability measures will be used (1) Systematic Usability Scale (SUS) (2) A short form User Engagement Scale (UES) and (3) A retrospective think aloud protocol. The retrospective think aloud protocol will better maintain the user’s immersion in the VR training tool, which is important for engagement. </w:t>
      </w:r>
    </w:p>
    <w:p w14:paraId="762A7F5B" w14:textId="77777777" w:rsidR="00E00A6F" w:rsidRPr="00C75532" w:rsidRDefault="004A425F" w:rsidP="00C75532">
      <w:pPr>
        <w:pStyle w:val="para0"/>
        <w:ind w:left="0" w:firstLine="0"/>
        <w:rPr>
          <w:rFonts w:ascii="Linux Libertine" w:eastAsiaTheme="minorHAnsi" w:hAnsi="Linux Libertine" w:cstheme="minorBidi"/>
          <w:sz w:val="18"/>
          <w:szCs w:val="22"/>
        </w:rPr>
      </w:pPr>
      <w:r w:rsidRPr="00EC5B28">
        <w:rPr>
          <w:rFonts w:ascii="Linux Libertine" w:eastAsiaTheme="minorHAnsi" w:hAnsi="Linux Libertine" w:cstheme="minorBidi"/>
          <w:sz w:val="18"/>
          <w:szCs w:val="22"/>
        </w:rPr>
        <w:t>This phase of the project corresponds to the “Feasibility/Piloting” phase of the 2008 MRC framework.</w:t>
      </w:r>
    </w:p>
    <w:p w14:paraId="5764C37D" w14:textId="77777777" w:rsidR="004A425F" w:rsidRPr="00E00A6F" w:rsidRDefault="00EC5B28" w:rsidP="00E00A6F">
      <w:pPr>
        <w:pStyle w:val="para0"/>
        <w:ind w:left="0" w:firstLine="0"/>
        <w:rPr>
          <w:rFonts w:ascii="Linux Libertine" w:eastAsiaTheme="minorHAnsi" w:hAnsi="Linux Libertine" w:cstheme="minorBidi"/>
          <w:sz w:val="18"/>
          <w:szCs w:val="22"/>
        </w:rPr>
      </w:pPr>
      <w:r w:rsidRPr="00E00A6F">
        <w:rPr>
          <w:rFonts w:ascii="Times New Roman" w:eastAsiaTheme="minorHAnsi" w:hAnsi="Times New Roman"/>
          <w:b/>
          <w:sz w:val="18"/>
          <w:szCs w:val="20"/>
        </w:rPr>
        <w:t xml:space="preserve">4.4 </w:t>
      </w:r>
      <w:r w:rsidR="004A425F" w:rsidRPr="00E00A6F">
        <w:rPr>
          <w:rFonts w:ascii="Times New Roman" w:eastAsiaTheme="minorHAnsi" w:hAnsi="Times New Roman"/>
          <w:b/>
          <w:sz w:val="18"/>
          <w:szCs w:val="20"/>
        </w:rPr>
        <w:t xml:space="preserve">Phase 4: Feasibility </w:t>
      </w:r>
      <w:r w:rsidR="00CC3720" w:rsidRPr="00E00A6F">
        <w:rPr>
          <w:rFonts w:ascii="Times New Roman" w:eastAsiaTheme="minorHAnsi" w:hAnsi="Times New Roman"/>
          <w:b/>
          <w:sz w:val="18"/>
          <w:szCs w:val="20"/>
        </w:rPr>
        <w:t>S</w:t>
      </w:r>
      <w:r w:rsidR="004A425F" w:rsidRPr="00E00A6F">
        <w:rPr>
          <w:rFonts w:ascii="Times New Roman" w:eastAsiaTheme="minorHAnsi" w:hAnsi="Times New Roman"/>
          <w:b/>
          <w:sz w:val="18"/>
          <w:szCs w:val="20"/>
        </w:rPr>
        <w:t>tudy</w:t>
      </w:r>
    </w:p>
    <w:p w14:paraId="4FAC6EF2" w14:textId="77777777" w:rsidR="004A425F" w:rsidRPr="00496F0E" w:rsidRDefault="004A425F" w:rsidP="00F607A3">
      <w:pPr>
        <w:pStyle w:val="para0"/>
        <w:ind w:left="0" w:firstLine="0"/>
        <w:rPr>
          <w:rFonts w:ascii="Linux Libertine" w:eastAsiaTheme="minorHAnsi" w:hAnsi="Linux Libertine" w:cstheme="minorBidi"/>
          <w:sz w:val="18"/>
          <w:szCs w:val="22"/>
        </w:rPr>
      </w:pPr>
      <w:r w:rsidRPr="00496F0E">
        <w:rPr>
          <w:rFonts w:ascii="Linux Libertine" w:eastAsiaTheme="minorHAnsi" w:hAnsi="Linux Libertine" w:cstheme="minorBidi"/>
          <w:sz w:val="18"/>
          <w:szCs w:val="22"/>
        </w:rPr>
        <w:t xml:space="preserve">To assess if the VR training tool has impacted </w:t>
      </w:r>
      <w:r w:rsidR="00C06B30">
        <w:rPr>
          <w:rFonts w:ascii="Linux Libertine" w:eastAsiaTheme="minorHAnsi" w:hAnsi="Linux Libertine" w:cstheme="minorBidi"/>
          <w:sz w:val="18"/>
          <w:szCs w:val="22"/>
        </w:rPr>
        <w:t xml:space="preserve">weight-bias and </w:t>
      </w:r>
      <w:r w:rsidRPr="00496F0E">
        <w:rPr>
          <w:rFonts w:ascii="Linux Libertine" w:eastAsiaTheme="minorHAnsi" w:hAnsi="Linux Libertine" w:cstheme="minorBidi"/>
          <w:sz w:val="18"/>
          <w:szCs w:val="22"/>
        </w:rPr>
        <w:t>confidence in raising the topic</w:t>
      </w:r>
      <w:r w:rsidR="00C06B30">
        <w:rPr>
          <w:rFonts w:ascii="Linux Libertine" w:eastAsiaTheme="minorHAnsi" w:hAnsi="Linux Libertine" w:cstheme="minorBidi"/>
          <w:sz w:val="18"/>
          <w:szCs w:val="22"/>
        </w:rPr>
        <w:t>,</w:t>
      </w:r>
      <w:r w:rsidRPr="00496F0E">
        <w:rPr>
          <w:rFonts w:ascii="Linux Libertine" w:eastAsiaTheme="minorHAnsi" w:hAnsi="Linux Libertine" w:cstheme="minorBidi"/>
          <w:sz w:val="18"/>
          <w:szCs w:val="22"/>
        </w:rPr>
        <w:t xml:space="preserve"> a series of questionnaires will be administered before and after using the training tool. A custom questionnaire for healthcare professional’s confidence will assess the confidence outcome. The outcome measures for weight bias will be assessed using two validated questionnaires (1) Attitudes Towards Obese Persons Scale (ATOP) and (2) Anti-Fat attitudes Scale (AFAS). </w:t>
      </w:r>
    </w:p>
    <w:p w14:paraId="25292045" w14:textId="77777777" w:rsidR="004A425F" w:rsidRPr="00496F0E" w:rsidRDefault="004A425F" w:rsidP="00F81CEB">
      <w:pPr>
        <w:pStyle w:val="para0"/>
        <w:ind w:firstLine="0"/>
        <w:rPr>
          <w:rFonts w:ascii="Linux Libertine" w:eastAsiaTheme="minorHAnsi" w:hAnsi="Linux Libertine" w:cstheme="minorBidi"/>
          <w:sz w:val="18"/>
          <w:szCs w:val="22"/>
        </w:rPr>
      </w:pPr>
      <w:r w:rsidRPr="00496F0E">
        <w:rPr>
          <w:rFonts w:ascii="Linux Libertine" w:eastAsiaTheme="minorHAnsi" w:hAnsi="Linux Libertine" w:cstheme="minorBidi"/>
          <w:sz w:val="18"/>
          <w:szCs w:val="22"/>
        </w:rPr>
        <w:t xml:space="preserve">An additional empathy scale questionnaire, the validated Jefferson Scale of Physician Empathy, Health Professions version, </w:t>
      </w:r>
      <w:r w:rsidR="00C06B30">
        <w:rPr>
          <w:rFonts w:ascii="Linux Libertine" w:eastAsiaTheme="minorHAnsi" w:hAnsi="Linux Libertine" w:cstheme="minorBidi"/>
          <w:sz w:val="18"/>
          <w:szCs w:val="22"/>
        </w:rPr>
        <w:t xml:space="preserve">is currently being explored to </w:t>
      </w:r>
      <w:r w:rsidRPr="00496F0E">
        <w:rPr>
          <w:rFonts w:ascii="Linux Libertine" w:eastAsiaTheme="minorHAnsi" w:hAnsi="Linux Libertine" w:cstheme="minorBidi"/>
          <w:sz w:val="18"/>
          <w:szCs w:val="22"/>
        </w:rPr>
        <w:t xml:space="preserve">assess the potential link between empathy, weight bias and communication confidence. </w:t>
      </w:r>
    </w:p>
    <w:p w14:paraId="35C7AF30" w14:textId="77777777" w:rsidR="00E00A6F" w:rsidRPr="00F607A3" w:rsidRDefault="004A425F" w:rsidP="00C75532">
      <w:pPr>
        <w:pStyle w:val="para0"/>
        <w:ind w:firstLine="0"/>
        <w:rPr>
          <w:rStyle w:val="Label"/>
          <w:rFonts w:eastAsiaTheme="minorHAnsi" w:cstheme="minorBidi"/>
          <w:sz w:val="18"/>
          <w:szCs w:val="22"/>
        </w:rPr>
      </w:pPr>
      <w:r w:rsidRPr="00496F0E">
        <w:rPr>
          <w:rFonts w:ascii="Linux Libertine" w:eastAsiaTheme="minorHAnsi" w:hAnsi="Linux Libertine" w:cstheme="minorBidi"/>
          <w:sz w:val="18"/>
          <w:szCs w:val="22"/>
        </w:rPr>
        <w:t xml:space="preserve">The results of the questionnaires will be </w:t>
      </w:r>
      <w:proofErr w:type="spellStart"/>
      <w:r w:rsidRPr="00496F0E">
        <w:rPr>
          <w:rFonts w:ascii="Linux Libertine" w:eastAsiaTheme="minorHAnsi" w:hAnsi="Linux Libertine" w:cstheme="minorBidi"/>
          <w:sz w:val="18"/>
          <w:szCs w:val="22"/>
        </w:rPr>
        <w:t>analysed</w:t>
      </w:r>
      <w:proofErr w:type="spellEnd"/>
      <w:r w:rsidRPr="00496F0E">
        <w:rPr>
          <w:rFonts w:ascii="Linux Libertine" w:eastAsiaTheme="minorHAnsi" w:hAnsi="Linux Libertine" w:cstheme="minorBidi"/>
          <w:sz w:val="18"/>
          <w:szCs w:val="22"/>
        </w:rPr>
        <w:t xml:space="preserve"> and used to report on future areas of research and improvements to the tool. </w:t>
      </w:r>
    </w:p>
    <w:p w14:paraId="4898A026" w14:textId="77777777" w:rsidR="00EC5B28" w:rsidRPr="00D679AB" w:rsidRDefault="001E699D" w:rsidP="002A63EA">
      <w:pPr>
        <w:pStyle w:val="Head2"/>
      </w:pPr>
      <w:r>
        <w:rPr>
          <w:rStyle w:val="Label"/>
        </w:rPr>
        <w:t>5</w:t>
      </w:r>
      <w:r w:rsidR="008F1608">
        <w:t xml:space="preserve"> </w:t>
      </w:r>
      <w:r w:rsidR="00EC5B28">
        <w:t xml:space="preserve">Summary of </w:t>
      </w:r>
      <w:r w:rsidR="00CC3720">
        <w:t>W</w:t>
      </w:r>
      <w:r w:rsidR="00EC5B28">
        <w:t xml:space="preserve">ork and </w:t>
      </w:r>
      <w:r w:rsidR="00CC3720">
        <w:t>C</w:t>
      </w:r>
      <w:r w:rsidR="00EC5B28">
        <w:t xml:space="preserve">hallenges to </w:t>
      </w:r>
      <w:r w:rsidR="00CC3720">
        <w:t>D</w:t>
      </w:r>
      <w:r w:rsidR="00EC5B28">
        <w:t>ate</w:t>
      </w:r>
    </w:p>
    <w:p w14:paraId="2244B83C" w14:textId="77777777" w:rsidR="004A425F" w:rsidRPr="00496F0E" w:rsidRDefault="00496F0E" w:rsidP="00F81CEB">
      <w:pPr>
        <w:pStyle w:val="para0"/>
        <w:ind w:firstLine="0"/>
        <w:rPr>
          <w:rFonts w:ascii="Linux Libertine" w:eastAsiaTheme="minorHAnsi" w:hAnsi="Linux Libertine" w:cstheme="minorBidi"/>
          <w:sz w:val="18"/>
          <w:szCs w:val="22"/>
        </w:rPr>
      </w:pPr>
      <w:r w:rsidRPr="00496F0E">
        <w:rPr>
          <w:rFonts w:ascii="Linux Libertine" w:eastAsiaTheme="minorHAnsi" w:hAnsi="Linux Libertine" w:cstheme="minorBidi"/>
          <w:sz w:val="18"/>
          <w:szCs w:val="22"/>
        </w:rPr>
        <w:t>Phase 1, t</w:t>
      </w:r>
      <w:r w:rsidR="004A425F" w:rsidRPr="00496F0E">
        <w:rPr>
          <w:rFonts w:ascii="Linux Libertine" w:eastAsiaTheme="minorHAnsi" w:hAnsi="Linux Libertine" w:cstheme="minorBidi"/>
          <w:sz w:val="18"/>
          <w:szCs w:val="22"/>
        </w:rPr>
        <w:t xml:space="preserve">he systematic literature review is underway and options for developing the prototype scenarios in Unity are being explored. Intelligent voice recognition options for Unity are still limited, so exploring a method of encouraging a natural conversation between the user (healthcare professional) and the patient avatar is a priority. A wizard-of-oz modelling approach is being considered, allowing the researcher to select the conversation snippets in response to the user.  </w:t>
      </w:r>
    </w:p>
    <w:p w14:paraId="415C94E3" w14:textId="77777777" w:rsidR="00E00A6F" w:rsidRPr="00C75532" w:rsidRDefault="004A425F" w:rsidP="00C75532">
      <w:pPr>
        <w:pStyle w:val="para0"/>
        <w:ind w:firstLine="0"/>
        <w:rPr>
          <w:rFonts w:ascii="Linux Libertine" w:eastAsiaTheme="minorHAnsi" w:hAnsi="Linux Libertine" w:cstheme="minorBidi"/>
          <w:sz w:val="18"/>
          <w:szCs w:val="22"/>
        </w:rPr>
      </w:pPr>
      <w:r w:rsidRPr="00496F0E">
        <w:rPr>
          <w:rFonts w:ascii="Linux Libertine" w:eastAsiaTheme="minorHAnsi" w:hAnsi="Linux Libertine" w:cstheme="minorBidi"/>
          <w:sz w:val="18"/>
          <w:szCs w:val="22"/>
        </w:rPr>
        <w:t>Specific techniques for VR usability testing are also being explored. There are few validated VR-focused usability instruments, so it may be necessary to adapt an existing tool to reflect the immersive nature of the VR</w:t>
      </w:r>
      <w:r w:rsidR="007808DB">
        <w:rPr>
          <w:rFonts w:ascii="Linux Libertine" w:eastAsiaTheme="minorHAnsi" w:hAnsi="Linux Libertine" w:cstheme="minorBidi"/>
          <w:sz w:val="18"/>
          <w:szCs w:val="22"/>
        </w:rPr>
        <w:t xml:space="preserve">-based </w:t>
      </w:r>
      <w:r w:rsidRPr="00496F0E">
        <w:rPr>
          <w:rFonts w:ascii="Linux Libertine" w:eastAsiaTheme="minorHAnsi" w:hAnsi="Linux Libertine" w:cstheme="minorBidi"/>
          <w:sz w:val="18"/>
          <w:szCs w:val="22"/>
        </w:rPr>
        <w:t>learning experience.</w:t>
      </w:r>
    </w:p>
    <w:p w14:paraId="17C8A00F" w14:textId="77777777" w:rsidR="00F607A3" w:rsidRPr="00E00A6F" w:rsidRDefault="00F607A3" w:rsidP="00E00A6F">
      <w:pPr>
        <w:pStyle w:val="ReferenceHead"/>
        <w:rPr>
          <w:rFonts w:eastAsia="Times New Roman"/>
          <w:sz w:val="22"/>
          <w:szCs w:val="20"/>
        </w:rPr>
      </w:pPr>
      <w:r w:rsidRPr="00E00A6F">
        <w:rPr>
          <w:rFonts w:eastAsia="Times New Roman"/>
          <w:sz w:val="22"/>
          <w:szCs w:val="20"/>
        </w:rPr>
        <w:t>ACKNOWLEDGEMENTS</w:t>
      </w:r>
    </w:p>
    <w:p w14:paraId="06B11FE4" w14:textId="77777777" w:rsidR="00CC3720" w:rsidRDefault="00F607A3" w:rsidP="00CC3720">
      <w:pPr>
        <w:pStyle w:val="para0"/>
        <w:ind w:left="0" w:firstLine="0"/>
        <w:rPr>
          <w:rFonts w:ascii="Linux Libertine" w:eastAsiaTheme="minorHAnsi" w:hAnsi="Linux Libertine" w:cstheme="minorBidi"/>
          <w:sz w:val="18"/>
          <w:szCs w:val="22"/>
        </w:rPr>
      </w:pPr>
      <w:r w:rsidRPr="00CC3720">
        <w:rPr>
          <w:rFonts w:ascii="Linux Libertine" w:eastAsiaTheme="minorHAnsi" w:hAnsi="Linux Libertine" w:cstheme="minorBidi"/>
          <w:sz w:val="18"/>
          <w:szCs w:val="22"/>
        </w:rPr>
        <w:t xml:space="preserve">This </w:t>
      </w:r>
      <w:r w:rsidR="00CC3720">
        <w:rPr>
          <w:rFonts w:ascii="Linux Libertine" w:eastAsiaTheme="minorHAnsi" w:hAnsi="Linux Libertine" w:cstheme="minorBidi"/>
          <w:sz w:val="18"/>
          <w:szCs w:val="22"/>
        </w:rPr>
        <w:t xml:space="preserve">study is funded by the Department of the Economy, Northern Ireland, PhD Scholarship. </w:t>
      </w:r>
    </w:p>
    <w:p w14:paraId="54212965" w14:textId="77777777" w:rsidR="0007392C" w:rsidRPr="00E00A6F" w:rsidRDefault="00AA5BF1" w:rsidP="00E00A6F">
      <w:pPr>
        <w:pStyle w:val="ReferenceHead"/>
        <w:rPr>
          <w:rFonts w:eastAsia="Times New Roman"/>
          <w:sz w:val="22"/>
          <w:szCs w:val="20"/>
        </w:rPr>
      </w:pPr>
      <w:bookmarkStart w:id="1" w:name="_Hlk2951679"/>
      <w:r w:rsidRPr="00E00A6F">
        <w:rPr>
          <w:rFonts w:eastAsia="Times New Roman"/>
          <w:sz w:val="22"/>
          <w:szCs w:val="20"/>
        </w:rPr>
        <w:t>REFERENCES</w:t>
      </w:r>
    </w:p>
    <w:p w14:paraId="173DF10B" w14:textId="77777777" w:rsidR="00865171" w:rsidRDefault="001E699D" w:rsidP="00865171">
      <w:pPr>
        <w:pStyle w:val="Bibentry"/>
        <w:jc w:val="left"/>
      </w:pPr>
      <w:r w:rsidRPr="00586A35">
        <w:t xml:space="preserve"> </w:t>
      </w:r>
      <w:r w:rsidR="00586A35" w:rsidRPr="00586A35">
        <w:t>[</w:t>
      </w:r>
      <w:r>
        <w:t>1</w:t>
      </w:r>
      <w:proofErr w:type="gramStart"/>
      <w:r w:rsidR="00586A35" w:rsidRPr="00586A35">
        <w:t>]</w:t>
      </w:r>
      <w:r w:rsidR="00865171">
        <w:t xml:space="preserve"> </w:t>
      </w:r>
      <w:r w:rsidR="009B39FF">
        <w:t xml:space="preserve"> </w:t>
      </w:r>
      <w:r w:rsidR="00865171" w:rsidRPr="001E699D">
        <w:t>WHO</w:t>
      </w:r>
      <w:proofErr w:type="gramEnd"/>
      <w:r w:rsidR="00865171" w:rsidRPr="001E699D">
        <w:t xml:space="preserve">. (February 2018) Obesity and overweight fact sheet. Geneva: WHO. Available at: </w:t>
      </w:r>
      <w:hyperlink r:id="rId13" w:history="1">
        <w:r w:rsidR="00865171" w:rsidRPr="00F41491">
          <w:rPr>
            <w:rStyle w:val="Hyperlink"/>
          </w:rPr>
          <w:t>https://www.who.int/en/news-room/fact-sheets/detail/obesity-and-overweight</w:t>
        </w:r>
      </w:hyperlink>
      <w:r w:rsidR="00865171">
        <w:t>.</w:t>
      </w:r>
      <w:r w:rsidR="00865171" w:rsidRPr="001E699D">
        <w:t xml:space="preserve"> </w:t>
      </w:r>
    </w:p>
    <w:p w14:paraId="3E54F54F" w14:textId="77777777" w:rsidR="00865171" w:rsidRPr="001E699D" w:rsidRDefault="00865171" w:rsidP="00865171">
      <w:pPr>
        <w:pStyle w:val="Bibentry"/>
        <w:jc w:val="left"/>
      </w:pPr>
      <w:r>
        <w:t xml:space="preserve">[2]   </w:t>
      </w:r>
      <w:r w:rsidRPr="001E699D">
        <w:t>OECD.</w:t>
      </w:r>
      <w:r>
        <w:t xml:space="preserve"> </w:t>
      </w:r>
      <w:r w:rsidRPr="001E699D">
        <w:t>(2017) Health at a Glance 2017: OECD Indicators. Paris: OECD Publishing</w:t>
      </w:r>
      <w:r>
        <w:t>.</w:t>
      </w:r>
    </w:p>
    <w:p w14:paraId="5C53A805" w14:textId="77777777" w:rsidR="00865171" w:rsidRDefault="00865171" w:rsidP="00865171">
      <w:pPr>
        <w:pStyle w:val="Bibentry"/>
        <w:jc w:val="left"/>
      </w:pPr>
      <w:r>
        <w:t xml:space="preserve">[3]   </w:t>
      </w:r>
      <w:r w:rsidRPr="001E699D">
        <w:t>Corrigan, D., and Scarlett, M. (2018) Health Survey NI: First Results 2017/2018. NI: Department of Health</w:t>
      </w:r>
      <w:r w:rsidR="009B39FF">
        <w:t>.</w:t>
      </w:r>
      <w:r w:rsidRPr="001E699D">
        <w:t xml:space="preserve"> Available at: https://www.health-ni.gov.uk/sites/default/files/publications/health/hsni-first-results-17-18.pdf [Accessed 15 December 2018].</w:t>
      </w:r>
    </w:p>
    <w:p w14:paraId="1061BD3B" w14:textId="77777777" w:rsidR="00865171" w:rsidRDefault="00865171" w:rsidP="00865171">
      <w:pPr>
        <w:pStyle w:val="Bibentry"/>
        <w:jc w:val="left"/>
      </w:pPr>
      <w:r>
        <w:t xml:space="preserve">[4]   </w:t>
      </w:r>
      <w:r w:rsidRPr="001E699D">
        <w:t>Moorhead, S., Coates, V., Gallagher, A., Nolan, G., Murphy, K. and Hazlett, D. (2013) Obesity communication among patients by health professionals: Findings from the Weight Care Project. Health, 5(8C), 100-109.</w:t>
      </w:r>
    </w:p>
    <w:p w14:paraId="10A54C1D" w14:textId="77777777" w:rsidR="00865171" w:rsidRDefault="00865171" w:rsidP="00865171">
      <w:pPr>
        <w:pStyle w:val="Bibentry"/>
        <w:jc w:val="left"/>
      </w:pPr>
      <w:r>
        <w:t xml:space="preserve">[5]   </w:t>
      </w:r>
      <w:r w:rsidRPr="001E699D">
        <w:t>Blackburn, M., Stathi, A., Keogh, E. and Eccleston, C. (2015) Raising the topic of weight in general practice: perspectives of GPs and primary care nurses. BMJ Open, 5(8), e008546.</w:t>
      </w:r>
    </w:p>
    <w:p w14:paraId="3065B98C" w14:textId="77777777" w:rsidR="00865171" w:rsidRPr="001E699D" w:rsidRDefault="00865171" w:rsidP="00865171">
      <w:pPr>
        <w:pStyle w:val="Bibentry"/>
        <w:jc w:val="left"/>
      </w:pPr>
      <w:r>
        <w:t xml:space="preserve">[6]   </w:t>
      </w:r>
      <w:r w:rsidRPr="001E699D">
        <w:t xml:space="preserve">Brown, I. and </w:t>
      </w:r>
      <w:proofErr w:type="spellStart"/>
      <w:r w:rsidRPr="001E699D">
        <w:t>McClimens</w:t>
      </w:r>
      <w:proofErr w:type="spellEnd"/>
      <w:r w:rsidRPr="001E699D">
        <w:t>, A. (2012) Ambivalence and obesity stigma in decisions about weight management: A qualitative study. Health, 4, 1562-1569.</w:t>
      </w:r>
    </w:p>
    <w:p w14:paraId="498BEE80" w14:textId="77777777" w:rsidR="00865171" w:rsidRDefault="00865171" w:rsidP="00865171">
      <w:pPr>
        <w:pStyle w:val="Bibentry"/>
        <w:jc w:val="left"/>
      </w:pPr>
      <w:r>
        <w:t xml:space="preserve">[7]   </w:t>
      </w:r>
      <w:r w:rsidRPr="001E699D">
        <w:t>Mold, F. and Forbes, A. (2013) Patients' and professionals' experiences and perspectives of obesity in health-care settings: a synthesis of current research. Health Expectations, 16(2), 119-142.</w:t>
      </w:r>
    </w:p>
    <w:p w14:paraId="184978A6" w14:textId="77777777" w:rsidR="00865171" w:rsidRDefault="00865171" w:rsidP="00865171">
      <w:pPr>
        <w:pStyle w:val="Bibentry"/>
        <w:jc w:val="left"/>
      </w:pPr>
      <w:r>
        <w:t xml:space="preserve">[8]   </w:t>
      </w:r>
      <w:r w:rsidRPr="001E699D">
        <w:t>McAloon, A.P. Fitzsimons D. and Coates V. (2015) An investigation of health care professionals’ attitudes to obesity and the associated impact on clinical management: an online factorial survey. Thesis, (PhD). Ulster University.</w:t>
      </w:r>
    </w:p>
    <w:p w14:paraId="55A62B1B" w14:textId="77777777" w:rsidR="0066392F" w:rsidRDefault="0066392F" w:rsidP="00865171">
      <w:pPr>
        <w:pStyle w:val="Bibentry"/>
        <w:jc w:val="left"/>
      </w:pPr>
      <w:r>
        <w:t xml:space="preserve">[9]   </w:t>
      </w:r>
      <w:r w:rsidRPr="001E699D">
        <w:t xml:space="preserve">APGO. (2018) The Current Landscape of Obesity Services: A report from the All-Party Parliamentary Group on Obesity. UK: Available at: </w:t>
      </w:r>
      <w:hyperlink r:id="rId14" w:history="1">
        <w:r w:rsidRPr="00F41491">
          <w:rPr>
            <w:rStyle w:val="Hyperlink"/>
          </w:rPr>
          <w:t>https://www.aso.org.uk/wp-content/uploads/2018/05/APPG-Obesity-Report-May-2018.pdf</w:t>
        </w:r>
      </w:hyperlink>
    </w:p>
    <w:p w14:paraId="62D08A7D" w14:textId="77777777" w:rsidR="0066392F" w:rsidRDefault="0066392F" w:rsidP="0066392F">
      <w:pPr>
        <w:pStyle w:val="Bibentry"/>
      </w:pPr>
      <w:r>
        <w:t>[10</w:t>
      </w:r>
      <w:proofErr w:type="gramStart"/>
      <w:r>
        <w:t xml:space="preserve">] </w:t>
      </w:r>
      <w:r w:rsidR="009B39FF">
        <w:t xml:space="preserve"> </w:t>
      </w:r>
      <w:r w:rsidRPr="001E699D">
        <w:t>Schon</w:t>
      </w:r>
      <w:proofErr w:type="gramEnd"/>
      <w:r w:rsidRPr="001E699D">
        <w:t xml:space="preserve">, D.A. (1991) The reflective practitioner : how professionals think in action. New York: Routledge. </w:t>
      </w:r>
    </w:p>
    <w:p w14:paraId="755DDBE3" w14:textId="77777777" w:rsidR="0066392F" w:rsidRDefault="0066392F" w:rsidP="0066392F">
      <w:pPr>
        <w:pStyle w:val="Bibentry"/>
      </w:pPr>
      <w:r>
        <w:t xml:space="preserve">[11] </w:t>
      </w:r>
      <w:r w:rsidRPr="001E699D">
        <w:t>Anders Ericsson, K., Hoffman, R.R., Kozbelt, A. and Williams, M. (2018) The</w:t>
      </w:r>
      <w:r>
        <w:t xml:space="preserve"> </w:t>
      </w:r>
      <w:r w:rsidRPr="001E699D">
        <w:t>Cambridge handbook of expertise and expert performance. 2nd ed. Cambridge: Cambridge University Press.</w:t>
      </w:r>
    </w:p>
    <w:p w14:paraId="2CC984AF" w14:textId="77777777" w:rsidR="0066392F" w:rsidRDefault="0066392F" w:rsidP="0066392F">
      <w:pPr>
        <w:pStyle w:val="Bibentry"/>
      </w:pPr>
      <w:r>
        <w:t>[12</w:t>
      </w:r>
      <w:r w:rsidR="00D368A0">
        <w:t>]</w:t>
      </w:r>
      <w:r>
        <w:t xml:space="preserve"> </w:t>
      </w:r>
      <w:r w:rsidRPr="001E699D">
        <w:t>Brooks, F.P. (1999) What's real about virtual reality? IEEE Computer Graphics and Applications, 19(6), 16-27.</w:t>
      </w:r>
    </w:p>
    <w:p w14:paraId="49F3F2BC" w14:textId="77777777" w:rsidR="00D368A0" w:rsidRDefault="00D368A0" w:rsidP="0066392F">
      <w:pPr>
        <w:pStyle w:val="Bibentry"/>
      </w:pPr>
      <w:r>
        <w:t xml:space="preserve">[13] </w:t>
      </w:r>
      <w:r w:rsidRPr="001E699D">
        <w:t xml:space="preserve">Real, F.J., DeBlasio, D., Beck, A.F., Ollberding, N.J., Davis, D., Cruse, B., Samaan, Z., McLinden, D. and Klein, M.D. (2017) A Virtual Reality Curriculum for Pediatric Residents Decreases Rates of Influenza Vaccine Refusal. Available at: </w:t>
      </w:r>
      <w:hyperlink r:id="rId15" w:history="1">
        <w:r w:rsidRPr="00F41491">
          <w:rPr>
            <w:rStyle w:val="Hyperlink"/>
          </w:rPr>
          <w:t>http://www.sciencedirect.com/science/article/pii/S1876285917300128</w:t>
        </w:r>
      </w:hyperlink>
    </w:p>
    <w:p w14:paraId="2EB3E2E0" w14:textId="77777777" w:rsidR="00346BEF" w:rsidRDefault="00D368A0" w:rsidP="00346BEF">
      <w:pPr>
        <w:pStyle w:val="Bibentry"/>
      </w:pPr>
      <w:r>
        <w:t xml:space="preserve">[14] </w:t>
      </w:r>
      <w:r w:rsidRPr="001E699D">
        <w:t xml:space="preserve">Pan, X., Slater, M., </w:t>
      </w:r>
      <w:proofErr w:type="spellStart"/>
      <w:r w:rsidRPr="001E699D">
        <w:t>Beacco</w:t>
      </w:r>
      <w:proofErr w:type="spellEnd"/>
      <w:r w:rsidRPr="001E699D">
        <w:t xml:space="preserve">, A., Navarro, X., </w:t>
      </w:r>
      <w:proofErr w:type="spellStart"/>
      <w:r w:rsidRPr="001E699D">
        <w:t>Bellido</w:t>
      </w:r>
      <w:proofErr w:type="spellEnd"/>
      <w:r w:rsidRPr="001E699D">
        <w:t xml:space="preserve"> Rivas, A.I., </w:t>
      </w:r>
      <w:proofErr w:type="spellStart"/>
      <w:r w:rsidRPr="001E699D">
        <w:t>Swapp</w:t>
      </w:r>
      <w:proofErr w:type="spellEnd"/>
      <w:r w:rsidRPr="001E699D">
        <w:t xml:space="preserve">, D., Hale, J., Forbes, P.A.G., Denvir, C., Hamilton, </w:t>
      </w:r>
      <w:proofErr w:type="spellStart"/>
      <w:r w:rsidRPr="001E699D">
        <w:t>d.C.</w:t>
      </w:r>
      <w:proofErr w:type="spellEnd"/>
      <w:r w:rsidRPr="001E699D">
        <w:t xml:space="preserve"> and Delacroix, S. (2016) The Responses of Medical General Practitioners to Unreasonable Patient Demand for Antibiotics - A Study of Medical Ethics Using Immersive Virtual Reality. </w:t>
      </w:r>
      <w:proofErr w:type="spellStart"/>
      <w:r w:rsidRPr="001E699D">
        <w:t>Plos</w:t>
      </w:r>
      <w:proofErr w:type="spellEnd"/>
      <w:r w:rsidRPr="001E699D">
        <w:t xml:space="preserve"> One, 11(2), e0146837.</w:t>
      </w:r>
    </w:p>
    <w:p w14:paraId="46137747" w14:textId="77777777" w:rsidR="00346BEF" w:rsidRDefault="00346BEF" w:rsidP="00346BEF">
      <w:pPr>
        <w:pStyle w:val="Bibentry"/>
      </w:pPr>
      <w:r>
        <w:t xml:space="preserve">[15] </w:t>
      </w:r>
      <w:r w:rsidRPr="001E699D">
        <w:t>Sacks, R., Perlman, A. and Barak, R. (2013) Construction safety training using immersive virtual reality. Construction Management and Economics, 31(9), 1005-1017.</w:t>
      </w:r>
    </w:p>
    <w:p w14:paraId="73D3B8B4" w14:textId="77777777" w:rsidR="00D368A0" w:rsidRPr="001E699D" w:rsidRDefault="00346BEF" w:rsidP="00346BEF">
      <w:pPr>
        <w:pStyle w:val="Bibentry"/>
      </w:pPr>
      <w:r>
        <w:t>[16]</w:t>
      </w:r>
      <w:r w:rsidR="009B39FF">
        <w:t xml:space="preserve"> </w:t>
      </w:r>
      <w:r w:rsidRPr="001E699D">
        <w:t xml:space="preserve">Gonzalez-Franco, M. and Lanier, J. (2017) Model of Illusions and Virtual </w:t>
      </w:r>
      <w:r>
        <w:t xml:space="preserve">   </w:t>
      </w:r>
      <w:r w:rsidR="009B39FF">
        <w:t xml:space="preserve"> </w:t>
      </w:r>
      <w:r w:rsidRPr="001E699D">
        <w:t>Reality. Frontiers in Psychology, 8, 1125; 1125-1125.</w:t>
      </w:r>
    </w:p>
    <w:p w14:paraId="1C61D066" w14:textId="77777777" w:rsidR="0066392F" w:rsidRDefault="00346BEF" w:rsidP="00865171">
      <w:pPr>
        <w:pStyle w:val="Bibentry"/>
        <w:jc w:val="left"/>
      </w:pPr>
      <w:r>
        <w:t xml:space="preserve">[17] </w:t>
      </w:r>
      <w:proofErr w:type="spellStart"/>
      <w:r w:rsidRPr="001E699D">
        <w:t>Farra</w:t>
      </w:r>
      <w:proofErr w:type="spellEnd"/>
      <w:r w:rsidRPr="001E699D">
        <w:t>, S., Miller, E., Timm, N. and Schafer, J. (2013) Improved training for disasters using 3-D virtual reality simulation. Western Journal of Nursing Research, 35(5), 655-671.</w:t>
      </w:r>
    </w:p>
    <w:p w14:paraId="6F848808" w14:textId="77777777" w:rsidR="00865171" w:rsidRDefault="00346BEF" w:rsidP="00346BEF">
      <w:pPr>
        <w:pStyle w:val="Bibentry"/>
        <w:jc w:val="left"/>
      </w:pPr>
      <w:r>
        <w:t xml:space="preserve">[18] </w:t>
      </w:r>
      <w:r w:rsidRPr="001E699D">
        <w:t xml:space="preserve">Dyer, E., </w:t>
      </w:r>
      <w:proofErr w:type="spellStart"/>
      <w:r w:rsidRPr="001E699D">
        <w:t>Swartzlander</w:t>
      </w:r>
      <w:proofErr w:type="spellEnd"/>
      <w:r w:rsidRPr="001E699D">
        <w:t xml:space="preserve">, B.J. and </w:t>
      </w:r>
      <w:proofErr w:type="spellStart"/>
      <w:r w:rsidRPr="001E699D">
        <w:t>Gugliucci</w:t>
      </w:r>
      <w:proofErr w:type="spellEnd"/>
      <w:r w:rsidRPr="001E699D">
        <w:t>, M.R. (2018) Using virtual reality in medical education to teach empathy. Journal of the Medical Library Association: JMLA, 106(4), 498.</w:t>
      </w:r>
    </w:p>
    <w:p w14:paraId="4A6396D6" w14:textId="77777777" w:rsidR="00865171" w:rsidRDefault="00346BEF" w:rsidP="00865171">
      <w:pPr>
        <w:pStyle w:val="Bibentry"/>
      </w:pPr>
      <w:r>
        <w:t>[19</w:t>
      </w:r>
      <w:proofErr w:type="gramStart"/>
      <w:r>
        <w:t>]</w:t>
      </w:r>
      <w:r w:rsidR="009B39FF">
        <w:t xml:space="preserve">  </w:t>
      </w:r>
      <w:r w:rsidRPr="001E699D">
        <w:t>Laidlaw</w:t>
      </w:r>
      <w:proofErr w:type="gramEnd"/>
      <w:r w:rsidRPr="001E699D">
        <w:t>, A.H., Cecil, J.E. and McHale, C.T. (2016) Direct observation of weight-related communication in primary care: a systematic review. Family Practice, 33(4), 327-345.</w:t>
      </w:r>
    </w:p>
    <w:p w14:paraId="699E7A5D" w14:textId="77777777" w:rsidR="00865171" w:rsidRDefault="00346BEF" w:rsidP="00865171">
      <w:pPr>
        <w:pStyle w:val="Bibentry"/>
      </w:pPr>
      <w:r>
        <w:t xml:space="preserve">[20] </w:t>
      </w:r>
      <w:r w:rsidRPr="001E699D">
        <w:t>McPherson, A.C., Knibbe, T.J., Oake, M., Swift, J.A., Browne, N., Ball, G.D.C. and Hamilton, J. (2018) “Fat is really a four-letter word”: Exploring weight-related communication best practices in children with and without disabilities and their caregivers. Child: Care, Health and Development, 44(4), 636-643.</w:t>
      </w:r>
    </w:p>
    <w:p w14:paraId="7FC92DD4" w14:textId="77777777" w:rsidR="00346BEF" w:rsidRDefault="00346BEF" w:rsidP="00865171">
      <w:pPr>
        <w:pStyle w:val="Bibentry"/>
      </w:pPr>
      <w:r>
        <w:t xml:space="preserve">[21] </w:t>
      </w:r>
      <w:proofErr w:type="spellStart"/>
      <w:r w:rsidRPr="001E699D">
        <w:t>Volger</w:t>
      </w:r>
      <w:proofErr w:type="spellEnd"/>
      <w:r w:rsidRPr="001E699D">
        <w:t xml:space="preserve">, S., Vetter, M.L., Dougherty, M., </w:t>
      </w:r>
      <w:proofErr w:type="spellStart"/>
      <w:r w:rsidRPr="001E699D">
        <w:t>Panigrahi</w:t>
      </w:r>
      <w:proofErr w:type="spellEnd"/>
      <w:r w:rsidRPr="001E699D">
        <w:t xml:space="preserve">, E., </w:t>
      </w:r>
      <w:proofErr w:type="spellStart"/>
      <w:r w:rsidRPr="001E699D">
        <w:t>Egner</w:t>
      </w:r>
      <w:proofErr w:type="spellEnd"/>
      <w:r w:rsidRPr="001E699D">
        <w:t xml:space="preserve">, R., Webb, V., Thomas, J.G., </w:t>
      </w:r>
      <w:proofErr w:type="spellStart"/>
      <w:r w:rsidRPr="001E699D">
        <w:t>Sarwer</w:t>
      </w:r>
      <w:proofErr w:type="spellEnd"/>
      <w:r w:rsidRPr="001E699D">
        <w:t xml:space="preserve">, D.B. and </w:t>
      </w:r>
      <w:proofErr w:type="spellStart"/>
      <w:r w:rsidRPr="001E699D">
        <w:t>Wadden</w:t>
      </w:r>
      <w:proofErr w:type="spellEnd"/>
      <w:r w:rsidRPr="001E699D">
        <w:t>, T.A. (2012) Patients' Preferred Terms for Describing Their Excess Weight: Discussing Obesity in Clinical Practice. Obesity, 20(1), 147-150.</w:t>
      </w:r>
    </w:p>
    <w:p w14:paraId="63F01B5E" w14:textId="77777777" w:rsidR="00865171" w:rsidRPr="001E699D" w:rsidRDefault="00346BEF" w:rsidP="00AF22B4">
      <w:pPr>
        <w:pStyle w:val="Bibentry"/>
      </w:pPr>
      <w:r>
        <w:t xml:space="preserve">[22] </w:t>
      </w:r>
      <w:r w:rsidRPr="001E699D">
        <w:t>Gray, L., Stubbe, M., Macdonald, L., Tester R. and Hilder J. and Dowell A.C. (2018) A taboo topic? How General Practitioners talk about overweight and obesity in New Zealand. Journal of Primary Healthcare, 10(2), 150-158.</w:t>
      </w:r>
    </w:p>
    <w:p w14:paraId="0D56E102" w14:textId="77777777" w:rsidR="00865171" w:rsidRDefault="00AF22B4" w:rsidP="00AF22B4">
      <w:pPr>
        <w:pStyle w:val="Bibentry"/>
      </w:pPr>
      <w:r>
        <w:t>[23]</w:t>
      </w:r>
      <w:r w:rsidR="009B39FF">
        <w:t xml:space="preserve"> </w:t>
      </w:r>
      <w:proofErr w:type="spellStart"/>
      <w:r w:rsidRPr="001E699D">
        <w:t>Puhl</w:t>
      </w:r>
      <w:proofErr w:type="spellEnd"/>
      <w:r w:rsidRPr="001E699D">
        <w:t>, R. and Suh, Y. (2015) Health Consequences of Weight Stigma: Implications for Obesity Prevention and Treatment. Current Obesity Reports, 4(2), 182-190.</w:t>
      </w:r>
    </w:p>
    <w:p w14:paraId="5902C6DE" w14:textId="77777777" w:rsidR="00346BEF" w:rsidRDefault="00AF22B4" w:rsidP="002A63EA">
      <w:pPr>
        <w:pStyle w:val="Bibentry"/>
      </w:pPr>
      <w:r>
        <w:t xml:space="preserve">[24] </w:t>
      </w:r>
      <w:r w:rsidRPr="001E699D">
        <w:t>Phelan, S.M., Burgess, D.J., Yeazel, M.W., Hellerstedt, W.L., Griffin, J.M. and van Ryn, M. (2015) Impact of weight bias and stigma on quality of care and outcomes for patients with obesity. Obesity Reviews: An Official Journal of the International Association for the Study of Obesity, 16(4), 319-326.</w:t>
      </w:r>
    </w:p>
    <w:p w14:paraId="5A9414E1" w14:textId="77777777" w:rsidR="001E699D" w:rsidRPr="00AF22B4" w:rsidRDefault="00AF22B4" w:rsidP="00AF22B4">
      <w:pPr>
        <w:pStyle w:val="Bibentry"/>
      </w:pPr>
      <w:r>
        <w:t xml:space="preserve">[25] </w:t>
      </w:r>
      <w:proofErr w:type="spellStart"/>
      <w:r w:rsidR="001E699D" w:rsidRPr="00AF22B4">
        <w:t>Alberga</w:t>
      </w:r>
      <w:proofErr w:type="spellEnd"/>
      <w:r w:rsidR="001E699D" w:rsidRPr="00AF22B4">
        <w:t xml:space="preserve">, A.S., Pickering, B.J., Alix Hayden, K., Ball, G.D.C., Edwards, A., </w:t>
      </w:r>
      <w:r w:rsidRPr="00AF22B4">
        <w:t xml:space="preserve">   </w:t>
      </w:r>
      <w:proofErr w:type="spellStart"/>
      <w:r w:rsidR="001E699D" w:rsidRPr="00AF22B4">
        <w:t>Jelinski</w:t>
      </w:r>
      <w:proofErr w:type="spellEnd"/>
      <w:r w:rsidR="001E699D" w:rsidRPr="00AF22B4">
        <w:t>, S., Nutter, S., Oddie, S., Sharma, A.M. and Russell-Mayhew, S. (2016) Weight bias reduction in health professionals: a systematic review. Clinical Obesity, 6(3), 175-188.</w:t>
      </w:r>
    </w:p>
    <w:p w14:paraId="7DF1DA98" w14:textId="77777777" w:rsidR="00AF22B4" w:rsidRDefault="00AF22B4" w:rsidP="00AF22B4">
      <w:pPr>
        <w:pStyle w:val="Bibentry"/>
      </w:pPr>
      <w:r w:rsidRPr="00AF22B4">
        <w:t xml:space="preserve">[26] </w:t>
      </w:r>
      <w:proofErr w:type="spellStart"/>
      <w:r w:rsidRPr="001E699D">
        <w:t>Gloor</w:t>
      </w:r>
      <w:proofErr w:type="spellEnd"/>
      <w:r w:rsidRPr="001E699D">
        <w:t xml:space="preserve">, J.L. and </w:t>
      </w:r>
      <w:proofErr w:type="spellStart"/>
      <w:r w:rsidRPr="001E699D">
        <w:t>Puhl</w:t>
      </w:r>
      <w:proofErr w:type="spellEnd"/>
      <w:r w:rsidRPr="001E699D">
        <w:t>, R.M. (2016) Empathy and perspective-taking: Examination and comparison of strategies to reduce weight stigma. Stigma and Health, 1(4), 269-279.</w:t>
      </w:r>
    </w:p>
    <w:p w14:paraId="425BF7C6" w14:textId="77777777" w:rsidR="001E699D" w:rsidRPr="001E699D" w:rsidRDefault="00EA29E3" w:rsidP="002A63EA">
      <w:pPr>
        <w:pStyle w:val="Bibentry"/>
      </w:pPr>
      <w:r>
        <w:t>[2</w:t>
      </w:r>
      <w:r w:rsidR="00AF22B4">
        <w:t>7</w:t>
      </w:r>
      <w:r>
        <w:t xml:space="preserve">] </w:t>
      </w:r>
      <w:r w:rsidR="001E699D" w:rsidRPr="001E699D">
        <w:t>Seymour, J., Barnes, J.L., Schumacher, J. and Vollmer, R.L. (2018) A Qualitative Exploration of Weight Bias and Quality of Health Care Among Health Care Professionals Using Hypothetical Patient Scenarios. Inquiry, 55, 46958018774171.</w:t>
      </w:r>
    </w:p>
    <w:bookmarkEnd w:id="1"/>
    <w:p w14:paraId="5D3D38D3" w14:textId="77777777" w:rsidR="00586A35" w:rsidRPr="008F1608" w:rsidRDefault="00586A35" w:rsidP="00C14A4F">
      <w:pPr>
        <w:pStyle w:val="MetadataHead"/>
        <w:rPr>
          <w:vanish/>
          <w:color w:val="auto"/>
          <w:sz w:val="14"/>
          <w:szCs w:val="14"/>
          <w14:ligatures w14:val="standard"/>
        </w:rPr>
      </w:pPr>
    </w:p>
    <w:sectPr w:rsidR="00586A35" w:rsidRPr="008F1608"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0710" w14:textId="77777777" w:rsidR="009D60F9" w:rsidRDefault="009D60F9">
      <w:r>
        <w:separator/>
      </w:r>
    </w:p>
  </w:endnote>
  <w:endnote w:type="continuationSeparator" w:id="0">
    <w:p w14:paraId="1453EA74" w14:textId="77777777" w:rsidR="009D60F9" w:rsidRDefault="009D60F9">
      <w:r>
        <w:continuationSeparator/>
      </w:r>
    </w:p>
  </w:endnote>
  <w:endnote w:type="continuationNotice" w:id="1">
    <w:p w14:paraId="6B8FDD2C" w14:textId="77777777" w:rsidR="009D60F9" w:rsidRDefault="009D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2215" w14:textId="77777777" w:rsidR="00586A35" w:rsidRPr="00586A35" w:rsidRDefault="00586A35" w:rsidP="00586A35">
    <w:pPr>
      <w:pStyle w:val="Footer"/>
      <w:rPr>
        <w:rStyle w:val="PageNumber"/>
        <w:rFonts w:ascii="Linux Biolinum" w:hAnsi="Linux Biolinum" w:cs="Linux Biolinum"/>
      </w:rPr>
    </w:pPr>
  </w:p>
  <w:p w14:paraId="321D4E4E"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C262"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1F19C" w14:textId="77777777" w:rsidR="009D60F9" w:rsidRDefault="009D60F9">
      <w:r>
        <w:separator/>
      </w:r>
    </w:p>
  </w:footnote>
  <w:footnote w:type="continuationSeparator" w:id="0">
    <w:p w14:paraId="07CB00A6" w14:textId="77777777" w:rsidR="009D60F9" w:rsidRDefault="009D60F9">
      <w:r>
        <w:continuationSeparator/>
      </w:r>
    </w:p>
  </w:footnote>
  <w:footnote w:type="continuationNotice" w:id="1">
    <w:p w14:paraId="0B451777" w14:textId="77777777" w:rsidR="009D60F9" w:rsidRDefault="009D6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040"/>
      <w:gridCol w:w="5040"/>
    </w:tblGrid>
    <w:tr w:rsidR="00586A35" w:rsidRPr="00586A35" w14:paraId="7367B582" w14:textId="77777777" w:rsidTr="00586A35">
      <w:tc>
        <w:tcPr>
          <w:tcW w:w="2500" w:type="pct"/>
          <w:vAlign w:val="center"/>
        </w:tcPr>
        <w:p w14:paraId="77E86E0C" w14:textId="77777777" w:rsidR="00586A35" w:rsidRPr="00586A35" w:rsidRDefault="00E00A6F" w:rsidP="00586A35">
          <w:pPr>
            <w:pStyle w:val="Header"/>
            <w:tabs>
              <w:tab w:val="clear" w:pos="4320"/>
              <w:tab w:val="clear" w:pos="8640"/>
            </w:tabs>
            <w:jc w:val="left"/>
            <w:rPr>
              <w:rFonts w:ascii="Linux Biolinum" w:hAnsi="Linux Biolinum" w:cs="Linux Biolinum"/>
            </w:rPr>
          </w:pPr>
          <w:r>
            <w:rPr>
              <w:rFonts w:ascii="Linux Biolinum" w:hAnsi="Linux Biolinum" w:cs="Linux Biolinum"/>
            </w:rPr>
            <w:t>ECCE’</w:t>
          </w:r>
          <w:r w:rsidRPr="00E00A6F">
            <w:rPr>
              <w:rFonts w:ascii="Linux Biolinum" w:hAnsi="Linux Biolinum" w:cs="Linux Biolinum"/>
            </w:rPr>
            <w:t xml:space="preserve">19, </w:t>
          </w:r>
          <w:proofErr w:type="gramStart"/>
          <w:r w:rsidRPr="00E00A6F">
            <w:rPr>
              <w:rFonts w:ascii="Linux Biolinum" w:hAnsi="Linux Biolinum" w:cs="Linux Biolinum"/>
            </w:rPr>
            <w:t>September</w:t>
          </w:r>
          <w:r>
            <w:rPr>
              <w:rFonts w:ascii="Linux Biolinum" w:hAnsi="Linux Biolinum" w:cs="Linux Biolinum"/>
            </w:rPr>
            <w:t>,</w:t>
          </w:r>
          <w:proofErr w:type="gramEnd"/>
          <w:r>
            <w:rPr>
              <w:rFonts w:ascii="Linux Biolinum" w:hAnsi="Linux Biolinum" w:cs="Linux Biolinum"/>
            </w:rPr>
            <w:t xml:space="preserve"> </w:t>
          </w:r>
          <w:r w:rsidRPr="00E00A6F">
            <w:rPr>
              <w:rFonts w:ascii="Linux Biolinum" w:hAnsi="Linux Biolinum" w:cs="Linux Biolinum"/>
            </w:rPr>
            <w:t>2019, Belfast,</w:t>
          </w:r>
          <w:r>
            <w:rPr>
              <w:rFonts w:ascii="Linux Biolinum" w:hAnsi="Linux Biolinum" w:cs="Linux Biolinum"/>
            </w:rPr>
            <w:t xml:space="preserve"> Northern Ireland, </w:t>
          </w:r>
          <w:r w:rsidRPr="00E00A6F">
            <w:rPr>
              <w:rFonts w:ascii="Linux Biolinum" w:hAnsi="Linux Biolinum" w:cs="Linux Biolinum"/>
            </w:rPr>
            <w:t>UK</w:t>
          </w:r>
        </w:p>
      </w:tc>
      <w:tc>
        <w:tcPr>
          <w:tcW w:w="2500" w:type="pct"/>
          <w:vAlign w:val="center"/>
        </w:tcPr>
        <w:p w14:paraId="2AD2C8A2"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 xml:space="preserve">F. </w:t>
          </w:r>
          <w:r w:rsidR="004A425F">
            <w:rPr>
              <w:rFonts w:ascii="Linux Biolinum" w:hAnsi="Linux Biolinum" w:cs="Linux Biolinum"/>
            </w:rPr>
            <w:t>Quigley</w:t>
          </w:r>
          <w:r w:rsidRPr="00586A35">
            <w:rPr>
              <w:rFonts w:ascii="Linux Biolinum" w:hAnsi="Linux Biolinum" w:cs="Linux Biolinum"/>
            </w:rPr>
            <w:t xml:space="preserve"> et al.</w:t>
          </w:r>
        </w:p>
      </w:tc>
    </w:tr>
  </w:tbl>
  <w:p w14:paraId="6CAB2114"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040"/>
      <w:gridCol w:w="5040"/>
    </w:tblGrid>
    <w:tr w:rsidR="00F607A3" w:rsidRPr="00586A35" w14:paraId="53BFBEFC" w14:textId="77777777" w:rsidTr="00390828">
      <w:tc>
        <w:tcPr>
          <w:tcW w:w="2500" w:type="pct"/>
          <w:vAlign w:val="center"/>
        </w:tcPr>
        <w:p w14:paraId="1596FAF8" w14:textId="77777777" w:rsidR="00F607A3" w:rsidRPr="00586A35" w:rsidRDefault="00E00A6F" w:rsidP="00F607A3">
          <w:pPr>
            <w:pStyle w:val="Header"/>
            <w:tabs>
              <w:tab w:val="clear" w:pos="4320"/>
              <w:tab w:val="clear" w:pos="8640"/>
            </w:tabs>
            <w:jc w:val="left"/>
            <w:rPr>
              <w:rFonts w:ascii="Linux Biolinum" w:hAnsi="Linux Biolinum" w:cs="Linux Biolinum"/>
            </w:rPr>
          </w:pPr>
          <w:r>
            <w:rPr>
              <w:rFonts w:ascii="Linux Biolinum" w:hAnsi="Linux Biolinum" w:cs="Linux Biolinum"/>
            </w:rPr>
            <w:t>ECCE’</w:t>
          </w:r>
          <w:r w:rsidR="00CC3720" w:rsidRPr="00E00A6F">
            <w:rPr>
              <w:rFonts w:ascii="Linux Biolinum" w:hAnsi="Linux Biolinum" w:cs="Linux Biolinum"/>
            </w:rPr>
            <w:t>19</w:t>
          </w:r>
          <w:r w:rsidRPr="00E00A6F">
            <w:rPr>
              <w:rFonts w:ascii="Linux Biolinum" w:hAnsi="Linux Biolinum" w:cs="Linux Biolinum"/>
            </w:rPr>
            <w:t xml:space="preserve">, </w:t>
          </w:r>
          <w:proofErr w:type="gramStart"/>
          <w:r w:rsidRPr="00E00A6F">
            <w:rPr>
              <w:rFonts w:ascii="Linux Biolinum" w:hAnsi="Linux Biolinum" w:cs="Linux Biolinum"/>
            </w:rPr>
            <w:t>September</w:t>
          </w:r>
          <w:r>
            <w:rPr>
              <w:rFonts w:ascii="Linux Biolinum" w:hAnsi="Linux Biolinum" w:cs="Linux Biolinum"/>
            </w:rPr>
            <w:t>,</w:t>
          </w:r>
          <w:proofErr w:type="gramEnd"/>
          <w:r>
            <w:rPr>
              <w:rFonts w:ascii="Linux Biolinum" w:hAnsi="Linux Biolinum" w:cs="Linux Biolinum"/>
            </w:rPr>
            <w:t xml:space="preserve"> </w:t>
          </w:r>
          <w:r w:rsidRPr="00E00A6F">
            <w:rPr>
              <w:rFonts w:ascii="Linux Biolinum" w:hAnsi="Linux Biolinum" w:cs="Linux Biolinum"/>
            </w:rPr>
            <w:t>2019, Belfast,</w:t>
          </w:r>
          <w:r>
            <w:rPr>
              <w:rFonts w:ascii="Linux Biolinum" w:hAnsi="Linux Biolinum" w:cs="Linux Biolinum"/>
            </w:rPr>
            <w:t xml:space="preserve"> Northern Ireland, </w:t>
          </w:r>
          <w:r w:rsidRPr="00E00A6F">
            <w:rPr>
              <w:rFonts w:ascii="Linux Biolinum" w:hAnsi="Linux Biolinum" w:cs="Linux Biolinum"/>
            </w:rPr>
            <w:t>UK</w:t>
          </w:r>
        </w:p>
      </w:tc>
      <w:tc>
        <w:tcPr>
          <w:tcW w:w="2500" w:type="pct"/>
          <w:vAlign w:val="center"/>
        </w:tcPr>
        <w:p w14:paraId="5C26B377" w14:textId="77777777" w:rsidR="00F607A3" w:rsidRPr="00586A35" w:rsidRDefault="00F607A3" w:rsidP="00F607A3">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 xml:space="preserve">F. </w:t>
          </w:r>
          <w:r>
            <w:rPr>
              <w:rFonts w:ascii="Linux Biolinum" w:hAnsi="Linux Biolinum" w:cs="Linux Biolinum"/>
            </w:rPr>
            <w:t>Quigley</w:t>
          </w:r>
          <w:r w:rsidRPr="00586A35">
            <w:rPr>
              <w:rFonts w:ascii="Linux Biolinum" w:hAnsi="Linux Biolinum" w:cs="Linux Biolinum"/>
            </w:rPr>
            <w:t xml:space="preserve"> et al.</w:t>
          </w:r>
        </w:p>
      </w:tc>
    </w:tr>
  </w:tbl>
  <w:p w14:paraId="7E0EB2D1" w14:textId="77777777" w:rsidR="00F607A3" w:rsidRDefault="00F60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B02184"/>
    <w:multiLevelType w:val="hybridMultilevel"/>
    <w:tmpl w:val="D9867EEC"/>
    <w:lvl w:ilvl="0" w:tplc="0809000F">
      <w:start w:val="1"/>
      <w:numFmt w:val="decimal"/>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7"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0"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3"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2D4DC5"/>
    <w:multiLevelType w:val="hybridMultilevel"/>
    <w:tmpl w:val="C13A82DE"/>
    <w:lvl w:ilvl="0" w:tplc="0C08F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6"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7"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9"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0"/>
  </w:num>
  <w:num w:numId="4">
    <w:abstractNumId w:val="28"/>
  </w:num>
  <w:num w:numId="5">
    <w:abstractNumId w:val="20"/>
  </w:num>
  <w:num w:numId="6">
    <w:abstractNumId w:val="16"/>
  </w:num>
  <w:num w:numId="7">
    <w:abstractNumId w:val="26"/>
  </w:num>
  <w:num w:numId="8">
    <w:abstractNumId w:val="22"/>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4"/>
  </w:num>
  <w:num w:numId="22">
    <w:abstractNumId w:val="30"/>
  </w:num>
  <w:num w:numId="23">
    <w:abstractNumId w:val="14"/>
  </w:num>
  <w:num w:numId="24">
    <w:abstractNumId w:val="27"/>
  </w:num>
  <w:num w:numId="25">
    <w:abstractNumId w:val="23"/>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3"/>
  </w:num>
  <w:num w:numId="31">
    <w:abstractNumId w:val="12"/>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1508"/>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3C75"/>
    <w:rsid w:val="001A43B1"/>
    <w:rsid w:val="001A71BB"/>
    <w:rsid w:val="001B29D6"/>
    <w:rsid w:val="001C4C27"/>
    <w:rsid w:val="001D5887"/>
    <w:rsid w:val="001E2720"/>
    <w:rsid w:val="001E699D"/>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A63EA"/>
    <w:rsid w:val="002B01E4"/>
    <w:rsid w:val="002B1F59"/>
    <w:rsid w:val="002B7410"/>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46BEF"/>
    <w:rsid w:val="00356296"/>
    <w:rsid w:val="00357671"/>
    <w:rsid w:val="00373175"/>
    <w:rsid w:val="0037572A"/>
    <w:rsid w:val="00376CCC"/>
    <w:rsid w:val="0038080D"/>
    <w:rsid w:val="0038584A"/>
    <w:rsid w:val="00390853"/>
    <w:rsid w:val="00392395"/>
    <w:rsid w:val="003936B1"/>
    <w:rsid w:val="003944CF"/>
    <w:rsid w:val="0039733F"/>
    <w:rsid w:val="003A1ABD"/>
    <w:rsid w:val="003B1CA3"/>
    <w:rsid w:val="003B3570"/>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84C62"/>
    <w:rsid w:val="00492EF4"/>
    <w:rsid w:val="004947C9"/>
    <w:rsid w:val="00495781"/>
    <w:rsid w:val="00496F0E"/>
    <w:rsid w:val="00497365"/>
    <w:rsid w:val="004A425F"/>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6392F"/>
    <w:rsid w:val="00670649"/>
    <w:rsid w:val="00675128"/>
    <w:rsid w:val="0069472B"/>
    <w:rsid w:val="00694749"/>
    <w:rsid w:val="006978B2"/>
    <w:rsid w:val="006A22F6"/>
    <w:rsid w:val="006A29E8"/>
    <w:rsid w:val="006C4BE3"/>
    <w:rsid w:val="006D0E9B"/>
    <w:rsid w:val="006D2239"/>
    <w:rsid w:val="006D4C0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808DB"/>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65171"/>
    <w:rsid w:val="00871E83"/>
    <w:rsid w:val="0089066F"/>
    <w:rsid w:val="00891A1D"/>
    <w:rsid w:val="008949E1"/>
    <w:rsid w:val="008A665A"/>
    <w:rsid w:val="008B1EFD"/>
    <w:rsid w:val="008B710D"/>
    <w:rsid w:val="008C6E83"/>
    <w:rsid w:val="008C72C9"/>
    <w:rsid w:val="008D3956"/>
    <w:rsid w:val="008D4A83"/>
    <w:rsid w:val="008F1608"/>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39FF"/>
    <w:rsid w:val="009B7559"/>
    <w:rsid w:val="009D3C3B"/>
    <w:rsid w:val="009D46EA"/>
    <w:rsid w:val="009D60F9"/>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AF22B4"/>
    <w:rsid w:val="00AF386E"/>
    <w:rsid w:val="00B13E4F"/>
    <w:rsid w:val="00B14E51"/>
    <w:rsid w:val="00B15A21"/>
    <w:rsid w:val="00B1638F"/>
    <w:rsid w:val="00B171C6"/>
    <w:rsid w:val="00B25737"/>
    <w:rsid w:val="00B32968"/>
    <w:rsid w:val="00B33269"/>
    <w:rsid w:val="00B350C9"/>
    <w:rsid w:val="00B3715C"/>
    <w:rsid w:val="00B4052C"/>
    <w:rsid w:val="00B41CB4"/>
    <w:rsid w:val="00B43D73"/>
    <w:rsid w:val="00B4487F"/>
    <w:rsid w:val="00B46551"/>
    <w:rsid w:val="00B51DB5"/>
    <w:rsid w:val="00B61445"/>
    <w:rsid w:val="00B61DDD"/>
    <w:rsid w:val="00B64DD4"/>
    <w:rsid w:val="00B64F13"/>
    <w:rsid w:val="00B73DEA"/>
    <w:rsid w:val="00B82743"/>
    <w:rsid w:val="00BA00DF"/>
    <w:rsid w:val="00BA5432"/>
    <w:rsid w:val="00BA7DD8"/>
    <w:rsid w:val="00BB333E"/>
    <w:rsid w:val="00BC5BDA"/>
    <w:rsid w:val="00BD304D"/>
    <w:rsid w:val="00BD61E5"/>
    <w:rsid w:val="00BD793B"/>
    <w:rsid w:val="00BE2887"/>
    <w:rsid w:val="00BF3D6B"/>
    <w:rsid w:val="00C03DCA"/>
    <w:rsid w:val="00C06212"/>
    <w:rsid w:val="00C06B30"/>
    <w:rsid w:val="00C1142C"/>
    <w:rsid w:val="00C149D7"/>
    <w:rsid w:val="00C14A4F"/>
    <w:rsid w:val="00C32613"/>
    <w:rsid w:val="00C41AE1"/>
    <w:rsid w:val="00C4538D"/>
    <w:rsid w:val="00C461FF"/>
    <w:rsid w:val="00C50274"/>
    <w:rsid w:val="00C5423E"/>
    <w:rsid w:val="00C72FAB"/>
    <w:rsid w:val="00C75532"/>
    <w:rsid w:val="00C822AF"/>
    <w:rsid w:val="00C90428"/>
    <w:rsid w:val="00C9472A"/>
    <w:rsid w:val="00C95C6E"/>
    <w:rsid w:val="00C96C07"/>
    <w:rsid w:val="00CA17C5"/>
    <w:rsid w:val="00CB6709"/>
    <w:rsid w:val="00CC2FE0"/>
    <w:rsid w:val="00CC3720"/>
    <w:rsid w:val="00CD0132"/>
    <w:rsid w:val="00CD4663"/>
    <w:rsid w:val="00CE752A"/>
    <w:rsid w:val="00CF2B1E"/>
    <w:rsid w:val="00CF39D4"/>
    <w:rsid w:val="00D04103"/>
    <w:rsid w:val="00D24AA4"/>
    <w:rsid w:val="00D31EBA"/>
    <w:rsid w:val="00D341FA"/>
    <w:rsid w:val="00D34435"/>
    <w:rsid w:val="00D368A0"/>
    <w:rsid w:val="00D40699"/>
    <w:rsid w:val="00D47BCC"/>
    <w:rsid w:val="00D658B3"/>
    <w:rsid w:val="00D679AB"/>
    <w:rsid w:val="00D70EDE"/>
    <w:rsid w:val="00D9290D"/>
    <w:rsid w:val="00DA48C0"/>
    <w:rsid w:val="00DC112E"/>
    <w:rsid w:val="00DC1C49"/>
    <w:rsid w:val="00DC4B20"/>
    <w:rsid w:val="00DC4FC9"/>
    <w:rsid w:val="00DD476E"/>
    <w:rsid w:val="00DD5335"/>
    <w:rsid w:val="00DF0E97"/>
    <w:rsid w:val="00E00A6F"/>
    <w:rsid w:val="00E016B0"/>
    <w:rsid w:val="00E04496"/>
    <w:rsid w:val="00E06A6F"/>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29E3"/>
    <w:rsid w:val="00EA33FF"/>
    <w:rsid w:val="00EB0977"/>
    <w:rsid w:val="00EB13C5"/>
    <w:rsid w:val="00EB2E12"/>
    <w:rsid w:val="00EB3F7D"/>
    <w:rsid w:val="00EB49FA"/>
    <w:rsid w:val="00EB5854"/>
    <w:rsid w:val="00EC4D39"/>
    <w:rsid w:val="00EC5B28"/>
    <w:rsid w:val="00EC5E10"/>
    <w:rsid w:val="00EF03F0"/>
    <w:rsid w:val="00F06E88"/>
    <w:rsid w:val="00F07F37"/>
    <w:rsid w:val="00F13DDE"/>
    <w:rsid w:val="00F2664D"/>
    <w:rsid w:val="00F30418"/>
    <w:rsid w:val="00F3215E"/>
    <w:rsid w:val="00F3231F"/>
    <w:rsid w:val="00F41CC2"/>
    <w:rsid w:val="00F52D73"/>
    <w:rsid w:val="00F57F72"/>
    <w:rsid w:val="00F607A3"/>
    <w:rsid w:val="00F65834"/>
    <w:rsid w:val="00F66B6F"/>
    <w:rsid w:val="00F74DA3"/>
    <w:rsid w:val="00F81CEB"/>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66DF3"/>
  <w15:docId w15:val="{9E35A8CA-E1BE-4D80-9684-54954A5B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spacing w:before="120" w:line="264" w:lineRule="auto"/>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39733F"/>
    <w:pPr>
      <w:spacing w:before="240" w:after="80"/>
      <w:ind w:left="278" w:hanging="278"/>
      <w:jc w:val="both"/>
    </w:pPr>
    <w:rPr>
      <w:rFonts w:ascii="Linux Libertine" w:eastAsia="Times New Roman" w:hAnsi="Linux Libertine" w:cs="Linux Libertine"/>
      <w:b/>
      <w:sz w:val="22"/>
      <w:lang w:val="en-US" w:eastAsia="en-US"/>
    </w:rPr>
  </w:style>
  <w:style w:type="paragraph" w:customStyle="1" w:styleId="Head2">
    <w:name w:val="Head2"/>
    <w:autoRedefine/>
    <w:qFormat/>
    <w:rsid w:val="002A63EA"/>
    <w:pPr>
      <w:spacing w:before="180" w:after="80"/>
      <w:ind w:left="400" w:hanging="400"/>
    </w:pPr>
    <w:rPr>
      <w:rFonts w:ascii="Linux Libertine" w:eastAsia="Times New Roman" w:hAnsi="Linux Libertine" w:cs="Linux Libertine"/>
      <w:b/>
      <w:sz w:val="22"/>
      <w:lang w:val="en-US" w:eastAsia="en-US"/>
      <w14:ligatures w14:val="standard"/>
    </w:rPr>
  </w:style>
  <w:style w:type="paragraph" w:customStyle="1" w:styleId="Head3">
    <w:name w:val="Head3"/>
    <w:autoRedefine/>
    <w:qFormat/>
    <w:rsid w:val="00F81CEB"/>
    <w:pPr>
      <w:spacing w:before="120" w:after="40"/>
      <w:ind w:left="284" w:hanging="284"/>
      <w:jc w:val="both"/>
    </w:pPr>
    <w:rPr>
      <w:rFonts w:ascii="Times New Roman" w:eastAsiaTheme="minorHAnsi" w:hAnsi="Times New Roman"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E00A6F"/>
    <w:pPr>
      <w:spacing w:before="200" w:after="40"/>
      <w:jc w:val="both"/>
    </w:pPr>
    <w:rPr>
      <w:rFonts w:ascii="Linux Libertine" w:eastAsiaTheme="minorHAnsi" w:hAnsi="Linux Libertine" w:cs="Linux Libertine"/>
      <w:b/>
      <w:sz w:val="16"/>
      <w:szCs w:val="22"/>
      <w:lang w:val="en-US" w:eastAsia="en-US"/>
      <w14:ligatures w14:val="standard"/>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1E699D"/>
    <w:pPr>
      <w:ind w:left="284" w:hanging="284"/>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character" w:styleId="UnresolvedMention">
    <w:name w:val="Unresolved Mention"/>
    <w:basedOn w:val="DefaultParagraphFont"/>
    <w:uiPriority w:val="99"/>
    <w:semiHidden/>
    <w:unhideWhenUsed/>
    <w:rsid w:val="008D3956"/>
    <w:rPr>
      <w:color w:val="605E5C"/>
      <w:shd w:val="clear" w:color="auto" w:fill="E1DFDD"/>
    </w:rPr>
  </w:style>
  <w:style w:type="character" w:customStyle="1" w:styleId="apple-style-span">
    <w:name w:val="apple-style-span"/>
    <w:rsid w:val="00B4487F"/>
  </w:style>
  <w:style w:type="character" w:customStyle="1" w:styleId="mark54ywiq40p">
    <w:name w:val="mark54ywiq40p"/>
    <w:basedOn w:val="DefaultParagraphFont"/>
    <w:rsid w:val="00C7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471021247">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5262673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67383731">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en/news-room/fact-sheets/detail/obesity-and-overweigh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iencedirect.com/science/article/pii/S1876285917300128"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so.org.uk/wp-content/uploads/2018/05/APPG-Obesity-Report-May-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425E0595-D80A-4C93-81C4-F65B46A1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160</TotalTime>
  <Pages>3</Pages>
  <Words>2678</Words>
  <Characters>15267</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17910</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
  <cp:lastModifiedBy>Fiona Quigley</cp:lastModifiedBy>
  <cp:revision>5</cp:revision>
  <cp:lastPrinted>2019-03-08T16:29:00Z</cp:lastPrinted>
  <dcterms:created xsi:type="dcterms:W3CDTF">2019-05-24T09:01:00Z</dcterms:created>
  <dcterms:modified xsi:type="dcterms:W3CDTF">2019-09-05T22:57:00Z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