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09AC17" w14:textId="77777777" w:rsidR="006D4300" w:rsidRDefault="00A060DA" w:rsidP="00BE4BF1">
      <w:pPr>
        <w:pStyle w:val="Title"/>
        <w:jc w:val="center"/>
        <w:rPr>
          <w:rFonts w:ascii="Arial" w:hAnsi="Arial" w:cs="Arial"/>
          <w:color w:val="606060"/>
          <w:sz w:val="24"/>
          <w:szCs w:val="24"/>
          <w:shd w:val="clear" w:color="auto" w:fill="FFFFFF"/>
        </w:rPr>
      </w:pPr>
      <w:r w:rsidRPr="00BE4BF1">
        <w:rPr>
          <w:rFonts w:ascii="Arial" w:hAnsi="Arial" w:cs="Arial"/>
          <w:color w:val="606060"/>
          <w:sz w:val="24"/>
          <w:szCs w:val="24"/>
          <w:shd w:val="clear" w:color="auto" w:fill="FFFFFF"/>
        </w:rPr>
        <w:t xml:space="preserve">A global ‘greening’ of coastal dunes: An integrated consequence </w:t>
      </w:r>
    </w:p>
    <w:p w14:paraId="6E1BEB42" w14:textId="77777777" w:rsidR="005F5E7D" w:rsidRPr="00BE4BF1" w:rsidRDefault="00A060DA" w:rsidP="00BE4BF1">
      <w:pPr>
        <w:pStyle w:val="Title"/>
        <w:jc w:val="center"/>
        <w:rPr>
          <w:rFonts w:ascii="Arial" w:hAnsi="Arial" w:cs="Arial"/>
          <w:color w:val="606060"/>
          <w:sz w:val="24"/>
          <w:szCs w:val="24"/>
          <w:shd w:val="clear" w:color="auto" w:fill="FFFFFF"/>
        </w:rPr>
      </w:pPr>
      <w:r w:rsidRPr="00BE4BF1">
        <w:rPr>
          <w:rFonts w:ascii="Arial" w:hAnsi="Arial" w:cs="Arial"/>
          <w:color w:val="606060"/>
          <w:sz w:val="24"/>
          <w:szCs w:val="24"/>
          <w:shd w:val="clear" w:color="auto" w:fill="FFFFFF"/>
        </w:rPr>
        <w:t>of climate change?</w:t>
      </w:r>
    </w:p>
    <w:p w14:paraId="401D3B50" w14:textId="77777777" w:rsidR="00BE4BF1" w:rsidRPr="00BE4BF1" w:rsidRDefault="00BE4BF1" w:rsidP="00BE4BF1"/>
    <w:p w14:paraId="3C793B1D" w14:textId="1B94057C" w:rsidR="00D5572F" w:rsidRPr="009A01B4" w:rsidRDefault="00A060DA" w:rsidP="00701A40">
      <w:pPr>
        <w:spacing w:after="0"/>
        <w:rPr>
          <w:rFonts w:cs="Calibri"/>
        </w:rPr>
      </w:pPr>
      <w:r w:rsidRPr="008A2020">
        <w:rPr>
          <w:rFonts w:cs="Calibri"/>
        </w:rPr>
        <w:t>Derek W.T. Jackson</w:t>
      </w:r>
      <w:r w:rsidRPr="008A2020">
        <w:rPr>
          <w:rFonts w:cs="Calibri"/>
          <w:vertAlign w:val="superscript"/>
        </w:rPr>
        <w:t>1</w:t>
      </w:r>
      <w:r w:rsidRPr="008A2020">
        <w:rPr>
          <w:rFonts w:cs="Calibri"/>
        </w:rPr>
        <w:t xml:space="preserve">, </w:t>
      </w:r>
      <w:r w:rsidRPr="009A01B4">
        <w:rPr>
          <w:rFonts w:cs="Calibri"/>
        </w:rPr>
        <w:t>Susana Costas</w:t>
      </w:r>
      <w:r w:rsidRPr="009A01B4">
        <w:rPr>
          <w:rFonts w:cs="Calibri"/>
          <w:vertAlign w:val="superscript"/>
        </w:rPr>
        <w:t>2</w:t>
      </w:r>
      <w:r w:rsidRPr="009A01B4">
        <w:rPr>
          <w:rFonts w:cs="Calibri"/>
        </w:rPr>
        <w:t xml:space="preserve">, </w:t>
      </w:r>
      <w:r w:rsidRPr="008A2020">
        <w:rPr>
          <w:rFonts w:cs="Calibri"/>
        </w:rPr>
        <w:t xml:space="preserve">Rita </w:t>
      </w:r>
      <w:r w:rsidR="00266F2F" w:rsidRPr="008A2020">
        <w:rPr>
          <w:rFonts w:cs="Calibri"/>
        </w:rPr>
        <w:t>González-</w:t>
      </w:r>
      <w:r w:rsidRPr="008A2020">
        <w:rPr>
          <w:rFonts w:cs="Calibri"/>
        </w:rPr>
        <w:t>Villanueva</w:t>
      </w:r>
      <w:r w:rsidR="00EF12F0" w:rsidRPr="008A2020">
        <w:rPr>
          <w:rFonts w:cs="Calibri"/>
          <w:vertAlign w:val="superscript"/>
        </w:rPr>
        <w:t>3</w:t>
      </w:r>
      <w:r w:rsidRPr="008A2020">
        <w:rPr>
          <w:rFonts w:cs="Calibri"/>
        </w:rPr>
        <w:t xml:space="preserve">, </w:t>
      </w:r>
      <w:r w:rsidRPr="009A01B4">
        <w:rPr>
          <w:rFonts w:cs="Calibri"/>
        </w:rPr>
        <w:t>Andrew Cooper</w:t>
      </w:r>
      <w:r w:rsidRPr="009A01B4">
        <w:rPr>
          <w:rFonts w:cs="Calibri"/>
          <w:vertAlign w:val="superscript"/>
        </w:rPr>
        <w:t>1,</w:t>
      </w:r>
      <w:r w:rsidR="00EF12F0" w:rsidRPr="009A01B4">
        <w:rPr>
          <w:rFonts w:cs="Calibri"/>
          <w:vertAlign w:val="superscript"/>
        </w:rPr>
        <w:t>4</w:t>
      </w:r>
    </w:p>
    <w:p w14:paraId="11DD9337" w14:textId="77777777" w:rsidR="00BE4BF1" w:rsidRDefault="00A060DA" w:rsidP="00701A40">
      <w:pPr>
        <w:spacing w:after="0"/>
        <w:rPr>
          <w:rFonts w:cs="Calibri"/>
        </w:rPr>
      </w:pPr>
      <w:r w:rsidRPr="00BE4BF1">
        <w:rPr>
          <w:rFonts w:cs="Calibri"/>
          <w:vertAlign w:val="superscript"/>
        </w:rPr>
        <w:t>1</w:t>
      </w:r>
      <w:r w:rsidRPr="00BE4BF1">
        <w:rPr>
          <w:rFonts w:cs="Calibri"/>
        </w:rPr>
        <w:t xml:space="preserve"> </w:t>
      </w:r>
      <w:r w:rsidRPr="00A27181">
        <w:rPr>
          <w:rFonts w:cs="Calibri"/>
        </w:rPr>
        <w:t>School of Geography and Environmental Sciences, Ulster University, Cromore Road, Coleraine, BT52 1SA, Northern Ireland, U.K.</w:t>
      </w:r>
    </w:p>
    <w:p w14:paraId="599FF3EA" w14:textId="08A7C775" w:rsidR="00BE4BF1" w:rsidRPr="008A2020" w:rsidRDefault="00A060DA">
      <w:pPr>
        <w:spacing w:after="0"/>
        <w:rPr>
          <w:rFonts w:cs="Calibri"/>
          <w:lang w:val="pt-PT"/>
        </w:rPr>
      </w:pPr>
      <w:r w:rsidRPr="008A2020">
        <w:rPr>
          <w:rFonts w:cs="Calibri"/>
          <w:vertAlign w:val="superscript"/>
          <w:lang w:val="pt-PT"/>
        </w:rPr>
        <w:t>2</w:t>
      </w:r>
      <w:r w:rsidRPr="00BE4BF1">
        <w:rPr>
          <w:rFonts w:cs="Calibri"/>
          <w:lang w:val="pt-PT"/>
        </w:rPr>
        <w:t xml:space="preserve"> </w:t>
      </w:r>
      <w:r w:rsidRPr="00A27181">
        <w:rPr>
          <w:rFonts w:cs="Calibri"/>
          <w:lang w:val="pt-PT"/>
        </w:rPr>
        <w:t>Centre for Marine and Environmental Research (CIMA), University of Algarve, Campus de Gambelas, Edifício 7, Faro, Portugal.</w:t>
      </w:r>
    </w:p>
    <w:p w14:paraId="685D2C26" w14:textId="279B7B11" w:rsidR="00BE4BF1" w:rsidRPr="008A2020" w:rsidRDefault="00EF12F0" w:rsidP="00701A40">
      <w:pPr>
        <w:spacing w:after="0"/>
        <w:rPr>
          <w:rFonts w:cs="Calibri"/>
        </w:rPr>
      </w:pPr>
      <w:r>
        <w:rPr>
          <w:rFonts w:cs="Calibri"/>
          <w:vertAlign w:val="superscript"/>
        </w:rPr>
        <w:t>3</w:t>
      </w:r>
      <w:r w:rsidR="00A060DA" w:rsidRPr="008A2020">
        <w:rPr>
          <w:rFonts w:cs="Calibri"/>
        </w:rPr>
        <w:t xml:space="preserve"> Faculty of</w:t>
      </w:r>
      <w:r w:rsidR="00A060DA" w:rsidRPr="008A2020">
        <w:rPr>
          <w:rFonts w:cs="Calibri"/>
          <w:vertAlign w:val="superscript"/>
        </w:rPr>
        <w:t xml:space="preserve"> </w:t>
      </w:r>
      <w:r w:rsidR="00A060DA" w:rsidRPr="008A2020">
        <w:rPr>
          <w:rFonts w:cs="Calibri"/>
        </w:rPr>
        <w:t>Marine Sciences, Universidade de Vigo, Campus de Lagoas-Marcosende, 36200, Vigo, Spain</w:t>
      </w:r>
    </w:p>
    <w:p w14:paraId="5973AD55" w14:textId="12CD116C" w:rsidR="00BE4BF1" w:rsidRDefault="00EF12F0" w:rsidP="00701A40">
      <w:pPr>
        <w:spacing w:after="0"/>
        <w:rPr>
          <w:rFonts w:cs="Calibri"/>
        </w:rPr>
      </w:pPr>
      <w:r w:rsidRPr="008A2020">
        <w:rPr>
          <w:rFonts w:cs="Calibri"/>
          <w:vertAlign w:val="superscript"/>
        </w:rPr>
        <w:t>4</w:t>
      </w:r>
      <w:r w:rsidR="00A060DA" w:rsidRPr="00BE4BF1">
        <w:rPr>
          <w:rFonts w:cs="Calibri"/>
        </w:rPr>
        <w:t xml:space="preserve"> </w:t>
      </w:r>
      <w:r w:rsidR="00A060DA" w:rsidRPr="00A27181">
        <w:rPr>
          <w:rFonts w:cs="Calibri"/>
        </w:rPr>
        <w:t>Geological Sciences, School of Agricultural, Earth and Environmental Sciences, University of KwaZulu-Natal, Westville Campus, Durban, South Africa</w:t>
      </w:r>
    </w:p>
    <w:p w14:paraId="45CD7590" w14:textId="77777777" w:rsidR="00701A40" w:rsidRDefault="00701A40">
      <w:pPr>
        <w:rPr>
          <w:b/>
          <w:color w:val="1F497D"/>
        </w:rPr>
      </w:pPr>
    </w:p>
    <w:p w14:paraId="7623ED6D" w14:textId="77777777" w:rsidR="00443C29" w:rsidRDefault="00A060DA">
      <w:pPr>
        <w:rPr>
          <w:b/>
          <w:color w:val="1F497D"/>
        </w:rPr>
      </w:pPr>
      <w:r w:rsidRPr="005A77E5">
        <w:rPr>
          <w:b/>
          <w:color w:val="1F497D"/>
        </w:rPr>
        <w:t>Abstract</w:t>
      </w:r>
    </w:p>
    <w:p w14:paraId="5B585FD0" w14:textId="149FA58F" w:rsidR="00A515FE" w:rsidRPr="009E5CAC" w:rsidRDefault="00A060DA" w:rsidP="00A515FE">
      <w:r w:rsidRPr="009E5CAC">
        <w:t xml:space="preserve">In the context of global climate change and sea-level rise, coastal dunes are </w:t>
      </w:r>
      <w:r w:rsidR="00AC3C04">
        <w:t xml:space="preserve">often </w:t>
      </w:r>
      <w:r w:rsidRPr="009E5CAC">
        <w:t xml:space="preserve">important </w:t>
      </w:r>
      <w:r w:rsidR="00AC3C04">
        <w:t xml:space="preserve">elements in the coastal response to </w:t>
      </w:r>
      <w:r w:rsidRPr="009E5CAC">
        <w:t xml:space="preserve">storm wave and storm surge </w:t>
      </w:r>
      <w:r w:rsidR="00AC3C04">
        <w:t xml:space="preserve">impacts </w:t>
      </w:r>
      <w:r w:rsidRPr="009E5CAC">
        <w:t xml:space="preserve">on coastal lowlands. Vegetation cover, in turn, has profound impacts on coastal dune morphology and </w:t>
      </w:r>
      <w:r w:rsidR="00AC3C04">
        <w:t>storm-</w:t>
      </w:r>
      <w:r w:rsidRPr="009E5CAC">
        <w:t>buffering function; it binds existing sediment, promotes fresh sediment accumulation and thereby increases dune volume and dune crest elevation</w:t>
      </w:r>
      <w:r w:rsidR="00F65C22">
        <w:t xml:space="preserve"> where a sediment-plant interaction plays out with vegetation growth attempting to out-pace the vertical sediment accumulation</w:t>
      </w:r>
      <w:r w:rsidRPr="009E5CAC">
        <w:t xml:space="preserve">.  </w:t>
      </w:r>
    </w:p>
    <w:p w14:paraId="68609A15" w14:textId="4B9F1E90" w:rsidR="00A515FE" w:rsidRPr="009E5CAC" w:rsidRDefault="00A060DA" w:rsidP="00A515FE">
      <w:r w:rsidRPr="009E5CAC">
        <w:t>A global analysis shows that vegetation cover has increased substantially on multiple, geographically dispersed, coastal dune fields on all continents in the period 1984 -</w:t>
      </w:r>
      <w:r w:rsidR="00814378">
        <w:t xml:space="preserve"> </w:t>
      </w:r>
      <w:r w:rsidR="008A5860" w:rsidRPr="009E5CAC">
        <w:t>201</w:t>
      </w:r>
      <w:r w:rsidR="009B6889">
        <w:t>7</w:t>
      </w:r>
      <w:r w:rsidRPr="009E5CAC">
        <w:t xml:space="preserve">. The observed ‘greening’ points to enhanced dune stability and storm buffering effects at a time when, paradoxically, coasts are being subjected to increased flood and erosion risk from rising sea levels and changing patterns of storminess.  </w:t>
      </w:r>
    </w:p>
    <w:p w14:paraId="5D040A91" w14:textId="3D9C0E6D" w:rsidR="00A515FE" w:rsidRPr="009E5CAC" w:rsidRDefault="00A060DA" w:rsidP="00A515FE">
      <w:r w:rsidRPr="009E5CAC">
        <w:t>Causal attribution of biological trends to climate change is complicated, but we contend that the global scale ‘greening’ of coastal dunes is driven by a combination of changes to clim</w:t>
      </w:r>
      <w:r w:rsidR="00E21500">
        <w:t>ate and atmospheric composition</w:t>
      </w:r>
      <w:r w:rsidRPr="009E5CAC">
        <w:t xml:space="preserve"> and reflects the cumulative effects of changes in temperature, precipitation, nutrient concentration and reduced windiness (global stilling). </w:t>
      </w:r>
      <w:r w:rsidR="00266F2F" w:rsidRPr="009E5CAC">
        <w:t>Global</w:t>
      </w:r>
      <w:r w:rsidR="00266F2F">
        <w:t>-</w:t>
      </w:r>
      <w:r w:rsidRPr="009E5CAC">
        <w:t xml:space="preserve">scale increases in temperature, nutrients and precipitation (all of which are vegetation growth stimulants) and widespread reduction in windiness (“stilling”) (which reduces sediment activity, promoting the spread of vegetation) coincide in time with the observed changes in vegetation cover. The </w:t>
      </w:r>
      <w:r w:rsidR="00B35BD7">
        <w:t xml:space="preserve">observed </w:t>
      </w:r>
      <w:r w:rsidRPr="009E5CAC">
        <w:t xml:space="preserve">changes in coastal dunefields enhance contemporary and near-future coastal resilience </w:t>
      </w:r>
      <w:r w:rsidR="00B35BD7">
        <w:t>to climate change</w:t>
      </w:r>
      <w:r w:rsidRPr="009E5CAC">
        <w:t xml:space="preserve"> and may represent a previously unrecognised </w:t>
      </w:r>
      <w:r w:rsidR="00B35BD7">
        <w:t xml:space="preserve">morphological feedback mediated by </w:t>
      </w:r>
      <w:r w:rsidRPr="009E5CAC">
        <w:t>climate change.</w:t>
      </w:r>
    </w:p>
    <w:p w14:paraId="7F164EF0" w14:textId="77777777" w:rsidR="00CA53DD" w:rsidRPr="005A77E5" w:rsidRDefault="00A060DA" w:rsidP="00CA53DD">
      <w:pPr>
        <w:rPr>
          <w:b/>
          <w:color w:val="1F497D"/>
        </w:rPr>
      </w:pPr>
      <w:r w:rsidRPr="005A77E5">
        <w:rPr>
          <w:b/>
          <w:color w:val="1F497D"/>
        </w:rPr>
        <w:t>Introduction</w:t>
      </w:r>
    </w:p>
    <w:p w14:paraId="4820E520" w14:textId="62E56443" w:rsidR="00B35BD7" w:rsidRDefault="00A060DA" w:rsidP="005D56CD">
      <w:r>
        <w:t xml:space="preserve">Global climate change and sea-level rise are </w:t>
      </w:r>
      <w:r w:rsidR="0049419D">
        <w:t>producing</w:t>
      </w:r>
      <w:r>
        <w:t xml:space="preserve"> a general </w:t>
      </w:r>
      <w:r w:rsidR="00B35BD7">
        <w:t xml:space="preserve">landward migration </w:t>
      </w:r>
      <w:r w:rsidR="004225D1">
        <w:t xml:space="preserve">and loss </w:t>
      </w:r>
      <w:r w:rsidR="00B35BD7">
        <w:t>of</w:t>
      </w:r>
      <w:r w:rsidR="00136F48">
        <w:t xml:space="preserve"> </w:t>
      </w:r>
      <w:r>
        <w:t>sedimentary coastline</w:t>
      </w:r>
      <w:r w:rsidR="007607D1">
        <w:t>s (</w:t>
      </w:r>
      <w:r w:rsidR="007607D1" w:rsidRPr="008A2020">
        <w:rPr>
          <w:noProof/>
        </w:rPr>
        <w:t>Parmesan and  Yohe</w:t>
      </w:r>
      <w:r w:rsidR="007607D1">
        <w:t>, 2003; Fitzgerald et al., 2008</w:t>
      </w:r>
      <w:r w:rsidR="00E765F6">
        <w:t xml:space="preserve">, </w:t>
      </w:r>
      <w:r w:rsidR="00E765F6" w:rsidRPr="00DD3210">
        <w:rPr>
          <w:rFonts w:asciiTheme="minorHAnsi" w:hAnsiTheme="minorHAnsi"/>
          <w:lang w:val="en-US"/>
        </w:rPr>
        <w:t>Ranasinghe</w:t>
      </w:r>
      <w:r w:rsidR="00E765F6">
        <w:rPr>
          <w:rFonts w:asciiTheme="minorHAnsi" w:hAnsiTheme="minorHAnsi"/>
          <w:lang w:val="en-US"/>
        </w:rPr>
        <w:t xml:space="preserve"> and Stive, </w:t>
      </w:r>
      <w:r w:rsidR="00E765F6" w:rsidRPr="00DD3210">
        <w:rPr>
          <w:rFonts w:asciiTheme="minorHAnsi" w:hAnsiTheme="minorHAnsi"/>
          <w:lang w:val="en-US"/>
        </w:rPr>
        <w:t>2009</w:t>
      </w:r>
      <w:r w:rsidR="004225D1">
        <w:rPr>
          <w:rFonts w:asciiTheme="minorHAnsi" w:hAnsiTheme="minorHAnsi"/>
          <w:lang w:val="en-US"/>
        </w:rPr>
        <w:t xml:space="preserve">; </w:t>
      </w:r>
      <w:r w:rsidR="004225D1" w:rsidRPr="004225D1">
        <w:rPr>
          <w:rFonts w:asciiTheme="minorHAnsi" w:hAnsiTheme="minorHAnsi"/>
          <w:lang w:val="en-US"/>
        </w:rPr>
        <w:t>Mentaschi</w:t>
      </w:r>
      <w:r w:rsidR="004225D1">
        <w:rPr>
          <w:rFonts w:asciiTheme="minorHAnsi" w:hAnsiTheme="minorHAnsi"/>
          <w:lang w:val="en-US"/>
        </w:rPr>
        <w:t xml:space="preserve"> et al., 2018</w:t>
      </w:r>
      <w:r w:rsidR="007607D1">
        <w:t>)</w:t>
      </w:r>
      <w:r>
        <w:t xml:space="preserve">. Rising sea level causes the permanent inundation of low-lying areas and/or increases their </w:t>
      </w:r>
      <w:r w:rsidR="00136F48">
        <w:rPr>
          <w:noProof/>
        </w:rPr>
        <w:t>exposure</w:t>
      </w:r>
      <w:r w:rsidR="00136F48">
        <w:t xml:space="preserve"> </w:t>
      </w:r>
      <w:r>
        <w:t xml:space="preserve">to episodic flooding during storm surges, tsunamis, and </w:t>
      </w:r>
      <w:r>
        <w:lastRenderedPageBreak/>
        <w:t>extreme astronomic tides</w:t>
      </w:r>
      <w:r w:rsidR="009C7DED">
        <w:t xml:space="preserve"> (</w:t>
      </w:r>
      <w:r w:rsidR="009C7DED" w:rsidRPr="009C7DED">
        <w:t>Jevrejeva</w:t>
      </w:r>
      <w:r w:rsidR="009C7DED">
        <w:t xml:space="preserve"> et al. 2016</w:t>
      </w:r>
      <w:r w:rsidR="004225D1">
        <w:t xml:space="preserve">; </w:t>
      </w:r>
      <w:r w:rsidR="004225D1" w:rsidRPr="004225D1">
        <w:t>Vousdoukas</w:t>
      </w:r>
      <w:r w:rsidR="004225D1">
        <w:t xml:space="preserve"> et al., 2018</w:t>
      </w:r>
      <w:r w:rsidR="009C7DED">
        <w:t>)</w:t>
      </w:r>
      <w:r>
        <w:t xml:space="preserve">. As sea level rises, extreme water level recurrence intervals are reduced </w:t>
      </w:r>
      <w:r w:rsidRPr="006A6D3D">
        <w:rPr>
          <w:noProof/>
        </w:rPr>
        <w:t>and</w:t>
      </w:r>
      <w:r>
        <w:t xml:space="preserve"> more </w:t>
      </w:r>
      <w:r w:rsidRPr="006A6D3D">
        <w:rPr>
          <w:noProof/>
        </w:rPr>
        <w:t>frequent</w:t>
      </w:r>
      <w:r>
        <w:t xml:space="preserve"> wave overtopping of natural and artificial barriers occurs</w:t>
      </w:r>
      <w:r w:rsidR="009C7DED">
        <w:t xml:space="preserve"> (Jevrejeva et al., 2018)</w:t>
      </w:r>
      <w:r>
        <w:t xml:space="preserve">. </w:t>
      </w:r>
      <w:r w:rsidR="00136F48">
        <w:t xml:space="preserve">Established </w:t>
      </w:r>
      <w:r w:rsidR="00817C6D">
        <w:t xml:space="preserve">natural </w:t>
      </w:r>
      <w:r w:rsidR="00136F48">
        <w:t>ecosystems</w:t>
      </w:r>
      <w:r w:rsidR="00266F2F">
        <w:t>,</w:t>
      </w:r>
      <w:r w:rsidR="00136F48">
        <w:t xml:space="preserve"> as well as human infrastructure </w:t>
      </w:r>
      <w:r w:rsidR="00B35BD7">
        <w:t>are</w:t>
      </w:r>
      <w:r w:rsidR="00136F48">
        <w:t xml:space="preserve"> at risk </w:t>
      </w:r>
      <w:r w:rsidR="00B35BD7">
        <w:t xml:space="preserve">of rapid change </w:t>
      </w:r>
      <w:r w:rsidR="00136F48">
        <w:t xml:space="preserve">as a result. </w:t>
      </w:r>
      <w:r>
        <w:t xml:space="preserve">Coastal dunes, however, </w:t>
      </w:r>
      <w:r w:rsidR="00136F48">
        <w:t xml:space="preserve">can </w:t>
      </w:r>
      <w:r w:rsidR="00817C6D">
        <w:t xml:space="preserve">help enhance the </w:t>
      </w:r>
      <w:r>
        <w:t xml:space="preserve">degree of </w:t>
      </w:r>
      <w:r w:rsidR="006C1DCA">
        <w:t>structural</w:t>
      </w:r>
      <w:r w:rsidR="00817C6D">
        <w:t xml:space="preserve"> </w:t>
      </w:r>
      <w:r>
        <w:t>protection against these threats</w:t>
      </w:r>
      <w:r w:rsidR="007607D1">
        <w:t xml:space="preserve"> (Martinez and Psuty, 2004)</w:t>
      </w:r>
      <w:r>
        <w:t xml:space="preserve">. The </w:t>
      </w:r>
      <w:r w:rsidR="006C1DCA">
        <w:t xml:space="preserve">physical </w:t>
      </w:r>
      <w:r w:rsidR="00435FE8">
        <w:t xml:space="preserve">resistance </w:t>
      </w:r>
      <w:r>
        <w:t xml:space="preserve">of dune-fringed coasts </w:t>
      </w:r>
      <w:r w:rsidR="00136F48">
        <w:t xml:space="preserve">to wave erosion events </w:t>
      </w:r>
      <w:r>
        <w:t xml:space="preserve">is enhanced by vegetation that </w:t>
      </w:r>
      <w:r w:rsidR="00136F48">
        <w:t xml:space="preserve">better </w:t>
      </w:r>
      <w:r>
        <w:t>stabilises and binds the dune sediment and traps additional wind-blown sand, causing dune height and volume to increase</w:t>
      </w:r>
      <w:r w:rsidR="007607D1">
        <w:t xml:space="preserve"> </w:t>
      </w:r>
      <w:r w:rsidR="00136F48">
        <w:t xml:space="preserve">in general </w:t>
      </w:r>
      <w:r w:rsidR="007607D1">
        <w:t>(Goldstein et al., 2017)</w:t>
      </w:r>
      <w:r>
        <w:t xml:space="preserve">. Dune crest elevation is a </w:t>
      </w:r>
      <w:r w:rsidRPr="006A6D3D">
        <w:rPr>
          <w:noProof/>
        </w:rPr>
        <w:t>key</w:t>
      </w:r>
      <w:r>
        <w:t xml:space="preserve"> determinant of overwash vulnerability</w:t>
      </w:r>
      <w:r w:rsidR="007607D1">
        <w:t xml:space="preserve"> (Houser et al., 2008)</w:t>
      </w:r>
      <w:r>
        <w:t xml:space="preserve">, while increased dune volume leads to </w:t>
      </w:r>
      <w:r w:rsidRPr="006A6D3D">
        <w:rPr>
          <w:noProof/>
        </w:rPr>
        <w:t>greater</w:t>
      </w:r>
      <w:r>
        <w:t xml:space="preserve"> inertia and slows the rate of retreat of barrier shorelines.  </w:t>
      </w:r>
      <w:r>
        <w:rPr>
          <w:noProof/>
        </w:rPr>
        <w:t xml:space="preserve">Coastal dunes exhibit various forms and behaviour in response to changing environmental variables. These are </w:t>
      </w:r>
      <w:r w:rsidRPr="006A6D3D">
        <w:rPr>
          <w:noProof/>
        </w:rPr>
        <w:t>of</w:t>
      </w:r>
      <w:r w:rsidR="00136F48">
        <w:rPr>
          <w:noProof/>
        </w:rPr>
        <w:t>t</w:t>
      </w:r>
      <w:r w:rsidRPr="006A6D3D">
        <w:rPr>
          <w:noProof/>
        </w:rPr>
        <w:t>en</w:t>
      </w:r>
      <w:r>
        <w:rPr>
          <w:noProof/>
        </w:rPr>
        <w:t xml:space="preserve"> recorded by changes from stable, vegetated conditions to periods when </w:t>
      </w:r>
      <w:r w:rsidRPr="006A6D3D">
        <w:rPr>
          <w:noProof/>
        </w:rPr>
        <w:t>active</w:t>
      </w:r>
      <w:r>
        <w:rPr>
          <w:noProof/>
        </w:rPr>
        <w:t xml:space="preserve"> sand</w:t>
      </w:r>
      <w:r w:rsidR="0049419D">
        <w:rPr>
          <w:noProof/>
        </w:rPr>
        <w:t>-</w:t>
      </w:r>
      <w:r>
        <w:rPr>
          <w:noProof/>
        </w:rPr>
        <w:t xml:space="preserve">blow causes dunes to </w:t>
      </w:r>
      <w:r w:rsidRPr="006A6D3D">
        <w:rPr>
          <w:noProof/>
        </w:rPr>
        <w:t>breakdown</w:t>
      </w:r>
      <w:r>
        <w:rPr>
          <w:noProof/>
        </w:rPr>
        <w:t xml:space="preserve"> and migrate. </w:t>
      </w:r>
      <w:r w:rsidRPr="001937B9">
        <w:rPr>
          <w:noProof/>
        </w:rPr>
        <w:t xml:space="preserve">Actively migrating </w:t>
      </w:r>
      <w:r>
        <w:rPr>
          <w:noProof/>
        </w:rPr>
        <w:t xml:space="preserve">(unvegetated) coastal </w:t>
      </w:r>
      <w:r w:rsidRPr="001937B9">
        <w:rPr>
          <w:noProof/>
        </w:rPr>
        <w:t xml:space="preserve">dunes were prevalent </w:t>
      </w:r>
      <w:r>
        <w:rPr>
          <w:noProof/>
        </w:rPr>
        <w:t>during</w:t>
      </w:r>
      <w:r w:rsidRPr="001937B9">
        <w:rPr>
          <w:noProof/>
        </w:rPr>
        <w:t xml:space="preserve"> the Last Glacial</w:t>
      </w:r>
      <w:r w:rsidRPr="00071F7F">
        <w:rPr>
          <w:noProof/>
        </w:rPr>
        <w:t xml:space="preserve"> Termination</w:t>
      </w:r>
      <w:r w:rsidR="007607D1">
        <w:rPr>
          <w:noProof/>
        </w:rPr>
        <w:t xml:space="preserve"> (Costas et al., 2016)</w:t>
      </w:r>
      <w:r w:rsidRPr="00F66564">
        <w:rPr>
          <w:noProof/>
        </w:rPr>
        <w:t xml:space="preserve"> </w:t>
      </w:r>
      <w:r w:rsidRPr="00071F7F">
        <w:rPr>
          <w:noProof/>
        </w:rPr>
        <w:t>(</w:t>
      </w:r>
      <w:r w:rsidRPr="00071F7F">
        <w:rPr>
          <w:rFonts w:ascii="Adobe Arabic" w:eastAsia="Adobe Arabic" w:hAnsi="Adobe Arabic" w:cs="Adobe Arabic"/>
          <w:noProof/>
        </w:rPr>
        <w:t>~</w:t>
      </w:r>
      <w:r w:rsidRPr="004439B1">
        <w:rPr>
          <w:noProof/>
        </w:rPr>
        <w:t xml:space="preserve"> 22 to 11.5 ka) and </w:t>
      </w:r>
      <w:r>
        <w:rPr>
          <w:noProof/>
        </w:rPr>
        <w:t>subsequent</w:t>
      </w:r>
      <w:r w:rsidRPr="004439B1">
        <w:rPr>
          <w:noProof/>
        </w:rPr>
        <w:t xml:space="preserve"> climatic </w:t>
      </w:r>
      <w:r>
        <w:rPr>
          <w:noProof/>
        </w:rPr>
        <w:t>periods</w:t>
      </w:r>
      <w:r w:rsidRPr="004439B1">
        <w:rPr>
          <w:noProof/>
        </w:rPr>
        <w:t xml:space="preserve"> of the Holocene</w:t>
      </w:r>
      <w:r w:rsidRPr="001937B9">
        <w:rPr>
          <w:noProof/>
        </w:rPr>
        <w:t>.</w:t>
      </w:r>
      <w:r>
        <w:t xml:space="preserve"> For example, a Europe-wide pulse of coastal dune activity (marked by sand</w:t>
      </w:r>
      <w:r w:rsidR="0049419D">
        <w:t>-</w:t>
      </w:r>
      <w:r>
        <w:t xml:space="preserve">blow) during the </w:t>
      </w:r>
      <w:r w:rsidRPr="001937B9">
        <w:rPr>
          <w:noProof/>
        </w:rPr>
        <w:t>Little Ice Age (LIA) between 1300 and</w:t>
      </w:r>
      <w:r>
        <w:t xml:space="preserve"> 1850 </w:t>
      </w:r>
      <w:r w:rsidR="007607D1">
        <w:t xml:space="preserve">(Costas et al., 2012; Clarke and Rendell, 2009; </w:t>
      </w:r>
      <w:r w:rsidR="007607D1">
        <w:rPr>
          <w:noProof/>
        </w:rPr>
        <w:t>Clemmensen and Murray, 2006</w:t>
      </w:r>
      <w:r w:rsidR="004C48A3">
        <w:rPr>
          <w:noProof/>
        </w:rPr>
        <w:t>; Jackson et al., 2019</w:t>
      </w:r>
      <w:r w:rsidR="007607D1">
        <w:t>)</w:t>
      </w:r>
      <w:r>
        <w:t xml:space="preserve"> prompted significant human intervention (</w:t>
      </w:r>
      <w:r w:rsidRPr="006A6D3D">
        <w:rPr>
          <w:noProof/>
        </w:rPr>
        <w:t>deliberate</w:t>
      </w:r>
      <w:r>
        <w:t xml:space="preserve"> afforestation) to halt their inland advance. The end of the LIA coincided with a general decline in dune </w:t>
      </w:r>
      <w:r w:rsidRPr="001937B9">
        <w:rPr>
          <w:noProof/>
        </w:rPr>
        <w:t>activity</w:t>
      </w:r>
      <w:r>
        <w:t xml:space="preserve"> that is reflected in an increase in the extent of dune vegetation and stability.  </w:t>
      </w:r>
    </w:p>
    <w:p w14:paraId="238A0CB3" w14:textId="6CA7DD90" w:rsidR="0049419D" w:rsidRDefault="00A060DA" w:rsidP="00D75DA1">
      <w:pPr>
        <w:spacing w:before="240"/>
      </w:pPr>
      <w:r>
        <w:t xml:space="preserve">Several local and regional analyses of coastal dune activity in the past few decades have pointed to a reduction in dune mobility. For example, increasing vegetation cover and </w:t>
      </w:r>
      <w:r w:rsidRPr="001937B9">
        <w:rPr>
          <w:noProof/>
        </w:rPr>
        <w:t>drift</w:t>
      </w:r>
      <w:r>
        <w:t xml:space="preserve"> potential in southern Brazilian dunes was linked to changes in rainfall and win</w:t>
      </w:r>
      <w:r w:rsidR="00D75DA1">
        <w:t>d speed over a 34-</w:t>
      </w:r>
      <w:r>
        <w:t>year period</w:t>
      </w:r>
      <w:r w:rsidR="007607D1">
        <w:t xml:space="preserve"> (da Silva and Hesp, 2013)</w:t>
      </w:r>
      <w:r>
        <w:t>.</w:t>
      </w:r>
      <w:r w:rsidR="008A5860" w:rsidRPr="008A5860">
        <w:t xml:space="preserve"> </w:t>
      </w:r>
      <w:r w:rsidR="008A5860">
        <w:t>In the SE USA, the vegetation dune cover gradually increase</w:t>
      </w:r>
      <w:r w:rsidR="00144871">
        <w:t>d</w:t>
      </w:r>
      <w:r w:rsidR="008A5860">
        <w:t xml:space="preserve"> by 38% from 1996 to 2016, maintaining a steady increase regardless of routine tidal incursion (</w:t>
      </w:r>
      <w:r w:rsidR="008A5860" w:rsidRPr="008A5860">
        <w:t>Ajedegba, J.O. et al, 2019</w:t>
      </w:r>
      <w:r w:rsidR="008A5860">
        <w:t>a).</w:t>
      </w:r>
      <w:r w:rsidRPr="008A5860">
        <w:t xml:space="preserve"> </w:t>
      </w:r>
      <w:r>
        <w:t xml:space="preserve">In NW Spain, changes in dune vegetation cover were attributed </w:t>
      </w:r>
      <w:r w:rsidRPr="001937B9">
        <w:rPr>
          <w:noProof/>
        </w:rPr>
        <w:t>to changes in</w:t>
      </w:r>
      <w:r>
        <w:t xml:space="preserve"> wind strength (and direction) and associated </w:t>
      </w:r>
      <w:r w:rsidR="00144871">
        <w:t xml:space="preserve">the impact of </w:t>
      </w:r>
      <w:r>
        <w:t>storms since 1945</w:t>
      </w:r>
      <w:r w:rsidR="00D75DA1">
        <w:t xml:space="preserve"> (</w:t>
      </w:r>
      <w:r w:rsidR="00144871">
        <w:t>González-Villanueva</w:t>
      </w:r>
      <w:r w:rsidR="00D75DA1">
        <w:t xml:space="preserve"> et al., 2013)</w:t>
      </w:r>
      <w:r>
        <w:t>. Several other coastal dunes in Europe</w:t>
      </w:r>
      <w:r w:rsidR="0049419D">
        <w:t>,</w:t>
      </w:r>
      <w:r>
        <w:t xml:space="preserve"> </w:t>
      </w:r>
      <w:r w:rsidR="00394D61">
        <w:t xml:space="preserve">less </w:t>
      </w:r>
      <w:r w:rsidR="00AB05CD">
        <w:t xml:space="preserve">impacted </w:t>
      </w:r>
      <w:r>
        <w:t>by human activities</w:t>
      </w:r>
      <w:r w:rsidR="00AB05CD">
        <w:t xml:space="preserve"> such as </w:t>
      </w:r>
      <w:r w:rsidR="00394D61">
        <w:t xml:space="preserve">from </w:t>
      </w:r>
      <w:r w:rsidR="00AB05CD">
        <w:t>agricultural practices and landscape modification</w:t>
      </w:r>
      <w:r>
        <w:t xml:space="preserve">, also show a clear </w:t>
      </w:r>
      <w:r w:rsidRPr="001937B9">
        <w:rPr>
          <w:noProof/>
        </w:rPr>
        <w:t>stabilisation</w:t>
      </w:r>
      <w:r>
        <w:t xml:space="preserve"> trend in recent decades that has been linked to changing climatic variables</w:t>
      </w:r>
      <w:r w:rsidR="00D75DA1">
        <w:t xml:space="preserve"> (Jackson and Cooper, 2011; Provoost et al., 2011)</w:t>
      </w:r>
      <w:r>
        <w:t xml:space="preserve">. </w:t>
      </w:r>
      <w:r w:rsidR="00AB05CD">
        <w:t xml:space="preserve">Jackson and Cooper’s (2011) work, focussing on Ireland’s remote coastal dunes on its western seaboard, showed remarkable changes in just a single decade of observations with significant revegetation patterns clearly evident. </w:t>
      </w:r>
    </w:p>
    <w:p w14:paraId="32ABA6DF" w14:textId="35FD6C66" w:rsidR="005D56CD" w:rsidRDefault="00A060DA" w:rsidP="00D75DA1">
      <w:pPr>
        <w:spacing w:before="240"/>
      </w:pPr>
      <w:r>
        <w:t xml:space="preserve">Prompted by these examples, we investigate whether this is a global pattern and if so, might it be driven by changing environmental conditions that favour vegetation growth at a </w:t>
      </w:r>
      <w:r w:rsidRPr="006A6D3D">
        <w:rPr>
          <w:noProof/>
        </w:rPr>
        <w:t>global</w:t>
      </w:r>
      <w:r>
        <w:t xml:space="preserve"> scale. </w:t>
      </w:r>
      <w:r w:rsidRPr="006A6D3D">
        <w:rPr>
          <w:noProof/>
        </w:rPr>
        <w:t>In this, we follow the asse</w:t>
      </w:r>
      <w:r>
        <w:rPr>
          <w:noProof/>
        </w:rPr>
        <w:t>rtion by Parmesan and Yohe (</w:t>
      </w:r>
      <w:r w:rsidR="00E81730">
        <w:rPr>
          <w:noProof/>
        </w:rPr>
        <w:t>2003</w:t>
      </w:r>
      <w:r w:rsidR="00817C6D">
        <w:rPr>
          <w:noProof/>
        </w:rPr>
        <w:t>,</w:t>
      </w:r>
      <w:r w:rsidR="00E81730">
        <w:rPr>
          <w:noProof/>
        </w:rPr>
        <w:t xml:space="preserve"> </w:t>
      </w:r>
      <w:r w:rsidRPr="006A6D3D">
        <w:rPr>
          <w:noProof/>
        </w:rPr>
        <w:t>p</w:t>
      </w:r>
      <w:r>
        <w:rPr>
          <w:noProof/>
        </w:rPr>
        <w:t>.</w:t>
      </w:r>
      <w:r w:rsidRPr="006A6D3D">
        <w:rPr>
          <w:noProof/>
        </w:rPr>
        <w:t>40</w:t>
      </w:r>
      <w:r>
        <w:rPr>
          <w:noProof/>
        </w:rPr>
        <w:t>)</w:t>
      </w:r>
      <w:r w:rsidR="00E81730">
        <w:rPr>
          <w:noProof/>
        </w:rPr>
        <w:t xml:space="preserve"> </w:t>
      </w:r>
      <w:r w:rsidRPr="006A6D3D">
        <w:rPr>
          <w:noProof/>
        </w:rPr>
        <w:t xml:space="preserve">regarding the logic of a global focus </w:t>
      </w:r>
      <w:r w:rsidR="00B35BD7">
        <w:rPr>
          <w:noProof/>
        </w:rPr>
        <w:t xml:space="preserve">, i.e. </w:t>
      </w:r>
      <w:r w:rsidRPr="006A6D3D">
        <w:rPr>
          <w:noProof/>
        </w:rPr>
        <w:t>“</w:t>
      </w:r>
      <w:r w:rsidRPr="006A6D3D">
        <w:rPr>
          <w:i/>
          <w:noProof/>
        </w:rPr>
        <w:t>With climate change, attribution of recent warming trends to changes in atmospheric gases comes from analysis of global patterns, not from detailed data from individual meteorological stations.</w:t>
      </w:r>
      <w:r w:rsidRPr="00B152CC">
        <w:rPr>
          <w:i/>
        </w:rPr>
        <w:t xml:space="preserve"> Similarly, when assessing biological impacts, the global pattern of change is far more important than any individual </w:t>
      </w:r>
      <w:r w:rsidRPr="006A6D3D">
        <w:rPr>
          <w:i/>
          <w:noProof/>
        </w:rPr>
        <w:t>study</w:t>
      </w:r>
      <w:r>
        <w:t>”</w:t>
      </w:r>
    </w:p>
    <w:p w14:paraId="6DA618F0" w14:textId="06F93827" w:rsidR="0049419D" w:rsidRPr="008A2020" w:rsidRDefault="0049419D" w:rsidP="00D75DA1">
      <w:pPr>
        <w:spacing w:before="240"/>
      </w:pPr>
      <w:r w:rsidRPr="008A2020">
        <w:t xml:space="preserve">In this study we </w:t>
      </w:r>
      <w:r>
        <w:t xml:space="preserve">pick up on these examples of changes </w:t>
      </w:r>
      <w:r w:rsidR="00BD148E">
        <w:t>in</w:t>
      </w:r>
      <w:r>
        <w:t xml:space="preserve"> </w:t>
      </w:r>
      <w:r w:rsidR="00BD148E">
        <w:t xml:space="preserve">coastal </w:t>
      </w:r>
      <w:r>
        <w:t>dune dynamics occurring aroun</w:t>
      </w:r>
      <w:r w:rsidR="00BD148E">
        <w:t xml:space="preserve">d most continents of the planet </w:t>
      </w:r>
      <w:r w:rsidR="00461846">
        <w:t xml:space="preserve">(see Fig. 1) </w:t>
      </w:r>
      <w:r w:rsidR="00BD148E">
        <w:t>and further explore this using a time series of landsat image</w:t>
      </w:r>
      <w:r w:rsidR="00461846">
        <w:t>s</w:t>
      </w:r>
      <w:r w:rsidR="00BD148E">
        <w:t xml:space="preserve"> to quantify </w:t>
      </w:r>
      <w:r w:rsidR="00461846">
        <w:t>a</w:t>
      </w:r>
      <w:r w:rsidR="00BD148E">
        <w:t xml:space="preserve"> pattern of dune surface changes</w:t>
      </w:r>
      <w:r w:rsidR="00461846">
        <w:t xml:space="preserve">, focussing on coastal dunes at </w:t>
      </w:r>
      <w:r w:rsidR="00461846">
        <w:lastRenderedPageBreak/>
        <w:t>various locations around the world to quantify trends in vegetation cover between 1984 and 201</w:t>
      </w:r>
      <w:r w:rsidR="001049A8">
        <w:t>7</w:t>
      </w:r>
      <w:r w:rsidR="004243BE">
        <w:t>.</w:t>
      </w:r>
      <w:r w:rsidR="00AC79E1">
        <w:t xml:space="preserve"> Therefore, we have selected seventeen sites </w:t>
      </w:r>
      <w:r w:rsidR="00185309">
        <w:t>meeting</w:t>
      </w:r>
      <w:r w:rsidR="00AC79E1">
        <w:t xml:space="preserve"> a number of conditions</w:t>
      </w:r>
      <w:r w:rsidR="00DC4BF9">
        <w:t xml:space="preserve"> to evaluate the trends in the vegetation cover using the </w:t>
      </w:r>
      <w:r w:rsidR="00EE0FB6">
        <w:t>Normalized Difference Vegetation Index</w:t>
      </w:r>
      <w:r w:rsidR="00DC4BF9">
        <w:t xml:space="preserve"> </w:t>
      </w:r>
      <w:r w:rsidR="00EE0FB6">
        <w:t xml:space="preserve">(NDVI) </w:t>
      </w:r>
      <w:r w:rsidR="00DC4BF9">
        <w:t xml:space="preserve">derived from the Landsat scenes </w:t>
      </w:r>
      <w:r w:rsidR="00185309">
        <w:t xml:space="preserve">to </w:t>
      </w:r>
      <w:r w:rsidR="00DC4BF9">
        <w:t xml:space="preserve">enable quantification of vegetation cover at biannual intervals (1984-2017). </w:t>
      </w:r>
    </w:p>
    <w:p w14:paraId="3B888D7B" w14:textId="77777777" w:rsidR="00E21500" w:rsidRPr="00AF3923" w:rsidRDefault="00A060DA" w:rsidP="00AF3923">
      <w:pPr>
        <w:jc w:val="center"/>
        <w:rPr>
          <w:b/>
        </w:rPr>
      </w:pPr>
      <w:r w:rsidRPr="00AF3923">
        <w:rPr>
          <w:b/>
        </w:rPr>
        <w:t>{INSERT FIG.1}</w:t>
      </w:r>
    </w:p>
    <w:p w14:paraId="5D580E03" w14:textId="17864F14" w:rsidR="00814378" w:rsidRDefault="00A060DA" w:rsidP="00814378">
      <w:pPr>
        <w:outlineLvl w:val="0"/>
        <w:rPr>
          <w:b/>
        </w:rPr>
      </w:pPr>
      <w:r>
        <w:rPr>
          <w:b/>
        </w:rPr>
        <w:t>Methods</w:t>
      </w:r>
    </w:p>
    <w:p w14:paraId="06A7F1C6" w14:textId="546BA901" w:rsidR="00DC4BF9" w:rsidRDefault="00DC4BF9" w:rsidP="00DC4BF9">
      <w:r>
        <w:t xml:space="preserve">Dune sites were selected according to a number of conditions or criteria which </w:t>
      </w:r>
      <w:r>
        <w:rPr>
          <w:noProof/>
        </w:rPr>
        <w:t>included having</w:t>
      </w:r>
      <w:r>
        <w:t xml:space="preserve"> </w:t>
      </w:r>
      <w:r>
        <w:rPr>
          <w:noProof/>
        </w:rPr>
        <w:t>a large</w:t>
      </w:r>
      <w:r>
        <w:t xml:space="preserve"> transgressive </w:t>
      </w:r>
      <w:r>
        <w:rPr>
          <w:noProof/>
        </w:rPr>
        <w:t xml:space="preserve">dunefield that was spatially </w:t>
      </w:r>
      <w:r>
        <w:t xml:space="preserve">extensive enough (on the order of kilometres) to be adequately imaged by Landsat and with clear </w:t>
      </w:r>
      <w:r>
        <w:rPr>
          <w:noProof/>
        </w:rPr>
        <w:t>evidence</w:t>
      </w:r>
      <w:r>
        <w:t xml:space="preserve"> of inland migration. Sites </w:t>
      </w:r>
      <w:r>
        <w:rPr>
          <w:noProof/>
        </w:rPr>
        <w:t>excluded desert</w:t>
      </w:r>
      <w:r>
        <w:t xml:space="preserve"> regions where vegetation is otherwise too sparse to be visualised. Human occupation should also be null/minimal to minimise sites containing significant localised human disturbance and therefore reducing any artificial impact as much as possible; site selection was, therefore, made on the following basis: 1. contain a large-scale coastal dune field (&gt; 5km</w:t>
      </w:r>
      <w:r w:rsidRPr="004F6227">
        <w:rPr>
          <w:vertAlign w:val="superscript"/>
        </w:rPr>
        <w:t>2</w:t>
      </w:r>
      <w:r>
        <w:t xml:space="preserve">) with a significant inland extension, 2. have limited or no human intervention, 3. be located in non-arid and non-polar locations. </w:t>
      </w:r>
    </w:p>
    <w:p w14:paraId="1C3B9FFA" w14:textId="0C87E10D" w:rsidR="00DC4BF9" w:rsidRDefault="00A060DA" w:rsidP="00DC4BF9">
      <w:r>
        <w:rPr>
          <w:shd w:val="clear" w:color="auto" w:fill="FFFFFF"/>
        </w:rPr>
        <w:t>Changes in vegetation cover were quantified at 17 geographically disperse</w:t>
      </w:r>
      <w:r w:rsidR="008A5860">
        <w:rPr>
          <w:shd w:val="clear" w:color="auto" w:fill="FFFFFF"/>
        </w:rPr>
        <w:t>d</w:t>
      </w:r>
      <w:r>
        <w:rPr>
          <w:shd w:val="clear" w:color="auto" w:fill="FFFFFF"/>
        </w:rPr>
        <w:t xml:space="preserve"> sites using vegetation indexes derived from Landsat images, covering </w:t>
      </w:r>
      <w:r w:rsidR="00FE478E">
        <w:rPr>
          <w:shd w:val="clear" w:color="auto" w:fill="FFFFFF"/>
        </w:rPr>
        <w:t xml:space="preserve">a </w:t>
      </w:r>
      <w:r w:rsidR="008A5860">
        <w:rPr>
          <w:shd w:val="clear" w:color="auto" w:fill="FFFFFF"/>
        </w:rPr>
        <w:t>30-</w:t>
      </w:r>
      <w:r>
        <w:rPr>
          <w:shd w:val="clear" w:color="auto" w:fill="FFFFFF"/>
        </w:rPr>
        <w:t>year</w:t>
      </w:r>
      <w:r w:rsidR="00FE478E">
        <w:rPr>
          <w:shd w:val="clear" w:color="auto" w:fill="FFFFFF"/>
        </w:rPr>
        <w:t xml:space="preserve"> period</w:t>
      </w:r>
      <w:r>
        <w:rPr>
          <w:shd w:val="clear" w:color="auto" w:fill="FFFFFF"/>
        </w:rPr>
        <w:t xml:space="preserve">. </w:t>
      </w:r>
      <w:r w:rsidR="00CA4A93">
        <w:rPr>
          <w:shd w:val="clear" w:color="auto" w:fill="FFFFFF"/>
        </w:rPr>
        <w:t xml:space="preserve">A description of each selected site is included in </w:t>
      </w:r>
      <w:r w:rsidR="0008419D" w:rsidRPr="00185309">
        <w:rPr>
          <w:shd w:val="clear" w:color="auto" w:fill="FFFFFF"/>
        </w:rPr>
        <w:t>Online Resource 1</w:t>
      </w:r>
      <w:r w:rsidR="00CA4A93">
        <w:rPr>
          <w:shd w:val="clear" w:color="auto" w:fill="FFFFFF"/>
        </w:rPr>
        <w:t xml:space="preserve"> </w:t>
      </w:r>
      <w:r>
        <w:rPr>
          <w:noProof/>
        </w:rPr>
        <w:t xml:space="preserve">The approach used in this work included a series of steps applied to each selected study site (Figure </w:t>
      </w:r>
      <w:r w:rsidR="001E331B">
        <w:rPr>
          <w:noProof/>
        </w:rPr>
        <w:t>2</w:t>
      </w:r>
      <w:r>
        <w:rPr>
          <w:noProof/>
        </w:rPr>
        <w:t>). The first step involved the selection</w:t>
      </w:r>
      <w:r>
        <w:t xml:space="preserve"> of the test case studies, which </w:t>
      </w:r>
      <w:r>
        <w:rPr>
          <w:noProof/>
        </w:rPr>
        <w:t>includes</w:t>
      </w:r>
      <w:r>
        <w:t xml:space="preserve"> the morphological assessment of large </w:t>
      </w:r>
      <w:r>
        <w:rPr>
          <w:noProof/>
        </w:rPr>
        <w:t>dunefields</w:t>
      </w:r>
      <w:r>
        <w:t xml:space="preserve"> across the globe.</w:t>
      </w:r>
      <w:r w:rsidR="002D3187">
        <w:t xml:space="preserve"> </w:t>
      </w:r>
    </w:p>
    <w:p w14:paraId="2B1445CB" w14:textId="5C5707A8" w:rsidR="00394D61" w:rsidRDefault="00394D61" w:rsidP="00394D61">
      <w:r w:rsidRPr="008A2020">
        <w:t>Many forms of direct and indirect human intervention affect dune morphology.  Direct impacts include afforestation, deforestation, introduction of exotic species, agriculture, mining, landscaping and a myriad of associated activities.  Indirect human effects include modification of incident wind</w:t>
      </w:r>
      <w:r w:rsidR="00E93CAB">
        <w:t xml:space="preserve"> </w:t>
      </w:r>
      <w:r w:rsidRPr="008A2020">
        <w:t>fields, changes in water table, sediment supply. These impacts are often difficult to discern</w:t>
      </w:r>
      <w:r w:rsidR="00E93CAB">
        <w:t>,</w:t>
      </w:r>
      <w:r w:rsidRPr="008A2020">
        <w:t xml:space="preserve"> and we have sought to exclude sites where such impacts are documented from our analysis.</w:t>
      </w:r>
      <w:r w:rsidRPr="00045B87">
        <w:rPr>
          <w:highlight w:val="yellow"/>
        </w:rPr>
        <w:t xml:space="preserve"> </w:t>
      </w:r>
    </w:p>
    <w:p w14:paraId="161E6D0C" w14:textId="5326E86A" w:rsidR="00814378" w:rsidRPr="00461846" w:rsidRDefault="002D3187" w:rsidP="008A2020">
      <w:pPr>
        <w:pStyle w:val="CommentText"/>
      </w:pPr>
      <w:r w:rsidRPr="008A2020">
        <w:rPr>
          <w:sz w:val="22"/>
          <w:szCs w:val="22"/>
        </w:rPr>
        <w:t>These criteria are important because:</w:t>
      </w:r>
      <w:r w:rsidR="00717A2D">
        <w:rPr>
          <w:sz w:val="22"/>
          <w:szCs w:val="22"/>
        </w:rPr>
        <w:t xml:space="preserve"> 1) </w:t>
      </w:r>
      <w:r w:rsidRPr="008A2020">
        <w:rPr>
          <w:sz w:val="22"/>
          <w:szCs w:val="22"/>
        </w:rPr>
        <w:t xml:space="preserve">The </w:t>
      </w:r>
      <w:r w:rsidR="003A57E7" w:rsidRPr="008A2020">
        <w:rPr>
          <w:sz w:val="22"/>
          <w:szCs w:val="22"/>
        </w:rPr>
        <w:t>size of the site</w:t>
      </w:r>
      <w:r w:rsidRPr="008A2020">
        <w:rPr>
          <w:sz w:val="22"/>
          <w:szCs w:val="22"/>
        </w:rPr>
        <w:t xml:space="preserve"> was very important to avoid limitations </w:t>
      </w:r>
      <w:r w:rsidR="003A57E7" w:rsidRPr="008A2020">
        <w:rPr>
          <w:sz w:val="22"/>
          <w:szCs w:val="22"/>
        </w:rPr>
        <w:t>from</w:t>
      </w:r>
      <w:r w:rsidRPr="008A2020">
        <w:rPr>
          <w:sz w:val="22"/>
          <w:szCs w:val="22"/>
        </w:rPr>
        <w:t xml:space="preserve"> the low resolution </w:t>
      </w:r>
      <w:r w:rsidR="003A57E7" w:rsidRPr="008A2020">
        <w:rPr>
          <w:sz w:val="22"/>
          <w:szCs w:val="22"/>
        </w:rPr>
        <w:t xml:space="preserve">of the </w:t>
      </w:r>
      <w:r w:rsidR="00E93CAB">
        <w:rPr>
          <w:sz w:val="22"/>
          <w:szCs w:val="22"/>
        </w:rPr>
        <w:t>L</w:t>
      </w:r>
      <w:r w:rsidR="003A57E7" w:rsidRPr="008A2020">
        <w:rPr>
          <w:sz w:val="22"/>
          <w:szCs w:val="22"/>
        </w:rPr>
        <w:t>andsat images (30x30m) so areas had to</w:t>
      </w:r>
      <w:r w:rsidRPr="008A2020">
        <w:rPr>
          <w:sz w:val="22"/>
          <w:szCs w:val="22"/>
        </w:rPr>
        <w:t xml:space="preserve"> big enough</w:t>
      </w:r>
      <w:r w:rsidR="003A57E7" w:rsidRPr="008A2020">
        <w:rPr>
          <w:sz w:val="22"/>
          <w:szCs w:val="22"/>
        </w:rPr>
        <w:t xml:space="preserve"> to align with the resolution limitation</w:t>
      </w:r>
      <w:r w:rsidR="00717A2D">
        <w:rPr>
          <w:sz w:val="22"/>
          <w:szCs w:val="22"/>
        </w:rPr>
        <w:t>, 2) a</w:t>
      </w:r>
      <w:r w:rsidRPr="00461846">
        <w:rPr>
          <w:sz w:val="22"/>
          <w:szCs w:val="22"/>
        </w:rPr>
        <w:t>reas showing evidence of inland migration are important as we focus on measu</w:t>
      </w:r>
      <w:r w:rsidR="003A57E7" w:rsidRPr="00461846">
        <w:rPr>
          <w:sz w:val="22"/>
          <w:szCs w:val="22"/>
        </w:rPr>
        <w:t xml:space="preserve">ring the shift of this trend to include those extending from moving dune types </w:t>
      </w:r>
      <w:r w:rsidRPr="00461846">
        <w:rPr>
          <w:sz w:val="22"/>
          <w:szCs w:val="22"/>
        </w:rPr>
        <w:t>to fixed by vegetation</w:t>
      </w:r>
      <w:r w:rsidR="00717A2D">
        <w:rPr>
          <w:sz w:val="22"/>
          <w:szCs w:val="22"/>
        </w:rPr>
        <w:t xml:space="preserve">, 3) </w:t>
      </w:r>
      <w:r w:rsidR="00EE0FB6">
        <w:rPr>
          <w:sz w:val="22"/>
          <w:szCs w:val="22"/>
        </w:rPr>
        <w:t>t</w:t>
      </w:r>
      <w:r w:rsidR="009D0597" w:rsidRPr="008A2020">
        <w:rPr>
          <w:sz w:val="22"/>
          <w:szCs w:val="22"/>
        </w:rPr>
        <w:t>hey are a</w:t>
      </w:r>
      <w:r w:rsidRPr="008A2020">
        <w:rPr>
          <w:sz w:val="22"/>
          <w:szCs w:val="22"/>
        </w:rPr>
        <w:t>way from desert areas</w:t>
      </w:r>
      <w:r w:rsidR="009D0597" w:rsidRPr="008A2020">
        <w:rPr>
          <w:sz w:val="22"/>
          <w:szCs w:val="22"/>
        </w:rPr>
        <w:t xml:space="preserve"> where</w:t>
      </w:r>
      <w:r w:rsidR="003A57E7" w:rsidRPr="008A2020">
        <w:rPr>
          <w:sz w:val="22"/>
          <w:szCs w:val="22"/>
        </w:rPr>
        <w:t xml:space="preserve"> </w:t>
      </w:r>
      <w:r w:rsidRPr="008A2020">
        <w:rPr>
          <w:sz w:val="22"/>
          <w:szCs w:val="22"/>
        </w:rPr>
        <w:t xml:space="preserve">many </w:t>
      </w:r>
      <w:r w:rsidR="003A57E7" w:rsidRPr="008A2020">
        <w:rPr>
          <w:sz w:val="22"/>
          <w:szCs w:val="22"/>
        </w:rPr>
        <w:t>dune sites</w:t>
      </w:r>
      <w:r w:rsidRPr="008A2020">
        <w:rPr>
          <w:sz w:val="22"/>
          <w:szCs w:val="22"/>
        </w:rPr>
        <w:t xml:space="preserve"> are </w:t>
      </w:r>
      <w:r w:rsidR="003A57E7" w:rsidRPr="008A2020">
        <w:rPr>
          <w:sz w:val="22"/>
          <w:szCs w:val="22"/>
        </w:rPr>
        <w:t>no longer</w:t>
      </w:r>
      <w:r w:rsidRPr="008A2020">
        <w:rPr>
          <w:sz w:val="22"/>
          <w:szCs w:val="22"/>
        </w:rPr>
        <w:t xml:space="preserve"> moving </w:t>
      </w:r>
      <w:r w:rsidR="009D0597" w:rsidRPr="008A2020">
        <w:rPr>
          <w:sz w:val="22"/>
          <w:szCs w:val="22"/>
        </w:rPr>
        <w:t>and</w:t>
      </w:r>
      <w:r w:rsidRPr="008A2020">
        <w:rPr>
          <w:sz w:val="22"/>
          <w:szCs w:val="22"/>
        </w:rPr>
        <w:t xml:space="preserve"> are not</w:t>
      </w:r>
      <w:r w:rsidR="009D0597" w:rsidRPr="008A2020">
        <w:rPr>
          <w:sz w:val="22"/>
          <w:szCs w:val="22"/>
        </w:rPr>
        <w:t xml:space="preserve"> fixed by vegetation</w:t>
      </w:r>
      <w:r w:rsidR="00717A2D">
        <w:rPr>
          <w:sz w:val="22"/>
          <w:szCs w:val="22"/>
        </w:rPr>
        <w:t>, and 4) a</w:t>
      </w:r>
      <w:r w:rsidRPr="00461846">
        <w:rPr>
          <w:sz w:val="22"/>
          <w:szCs w:val="22"/>
        </w:rPr>
        <w:t>voiding areas occupied by humans</w:t>
      </w:r>
      <w:r w:rsidR="009D0597" w:rsidRPr="00461846">
        <w:rPr>
          <w:sz w:val="22"/>
          <w:szCs w:val="22"/>
        </w:rPr>
        <w:t xml:space="preserve"> helps reduce examination of </w:t>
      </w:r>
      <w:r w:rsidRPr="00461846">
        <w:rPr>
          <w:sz w:val="22"/>
          <w:szCs w:val="22"/>
        </w:rPr>
        <w:t>highly modified dunes. T</w:t>
      </w:r>
      <w:r w:rsidR="009D0597" w:rsidRPr="00461846">
        <w:rPr>
          <w:sz w:val="22"/>
          <w:szCs w:val="22"/>
        </w:rPr>
        <w:t>his</w:t>
      </w:r>
      <w:r w:rsidR="00E93CAB">
        <w:rPr>
          <w:sz w:val="22"/>
          <w:szCs w:val="22"/>
        </w:rPr>
        <w:t>,</w:t>
      </w:r>
      <w:r w:rsidR="009D0597" w:rsidRPr="00461846">
        <w:rPr>
          <w:sz w:val="22"/>
          <w:szCs w:val="22"/>
        </w:rPr>
        <w:t xml:space="preserve"> however</w:t>
      </w:r>
      <w:r w:rsidR="00E93CAB">
        <w:rPr>
          <w:sz w:val="22"/>
          <w:szCs w:val="22"/>
        </w:rPr>
        <w:t>,</w:t>
      </w:r>
      <w:r w:rsidR="009D0597" w:rsidRPr="00461846">
        <w:rPr>
          <w:sz w:val="22"/>
          <w:szCs w:val="22"/>
        </w:rPr>
        <w:t xml:space="preserve"> is</w:t>
      </w:r>
      <w:r w:rsidRPr="00461846">
        <w:rPr>
          <w:sz w:val="22"/>
          <w:szCs w:val="22"/>
        </w:rPr>
        <w:t xml:space="preserve"> the most difficult criteria </w:t>
      </w:r>
      <w:r w:rsidR="009D0597" w:rsidRPr="00461846">
        <w:rPr>
          <w:sz w:val="22"/>
          <w:szCs w:val="22"/>
        </w:rPr>
        <w:t xml:space="preserve">to enforce </w:t>
      </w:r>
      <w:r w:rsidRPr="00461846">
        <w:rPr>
          <w:sz w:val="22"/>
          <w:szCs w:val="22"/>
        </w:rPr>
        <w:t>as in many ca</w:t>
      </w:r>
      <w:r w:rsidR="009D0597" w:rsidRPr="00461846">
        <w:rPr>
          <w:sz w:val="22"/>
          <w:szCs w:val="22"/>
        </w:rPr>
        <w:t>ses previous anthropenic impacts/activities may not be immediately obvious.</w:t>
      </w:r>
    </w:p>
    <w:p w14:paraId="7A763E62" w14:textId="56CA5386" w:rsidR="00461846" w:rsidRPr="00AF3923" w:rsidRDefault="00A060DA" w:rsidP="00AF3923">
      <w:pPr>
        <w:jc w:val="center"/>
        <w:rPr>
          <w:b/>
        </w:rPr>
      </w:pPr>
      <w:r w:rsidRPr="00AF3923">
        <w:rPr>
          <w:b/>
        </w:rPr>
        <w:t>{INSERT FIG.</w:t>
      </w:r>
      <w:r w:rsidR="001E331B">
        <w:rPr>
          <w:b/>
        </w:rPr>
        <w:t>2</w:t>
      </w:r>
      <w:r w:rsidRPr="00AF3923">
        <w:rPr>
          <w:b/>
        </w:rPr>
        <w:t>}</w:t>
      </w:r>
    </w:p>
    <w:p w14:paraId="41259332" w14:textId="240520DF" w:rsidR="00814378" w:rsidRDefault="00A060DA">
      <w:r>
        <w:t xml:space="preserve">Once sites are identified, a set of Landsat images or scenes were selected for each </w:t>
      </w:r>
      <w:r>
        <w:rPr>
          <w:noProof/>
        </w:rPr>
        <w:t xml:space="preserve">site, covering </w:t>
      </w:r>
      <w:r>
        <w:t xml:space="preserve">the whole period of available Landsat coverage (i.e. 1984 to </w:t>
      </w:r>
      <w:r w:rsidR="008A5860">
        <w:t>201</w:t>
      </w:r>
      <w:r w:rsidR="006751A1">
        <w:t>7</w:t>
      </w:r>
      <w:r>
        <w:t xml:space="preserve">), and at a two-year temporal </w:t>
      </w:r>
      <w:r>
        <w:lastRenderedPageBreak/>
        <w:t xml:space="preserve">resolution where possible. Because of some limitations with the quality of the </w:t>
      </w:r>
      <w:r>
        <w:rPr>
          <w:noProof/>
        </w:rPr>
        <w:t>images</w:t>
      </w:r>
      <w:r>
        <w:t xml:space="preserve"> (cloud coverage or pixels missing), it was not possible to examine the same years for all the sites, and in some cases that also prevented the desired temporal resolution. </w:t>
      </w:r>
      <w:r w:rsidR="00DC4BF9">
        <w:t>I</w:t>
      </w:r>
      <w:r>
        <w:t xml:space="preserve">mages selected corresponded to the same season to minimise </w:t>
      </w:r>
      <w:r w:rsidR="006B6518">
        <w:t xml:space="preserve">errors or changes in vegetation cover derived from </w:t>
      </w:r>
      <w:r w:rsidR="00E93CAB">
        <w:t xml:space="preserve">a </w:t>
      </w:r>
      <w:r w:rsidR="006B6518">
        <w:t xml:space="preserve">seasonal response in the vegetation growth </w:t>
      </w:r>
      <w:r>
        <w:t xml:space="preserve">with seasonal differences in vegetation growth. </w:t>
      </w:r>
    </w:p>
    <w:p w14:paraId="056D8A35" w14:textId="446D8DE9" w:rsidR="00DC4BF9" w:rsidRDefault="00A060DA" w:rsidP="00814378">
      <w:r>
        <w:rPr>
          <w:noProof/>
        </w:rPr>
        <w:t xml:space="preserve">Once Landsat scenes were selected, the </w:t>
      </w:r>
      <w:r w:rsidR="00611E74">
        <w:rPr>
          <w:noProof/>
        </w:rPr>
        <w:t xml:space="preserve">derived </w:t>
      </w:r>
      <w:r>
        <w:rPr>
          <w:noProof/>
        </w:rPr>
        <w:t xml:space="preserve">corresponding vegetation index was requested at </w:t>
      </w:r>
      <w:hyperlink r:id="rId10" w:history="1">
        <w:r>
          <w:rPr>
            <w:rStyle w:val="Hyperlink"/>
            <w:noProof/>
          </w:rPr>
          <w:t>http://espa.cr.usgs.gov/</w:t>
        </w:r>
      </w:hyperlink>
      <w:r>
        <w:rPr>
          <w:noProof/>
        </w:rPr>
        <w:t xml:space="preserve"> to map the vegetation coverage. In this work, the </w:t>
      </w:r>
      <w:r w:rsidR="00EE0FB6">
        <w:t xml:space="preserve">NDVI </w:t>
      </w:r>
      <w:r w:rsidR="003F3956">
        <w:t>(</w:t>
      </w:r>
      <w:r w:rsidR="003F3956">
        <w:rPr>
          <w:noProof/>
        </w:rPr>
        <w:t>Myneni et al., 1997; Rouse et al., 1974)</w:t>
      </w:r>
      <w:r w:rsidR="003F3956">
        <w:t xml:space="preserve"> </w:t>
      </w:r>
      <w:r>
        <w:t>was chosen to quantify the concentrations of green leaf vegetation around the globe coastal dunes</w:t>
      </w:r>
      <w:r w:rsidR="003F3956">
        <w:t xml:space="preserve"> at </w:t>
      </w:r>
      <w:r w:rsidR="00E93CAB">
        <w:t xml:space="preserve">a </w:t>
      </w:r>
      <w:r w:rsidR="003F3956">
        <w:t>biannual interval (1984-2017)</w:t>
      </w:r>
      <w:r>
        <w:t xml:space="preserve">. </w:t>
      </w:r>
    </w:p>
    <w:p w14:paraId="598CAEE4" w14:textId="565BCD3F" w:rsidR="00814378" w:rsidRDefault="00A060DA" w:rsidP="00814378">
      <w:r>
        <w:t xml:space="preserve">The NDVI is a product of the Landsat images provided by the USGS and calculated as the ratio between the red (R) and </w:t>
      </w:r>
      <w:r>
        <w:rPr>
          <w:noProof/>
        </w:rPr>
        <w:t>near-infrared</w:t>
      </w:r>
      <w:r>
        <w:t xml:space="preserve"> (NIR) values in traditional fashion: NDVI = (NIR - R) / (NIR + R). The area of the coastal dune to evaluate was clipped from each NDVI image </w:t>
      </w:r>
      <w:r>
        <w:rPr>
          <w:noProof/>
        </w:rPr>
        <w:t>to</w:t>
      </w:r>
      <w:r>
        <w:t xml:space="preserve"> </w:t>
      </w:r>
      <w:r>
        <w:rPr>
          <w:noProof/>
        </w:rPr>
        <w:t>maximise</w:t>
      </w:r>
      <w:r>
        <w:t xml:space="preserve"> the quality of the results; excluding other land uses from the analysis such as water bodies or agriculture. The </w:t>
      </w:r>
      <w:r>
        <w:rPr>
          <w:noProof/>
        </w:rPr>
        <w:t>clipped</w:t>
      </w:r>
      <w:r>
        <w:t xml:space="preserve"> areas were classified in ArcGIS using an Interactive Supervised Classification. </w:t>
      </w:r>
      <w:r>
        <w:rPr>
          <w:noProof/>
        </w:rPr>
        <w:t>This tool automatically classifies the images using training samples defined by the user for each site and year, which in this case represented the vegetated areas (high values or higher reflected radiation in near-infrared wavelengths than in visible wavelengths), and the bare sand (low values or lower reflected radiation in near-infrared wavelengths than in visible wavelengths).</w:t>
      </w:r>
      <w:r>
        <w:t xml:space="preserve"> </w:t>
      </w:r>
    </w:p>
    <w:p w14:paraId="051E56D8" w14:textId="2D27888C" w:rsidR="00814378" w:rsidRDefault="00F42B29" w:rsidP="00814378">
      <w:r>
        <w:rPr>
          <w:noProof/>
        </w:rPr>
        <w:t xml:space="preserve">After </w:t>
      </w:r>
      <w:r w:rsidR="00A060DA">
        <w:rPr>
          <w:noProof/>
        </w:rPr>
        <w:t>the images were classified, t</w:t>
      </w:r>
      <w:r w:rsidR="00A060DA" w:rsidRPr="000627A7">
        <w:rPr>
          <w:noProof/>
        </w:rPr>
        <w:t>he accuracy of the resultant classification was assessed. In supervised image classification, it is assumed that there exist</w:t>
      </w:r>
      <w:r w:rsidR="00A060DA">
        <w:rPr>
          <w:noProof/>
        </w:rPr>
        <w:t>s</w:t>
      </w:r>
      <w:r w:rsidR="00A060DA" w:rsidRPr="000627A7">
        <w:rPr>
          <w:noProof/>
        </w:rPr>
        <w:t xml:space="preserve"> </w:t>
      </w:r>
      <w:r w:rsidR="00A060DA" w:rsidRPr="00C74AF1">
        <w:rPr>
          <w:i/>
          <w:noProof/>
        </w:rPr>
        <w:t>a priori</w:t>
      </w:r>
      <w:r w:rsidR="00A060DA" w:rsidRPr="000627A7">
        <w:rPr>
          <w:noProof/>
        </w:rPr>
        <w:t xml:space="preserve"> reference data with the information about the </w:t>
      </w:r>
      <w:r w:rsidR="00A060DA">
        <w:rPr>
          <w:noProof/>
        </w:rPr>
        <w:t>extent to which a value can be assigned to</w:t>
      </w:r>
      <w:r w:rsidR="00A060DA" w:rsidRPr="000627A7">
        <w:rPr>
          <w:noProof/>
        </w:rPr>
        <w:t xml:space="preserve"> the different classes under study. In this case, due to the large extension covered, these reference data were obtained by generating a set of random points to extract the ground class value, which would be later contrasted or validated with the type of land cover derived from the corresponding real colour image. The validation was performed by a different user to avoid potential biases in the analysis. The error matrix approach was used for accuracy assessment</w:t>
      </w:r>
      <w:r>
        <w:rPr>
          <w:noProof/>
        </w:rPr>
        <w:t xml:space="preserve"> and consists of</w:t>
      </w:r>
      <w:r w:rsidR="00A060DA" w:rsidRPr="000627A7">
        <w:rPr>
          <w:noProof/>
        </w:rPr>
        <w:t xml:space="preserve"> a table used to compare the information given by the reference data and the classification information, showing the degree of mis-classification among classes. From this error matrix, accuracy assessment statistics can be derived, such as overall accuracy, kappa coefficient, omission error, commission error, user’s accuracy and producer’s accuracy. The computation methods of these statistics </w:t>
      </w:r>
      <w:r>
        <w:rPr>
          <w:noProof/>
        </w:rPr>
        <w:t>have been</w:t>
      </w:r>
      <w:r w:rsidRPr="000627A7">
        <w:rPr>
          <w:noProof/>
        </w:rPr>
        <w:t xml:space="preserve"> </w:t>
      </w:r>
      <w:r w:rsidR="00A060DA" w:rsidRPr="000627A7">
        <w:rPr>
          <w:noProof/>
        </w:rPr>
        <w:t xml:space="preserve">defined in previous </w:t>
      </w:r>
      <w:r>
        <w:rPr>
          <w:noProof/>
        </w:rPr>
        <w:t xml:space="preserve">works </w:t>
      </w:r>
      <w:r w:rsidR="00A060DA">
        <w:rPr>
          <w:noProof/>
        </w:rPr>
        <w:t>(Cohen, 1960)</w:t>
      </w:r>
      <w:r w:rsidR="00A060DA" w:rsidRPr="000627A7">
        <w:rPr>
          <w:noProof/>
        </w:rPr>
        <w:t>. The overall accuracy represents the total number of correctly classified samples divided by the total number of reference samples. The Kappa coefficient</w:t>
      </w:r>
      <w:r w:rsidR="00A060DA">
        <w:rPr>
          <w:noProof/>
        </w:rPr>
        <w:t xml:space="preserve"> ranges from 0 to 1 and</w:t>
      </w:r>
      <w:r w:rsidR="00A060DA" w:rsidRPr="000627A7">
        <w:rPr>
          <w:noProof/>
        </w:rPr>
        <w:t xml:space="preserve"> is a measure of how the classification results compare to values assigned. It is generally thought to be a more robust measure than simple percentage agreement calculation since it takes into account the possibility of the agreement occurring by chance. Fleiss et al.</w:t>
      </w:r>
      <w:r w:rsidR="00A060DA">
        <w:rPr>
          <w:noProof/>
        </w:rPr>
        <w:t xml:space="preserve"> </w:t>
      </w:r>
      <w:r w:rsidR="00A060DA" w:rsidRPr="00061157">
        <w:rPr>
          <w:noProof/>
        </w:rPr>
        <w:t>(2013)</w:t>
      </w:r>
      <w:r w:rsidR="00A060DA" w:rsidRPr="000627A7">
        <w:rPr>
          <w:noProof/>
        </w:rPr>
        <w:t xml:space="preserve"> proposed a scale for interpreting the magnitude of the kappa coefficient</w:t>
      </w:r>
      <w:r>
        <w:rPr>
          <w:noProof/>
        </w:rPr>
        <w:t xml:space="preserve"> where:</w:t>
      </w:r>
      <w:r w:rsidRPr="000627A7">
        <w:rPr>
          <w:noProof/>
        </w:rPr>
        <w:t xml:space="preserve"> </w:t>
      </w:r>
      <w:r w:rsidR="00A060DA" w:rsidRPr="000627A7">
        <w:rPr>
          <w:noProof/>
        </w:rPr>
        <w:t xml:space="preserve">if kappa coefficient is </w:t>
      </w:r>
      <w:r w:rsidR="00A060DA">
        <w:rPr>
          <w:noProof/>
        </w:rPr>
        <w:t xml:space="preserve">≤ </w:t>
      </w:r>
      <w:r w:rsidR="00A060DA" w:rsidRPr="000627A7">
        <w:rPr>
          <w:noProof/>
        </w:rPr>
        <w:t xml:space="preserve">0.40, the strength of agreement is poor, if the values are </w:t>
      </w:r>
      <w:r w:rsidR="00A060DA">
        <w:rPr>
          <w:noProof/>
        </w:rPr>
        <w:t xml:space="preserve">≥ </w:t>
      </w:r>
      <w:r w:rsidR="00A060DA" w:rsidRPr="000627A7">
        <w:rPr>
          <w:noProof/>
        </w:rPr>
        <w:t xml:space="preserve">0.40 and 0.75, it represents an intermediate to good extent of agreement while all values above 0.75 indicate an excellent extent of agreement. The accuracy of a specific class is given by the producer accuracy that corresponds </w:t>
      </w:r>
      <w:r>
        <w:rPr>
          <w:noProof/>
        </w:rPr>
        <w:t>with</w:t>
      </w:r>
      <w:r w:rsidRPr="000627A7">
        <w:rPr>
          <w:noProof/>
        </w:rPr>
        <w:t xml:space="preserve"> </w:t>
      </w:r>
      <w:r w:rsidR="00A060DA" w:rsidRPr="000627A7">
        <w:rPr>
          <w:noProof/>
        </w:rPr>
        <w:t xml:space="preserve">the error of omission and by the user accuracy, which </w:t>
      </w:r>
      <w:r>
        <w:rPr>
          <w:noProof/>
        </w:rPr>
        <w:t xml:space="preserve">in turn </w:t>
      </w:r>
      <w:r w:rsidR="00A060DA" w:rsidRPr="000627A7">
        <w:rPr>
          <w:noProof/>
        </w:rPr>
        <w:t xml:space="preserve">corresponds to the error of commission. All estimated parameters regarding the classification of each image have been included in </w:t>
      </w:r>
      <w:r w:rsidR="006751A1" w:rsidRPr="00185309">
        <w:rPr>
          <w:noProof/>
        </w:rPr>
        <w:t xml:space="preserve">Online </w:t>
      </w:r>
      <w:r w:rsidR="006751A1" w:rsidRPr="00185309">
        <w:rPr>
          <w:noProof/>
        </w:rPr>
        <w:lastRenderedPageBreak/>
        <w:t>Resource 2</w:t>
      </w:r>
      <w:r w:rsidR="00A060DA" w:rsidRPr="000627A7">
        <w:rPr>
          <w:noProof/>
        </w:rPr>
        <w:t>. All observations were fitted to a line</w:t>
      </w:r>
      <w:r w:rsidR="00A060DA">
        <w:rPr>
          <w:noProof/>
        </w:rPr>
        <w:t>a</w:t>
      </w:r>
      <w:r w:rsidR="00A060DA" w:rsidRPr="000627A7">
        <w:rPr>
          <w:noProof/>
        </w:rPr>
        <w:t>r model in order to obtain the temporal trends of the vegetation cover. The confidence intervals (9</w:t>
      </w:r>
      <w:r w:rsidR="00A060DA">
        <w:rPr>
          <w:noProof/>
        </w:rPr>
        <w:t>9.5</w:t>
      </w:r>
      <w:r w:rsidR="00A060DA" w:rsidRPr="000627A7">
        <w:rPr>
          <w:noProof/>
        </w:rPr>
        <w:t>%) for each model were also represented for each site</w:t>
      </w:r>
      <w:r w:rsidR="00A060DA" w:rsidRPr="00F16172">
        <w:rPr>
          <w:noProof/>
        </w:rPr>
        <w:t>.</w:t>
      </w:r>
    </w:p>
    <w:p w14:paraId="77F6532A" w14:textId="16B4B834" w:rsidR="00814378" w:rsidRPr="004058CA" w:rsidRDefault="00A060DA" w:rsidP="00814378">
      <w:pPr>
        <w:rPr>
          <w:rStyle w:val="citation"/>
          <w:rFonts w:cs="Calibri"/>
        </w:rPr>
      </w:pPr>
      <w:r>
        <w:t xml:space="preserve">The classification of the images was </w:t>
      </w:r>
      <w:r w:rsidR="001E331B">
        <w:t xml:space="preserve">then </w:t>
      </w:r>
      <w:r>
        <w:t xml:space="preserve">used to </w:t>
      </w:r>
      <w:r w:rsidR="001E331B">
        <w:t xml:space="preserve">finally </w:t>
      </w:r>
      <w:r>
        <w:t xml:space="preserve">estimate the total area occupied by each class and to assess the changes in coverage of each </w:t>
      </w:r>
      <w:r>
        <w:rPr>
          <w:noProof/>
        </w:rPr>
        <w:t>class</w:t>
      </w:r>
      <w:r>
        <w:t xml:space="preserve"> over time. </w:t>
      </w:r>
      <w:r w:rsidRPr="004058CA">
        <w:rPr>
          <w:rFonts w:cs="Calibri"/>
          <w:szCs w:val="24"/>
          <w:shd w:val="clear" w:color="auto" w:fill="FFFFFF"/>
        </w:rPr>
        <w:t>Trend analys</w:t>
      </w:r>
      <w:r w:rsidR="00196D15">
        <w:rPr>
          <w:rFonts w:cs="Calibri"/>
          <w:szCs w:val="24"/>
          <w:shd w:val="clear" w:color="auto" w:fill="FFFFFF"/>
        </w:rPr>
        <w:t>e</w:t>
      </w:r>
      <w:r w:rsidRPr="004058CA">
        <w:rPr>
          <w:rFonts w:cs="Calibri"/>
          <w:szCs w:val="24"/>
          <w:shd w:val="clear" w:color="auto" w:fill="FFFFFF"/>
        </w:rPr>
        <w:t xml:space="preserve">s were conducted using Mann-Kendall tests to identify the existence of significant temporal trends in vegetation cover. Trends were quantified using the Sen’s slope estimator (e.g., Gocic and </w:t>
      </w:r>
      <w:r w:rsidRPr="004058CA">
        <w:rPr>
          <w:rFonts w:cs="Calibri"/>
          <w:szCs w:val="24"/>
        </w:rPr>
        <w:t xml:space="preserve">Trajkovic, 2013). </w:t>
      </w:r>
      <w:r w:rsidRPr="004058CA">
        <w:rPr>
          <w:rFonts w:eastAsia="Times New Roman" w:cs="Calibri"/>
          <w:szCs w:val="24"/>
        </w:rPr>
        <w:t xml:space="preserve">Mann-Kendall tests </w:t>
      </w:r>
      <w:r w:rsidRPr="004058CA">
        <w:rPr>
          <w:rStyle w:val="citation"/>
          <w:rFonts w:cs="Calibri"/>
        </w:rPr>
        <w:t xml:space="preserve">(Mann, 1945; Kendall, 1975) </w:t>
      </w:r>
      <w:r w:rsidRPr="004058CA">
        <w:rPr>
          <w:rFonts w:eastAsia="Times New Roman" w:cs="Calibri"/>
          <w:szCs w:val="24"/>
        </w:rPr>
        <w:t xml:space="preserve">are a nonparametric form of monotonic trend regression analysis (Gilbert, 1987) </w:t>
      </w:r>
      <w:r w:rsidRPr="004058CA">
        <w:rPr>
          <w:rStyle w:val="citation"/>
          <w:rFonts w:cs="Calibri"/>
        </w:rPr>
        <w:t xml:space="preserve">widely applied in hydrology and meteorology (e.g., </w:t>
      </w:r>
      <w:r w:rsidRPr="004058CA">
        <w:rPr>
          <w:rFonts w:cs="Calibri"/>
          <w:szCs w:val="24"/>
        </w:rPr>
        <w:t>Douglas et al., 2000; Partal and Kahya, 2006; Tabari et al., 2011).</w:t>
      </w:r>
      <w:r w:rsidRPr="004058CA">
        <w:rPr>
          <w:rFonts w:cs="Calibri"/>
          <w:i/>
          <w:szCs w:val="24"/>
        </w:rPr>
        <w:t xml:space="preserve"> </w:t>
      </w:r>
      <w:r w:rsidRPr="004058CA">
        <w:rPr>
          <w:rFonts w:cs="Calibri"/>
          <w:szCs w:val="24"/>
        </w:rPr>
        <w:t xml:space="preserve">They are based on the assumption that observations are </w:t>
      </w:r>
      <w:r w:rsidRPr="004058CA">
        <w:rPr>
          <w:rStyle w:val="citation"/>
          <w:rFonts w:cs="Calibri"/>
        </w:rPr>
        <w:t xml:space="preserve">representative of true conditions at sampling times. Together with Sen’s slopes estimators, they allow for analysis of upwards or downwards trends in climate and environmental data, including time series with some missing observations </w:t>
      </w:r>
      <w:r w:rsidRPr="004058CA">
        <w:rPr>
          <w:rFonts w:cs="Calibri"/>
          <w:szCs w:val="24"/>
        </w:rPr>
        <w:t>(e.g., Helsel and Hirsch, 2002</w:t>
      </w:r>
      <w:r w:rsidRPr="004058CA">
        <w:rPr>
          <w:rStyle w:val="citation"/>
          <w:rFonts w:cs="Calibri"/>
        </w:rPr>
        <w:t xml:space="preserve">). Mann-Kendall tests were performed at 0.05 and 0.1 significance levels using Matlab codes by Burkey (2006), which also allow the calculation of Sen’s slopes. </w:t>
      </w:r>
    </w:p>
    <w:p w14:paraId="44ED4419" w14:textId="6B839205" w:rsidR="009F2812" w:rsidRPr="008A2020" w:rsidRDefault="009F2812" w:rsidP="004058CA">
      <w:pPr>
        <w:rPr>
          <w:b/>
        </w:rPr>
      </w:pPr>
      <w:r w:rsidRPr="008A2020">
        <w:rPr>
          <w:b/>
        </w:rPr>
        <w:t>Results</w:t>
      </w:r>
      <w:r w:rsidR="00815BDE">
        <w:rPr>
          <w:b/>
        </w:rPr>
        <w:t xml:space="preserve"> and Discussion</w:t>
      </w:r>
    </w:p>
    <w:p w14:paraId="44A0C541" w14:textId="4FCCCF61" w:rsidR="004058CA" w:rsidRPr="004058CA" w:rsidRDefault="00A060DA" w:rsidP="004058CA">
      <w:pPr>
        <w:rPr>
          <w:color w:val="000000"/>
          <w:lang w:val="en-US"/>
        </w:rPr>
      </w:pPr>
      <w:r>
        <w:t>The location and trends in vegetation cover (1984-</w:t>
      </w:r>
      <w:r w:rsidR="008A5860">
        <w:t>201</w:t>
      </w:r>
      <w:r w:rsidR="006751A1">
        <w:t>7</w:t>
      </w:r>
      <w:r>
        <w:t xml:space="preserve">) on coastal dunes </w:t>
      </w:r>
      <w:r w:rsidR="00735923">
        <w:t xml:space="preserve">across several </w:t>
      </w:r>
      <w:r w:rsidR="0098259C">
        <w:t>continents</w:t>
      </w:r>
      <w:r w:rsidR="00735923">
        <w:t xml:space="preserve"> </w:t>
      </w:r>
      <w:r w:rsidR="00196D15">
        <w:rPr>
          <w:noProof/>
        </w:rPr>
        <w:t>are</w:t>
      </w:r>
      <w:r w:rsidRPr="001937B9">
        <w:rPr>
          <w:noProof/>
        </w:rPr>
        <w:t xml:space="preserve"> shown</w:t>
      </w:r>
      <w:r>
        <w:t xml:space="preserve"> in Figure </w:t>
      </w:r>
      <w:r w:rsidR="001E331B">
        <w:t>3</w:t>
      </w:r>
      <w:r w:rsidR="000E2062">
        <w:t>.</w:t>
      </w:r>
      <w:r>
        <w:t xml:space="preserve"> Statistical results, including the estimated trends on vegetation cover for each site</w:t>
      </w:r>
      <w:r w:rsidR="00266F2F">
        <w:t>,</w:t>
      </w:r>
      <w:r>
        <w:t xml:space="preserve"> are tabulated in Table 1. Figure </w:t>
      </w:r>
      <w:r w:rsidR="001E331B">
        <w:t>4</w:t>
      </w:r>
      <w:r>
        <w:t xml:space="preserve"> shows </w:t>
      </w:r>
      <w:r w:rsidR="001C3E5D">
        <w:t>an</w:t>
      </w:r>
      <w:r w:rsidR="00D734B9">
        <w:t xml:space="preserve"> </w:t>
      </w:r>
      <w:r w:rsidR="0039133A">
        <w:t xml:space="preserve">exemplar </w:t>
      </w:r>
      <w:r>
        <w:t xml:space="preserve">of temporal changes </w:t>
      </w:r>
      <w:r w:rsidR="00196D15">
        <w:t xml:space="preserve">of </w:t>
      </w:r>
      <w:r>
        <w:t xml:space="preserve">dune </w:t>
      </w:r>
      <w:r w:rsidR="00196D15">
        <w:t xml:space="preserve">vegetation changes </w:t>
      </w:r>
      <w:r w:rsidR="00972C40" w:rsidRPr="008A2020">
        <w:t>in</w:t>
      </w:r>
      <w:r w:rsidR="00972C40">
        <w:t xml:space="preserve"> </w:t>
      </w:r>
      <w:r>
        <w:t>South Africa, site 14 over time</w:t>
      </w:r>
      <w:r w:rsidR="00196D15">
        <w:t xml:space="preserve">, </w:t>
      </w:r>
      <w:r w:rsidR="001C3E5D">
        <w:t xml:space="preserve">and is </w:t>
      </w:r>
      <w:r w:rsidR="00196D15">
        <w:t>just one of the sites that matched the selection criteria well</w:t>
      </w:r>
      <w:r>
        <w:t>.</w:t>
      </w:r>
      <w:r w:rsidR="0039133A">
        <w:t xml:space="preserve"> </w:t>
      </w:r>
      <w:bookmarkStart w:id="0" w:name="_Ref500166851"/>
      <w:r w:rsidRPr="004058CA">
        <w:rPr>
          <w:color w:val="000000"/>
          <w:lang w:val="en-US"/>
        </w:rPr>
        <w:t xml:space="preserve">Taking </w:t>
      </w:r>
      <w:r w:rsidR="001C3E5D">
        <w:rPr>
          <w:color w:val="000000"/>
          <w:lang w:val="en-US"/>
        </w:rPr>
        <w:t xml:space="preserve">this </w:t>
      </w:r>
      <w:r w:rsidRPr="004058CA">
        <w:rPr>
          <w:color w:val="000000"/>
          <w:lang w:val="en-US"/>
        </w:rPr>
        <w:t xml:space="preserve">as an example Figure </w:t>
      </w:r>
      <w:r w:rsidR="001E331B">
        <w:rPr>
          <w:color w:val="000000"/>
          <w:lang w:val="en-US"/>
        </w:rPr>
        <w:t>4</w:t>
      </w:r>
      <w:r w:rsidR="001C3E5D">
        <w:rPr>
          <w:color w:val="000000"/>
          <w:lang w:val="en-US"/>
        </w:rPr>
        <w:t xml:space="preserve"> shows </w:t>
      </w:r>
      <w:r w:rsidR="00E93CAB">
        <w:rPr>
          <w:color w:val="000000"/>
          <w:lang w:val="en-US"/>
        </w:rPr>
        <w:t xml:space="preserve">the mapped areas over </w:t>
      </w:r>
      <w:r w:rsidRPr="004058CA">
        <w:rPr>
          <w:color w:val="000000"/>
          <w:lang w:val="en-US"/>
        </w:rPr>
        <w:t xml:space="preserve">successive satellite images </w:t>
      </w:r>
      <w:r w:rsidR="001C3E5D">
        <w:rPr>
          <w:color w:val="000000"/>
          <w:lang w:val="en-US"/>
        </w:rPr>
        <w:t>demonstrating</w:t>
      </w:r>
      <w:r w:rsidR="001C3E5D" w:rsidRPr="004058CA">
        <w:rPr>
          <w:color w:val="000000"/>
          <w:lang w:val="en-US"/>
        </w:rPr>
        <w:t xml:space="preserve"> </w:t>
      </w:r>
      <w:r w:rsidRPr="004058CA">
        <w:rPr>
          <w:color w:val="000000"/>
          <w:lang w:val="en-US"/>
        </w:rPr>
        <w:t xml:space="preserve">the progression of vegetation </w:t>
      </w:r>
      <w:r w:rsidR="001C3E5D">
        <w:rPr>
          <w:color w:val="000000"/>
          <w:lang w:val="en-US"/>
        </w:rPr>
        <w:t xml:space="preserve">cover </w:t>
      </w:r>
      <w:r w:rsidRPr="004058CA">
        <w:rPr>
          <w:color w:val="000000"/>
          <w:lang w:val="en-US"/>
        </w:rPr>
        <w:t xml:space="preserve">and </w:t>
      </w:r>
      <w:r w:rsidR="00266F2F">
        <w:rPr>
          <w:color w:val="000000"/>
          <w:lang w:val="en-US"/>
        </w:rPr>
        <w:t xml:space="preserve">the </w:t>
      </w:r>
      <w:r w:rsidRPr="004058CA">
        <w:rPr>
          <w:color w:val="000000"/>
          <w:lang w:val="en-US"/>
        </w:rPr>
        <w:t xml:space="preserve">demise of areas of bare sand. Rapid vegetation spread is evident across the entire dune field over the </w:t>
      </w:r>
      <w:r w:rsidR="008A5860" w:rsidRPr="004058CA">
        <w:rPr>
          <w:color w:val="000000"/>
          <w:lang w:val="en-US"/>
        </w:rPr>
        <w:t>3</w:t>
      </w:r>
      <w:r w:rsidR="008A5860">
        <w:rPr>
          <w:color w:val="000000"/>
          <w:lang w:val="en-US"/>
        </w:rPr>
        <w:t>0</w:t>
      </w:r>
      <w:r w:rsidRPr="004058CA">
        <w:rPr>
          <w:color w:val="000000"/>
          <w:lang w:val="en-US"/>
        </w:rPr>
        <w:t xml:space="preserve">-year study period. This includes both </w:t>
      </w:r>
      <w:r w:rsidR="0039133A">
        <w:rPr>
          <w:color w:val="000000"/>
          <w:lang w:val="en-US"/>
        </w:rPr>
        <w:t xml:space="preserve">elements of </w:t>
      </w:r>
      <w:r w:rsidRPr="004058CA">
        <w:rPr>
          <w:color w:val="000000"/>
          <w:lang w:val="en-US"/>
        </w:rPr>
        <w:t>the seaward margin and</w:t>
      </w:r>
      <w:r w:rsidR="0039133A">
        <w:rPr>
          <w:color w:val="000000"/>
          <w:lang w:val="en-US"/>
        </w:rPr>
        <w:t xml:space="preserve"> the </w:t>
      </w:r>
      <w:r w:rsidRPr="004058CA">
        <w:rPr>
          <w:color w:val="000000"/>
          <w:lang w:val="en-US"/>
        </w:rPr>
        <w:t xml:space="preserve">mobile transverse dunes in the main body of the dunefield.  Initial large areas of bare mobile sand within the main dune field are broken into isolated basins separated by vegetation. These basins then gradually reduce in size as vegetation </w:t>
      </w:r>
      <w:r w:rsidR="00E93CAB" w:rsidRPr="004058CA">
        <w:rPr>
          <w:color w:val="000000"/>
          <w:lang w:val="en-US"/>
        </w:rPr>
        <w:t>coloni</w:t>
      </w:r>
      <w:r w:rsidR="00E93CAB">
        <w:rPr>
          <w:color w:val="000000"/>
          <w:lang w:val="en-US"/>
        </w:rPr>
        <w:t>s</w:t>
      </w:r>
      <w:r w:rsidR="00E93CAB" w:rsidRPr="004058CA">
        <w:rPr>
          <w:color w:val="000000"/>
          <w:lang w:val="en-US"/>
        </w:rPr>
        <w:t xml:space="preserve">es </w:t>
      </w:r>
      <w:r w:rsidRPr="004058CA">
        <w:rPr>
          <w:color w:val="000000"/>
          <w:lang w:val="en-US"/>
        </w:rPr>
        <w:t>the margins, creating a predominantly stable dune landscape.  A plot of the entire data set (lower panel) shows a strong linear trend of progressive lateral expansion of vegetation cover from 3.5 km</w:t>
      </w:r>
      <w:r w:rsidRPr="004058CA">
        <w:rPr>
          <w:color w:val="000000"/>
          <w:vertAlign w:val="superscript"/>
          <w:lang w:val="en-US"/>
        </w:rPr>
        <w:t>2</w:t>
      </w:r>
      <w:r w:rsidRPr="004058CA">
        <w:rPr>
          <w:color w:val="000000"/>
          <w:lang w:val="en-US"/>
        </w:rPr>
        <w:t xml:space="preserve"> to 63 km</w:t>
      </w:r>
      <w:r w:rsidRPr="004058CA">
        <w:rPr>
          <w:color w:val="000000"/>
          <w:vertAlign w:val="superscript"/>
          <w:lang w:val="en-US"/>
        </w:rPr>
        <w:t>2</w:t>
      </w:r>
      <w:r w:rsidRPr="004058CA">
        <w:rPr>
          <w:color w:val="000000"/>
          <w:lang w:val="en-US"/>
        </w:rPr>
        <w:t xml:space="preserve"> over a </w:t>
      </w:r>
      <w:r w:rsidR="008A5860" w:rsidRPr="004058CA">
        <w:rPr>
          <w:color w:val="000000"/>
          <w:lang w:val="en-US"/>
        </w:rPr>
        <w:t>3</w:t>
      </w:r>
      <w:r w:rsidR="008A5860">
        <w:rPr>
          <w:color w:val="000000"/>
          <w:lang w:val="en-US"/>
        </w:rPr>
        <w:t>0</w:t>
      </w:r>
      <w:r w:rsidRPr="004058CA">
        <w:rPr>
          <w:color w:val="000000"/>
          <w:lang w:val="en-US"/>
        </w:rPr>
        <w:t>-year period (a 53 % increase in vegetation extent).</w:t>
      </w:r>
    </w:p>
    <w:bookmarkEnd w:id="0"/>
    <w:p w14:paraId="66BC33EA" w14:textId="2688A661" w:rsidR="004058CA" w:rsidRDefault="00A060DA" w:rsidP="004058CA">
      <w:r>
        <w:t xml:space="preserve">All </w:t>
      </w:r>
      <w:r w:rsidRPr="00B42120">
        <w:t xml:space="preserve">but </w:t>
      </w:r>
      <w:r>
        <w:t>one</w:t>
      </w:r>
      <w:r w:rsidRPr="00B42120">
        <w:t xml:space="preserve"> of the seventeen geographically dispersed sites show a progressive increase in dune vegetation cover between 1984 and </w:t>
      </w:r>
      <w:r w:rsidR="008A5860" w:rsidRPr="00B42120">
        <w:t>201</w:t>
      </w:r>
      <w:r w:rsidR="006751A1">
        <w:t>7</w:t>
      </w:r>
      <w:r w:rsidRPr="00B42120">
        <w:t>.</w:t>
      </w:r>
      <w:r>
        <w:t xml:space="preserve"> The trends are significant within 99.5% confidence limits. </w:t>
      </w:r>
      <w:r w:rsidRPr="00135274">
        <w:t xml:space="preserve">The range of change across all sites was </w:t>
      </w:r>
      <w:r w:rsidRPr="00B42120">
        <w:t>between +0.7 % and +34.98%,</w:t>
      </w:r>
      <w:r w:rsidRPr="00135274">
        <w:t xml:space="preserve"> with an average increase of </w:t>
      </w:r>
      <w:r w:rsidRPr="00B42120">
        <w:t>16±7 %</w:t>
      </w:r>
      <w:r w:rsidRPr="00135274">
        <w:t xml:space="preserve"> overall</w:t>
      </w:r>
      <w:r>
        <w:t xml:space="preserve"> (excl. site 11)</w:t>
      </w:r>
      <w:r w:rsidRPr="00135274">
        <w:t xml:space="preserve">. </w:t>
      </w:r>
      <w:r>
        <w:t xml:space="preserve">Rates of vegetation encroachment are variable but consistently positive.  </w:t>
      </w:r>
      <w:r w:rsidRPr="001F6768">
        <w:t>Trend analysis shows 13 of the 17 of sites examined had strongly positive trends (alpha = 0.05 or 0.1 significance levels).</w:t>
      </w:r>
      <w:r>
        <w:t xml:space="preserve"> Some exceptions (sites 4, 5, 11 and 13) show a less significant long-term trend</w:t>
      </w:r>
      <w:r w:rsidR="00266F2F">
        <w:t>;</w:t>
      </w:r>
      <w:r>
        <w:t xml:space="preserve"> however</w:t>
      </w:r>
      <w:r w:rsidR="00266F2F">
        <w:t>,</w:t>
      </w:r>
      <w:r>
        <w:t xml:space="preserve"> even within these datasets, a strong increase in vegetation cover is evident in the last decade. There may be an element of hysteresis involved in as much as dunes with initially large vegetated areas show somewhat slower rates of vegetation encroachment.  </w:t>
      </w:r>
    </w:p>
    <w:p w14:paraId="5D208806" w14:textId="77777777" w:rsidR="00443D60" w:rsidRPr="00AF3923" w:rsidRDefault="00A060DA" w:rsidP="00AF3923">
      <w:pPr>
        <w:jc w:val="center"/>
        <w:rPr>
          <w:b/>
        </w:rPr>
      </w:pPr>
      <w:r w:rsidRPr="00AF3923">
        <w:rPr>
          <w:b/>
        </w:rPr>
        <w:t>{INSERT FIG.</w:t>
      </w:r>
      <w:r w:rsidR="00814378" w:rsidRPr="00AF3923">
        <w:rPr>
          <w:b/>
        </w:rPr>
        <w:t>3</w:t>
      </w:r>
      <w:r w:rsidRPr="00AF3923">
        <w:rPr>
          <w:b/>
        </w:rPr>
        <w:t>}</w:t>
      </w:r>
    </w:p>
    <w:p w14:paraId="5DF1EF88" w14:textId="2A41D28B" w:rsidR="007E48A5" w:rsidRDefault="00CE519B" w:rsidP="008A2020">
      <w:pPr>
        <w:spacing w:before="240"/>
      </w:pPr>
      <w:r>
        <w:lastRenderedPageBreak/>
        <w:t xml:space="preserve">Environmental </w:t>
      </w:r>
      <w:r w:rsidR="00F7433C">
        <w:t xml:space="preserve">factors </w:t>
      </w:r>
      <w:r>
        <w:t xml:space="preserve">can </w:t>
      </w:r>
      <w:r w:rsidR="00F7433C">
        <w:t xml:space="preserve">act </w:t>
      </w:r>
      <w:r>
        <w:t xml:space="preserve">(at times in tandem) </w:t>
      </w:r>
      <w:r w:rsidR="00F7433C">
        <w:t xml:space="preserve">as </w:t>
      </w:r>
      <w:r>
        <w:t xml:space="preserve">key </w:t>
      </w:r>
      <w:r w:rsidR="00F7433C">
        <w:t xml:space="preserve">drivers in coastal dune field dynamics and </w:t>
      </w:r>
      <w:r w:rsidR="00F06749">
        <w:t xml:space="preserve">directly </w:t>
      </w:r>
      <w:r w:rsidR="00C04B71">
        <w:t>influence</w:t>
      </w:r>
      <w:r w:rsidR="00F7433C">
        <w:t xml:space="preserve"> how </w:t>
      </w:r>
      <w:r>
        <w:t>a</w:t>
      </w:r>
      <w:r w:rsidR="00F7433C">
        <w:t xml:space="preserve"> dune</w:t>
      </w:r>
      <w:r w:rsidR="00F06749">
        <w:t xml:space="preserve"> </w:t>
      </w:r>
      <w:r w:rsidR="00F7433C">
        <w:t>field behaves over time. For example, s</w:t>
      </w:r>
      <w:r w:rsidR="00A060DA">
        <w:t xml:space="preserve">ediment availability </w:t>
      </w:r>
      <w:r w:rsidR="00F7433C">
        <w:t>is essential for</w:t>
      </w:r>
      <w:r w:rsidR="00FE478E">
        <w:t xml:space="preserve"> </w:t>
      </w:r>
      <w:r w:rsidR="00C04B71">
        <w:t>providing</w:t>
      </w:r>
      <w:r w:rsidR="00FE478E">
        <w:t xml:space="preserve"> the </w:t>
      </w:r>
      <w:r>
        <w:t xml:space="preserve">overall dune field bulk volume and is a requirement for its continued </w:t>
      </w:r>
      <w:r w:rsidR="00FE478E">
        <w:t xml:space="preserve">growth </w:t>
      </w:r>
      <w:r>
        <w:t>(if given the space to establish). Dunes</w:t>
      </w:r>
      <w:r w:rsidR="00266F2F">
        <w:t>,</w:t>
      </w:r>
      <w:r>
        <w:t xml:space="preserve"> where sand supply is limited or in deficit may not </w:t>
      </w:r>
      <w:r w:rsidR="0098259C">
        <w:t>be maintained or expand</w:t>
      </w:r>
      <w:r w:rsidR="00266F2F">
        <w:t>ed</w:t>
      </w:r>
      <w:r w:rsidR="0098259C">
        <w:t>. It is</w:t>
      </w:r>
      <w:r w:rsidR="00266F2F">
        <w:t>,</w:t>
      </w:r>
      <w:r w:rsidR="0098259C">
        <w:t xml:space="preserve"> therefore</w:t>
      </w:r>
      <w:r w:rsidR="00266F2F">
        <w:t>,</w:t>
      </w:r>
      <w:r w:rsidR="0098259C">
        <w:t xml:space="preserve"> an important element</w:t>
      </w:r>
      <w:r>
        <w:t xml:space="preserve"> in </w:t>
      </w:r>
      <w:r w:rsidR="00266F2F">
        <w:t xml:space="preserve">the </w:t>
      </w:r>
      <w:r w:rsidR="00FE478E">
        <w:t>natural dynamics of dune landform evolution</w:t>
      </w:r>
      <w:r>
        <w:t xml:space="preserve"> over time</w:t>
      </w:r>
      <w:r w:rsidR="00FE478E">
        <w:t xml:space="preserve">. Corresponding aeolian </w:t>
      </w:r>
      <w:r w:rsidR="00A060DA">
        <w:t>flux</w:t>
      </w:r>
      <w:r w:rsidR="0098259C">
        <w:t xml:space="preserve"> (events)</w:t>
      </w:r>
      <w:r w:rsidR="00FE478E">
        <w:t xml:space="preserve"> </w:t>
      </w:r>
      <w:r w:rsidR="0098259C">
        <w:t xml:space="preserve">also </w:t>
      </w:r>
      <w:r w:rsidR="00F7433C">
        <w:t xml:space="preserve">helps </w:t>
      </w:r>
      <w:r w:rsidR="00FE478E">
        <w:t xml:space="preserve">drive the </w:t>
      </w:r>
      <w:r w:rsidR="00F7433C">
        <w:t xml:space="preserve">physical </w:t>
      </w:r>
      <w:r w:rsidR="00FE478E">
        <w:t xml:space="preserve">modification and landform diversity of </w:t>
      </w:r>
      <w:r w:rsidR="0098259C">
        <w:t>dune</w:t>
      </w:r>
      <w:r w:rsidR="00FE478E">
        <w:t xml:space="preserve"> systems</w:t>
      </w:r>
      <w:r w:rsidR="008A5860">
        <w:t>,</w:t>
      </w:r>
      <w:r w:rsidR="00FE478E">
        <w:t xml:space="preserve"> </w:t>
      </w:r>
      <w:r w:rsidR="00F7433C">
        <w:t xml:space="preserve">both </w:t>
      </w:r>
      <w:r w:rsidR="00FE478E">
        <w:t>spatially and temporally</w:t>
      </w:r>
      <w:r w:rsidR="0098259C">
        <w:t xml:space="preserve"> (Delgado et al., 2018)</w:t>
      </w:r>
      <w:r w:rsidR="00FE478E">
        <w:t>.</w:t>
      </w:r>
      <w:r w:rsidR="00120489">
        <w:t xml:space="preserve"> Changes </w:t>
      </w:r>
      <w:r w:rsidR="00120489" w:rsidRPr="00FD01BB">
        <w:t>in vegetation structure and succession</w:t>
      </w:r>
      <w:r w:rsidR="008A5860">
        <w:t>,</w:t>
      </w:r>
      <w:r w:rsidR="00120489" w:rsidRPr="00FD01BB">
        <w:t xml:space="preserve"> of course</w:t>
      </w:r>
      <w:r w:rsidR="008A5860">
        <w:t>,</w:t>
      </w:r>
      <w:r w:rsidR="00120489" w:rsidRPr="00FD01BB">
        <w:t xml:space="preserve"> have the potential to change dune morphology</w:t>
      </w:r>
      <w:r w:rsidR="00266F2F">
        <w:t xml:space="preserve"> (Ruggiero et al., 2018</w:t>
      </w:r>
      <w:r w:rsidR="00DE038E">
        <w:t>, Zarnetske et al. 2015</w:t>
      </w:r>
      <w:r w:rsidR="00266F2F">
        <w:t>)</w:t>
      </w:r>
      <w:r w:rsidR="00120489" w:rsidRPr="00FD01BB">
        <w:t>. In this study</w:t>
      </w:r>
      <w:r w:rsidR="008A5860">
        <w:t>,</w:t>
      </w:r>
      <w:r w:rsidR="00120489" w:rsidRPr="00FD01BB">
        <w:t xml:space="preserve"> </w:t>
      </w:r>
      <w:r w:rsidR="00120489">
        <w:t>we are c</w:t>
      </w:r>
      <w:r w:rsidR="00120489" w:rsidRPr="00FD01BB">
        <w:t>oncerned with the amount, rather than the nature of vegetation cover and so have discounted this component from our observations</w:t>
      </w:r>
      <w:r w:rsidR="00120489">
        <w:t>.</w:t>
      </w:r>
      <w:r w:rsidR="00A060DA">
        <w:t xml:space="preserve"> </w:t>
      </w:r>
      <w:r w:rsidR="007B6E71">
        <w:t xml:space="preserve">Additionally, the pixel size being examined does not allow examination of species differentiation. </w:t>
      </w:r>
      <w:r w:rsidR="00F7433C">
        <w:t>S</w:t>
      </w:r>
      <w:r w:rsidR="00A060DA">
        <w:t xml:space="preserve">everal </w:t>
      </w:r>
      <w:r w:rsidR="00F7433C">
        <w:t xml:space="preserve">other </w:t>
      </w:r>
      <w:r w:rsidR="00A060DA">
        <w:t xml:space="preserve">environmental parameters are known to influence the form and processes of </w:t>
      </w:r>
      <w:r w:rsidR="00F7433C">
        <w:t xml:space="preserve">coastal </w:t>
      </w:r>
      <w:r w:rsidR="00FE478E">
        <w:t>dune</w:t>
      </w:r>
      <w:r w:rsidR="00C04B71">
        <w:t xml:space="preserve"> </w:t>
      </w:r>
      <w:r w:rsidR="00F7433C">
        <w:t>field</w:t>
      </w:r>
      <w:r w:rsidR="00FE478E">
        <w:t xml:space="preserve"> dynamics</w:t>
      </w:r>
      <w:r w:rsidR="0098259C">
        <w:t xml:space="preserve"> as well</w:t>
      </w:r>
      <w:r w:rsidR="00A060DA">
        <w:t>. Th</w:t>
      </w:r>
      <w:r w:rsidR="00FE478E">
        <w:t>ese</w:t>
      </w:r>
      <w:r w:rsidR="00A060DA">
        <w:t xml:space="preserve"> include</w:t>
      </w:r>
      <w:r w:rsidR="008A5860">
        <w:t>:</w:t>
      </w:r>
      <w:r w:rsidR="00A060DA">
        <w:t xml:space="preserve"> </w:t>
      </w:r>
      <w:r w:rsidR="008A5860">
        <w:t xml:space="preserve">(i) </w:t>
      </w:r>
      <w:r w:rsidR="0098259C">
        <w:t xml:space="preserve">atmospheric </w:t>
      </w:r>
      <w:r w:rsidR="00A060DA">
        <w:t>temperature</w:t>
      </w:r>
      <w:r w:rsidR="00C04B71">
        <w:t>,</w:t>
      </w:r>
      <w:r w:rsidR="00A060DA">
        <w:t xml:space="preserve"> which is a key influence on the duration of the annual</w:t>
      </w:r>
      <w:r w:rsidR="00F7433C">
        <w:t xml:space="preserve"> dune</w:t>
      </w:r>
      <w:r w:rsidR="00A060DA">
        <w:t xml:space="preserve"> plant growing season</w:t>
      </w:r>
      <w:r w:rsidR="00F7433C">
        <w:t xml:space="preserve"> (normally </w:t>
      </w:r>
      <w:r w:rsidR="00C04B71">
        <w:t xml:space="preserve">the total number of </w:t>
      </w:r>
      <w:r w:rsidR="00F7433C">
        <w:t>daily temperatures greater than or equal to 5</w:t>
      </w:r>
      <w:r w:rsidR="00F7433C" w:rsidRPr="008A2020">
        <w:rPr>
          <w:vertAlign w:val="superscript"/>
        </w:rPr>
        <w:t>o</w:t>
      </w:r>
      <w:r w:rsidR="00F7433C">
        <w:t>C</w:t>
      </w:r>
      <w:r w:rsidR="00C04B71">
        <w:t>)</w:t>
      </w:r>
      <w:r w:rsidR="008A5860">
        <w:t>;</w:t>
      </w:r>
      <w:r w:rsidR="00A060DA">
        <w:t xml:space="preserve"> </w:t>
      </w:r>
      <w:r w:rsidR="008A5860">
        <w:t xml:space="preserve">(ii) </w:t>
      </w:r>
      <w:r w:rsidR="00C04B71">
        <w:t>Carbon dioxide (</w:t>
      </w:r>
      <w:r w:rsidR="00A060DA">
        <w:t>CO</w:t>
      </w:r>
      <w:r w:rsidR="00A060DA" w:rsidRPr="00135274">
        <w:rPr>
          <w:vertAlign w:val="subscript"/>
        </w:rPr>
        <w:t xml:space="preserve">2 </w:t>
      </w:r>
      <w:r w:rsidR="00C04B71" w:rsidRPr="008A2020">
        <w:t>)</w:t>
      </w:r>
      <w:r w:rsidR="00C04B71">
        <w:rPr>
          <w:vertAlign w:val="subscript"/>
        </w:rPr>
        <w:t xml:space="preserve"> </w:t>
      </w:r>
      <w:r w:rsidR="00A060DA">
        <w:t>and other greenhouse gas levels which influence plant growth rates</w:t>
      </w:r>
      <w:r w:rsidR="008A5860">
        <w:t>;</w:t>
      </w:r>
      <w:r w:rsidR="00A060DA">
        <w:t xml:space="preserve"> </w:t>
      </w:r>
      <w:r w:rsidR="008A5860">
        <w:t xml:space="preserve">(iii) </w:t>
      </w:r>
      <w:r w:rsidR="00A060DA">
        <w:t xml:space="preserve">rainfall which determines water table elevations and thus water and humidity supply </w:t>
      </w:r>
      <w:r w:rsidR="007B6E71">
        <w:t xml:space="preserve">, </w:t>
      </w:r>
      <w:r w:rsidR="008A5860">
        <w:t xml:space="preserve">(iv) </w:t>
      </w:r>
      <w:r w:rsidR="00A060DA">
        <w:t>wind regime</w:t>
      </w:r>
      <w:r w:rsidR="0098259C">
        <w:t>s</w:t>
      </w:r>
      <w:r w:rsidR="00A060DA">
        <w:t xml:space="preserve"> (which determines the capacity to </w:t>
      </w:r>
      <w:r w:rsidR="007E48A5">
        <w:t>transport sand and ultimately dictates plant living conditions and substrate</w:t>
      </w:r>
      <w:r w:rsidR="007B6E71">
        <w:t xml:space="preserve"> and (v)</w:t>
      </w:r>
      <w:r w:rsidR="004C5327">
        <w:t xml:space="preserve"> reduced beach</w:t>
      </w:r>
      <w:r w:rsidR="007B6E71">
        <w:t xml:space="preserve"> sediment supply to dunes (where </w:t>
      </w:r>
      <w:r w:rsidR="004C5327">
        <w:t>a quarter</w:t>
      </w:r>
      <w:r w:rsidR="007B6E71">
        <w:t xml:space="preserve"> of the world’s sandy beaches are more depleted in recent years (</w:t>
      </w:r>
      <w:r w:rsidR="004C5327">
        <w:t>Luijendijk et al., 2018)</w:t>
      </w:r>
      <w:r w:rsidR="00C16C1A">
        <w:t>)</w:t>
      </w:r>
      <w:r w:rsidR="004C5327">
        <w:t xml:space="preserve"> can decrease volumetric and lateral spread of dunes helping with fixation of the dune field through reduced sand throughput across the dune surface</w:t>
      </w:r>
      <w:r w:rsidR="007E48A5">
        <w:t xml:space="preserve">. Changes in any of these parameters have the potential to alter vegetation growth patterns. Global trends (Figure </w:t>
      </w:r>
      <w:r w:rsidR="001E331B">
        <w:t>5</w:t>
      </w:r>
      <w:r w:rsidR="007E48A5">
        <w:t xml:space="preserve">) in </w:t>
      </w:r>
      <w:r w:rsidR="004C5327">
        <w:t>many of</w:t>
      </w:r>
      <w:r w:rsidR="007E48A5">
        <w:t xml:space="preserve"> these parameters are moving in a direction favourable to the promotion of coastal dune vegetation growth. A summary of the conceptual linkages for these is shown in Figure </w:t>
      </w:r>
      <w:r w:rsidR="001E331B">
        <w:t>6</w:t>
      </w:r>
      <w:r w:rsidR="007E48A5">
        <w:t>.</w:t>
      </w:r>
      <w:r w:rsidR="00A060DA">
        <w:t xml:space="preserve">   </w:t>
      </w:r>
    </w:p>
    <w:p w14:paraId="6964FB56" w14:textId="3A36E168" w:rsidR="007E48A5" w:rsidRPr="00AF3923" w:rsidRDefault="007E48A5" w:rsidP="007E48A5">
      <w:pPr>
        <w:jc w:val="center"/>
        <w:rPr>
          <w:b/>
        </w:rPr>
      </w:pPr>
      <w:r w:rsidRPr="00AF3923">
        <w:rPr>
          <w:b/>
        </w:rPr>
        <w:t>{INSERT FIG.</w:t>
      </w:r>
      <w:r w:rsidR="001E331B">
        <w:rPr>
          <w:b/>
        </w:rPr>
        <w:t>5</w:t>
      </w:r>
      <w:r w:rsidRPr="00AF3923">
        <w:rPr>
          <w:b/>
        </w:rPr>
        <w:t>}</w:t>
      </w:r>
    </w:p>
    <w:p w14:paraId="0239A429" w14:textId="1E9E3800" w:rsidR="004058CA" w:rsidRDefault="00A060DA" w:rsidP="004058CA">
      <w:r>
        <w:t xml:space="preserve">Worldwide, continental wind speeds have decreased by 5–15% during the last 30 years, and are generally expected to continue decreasing during the </w:t>
      </w:r>
      <w:r w:rsidR="008A5860">
        <w:t>21</w:t>
      </w:r>
      <w:r w:rsidR="008A5860" w:rsidRPr="008A2020">
        <w:rPr>
          <w:vertAlign w:val="superscript"/>
        </w:rPr>
        <w:t>st</w:t>
      </w:r>
      <w:r w:rsidR="008A5860">
        <w:t>-</w:t>
      </w:r>
      <w:r>
        <w:t>century</w:t>
      </w:r>
      <w:r w:rsidR="00FD076C">
        <w:t xml:space="preserve"> (McVicar et al., 2012; Vautard et al., 2010</w:t>
      </w:r>
      <w:r w:rsidR="0035302F">
        <w:t>, Tian et al., 2019</w:t>
      </w:r>
      <w:r w:rsidR="00FD076C">
        <w:t>)</w:t>
      </w:r>
      <w:r>
        <w:t>. The large-scale slowing of the global wind field of -0.14 ms</w:t>
      </w:r>
      <w:r w:rsidRPr="000772F5">
        <w:rPr>
          <w:vertAlign w:val="superscript"/>
        </w:rPr>
        <w:t>-1</w:t>
      </w:r>
      <w:r>
        <w:t xml:space="preserve"> per decade</w:t>
      </w:r>
      <w:r w:rsidR="00196D15">
        <w:t xml:space="preserve"> </w:t>
      </w:r>
      <w:r w:rsidR="00FD076C">
        <w:t>Vautard et al., 2010</w:t>
      </w:r>
      <w:r w:rsidR="0035302F">
        <w:t>; Mill</w:t>
      </w:r>
      <w:r w:rsidR="001A7075">
        <w:t>e</w:t>
      </w:r>
      <w:r w:rsidR="0035302F">
        <w:t>r et al., 2016</w:t>
      </w:r>
      <w:r w:rsidR="00FD076C">
        <w:t>)</w:t>
      </w:r>
      <w:r>
        <w:t xml:space="preserve"> has been termed ‘stilling’.</w:t>
      </w:r>
      <w:r w:rsidR="007E48A5">
        <w:t xml:space="preserve"> </w:t>
      </w:r>
      <w:r>
        <w:t>Global mean surface temperatures have increased</w:t>
      </w:r>
      <w:r w:rsidR="008A5860">
        <w:t xml:space="preserve"> by</w:t>
      </w:r>
      <w:r>
        <w:t xml:space="preserve"> 0.6°C since the late </w:t>
      </w:r>
      <w:r w:rsidR="008A5860">
        <w:t>19</w:t>
      </w:r>
      <w:r w:rsidR="008A5860" w:rsidRPr="008A2020">
        <w:rPr>
          <w:vertAlign w:val="superscript"/>
        </w:rPr>
        <w:t>th</w:t>
      </w:r>
      <w:r w:rsidR="008A5860">
        <w:t>-</w:t>
      </w:r>
      <w:r>
        <w:t>century, and by 0.2–0.3° over the past 40 years</w:t>
      </w:r>
      <w:r w:rsidR="00FD076C">
        <w:t xml:space="preserve"> (Hansen et al., 2010)</w:t>
      </w:r>
      <w:r>
        <w:t>. This has been accompanied by</w:t>
      </w:r>
      <w:r w:rsidR="008A5860">
        <w:t xml:space="preserve"> the</w:t>
      </w:r>
      <w:r>
        <w:t xml:space="preserve"> earlier onset of the annual </w:t>
      </w:r>
      <w:r w:rsidR="00FD076C">
        <w:t>growing season in some locations (Xu et al., 2016)</w:t>
      </w:r>
      <w:r>
        <w:t>.</w:t>
      </w:r>
    </w:p>
    <w:p w14:paraId="785B6C71" w14:textId="36D70B40" w:rsidR="00443D60" w:rsidRPr="00AF3923" w:rsidRDefault="00A060DA" w:rsidP="00AF3923">
      <w:pPr>
        <w:jc w:val="center"/>
        <w:rPr>
          <w:b/>
        </w:rPr>
      </w:pPr>
      <w:r w:rsidRPr="00AF3923">
        <w:rPr>
          <w:b/>
        </w:rPr>
        <w:t>{INSERT FIG.</w:t>
      </w:r>
      <w:r w:rsidR="001E331B">
        <w:rPr>
          <w:b/>
        </w:rPr>
        <w:t>6</w:t>
      </w:r>
      <w:r w:rsidRPr="00AF3923">
        <w:rPr>
          <w:b/>
        </w:rPr>
        <w:t>}</w:t>
      </w:r>
    </w:p>
    <w:p w14:paraId="665C2A0E" w14:textId="4F5863FE" w:rsidR="004058CA" w:rsidRDefault="00A060DA" w:rsidP="004058CA">
      <w:r>
        <w:t xml:space="preserve">Global precipitation has increased by ca. 1% during the </w:t>
      </w:r>
      <w:r w:rsidR="008A5860">
        <w:t>20</w:t>
      </w:r>
      <w:r w:rsidR="008A5860" w:rsidRPr="008A2020">
        <w:rPr>
          <w:vertAlign w:val="superscript"/>
        </w:rPr>
        <w:t>th</w:t>
      </w:r>
      <w:r w:rsidR="008A5860">
        <w:t>-</w:t>
      </w:r>
      <w:r>
        <w:t>century but with strong regional variability</w:t>
      </w:r>
      <w:r w:rsidR="00FD076C">
        <w:t xml:space="preserve"> (Lehmann et al., 2010)</w:t>
      </w:r>
      <w:r>
        <w:t>. Robust increases in precipitation have also been indicated by both observations and climate models over the past six decades</w:t>
      </w:r>
      <w:r w:rsidR="00FD076C">
        <w:t xml:space="preserve"> (</w:t>
      </w:r>
      <w:r w:rsidR="00FD076C">
        <w:rPr>
          <w:noProof/>
        </w:rPr>
        <w:t>Donat</w:t>
      </w:r>
      <w:r w:rsidR="00196D15">
        <w:rPr>
          <w:noProof/>
        </w:rPr>
        <w:t xml:space="preserve"> et al.</w:t>
      </w:r>
      <w:r w:rsidR="00FD076C">
        <w:rPr>
          <w:noProof/>
        </w:rPr>
        <w:t>, 2016)</w:t>
      </w:r>
      <w:r>
        <w:t xml:space="preserve">. Climatic projections for the </w:t>
      </w:r>
      <w:r w:rsidR="008A5860">
        <w:t>21</w:t>
      </w:r>
      <w:r w:rsidR="008A5860" w:rsidRPr="008A2020">
        <w:rPr>
          <w:vertAlign w:val="superscript"/>
        </w:rPr>
        <w:t>st</w:t>
      </w:r>
      <w:r w:rsidR="008A5860">
        <w:t>-</w:t>
      </w:r>
      <w:r>
        <w:t>century show continued amplification of daily precipitation extremes and increases in total with extreme precipitation in dry regions related to model-specific global temperature change, so that global warming predictions partly explain the spread in precipitation intensification in these regions.</w:t>
      </w:r>
    </w:p>
    <w:p w14:paraId="78C6475B" w14:textId="29344C41" w:rsidR="004058CA" w:rsidRDefault="00A060DA" w:rsidP="004058CA">
      <w:r>
        <w:lastRenderedPageBreak/>
        <w:t>Additionally, increased annual fluxes of bio-available nitrogen (N) and phosphorus (P) on the continents</w:t>
      </w:r>
      <w:r w:rsidR="00F36394">
        <w:t xml:space="preserve"> have occurred from anthropogenic influences</w:t>
      </w:r>
      <w:r w:rsidR="00FD076C">
        <w:t xml:space="preserve"> (Bennett et al., 2001)</w:t>
      </w:r>
      <w:r>
        <w:t>. Elevated N deposition can stimulate plant growth in N-limited areas such as in tropical sub-Saharan Africa</w:t>
      </w:r>
      <w:r w:rsidR="00FD076C">
        <w:t xml:space="preserve"> (Galloway et al., 2008)</w:t>
      </w:r>
      <w:r>
        <w:t>. Production of reactive Nitrogen increased by 120% between 1970 and 2008</w:t>
      </w:r>
      <w:r w:rsidR="00FD076C">
        <w:t xml:space="preserve"> (Galloway et al., 2008) </w:t>
      </w:r>
      <w:r>
        <w:t xml:space="preserve">and N deposition from global emissions is strongly concentrated in Asia, Central and </w:t>
      </w:r>
      <w:r w:rsidR="0098259C">
        <w:t>southeast</w:t>
      </w:r>
      <w:r>
        <w:t xml:space="preserve"> Africa, Eastern S</w:t>
      </w:r>
      <w:r w:rsidR="0098259C">
        <w:t>outh</w:t>
      </w:r>
      <w:r>
        <w:t xml:space="preserve"> America and eastern N</w:t>
      </w:r>
      <w:r w:rsidR="0098259C">
        <w:t>orth</w:t>
      </w:r>
      <w:r>
        <w:t xml:space="preserve"> America. Rising CO</w:t>
      </w:r>
      <w:r w:rsidRPr="00CC1B84">
        <w:rPr>
          <w:vertAlign w:val="subscript"/>
        </w:rPr>
        <w:t>2</w:t>
      </w:r>
      <w:r>
        <w:t>, one of the chief signatures of global climate change, also contributes to enhanced plant growth</w:t>
      </w:r>
      <w:r w:rsidR="00FD076C">
        <w:t xml:space="preserve"> (Hughes, 2000; </w:t>
      </w:r>
      <w:r w:rsidR="00FD076C">
        <w:rPr>
          <w:noProof/>
        </w:rPr>
        <w:t>Keenan, et al., 2016)</w:t>
      </w:r>
      <w:r>
        <w:t>, in turn stimulating terrestrial carbon uptake and reducing the growth rate of atmospheric CO</w:t>
      </w:r>
      <w:r w:rsidRPr="00CC1B84">
        <w:rPr>
          <w:vertAlign w:val="subscript"/>
        </w:rPr>
        <w:t>2</w:t>
      </w:r>
      <w:r w:rsidR="00310AE8">
        <w:rPr>
          <w:vertAlign w:val="superscript"/>
        </w:rPr>
        <w:t xml:space="preserve"> </w:t>
      </w:r>
      <w:r w:rsidR="00310AE8">
        <w:t>(Kennan et a</w:t>
      </w:r>
      <w:r w:rsidR="001C3E5D">
        <w:t>l</w:t>
      </w:r>
      <w:r w:rsidR="00310AE8">
        <w:t>., 2016)</w:t>
      </w:r>
      <w:r w:rsidR="00FD01BB">
        <w:t xml:space="preserve">. </w:t>
      </w:r>
    </w:p>
    <w:p w14:paraId="69AC59F4" w14:textId="3D560AFF" w:rsidR="004058CA" w:rsidRDefault="00A060DA" w:rsidP="004058CA">
      <w:r>
        <w:t>In combination, decreased wind speeds</w:t>
      </w:r>
      <w:r w:rsidR="00E93CAB">
        <w:t xml:space="preserve"> and sediment supply</w:t>
      </w:r>
      <w:r>
        <w:t>, plus increases in rainfall, atmospheric temperature, CO</w:t>
      </w:r>
      <w:r w:rsidRPr="00CC1B84">
        <w:rPr>
          <w:vertAlign w:val="subscript"/>
        </w:rPr>
        <w:t>2</w:t>
      </w:r>
      <w:r>
        <w:t xml:space="preserve"> and nutrient supply all have the potential to promote coastal dune vegetation growth (Figure </w:t>
      </w:r>
      <w:r w:rsidR="00814378">
        <w:t>5</w:t>
      </w:r>
      <w:r>
        <w:t>). This might be stated:</w:t>
      </w:r>
    </w:p>
    <w:p w14:paraId="72117E1B" w14:textId="770DE7FD" w:rsidR="00C6582C" w:rsidRDefault="0035302F">
      <w:pPr>
        <w:rPr>
          <w:b/>
          <w:color w:val="7030A0"/>
        </w:rPr>
      </w:pPr>
      <w:r w:rsidRPr="008A2020">
        <w:rPr>
          <w:lang w:val="pt-PT"/>
        </w:rPr>
        <w:t>VG = f(CO</w:t>
      </w:r>
      <w:r w:rsidRPr="008A2020">
        <w:rPr>
          <w:vertAlign w:val="subscript"/>
          <w:lang w:val="pt-PT"/>
        </w:rPr>
        <w:t>2</w:t>
      </w:r>
      <w:r w:rsidRPr="008A2020">
        <w:rPr>
          <w:lang w:val="pt-PT"/>
        </w:rPr>
        <w:t xml:space="preserve">, N, T, R, 1/U, </w:t>
      </w:r>
      <w:r w:rsidR="00717A2D" w:rsidRPr="008A2020">
        <w:rPr>
          <w:lang w:val="pt-PT"/>
        </w:rPr>
        <w:t>1/</w:t>
      </w:r>
      <w:r w:rsidRPr="008A2020">
        <w:rPr>
          <w:lang w:val="pt-PT"/>
        </w:rPr>
        <w:t>S)</w:t>
      </w:r>
      <w:r w:rsidR="001C3E5D">
        <w:rPr>
          <w:lang w:val="pt-PT"/>
        </w:rPr>
        <w:t xml:space="preserve"> </w:t>
      </w:r>
      <w:r w:rsidR="001C3E5D">
        <w:t>w</w:t>
      </w:r>
      <w:r w:rsidR="00A060DA">
        <w:t>here: VG = vegetation growth; N = nutrients; T= temperature; R =rainfall; U = wind speed</w:t>
      </w:r>
      <w:r>
        <w:t xml:space="preserve">; S = Sediment supply </w:t>
      </w:r>
      <w:r w:rsidR="00E67FDB">
        <w:t>(</w:t>
      </w:r>
      <w:r>
        <w:t>from beaches</w:t>
      </w:r>
      <w:r w:rsidR="00E67FDB">
        <w:t>).</w:t>
      </w:r>
    </w:p>
    <w:p w14:paraId="365D9E1D" w14:textId="3FB3C18D" w:rsidR="00815BDE" w:rsidRDefault="00815BDE">
      <w:r w:rsidRPr="000739E2">
        <w:t xml:space="preserve">Coastal dunes </w:t>
      </w:r>
      <w:r>
        <w:t>therefore</w:t>
      </w:r>
      <w:r w:rsidRPr="000739E2">
        <w:t xml:space="preserve"> often</w:t>
      </w:r>
      <w:r>
        <w:t xml:space="preserve"> </w:t>
      </w:r>
      <w:r w:rsidRPr="000739E2">
        <w:t xml:space="preserve">display complex responses to a myriad of environmental circumstances, including some of the </w:t>
      </w:r>
      <w:r>
        <w:t>global trends summaris</w:t>
      </w:r>
      <w:r w:rsidRPr="000739E2">
        <w:t xml:space="preserve">ed </w:t>
      </w:r>
      <w:r>
        <w:t>above</w:t>
      </w:r>
      <w:r w:rsidRPr="000739E2">
        <w:t>, but also local or regional conditions such as changes in storminess, sediment budgets, and feedbacks between these and different plant communities</w:t>
      </w:r>
      <w:r w:rsidR="0035302F">
        <w:t xml:space="preserve">. </w:t>
      </w:r>
    </w:p>
    <w:p w14:paraId="6E152027" w14:textId="6B89D483" w:rsidR="0035302F" w:rsidRDefault="005D4EC4">
      <w:r>
        <w:t>Compared to more transgressive dune states, c</w:t>
      </w:r>
      <w:r w:rsidR="006B3EF7">
        <w:t>o</w:t>
      </w:r>
      <w:r w:rsidR="0035302F">
        <w:t>a</w:t>
      </w:r>
      <w:r>
        <w:t>stal dunes that are largely</w:t>
      </w:r>
      <w:r w:rsidR="0035302F">
        <w:t xml:space="preserve"> fixed</w:t>
      </w:r>
      <w:r w:rsidR="00711674">
        <w:t xml:space="preserve"> by vegetation</w:t>
      </w:r>
      <w:r w:rsidR="006B3EF7">
        <w:t xml:space="preserve"> </w:t>
      </w:r>
      <w:r>
        <w:t>(</w:t>
      </w:r>
      <w:r w:rsidR="006B3EF7">
        <w:t>a</w:t>
      </w:r>
      <w:r>
        <w:t xml:space="preserve">nd </w:t>
      </w:r>
      <w:r w:rsidR="006B3EF7">
        <w:t>therefore</w:t>
      </w:r>
      <w:r>
        <w:t xml:space="preserve"> less mobile),</w:t>
      </w:r>
      <w:r w:rsidR="00711674">
        <w:t xml:space="preserve"> </w:t>
      </w:r>
      <w:r>
        <w:t xml:space="preserve">effectively provide </w:t>
      </w:r>
      <w:r w:rsidR="006B3EF7">
        <w:t>a much</w:t>
      </w:r>
      <w:r w:rsidR="00E93CAB">
        <w:t>-</w:t>
      </w:r>
      <w:r w:rsidR="006B3EF7">
        <w:t>reduced</w:t>
      </w:r>
      <w:r>
        <w:t xml:space="preserve"> </w:t>
      </w:r>
      <w:r w:rsidR="006B3EF7">
        <w:t xml:space="preserve">potential for </w:t>
      </w:r>
      <w:r>
        <w:t xml:space="preserve">accommodation space </w:t>
      </w:r>
      <w:r w:rsidR="006B3EF7">
        <w:t>to store</w:t>
      </w:r>
      <w:r>
        <w:t xml:space="preserve"> any fresh beach sand attempting to gain inland access. This may result in a ‘backing up’ of sand at the back beach zone and if cond</w:t>
      </w:r>
      <w:r w:rsidR="006B3EF7">
        <w:t>itions are suitable (tidal reach</w:t>
      </w:r>
      <w:r>
        <w:t xml:space="preserve"> allows</w:t>
      </w:r>
      <w:r w:rsidR="006B3EF7">
        <w:t xml:space="preserve"> new aeolian deposition</w:t>
      </w:r>
      <w:r>
        <w:t xml:space="preserve">) sand may accumulate more readily at supratidal zones under this stabilised main dune state. Larger foredune (vertical) growth </w:t>
      </w:r>
      <w:r w:rsidR="006B3EF7">
        <w:t>is</w:t>
      </w:r>
      <w:r>
        <w:t xml:space="preserve"> likely to result in an enhanced buffering effect </w:t>
      </w:r>
      <w:r w:rsidR="006B3EF7">
        <w:t>thereby giving coastlines an enhanced sacrificial dune line for future dune trimming events that may take place</w:t>
      </w:r>
      <w:r w:rsidR="001C3E5D">
        <w:t xml:space="preserve"> either through storm activity or</w:t>
      </w:r>
      <w:r w:rsidR="006B3EF7">
        <w:t xml:space="preserve"> increased sea-level rise. </w:t>
      </w:r>
    </w:p>
    <w:p w14:paraId="3541CFA2" w14:textId="26D5DA77" w:rsidR="00513086" w:rsidRDefault="00513086" w:rsidP="00513086">
      <w:r>
        <w:t xml:space="preserve">This </w:t>
      </w:r>
      <w:r w:rsidRPr="00071F7F">
        <w:rPr>
          <w:noProof/>
        </w:rPr>
        <w:t>stabilisation</w:t>
      </w:r>
      <w:r>
        <w:t xml:space="preserve"> of coastal dunes in response to climate change has several important implications </w:t>
      </w:r>
      <w:r>
        <w:rPr>
          <w:noProof/>
        </w:rPr>
        <w:t>i</w:t>
      </w:r>
      <w:r w:rsidRPr="00071F7F">
        <w:rPr>
          <w:noProof/>
        </w:rPr>
        <w:t>n terms of</w:t>
      </w:r>
      <w:r>
        <w:t xml:space="preserve"> dune maintenance and impact from storms. Increased vegetation cover brings </w:t>
      </w:r>
      <w:r w:rsidRPr="00071F7F">
        <w:rPr>
          <w:noProof/>
        </w:rPr>
        <w:t>higher</w:t>
      </w:r>
      <w:r>
        <w:t xml:space="preserve"> potential for sediment retention at the coast </w:t>
      </w:r>
      <w:r>
        <w:rPr>
          <w:noProof/>
        </w:rPr>
        <w:t>as</w:t>
      </w:r>
      <w:r w:rsidRPr="00071F7F">
        <w:rPr>
          <w:noProof/>
        </w:rPr>
        <w:t xml:space="preserve"> </w:t>
      </w:r>
      <w:r>
        <w:t xml:space="preserve">sediment is </w:t>
      </w:r>
      <w:r w:rsidRPr="00071F7F">
        <w:rPr>
          <w:noProof/>
        </w:rPr>
        <w:t>trapped</w:t>
      </w:r>
      <w:r>
        <w:t xml:space="preserve"> and dunes grow vertically and laterally</w:t>
      </w:r>
      <w:r w:rsidR="00B536C5">
        <w:t xml:space="preserve"> (seaward)</w:t>
      </w:r>
      <w:r>
        <w:t>. Coastal dunes that are strongly vegetated have been shown to be more than 30% more resilient to marine storm erosion (Feagin et al., 2015; Sigren et al., 2014; Ajedegba, J.O. et al, 2019b)</w:t>
      </w:r>
      <w:r w:rsidRPr="000627A7">
        <w:t xml:space="preserve"> </w:t>
      </w:r>
      <w:r>
        <w:fldChar w:fldCharType="begin">
          <w:fldData xml:space="preserve">PEVuZE5vdGU+PENpdGU+PEF1dGhvcj5TaWdyZW48L0F1dGhvcj48WWVhcj4yMDE0PC9ZZWFyPjxS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</w:fldData>
        </w:fldChar>
      </w:r>
      <w:r w:rsidRPr="009C6D0C">
        <w:instrText xml:space="preserve"> ADDIN EN.CITE </w:instrText>
      </w:r>
      <w:r w:rsidRPr="009C6D0C">
        <w:fldChar w:fldCharType="begin">
          <w:fldData xml:space="preserve">PEVuZE5vdGU+PENpdGU+PEF1dGhvcj5TaWdyZW48L0F1dGhvcj48WWVhcj4yMDE0PC9ZZWFyPjxS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</w:fldData>
        </w:fldChar>
      </w:r>
      <w:r w:rsidRPr="009C6D0C">
        <w:instrText xml:space="preserve"> ADDIN EN.CITE.DATA </w:instrText>
      </w:r>
      <w:r w:rsidRPr="009C6D0C">
        <w:fldChar w:fldCharType="end"/>
      </w:r>
      <w:r>
        <w:fldChar w:fldCharType="end"/>
      </w:r>
      <w:r>
        <w:t xml:space="preserve">and therefore increases in vegetation may help </w:t>
      </w:r>
      <w:r w:rsidR="00B536C5">
        <w:t>slow</w:t>
      </w:r>
      <w:r>
        <w:t xml:space="preserve"> coastline retreat along dune coasts. Any increase in dune height directly enhances its flood-defence capacity (van Gent et al., 2008) </w:t>
      </w:r>
      <w:hyperlink w:anchor="_ENREF_38" w:tooltip="van Gent, 2008 #2104" w:history="1"/>
      <w:r>
        <w:t xml:space="preserve">while the overall </w:t>
      </w:r>
      <w:r w:rsidRPr="00071F7F">
        <w:rPr>
          <w:noProof/>
        </w:rPr>
        <w:t>increase</w:t>
      </w:r>
      <w:r>
        <w:t xml:space="preserve"> in sediment volume retained in the dune system acts as an enhanced reservoir of sand that can </w:t>
      </w:r>
      <w:r w:rsidRPr="00071F7F">
        <w:rPr>
          <w:noProof/>
        </w:rPr>
        <w:t>be drawn</w:t>
      </w:r>
      <w:r>
        <w:t xml:space="preserve"> upon during high energy storms and increases the resilience of the shoreline to storm wave erosion. </w:t>
      </w:r>
      <w:r>
        <w:rPr>
          <w:noProof/>
        </w:rPr>
        <w:t>Large</w:t>
      </w:r>
      <w:r>
        <w:t xml:space="preserve"> </w:t>
      </w:r>
      <w:r w:rsidRPr="00071F7F">
        <w:rPr>
          <w:noProof/>
        </w:rPr>
        <w:t>volumes</w:t>
      </w:r>
      <w:r>
        <w:t xml:space="preserve"> of sediment in the littoral zone also help slow landward retreat during periods of sea</w:t>
      </w:r>
      <w:r w:rsidR="00E93CAB">
        <w:t>-</w:t>
      </w:r>
      <w:r>
        <w:t>level rise (Zhu et al., 2016). At a time of accelerating global environmental change involving relatively rapid sea-level rise (DeConto, et al. 2016; Jackson, L.P. et al. 2016; Vermeer,M., et al 2009) and increases in storm magnitude and frequency (Paerl, H.W. et al. 2019; David, R. et al. 2000) this will add to the vulnerability of low-lying coastal areas. An enhanced pattern of dune vegetation growth in response to climatic drivers is something of a paradox in that it may</w:t>
      </w:r>
      <w:r w:rsidR="00E93CAB">
        <w:t>,</w:t>
      </w:r>
      <w:r>
        <w:t xml:space="preserve"> in </w:t>
      </w:r>
      <w:r>
        <w:lastRenderedPageBreak/>
        <w:t>fact</w:t>
      </w:r>
      <w:r w:rsidR="00E93CAB">
        <w:t>,</w:t>
      </w:r>
      <w:r>
        <w:t xml:space="preserve"> represent a previously unidentified geomorphic feedback in the system that could help regulate shoreline response to predicted secular sea level rise through heightened physical buffering potential.</w:t>
      </w:r>
    </w:p>
    <w:p w14:paraId="241FD3F6" w14:textId="55DEAE7B" w:rsidR="00FD37BD" w:rsidRPr="005A77E5" w:rsidRDefault="00A060DA">
      <w:pPr>
        <w:rPr>
          <w:b/>
          <w:color w:val="1F497D"/>
        </w:rPr>
      </w:pPr>
      <w:r w:rsidRPr="005A77E5">
        <w:rPr>
          <w:b/>
          <w:color w:val="1F497D"/>
        </w:rPr>
        <w:t>Conclusion</w:t>
      </w:r>
      <w:r w:rsidR="00815BDE">
        <w:rPr>
          <w:b/>
          <w:color w:val="1F497D"/>
        </w:rPr>
        <w:t>s</w:t>
      </w:r>
    </w:p>
    <w:p w14:paraId="285FB332" w14:textId="69A60030" w:rsidR="009E2950" w:rsidRDefault="00A060DA" w:rsidP="004058CA">
      <w:r>
        <w:t>Our analysis points to a clear ‘greening’ of coastal dunes over the past three decades, mirroring the global ‘greening’ of the earth observed by Zhu et al</w:t>
      </w:r>
      <w:r w:rsidR="00310AE8">
        <w:t>. (2016)</w:t>
      </w:r>
      <w:r>
        <w:t xml:space="preserve">. This </w:t>
      </w:r>
      <w:r w:rsidRPr="00071F7F">
        <w:rPr>
          <w:noProof/>
        </w:rPr>
        <w:t>time period</w:t>
      </w:r>
      <w:r>
        <w:t xml:space="preserve"> has </w:t>
      </w:r>
      <w:r w:rsidRPr="00071F7F">
        <w:rPr>
          <w:noProof/>
        </w:rPr>
        <w:t>been characterised</w:t>
      </w:r>
      <w:r>
        <w:t xml:space="preserve"> by global increases in precipitation, temperature and CO</w:t>
      </w:r>
      <w:r w:rsidRPr="00811A62">
        <w:rPr>
          <w:vertAlign w:val="subscript"/>
        </w:rPr>
        <w:t>2</w:t>
      </w:r>
      <w:r>
        <w:t>, all of which promote vegetation growth on dunes. The synchronous period of global wind stilling reduces fluxes of wind-blown sand and creates the stability necessary to enable vegetation to colonise bare dune sand</w:t>
      </w:r>
      <w:r w:rsidRPr="000739E2">
        <w:t xml:space="preserve">. </w:t>
      </w:r>
      <w:r>
        <w:t>We cannot realistically isolate the relative importance of the changing climate parameters (they are likely to vary regionally and over different temporal and spatial scales), but regardless of driver specifics, their change is coincident with a significant proliferation in coastal dune vegetation cover globally. As noted by Parmesan and Yohe (2003, p.40-41)</w:t>
      </w:r>
      <w:r w:rsidR="00F66FD6">
        <w:t>,</w:t>
      </w:r>
      <w:r>
        <w:t xml:space="preserve"> </w:t>
      </w:r>
      <w:r w:rsidR="00F66FD6">
        <w:t xml:space="preserve">when examining </w:t>
      </w:r>
      <w:r w:rsidR="00E93CAB">
        <w:t xml:space="preserve">the </w:t>
      </w:r>
      <w:r>
        <w:t>biological response to climate change</w:t>
      </w:r>
      <w:r w:rsidR="00F66FD6">
        <w:t>, investigating global patterns are by far</w:t>
      </w:r>
      <w:r>
        <w:t xml:space="preserve"> much</w:t>
      </w:r>
      <w:r w:rsidRPr="0033004A">
        <w:t xml:space="preserve"> more relevant than </w:t>
      </w:r>
      <w:r w:rsidR="00815BDE">
        <w:t xml:space="preserve">only </w:t>
      </w:r>
      <w:r w:rsidR="00F66FD6">
        <w:t xml:space="preserve">using </w:t>
      </w:r>
      <w:r w:rsidRPr="0033004A">
        <w:t>individual studies</w:t>
      </w:r>
      <w:r w:rsidR="00F66FD6">
        <w:t xml:space="preserve"> of response</w:t>
      </w:r>
      <w:r>
        <w:t xml:space="preserve">. </w:t>
      </w:r>
    </w:p>
    <w:p w14:paraId="74134B79" w14:textId="2062249B" w:rsidR="004058CA" w:rsidRDefault="00A060DA" w:rsidP="004058CA">
      <w:r>
        <w:t>Our</w:t>
      </w:r>
      <w:r w:rsidRPr="000739E2">
        <w:t xml:space="preserve"> study demonstrates</w:t>
      </w:r>
      <w:r>
        <w:t xml:space="preserve"> a general increase</w:t>
      </w:r>
      <w:r w:rsidRPr="000739E2">
        <w:t xml:space="preserve"> in vegetation </w:t>
      </w:r>
      <w:r>
        <w:t>cover</w:t>
      </w:r>
      <w:r w:rsidRPr="000739E2">
        <w:t xml:space="preserve"> </w:t>
      </w:r>
      <w:r>
        <w:t xml:space="preserve">on </w:t>
      </w:r>
      <w:r w:rsidRPr="000739E2">
        <w:t>coastal dune</w:t>
      </w:r>
      <w:r>
        <w:t>s</w:t>
      </w:r>
      <w:r w:rsidRPr="000739E2">
        <w:t xml:space="preserve"> </w:t>
      </w:r>
      <w:r>
        <w:t>worldwide</w:t>
      </w:r>
      <w:r w:rsidRPr="000739E2">
        <w:t>. Since this is a global phenomenon</w:t>
      </w:r>
      <w:r>
        <w:t>,</w:t>
      </w:r>
      <w:r w:rsidRPr="000739E2">
        <w:t xml:space="preserve"> </w:t>
      </w:r>
      <w:r>
        <w:t>it is likely</w:t>
      </w:r>
      <w:r w:rsidRPr="000739E2">
        <w:t xml:space="preserve"> that the general </w:t>
      </w:r>
      <w:r>
        <w:t>driver of</w:t>
      </w:r>
      <w:r w:rsidRPr="000739E2">
        <w:t xml:space="preserve"> coastal dune </w:t>
      </w:r>
      <w:r>
        <w:t xml:space="preserve">vegetation expansion </w:t>
      </w:r>
      <w:r w:rsidRPr="000739E2">
        <w:t>is gl</w:t>
      </w:r>
      <w:r>
        <w:t>obal environmental change</w:t>
      </w:r>
      <w:r w:rsidRPr="000739E2">
        <w:t>, with differences in the</w:t>
      </w:r>
      <w:r>
        <w:t xml:space="preserve"> response rate and magnitude </w:t>
      </w:r>
      <w:r w:rsidRPr="000739E2">
        <w:t>caused by local drivers and regional climatic patterns.</w:t>
      </w:r>
      <w:r>
        <w:t xml:space="preserve"> The expansion of vegetation on coastal dunes</w:t>
      </w:r>
      <w:r>
        <w:rPr>
          <w:noProof/>
        </w:rPr>
        <w:t>, therefore,</w:t>
      </w:r>
      <w:r>
        <w:t xml:space="preserve"> appears to represent an </w:t>
      </w:r>
      <w:r w:rsidRPr="00B540CE">
        <w:rPr>
          <w:i/>
        </w:rPr>
        <w:t>integrated</w:t>
      </w:r>
      <w:r>
        <w:t xml:space="preserve"> response to several climate trends.</w:t>
      </w:r>
      <w:r w:rsidR="009E2950">
        <w:t xml:space="preserve"> This ironically may have implications for how coastal erosion scenarios play out in the future with sediments not being allowed to migrate inland </w:t>
      </w:r>
      <w:r w:rsidR="00185309">
        <w:t xml:space="preserve">and </w:t>
      </w:r>
      <w:r w:rsidR="00DA7795">
        <w:t>some dune fringed coasts may accumulat</w:t>
      </w:r>
      <w:r w:rsidR="00185309">
        <w:t>e more sand at their seaward edge</w:t>
      </w:r>
      <w:r w:rsidR="00185309" w:rsidRPr="00185309">
        <w:t xml:space="preserve"> </w:t>
      </w:r>
      <w:r w:rsidR="00185309">
        <w:t xml:space="preserve">than normal, </w:t>
      </w:r>
      <w:r w:rsidR="00DA7795">
        <w:t>effectively lessen</w:t>
      </w:r>
      <w:r w:rsidR="00185309">
        <w:t>ing</w:t>
      </w:r>
      <w:r w:rsidR="00DA7795">
        <w:t xml:space="preserve"> their erosional </w:t>
      </w:r>
      <w:r w:rsidR="00B536C5">
        <w:t>potential</w:t>
      </w:r>
      <w:r w:rsidR="00DA7795">
        <w:t xml:space="preserve"> as a result</w:t>
      </w:r>
      <w:r w:rsidR="00185309">
        <w:t xml:space="preserve"> of buffering up </w:t>
      </w:r>
      <w:r w:rsidR="00B536C5">
        <w:t>dune</w:t>
      </w:r>
      <w:r w:rsidR="00185309">
        <w:t xml:space="preserve"> erosion response to storms.</w:t>
      </w:r>
    </w:p>
    <w:p w14:paraId="0AB1225B" w14:textId="77777777" w:rsidR="00B35BD7" w:rsidRDefault="00B35BD7" w:rsidP="004058CA"/>
    <w:p w14:paraId="255027F2" w14:textId="77777777" w:rsidR="00CB4F7A" w:rsidRPr="008673D7" w:rsidRDefault="00A060DA" w:rsidP="00CB4F7A">
      <w:pPr>
        <w:rPr>
          <w:b/>
          <w:color w:val="1F4E79"/>
        </w:rPr>
      </w:pPr>
      <w:r w:rsidRPr="008673D7">
        <w:rPr>
          <w:b/>
          <w:color w:val="1F4E79"/>
        </w:rPr>
        <w:t>Acknowledg</w:t>
      </w:r>
      <w:r w:rsidR="00A45A6C">
        <w:rPr>
          <w:b/>
          <w:color w:val="1F4E79"/>
        </w:rPr>
        <w:t>e</w:t>
      </w:r>
      <w:r w:rsidRPr="008673D7">
        <w:rPr>
          <w:b/>
          <w:color w:val="1F4E79"/>
        </w:rPr>
        <w:t>ments</w:t>
      </w:r>
    </w:p>
    <w:p w14:paraId="0F1938B9" w14:textId="4C0C0448" w:rsidR="00BE3790" w:rsidRPr="008A2020" w:rsidRDefault="00A060DA">
      <w:pPr>
        <w:rPr>
          <w:color w:val="000000"/>
          <w:lang w:val="es-ES"/>
        </w:rPr>
      </w:pPr>
      <w:r w:rsidRPr="008673D7">
        <w:rPr>
          <w:color w:val="000000"/>
        </w:rPr>
        <w:t>We wish to acknowledge funding from the Natural Environment Research Council grant NE/F019483/1 and NERC Geophysical Equipment Facility Grant 1082. Susana Costas was funded through the “FCT Investigator” program (ref. IF/01047/2014). This work is also a contribution to the grant UID/MAR/00350/2013 attributed to CIMA of the University of Algarve.</w:t>
      </w:r>
      <w:r w:rsidR="008A5860">
        <w:rPr>
          <w:color w:val="000000"/>
        </w:rPr>
        <w:t xml:space="preserve"> </w:t>
      </w:r>
      <w:r w:rsidR="008A5860" w:rsidRPr="008A2020">
        <w:rPr>
          <w:color w:val="000000"/>
          <w:lang w:val="es-ES"/>
        </w:rPr>
        <w:t>Rita González-Villanueva is funded by PlanI2C-ED481B 2018/021 (Xunta de Galicia).</w:t>
      </w:r>
    </w:p>
    <w:p w14:paraId="55A1C176" w14:textId="77777777" w:rsidR="00FD37BD" w:rsidRPr="005A77E5" w:rsidRDefault="00A060DA">
      <w:pPr>
        <w:rPr>
          <w:b/>
          <w:color w:val="1F497D"/>
        </w:rPr>
      </w:pPr>
      <w:r w:rsidRPr="005A77E5">
        <w:rPr>
          <w:b/>
          <w:color w:val="1F497D"/>
        </w:rPr>
        <w:t>References</w:t>
      </w:r>
    </w:p>
    <w:p w14:paraId="2EA4667F" w14:textId="69D38B49" w:rsidR="00E93CAB" w:rsidRPr="00D206C0" w:rsidRDefault="00E93CAB" w:rsidP="008A2020">
      <w:pPr>
        <w:spacing w:after="0" w:line="240" w:lineRule="auto"/>
        <w:ind w:left="426" w:hanging="357"/>
        <w:rPr>
          <w:noProof/>
        </w:rPr>
      </w:pPr>
      <w:r w:rsidRPr="00D206C0">
        <w:rPr>
          <w:noProof/>
        </w:rPr>
        <w:t>Abhar, K.C., Walker</w:t>
      </w:r>
      <w:r>
        <w:rPr>
          <w:noProof/>
        </w:rPr>
        <w:t>, I.J., Hesp, P.A., Gares, P.A.</w:t>
      </w:r>
      <w:r w:rsidRPr="00D206C0">
        <w:rPr>
          <w:noProof/>
        </w:rPr>
        <w:t xml:space="preserve">. Spatial–temporal evolution of aeolian blowout dunes at Cape Cod. </w:t>
      </w:r>
      <w:r w:rsidRPr="008A2020">
        <w:rPr>
          <w:i/>
          <w:noProof/>
        </w:rPr>
        <w:t>Geomorphology</w:t>
      </w:r>
      <w:r w:rsidRPr="008A2020">
        <w:rPr>
          <w:noProof/>
        </w:rPr>
        <w:t>,</w:t>
      </w:r>
      <w:r w:rsidRPr="00D206C0">
        <w:rPr>
          <w:noProof/>
        </w:rPr>
        <w:t xml:space="preserve"> 236</w:t>
      </w:r>
      <w:r>
        <w:rPr>
          <w:noProof/>
        </w:rPr>
        <w:t>:</w:t>
      </w:r>
      <w:r w:rsidRPr="00D206C0">
        <w:rPr>
          <w:noProof/>
        </w:rPr>
        <w:t xml:space="preserve"> 148-162</w:t>
      </w:r>
      <w:r>
        <w:rPr>
          <w:noProof/>
        </w:rPr>
        <w:t xml:space="preserve"> (2015)</w:t>
      </w:r>
      <w:r w:rsidRPr="00D206C0">
        <w:rPr>
          <w:noProof/>
        </w:rPr>
        <w:t>.</w:t>
      </w:r>
    </w:p>
    <w:p w14:paraId="289AE07C" w14:textId="66F4CA03" w:rsidR="008A5860" w:rsidRPr="00A502FE" w:rsidRDefault="008A5860" w:rsidP="008A5860">
      <w:pPr>
        <w:spacing w:after="0" w:line="240" w:lineRule="auto"/>
        <w:ind w:left="426" w:hanging="357"/>
        <w:rPr>
          <w:noProof/>
        </w:rPr>
      </w:pPr>
      <w:r w:rsidRPr="00A502FE">
        <w:rPr>
          <w:noProof/>
        </w:rPr>
        <w:t>Ajedegba, J.O., Perotto-Baldivieso, H.L., Jones, K.D. Coastal Dune Vegetation Resilience on South Padre Island, Texas: A Spatiotemporal Evaluation of the Landscape Structure</w:t>
      </w:r>
      <w:r>
        <w:rPr>
          <w:noProof/>
        </w:rPr>
        <w:t xml:space="preserve">. </w:t>
      </w:r>
      <w:r w:rsidRPr="00A502FE">
        <w:rPr>
          <w:i/>
          <w:noProof/>
        </w:rPr>
        <w:t>Journal of Coastal Research 35</w:t>
      </w:r>
      <w:r>
        <w:rPr>
          <w:noProof/>
        </w:rPr>
        <w:t>(3): 534-544 (2019).</w:t>
      </w:r>
    </w:p>
    <w:p w14:paraId="694278BD" w14:textId="77777777" w:rsidR="00E93CAB" w:rsidRDefault="008A5860" w:rsidP="008A2020">
      <w:pPr>
        <w:spacing w:after="0" w:line="240" w:lineRule="auto"/>
        <w:ind w:left="426" w:hanging="357"/>
        <w:rPr>
          <w:noProof/>
        </w:rPr>
      </w:pPr>
      <w:r>
        <w:rPr>
          <w:noProof/>
        </w:rPr>
        <w:t xml:space="preserve">Ajedegba, J.O., Choi, J.-W., Jones, K.D. </w:t>
      </w:r>
      <w:r w:rsidRPr="008A5860">
        <w:rPr>
          <w:noProof/>
        </w:rPr>
        <w:t>Analytical modeling of coastal dune erosion at South Padre Island: A consideration of the effects of vegetation roots and shear strength</w:t>
      </w:r>
      <w:r>
        <w:rPr>
          <w:noProof/>
        </w:rPr>
        <w:t xml:space="preserve">. </w:t>
      </w:r>
      <w:r w:rsidRPr="008A2020">
        <w:rPr>
          <w:i/>
          <w:noProof/>
        </w:rPr>
        <w:t>Ecological Engineering</w:t>
      </w:r>
      <w:r>
        <w:rPr>
          <w:i/>
          <w:noProof/>
        </w:rPr>
        <w:t xml:space="preserve"> </w:t>
      </w:r>
      <w:r w:rsidRPr="008A2020">
        <w:rPr>
          <w:noProof/>
        </w:rPr>
        <w:t>127: 187-194</w:t>
      </w:r>
      <w:r>
        <w:rPr>
          <w:noProof/>
        </w:rPr>
        <w:t xml:space="preserve"> (2019).</w:t>
      </w:r>
    </w:p>
    <w:p w14:paraId="1D02A11C" w14:textId="4D9890E0" w:rsidR="00E93CAB" w:rsidRDefault="008A5860" w:rsidP="00E93CAB">
      <w:pPr>
        <w:spacing w:after="0" w:line="240" w:lineRule="auto"/>
        <w:ind w:left="426" w:hanging="357"/>
        <w:rPr>
          <w:noProof/>
        </w:rPr>
      </w:pPr>
      <w:r w:rsidRPr="008A2020">
        <w:rPr>
          <w:noProof/>
        </w:rPr>
        <w:lastRenderedPageBreak/>
        <w:t xml:space="preserve"> </w:t>
      </w:r>
      <w:r w:rsidR="00E93CAB">
        <w:rPr>
          <w:noProof/>
        </w:rPr>
        <w:t xml:space="preserve">Alappat, L., Frechen, M., Ramesh, R., Tsukamoto, S., Srinivasalu, S. Evolution of late Holocene coastal dunes in the Cauvery delta region of Tamil Nadu, India. </w:t>
      </w:r>
      <w:r w:rsidR="00E93CAB" w:rsidRPr="008A2020">
        <w:rPr>
          <w:i/>
          <w:noProof/>
        </w:rPr>
        <w:t>Journal of Asian Earth Sciences</w:t>
      </w:r>
      <w:r w:rsidR="00E93CAB">
        <w:rPr>
          <w:noProof/>
        </w:rPr>
        <w:t>, 42(3): 381-397 (2011)</w:t>
      </w:r>
    </w:p>
    <w:p w14:paraId="3BFAAB29" w14:textId="26759A22" w:rsidR="008A5860" w:rsidRDefault="00E93CAB" w:rsidP="008A2020">
      <w:pPr>
        <w:spacing w:after="0" w:line="240" w:lineRule="auto"/>
        <w:ind w:left="426" w:hanging="357"/>
        <w:rPr>
          <w:noProof/>
        </w:rPr>
      </w:pPr>
      <w:r>
        <w:rPr>
          <w:noProof/>
        </w:rPr>
        <w:t xml:space="preserve">Arens, S., Slings, Q., Geelen, L.W.T., Van der Hagen, H.J.M. Restoration of Dune Mobility in The Netherlands. In: M.L. Martínez, J.B. Gallego-Fernández, P.A. Hesp (Eds.), </w:t>
      </w:r>
      <w:r w:rsidRPr="008A2020">
        <w:rPr>
          <w:i/>
          <w:noProof/>
        </w:rPr>
        <w:t>Restoration of Coastal Dunes.</w:t>
      </w:r>
      <w:r>
        <w:rPr>
          <w:noProof/>
        </w:rPr>
        <w:t xml:space="preserve"> Springer Series on Environmental Management. Springer Berlin Heidelberg, pp. 107-124. (2013).</w:t>
      </w:r>
    </w:p>
    <w:p w14:paraId="40626813" w14:textId="639FE743" w:rsidR="00E93CAB" w:rsidRDefault="00E93CAB" w:rsidP="00E93CAB">
      <w:pPr>
        <w:spacing w:after="0" w:line="240" w:lineRule="auto"/>
        <w:ind w:left="426" w:hanging="357"/>
        <w:rPr>
          <w:noProof/>
        </w:rPr>
      </w:pPr>
      <w:r>
        <w:rPr>
          <w:noProof/>
        </w:rPr>
        <w:t xml:space="preserve">Bailey, S.D., Bristow, C.S. Migration of parabolic dunes at Aberffraw, Anglesey, North Wales. </w:t>
      </w:r>
      <w:r w:rsidRPr="008A2020">
        <w:rPr>
          <w:i/>
          <w:noProof/>
        </w:rPr>
        <w:t>Geomorphology</w:t>
      </w:r>
      <w:r>
        <w:rPr>
          <w:noProof/>
        </w:rPr>
        <w:t>, 59(1-4): 165-174. (2004)</w:t>
      </w:r>
    </w:p>
    <w:p w14:paraId="1A3F7666" w14:textId="31D25AC9" w:rsidR="00E93CAB" w:rsidRDefault="00E93CAB" w:rsidP="00E93CAB">
      <w:pPr>
        <w:spacing w:after="0" w:line="240" w:lineRule="auto"/>
        <w:ind w:left="426" w:hanging="357"/>
        <w:rPr>
          <w:noProof/>
        </w:rPr>
      </w:pPr>
      <w:r>
        <w:rPr>
          <w:noProof/>
        </w:rPr>
        <w:t>Bar, P. Restoration of Coastal Sand Dunes for Conservation of Biodiversity: The Israeli Experience. In: M.L. Martínez, J.B. Gallego-Fernández, P.A. Hesp (Eds.),</w:t>
      </w:r>
      <w:r w:rsidRPr="008A2020">
        <w:rPr>
          <w:i/>
          <w:noProof/>
        </w:rPr>
        <w:t xml:space="preserve"> Restoration of Coastal Dunes.</w:t>
      </w:r>
      <w:r>
        <w:rPr>
          <w:noProof/>
        </w:rPr>
        <w:t xml:space="preserve"> Springer Series on Environmental Management. Springer Berlin Heidelberg, pp. 173-185. (2013)</w:t>
      </w:r>
    </w:p>
    <w:p w14:paraId="3987A4CF" w14:textId="702308C0" w:rsidR="00840382" w:rsidRDefault="00A060DA" w:rsidP="008A2020">
      <w:pPr>
        <w:spacing w:after="0" w:line="240" w:lineRule="auto"/>
        <w:ind w:left="360" w:hanging="357"/>
        <w:rPr>
          <w:noProof/>
        </w:rPr>
      </w:pPr>
      <w:r w:rsidRPr="007623E5">
        <w:rPr>
          <w:noProof/>
        </w:rPr>
        <w:t>Bennett, E.M., Carpenter, S.R. and Caraco, N.F.</w:t>
      </w:r>
      <w:r w:rsidR="00E93CAB">
        <w:rPr>
          <w:noProof/>
        </w:rPr>
        <w:t xml:space="preserve"> </w:t>
      </w:r>
      <w:r w:rsidRPr="007623E5">
        <w:rPr>
          <w:noProof/>
        </w:rPr>
        <w:t xml:space="preserve">Human Impact on Erodable Phosphorus and Eutrophication: A Global perspective increasing accumulation of phosphorus in soil threatens rivers, lakes, and coastal oceans with eutrophication. </w:t>
      </w:r>
      <w:r w:rsidRPr="007623E5">
        <w:rPr>
          <w:i/>
          <w:noProof/>
        </w:rPr>
        <w:t>BioScience</w:t>
      </w:r>
      <w:r w:rsidRPr="007623E5">
        <w:rPr>
          <w:noProof/>
        </w:rPr>
        <w:t>, 51(3): 227-234 (2001).</w:t>
      </w:r>
    </w:p>
    <w:p w14:paraId="58E4AC4D" w14:textId="6BF9A559" w:rsidR="00E93CAB" w:rsidRDefault="00E93CAB" w:rsidP="00E93CAB">
      <w:pPr>
        <w:spacing w:after="0" w:line="240" w:lineRule="auto"/>
        <w:ind w:left="426" w:hanging="357"/>
        <w:rPr>
          <w:noProof/>
        </w:rPr>
      </w:pPr>
      <w:r>
        <w:rPr>
          <w:noProof/>
        </w:rPr>
        <w:t xml:space="preserve">Bristow, C.S., Augustinus, P., Rhodes, E.J., Wallis, I.C., Jol, H.M. Is climate change affecting rates of dune migration in Antarctica? </w:t>
      </w:r>
      <w:r w:rsidRPr="008A2020">
        <w:rPr>
          <w:i/>
          <w:noProof/>
        </w:rPr>
        <w:t>Geology</w:t>
      </w:r>
      <w:r>
        <w:rPr>
          <w:noProof/>
        </w:rPr>
        <w:t>, 39(9): 831-834. (2011).</w:t>
      </w:r>
    </w:p>
    <w:p w14:paraId="23CA63FB" w14:textId="77777777" w:rsidR="00840382" w:rsidRPr="007623E5" w:rsidRDefault="00A060DA" w:rsidP="008A2020">
      <w:pPr>
        <w:pStyle w:val="NoSpacing"/>
        <w:ind w:left="363" w:hanging="357"/>
        <w:contextualSpacing/>
        <w:rPr>
          <w:rFonts w:ascii="Calibri" w:hAnsi="Calibri" w:cs="Calibri"/>
          <w:sz w:val="22"/>
        </w:rPr>
      </w:pPr>
      <w:r w:rsidRPr="007623E5">
        <w:rPr>
          <w:rFonts w:ascii="Calibri" w:hAnsi="Calibri" w:cs="Calibri"/>
          <w:sz w:val="22"/>
        </w:rPr>
        <w:t xml:space="preserve">Burkey, J., 2006.  A non-parametric monotonic trend test computing Mann-Kendall Tau, Tau-b, and Sen’s Slope written in Mathworks-MATLAB implemented using matrix rotations. King County, Department of Natural Resources and Parks, Science and Technical Services section.  Seattle, Washington. USA. </w:t>
      </w:r>
      <w:hyperlink r:id="rId11" w:history="1">
        <w:r w:rsidRPr="007623E5">
          <w:rPr>
            <w:rFonts w:ascii="Calibri" w:hAnsi="Calibri"/>
            <w:sz w:val="22"/>
          </w:rPr>
          <w:t>http://www.mathworks.com/matlabcentral/fileexchange/authors/23983</w:t>
        </w:r>
      </w:hyperlink>
      <w:r w:rsidRPr="007623E5">
        <w:rPr>
          <w:rFonts w:ascii="Calibri" w:hAnsi="Calibri" w:cs="Calibri"/>
          <w:sz w:val="22"/>
        </w:rPr>
        <w:t xml:space="preserve"> </w:t>
      </w:r>
    </w:p>
    <w:p w14:paraId="266A524D" w14:textId="77777777" w:rsidR="00840382" w:rsidRPr="007623E5" w:rsidRDefault="00A060DA" w:rsidP="00840382">
      <w:pPr>
        <w:spacing w:after="0" w:line="240" w:lineRule="auto"/>
        <w:ind w:left="360" w:hanging="360"/>
        <w:rPr>
          <w:noProof/>
        </w:rPr>
      </w:pPr>
      <w:r w:rsidRPr="007623E5">
        <w:rPr>
          <w:noProof/>
        </w:rPr>
        <w:t xml:space="preserve">Clarke, M.L. and Rendell, H.M. The impact of North Atlantic storminess on western European coasts: A review. </w:t>
      </w:r>
      <w:r w:rsidRPr="007623E5">
        <w:rPr>
          <w:i/>
          <w:noProof/>
        </w:rPr>
        <w:t>Quat. Int</w:t>
      </w:r>
      <w:r w:rsidRPr="007623E5">
        <w:rPr>
          <w:noProof/>
        </w:rPr>
        <w:t>., 195(1-2): 31-41 (2009).</w:t>
      </w:r>
    </w:p>
    <w:p w14:paraId="57E41DB3" w14:textId="33CE4DE4" w:rsidR="00840382" w:rsidRDefault="00A060DA" w:rsidP="00840382">
      <w:pPr>
        <w:spacing w:after="0" w:line="240" w:lineRule="auto"/>
        <w:ind w:left="360" w:hanging="360"/>
        <w:rPr>
          <w:noProof/>
        </w:rPr>
      </w:pPr>
      <w:r w:rsidRPr="007623E5">
        <w:rPr>
          <w:noProof/>
        </w:rPr>
        <w:t xml:space="preserve">Clemmensen, L.B. and Murray, A. The termination of the last major phase of aeolian sand movement, coastal dunefields, Denmark. </w:t>
      </w:r>
      <w:r w:rsidRPr="007623E5">
        <w:rPr>
          <w:i/>
          <w:noProof/>
        </w:rPr>
        <w:t>Eart.Sur. Proc. Land</w:t>
      </w:r>
      <w:r w:rsidRPr="007623E5">
        <w:rPr>
          <w:noProof/>
        </w:rPr>
        <w:t>., 31(7): 795-808 (2006).</w:t>
      </w:r>
    </w:p>
    <w:p w14:paraId="0C8EEE89" w14:textId="21561F8E" w:rsidR="00E93CAB" w:rsidRPr="007623E5" w:rsidRDefault="00E93CAB" w:rsidP="00840382">
      <w:pPr>
        <w:spacing w:after="0" w:line="240" w:lineRule="auto"/>
        <w:ind w:left="360" w:hanging="360"/>
        <w:rPr>
          <w:noProof/>
        </w:rPr>
      </w:pPr>
      <w:r w:rsidRPr="00E93CAB">
        <w:rPr>
          <w:noProof/>
        </w:rPr>
        <w:t>Clemmensen, L.B.,</w:t>
      </w:r>
      <w:r>
        <w:rPr>
          <w:noProof/>
        </w:rPr>
        <w:t xml:space="preserve"> Hansen, K.W.T., Kroon, A</w:t>
      </w:r>
      <w:r w:rsidRPr="00E93CAB">
        <w:rPr>
          <w:noProof/>
        </w:rPr>
        <w:t xml:space="preserve">. Storminess variation at Skagen, northern Denmark since AD 1860: Relations to climate change and implications for coastal dunes. </w:t>
      </w:r>
      <w:r w:rsidRPr="008A2020">
        <w:rPr>
          <w:i/>
          <w:noProof/>
        </w:rPr>
        <w:t>Aeolian Research,</w:t>
      </w:r>
      <w:r w:rsidRPr="00E93CAB">
        <w:rPr>
          <w:noProof/>
        </w:rPr>
        <w:t xml:space="preserve"> 15</w:t>
      </w:r>
      <w:r>
        <w:rPr>
          <w:noProof/>
        </w:rPr>
        <w:t>:</w:t>
      </w:r>
      <w:r w:rsidRPr="00E93CAB">
        <w:rPr>
          <w:noProof/>
        </w:rPr>
        <w:t xml:space="preserve"> 101-112.</w:t>
      </w:r>
      <w:r>
        <w:rPr>
          <w:noProof/>
        </w:rPr>
        <w:t xml:space="preserve"> (2014)</w:t>
      </w:r>
    </w:p>
    <w:p w14:paraId="6554520A" w14:textId="488AFC54" w:rsidR="00840382" w:rsidRDefault="00A060DA" w:rsidP="00840382">
      <w:pPr>
        <w:pStyle w:val="NoSpacing"/>
        <w:ind w:left="360" w:hanging="360"/>
        <w:rPr>
          <w:rFonts w:ascii="Calibri" w:hAnsi="Calibri" w:cs="Calibri"/>
          <w:sz w:val="22"/>
        </w:rPr>
      </w:pPr>
      <w:r w:rsidRPr="007623E5">
        <w:rPr>
          <w:rFonts w:ascii="Calibri" w:hAnsi="Calibri" w:cs="Calibri"/>
          <w:sz w:val="22"/>
        </w:rPr>
        <w:t>Cohen, J. A Coefficient of Agreement for Nominal Scales. Edu. Psych. Measure. 20, 37–46 (1960).</w:t>
      </w:r>
    </w:p>
    <w:p w14:paraId="27D25FFE" w14:textId="047E9F37" w:rsidR="00E93CAB" w:rsidRPr="00E93CAB" w:rsidRDefault="00E93CAB" w:rsidP="00E93CAB">
      <w:pPr>
        <w:pStyle w:val="NoSpacing"/>
        <w:ind w:left="360" w:hanging="360"/>
        <w:rPr>
          <w:rFonts w:ascii="Calibri" w:hAnsi="Calibri" w:cs="Calibri"/>
          <w:sz w:val="22"/>
        </w:rPr>
      </w:pPr>
      <w:r w:rsidRPr="00E93CAB">
        <w:rPr>
          <w:rFonts w:ascii="Calibri" w:hAnsi="Calibri" w:cs="Calibri"/>
          <w:sz w:val="22"/>
        </w:rPr>
        <w:t xml:space="preserve">Costa, P.J.M., Costas, S., González-Villanueva, R., Oliveira, M.A., Roelvink, D., Andrade, C., Freitas, M.C., Cunha, P.P., Martins, A., </w:t>
      </w:r>
      <w:r>
        <w:rPr>
          <w:rFonts w:ascii="Calibri" w:hAnsi="Calibri" w:cs="Calibri"/>
          <w:sz w:val="22"/>
        </w:rPr>
        <w:t>Buylaert, J.P., Murray, A</w:t>
      </w:r>
      <w:r w:rsidRPr="00E93CAB">
        <w:rPr>
          <w:rFonts w:ascii="Calibri" w:hAnsi="Calibri" w:cs="Calibri"/>
          <w:sz w:val="22"/>
        </w:rPr>
        <w:t xml:space="preserve">. How did the AD 1755 tsunami impact on sand barriers across the southern coast of Portugal? </w:t>
      </w:r>
      <w:r w:rsidRPr="008A2020">
        <w:rPr>
          <w:rFonts w:ascii="Calibri" w:hAnsi="Calibri" w:cs="Calibri"/>
          <w:i/>
          <w:sz w:val="22"/>
        </w:rPr>
        <w:t>Geomorphology,</w:t>
      </w:r>
      <w:r w:rsidRPr="00E93CAB">
        <w:rPr>
          <w:rFonts w:ascii="Calibri" w:hAnsi="Calibri" w:cs="Calibri"/>
          <w:sz w:val="22"/>
        </w:rPr>
        <w:t xml:space="preserve"> 268</w:t>
      </w:r>
      <w:r>
        <w:rPr>
          <w:rFonts w:ascii="Calibri" w:hAnsi="Calibri" w:cs="Calibri"/>
          <w:sz w:val="22"/>
        </w:rPr>
        <w:t>:</w:t>
      </w:r>
      <w:r w:rsidRPr="00E93CAB">
        <w:rPr>
          <w:rFonts w:ascii="Calibri" w:hAnsi="Calibri" w:cs="Calibri"/>
          <w:sz w:val="22"/>
        </w:rPr>
        <w:t xml:space="preserve"> 296-311.</w:t>
      </w:r>
      <w:r>
        <w:rPr>
          <w:rFonts w:ascii="Calibri" w:hAnsi="Calibri" w:cs="Calibri"/>
          <w:sz w:val="22"/>
        </w:rPr>
        <w:t xml:space="preserve"> (2016)</w:t>
      </w:r>
    </w:p>
    <w:p w14:paraId="16FF1010" w14:textId="06544384" w:rsidR="00E93CAB" w:rsidRPr="007623E5" w:rsidRDefault="00E93CAB" w:rsidP="00E93CAB">
      <w:pPr>
        <w:pStyle w:val="NoSpacing"/>
        <w:ind w:left="360" w:hanging="360"/>
        <w:rPr>
          <w:rFonts w:ascii="Calibri" w:hAnsi="Calibri" w:cs="Calibri"/>
          <w:sz w:val="22"/>
        </w:rPr>
      </w:pPr>
      <w:r w:rsidRPr="00E93CAB">
        <w:rPr>
          <w:rFonts w:ascii="Calibri" w:hAnsi="Calibri" w:cs="Calibri"/>
          <w:sz w:val="22"/>
        </w:rPr>
        <w:t>Costas, S., Alejo, I., Rial, F., Lorenz</w:t>
      </w:r>
      <w:r w:rsidRPr="008A2020">
        <w:rPr>
          <w:rFonts w:ascii="Calibri" w:hAnsi="Calibri" w:cs="Calibri"/>
          <w:sz w:val="22"/>
        </w:rPr>
        <w:t>o, H., Nombela, M.A</w:t>
      </w:r>
      <w:r w:rsidRPr="00E93CAB">
        <w:rPr>
          <w:rFonts w:ascii="Calibri" w:hAnsi="Calibri" w:cs="Calibri"/>
          <w:sz w:val="22"/>
        </w:rPr>
        <w:t xml:space="preserve">. Cyclical evolution of a modern transgressive sand barrier in NW-Spain elucidated by GPR and aerial photo. </w:t>
      </w:r>
      <w:r w:rsidRPr="008A2020">
        <w:rPr>
          <w:rFonts w:ascii="Calibri" w:hAnsi="Calibri" w:cs="Calibri"/>
          <w:i/>
          <w:sz w:val="22"/>
        </w:rPr>
        <w:t>Journal of Sedimentary Research,</w:t>
      </w:r>
      <w:r>
        <w:rPr>
          <w:rFonts w:ascii="Calibri" w:hAnsi="Calibri" w:cs="Calibri"/>
          <w:sz w:val="22"/>
        </w:rPr>
        <w:t xml:space="preserve"> 76:</w:t>
      </w:r>
      <w:r w:rsidRPr="00E93CAB">
        <w:rPr>
          <w:rFonts w:ascii="Calibri" w:hAnsi="Calibri" w:cs="Calibri"/>
          <w:sz w:val="22"/>
        </w:rPr>
        <w:t xml:space="preserve"> 1077-1092.</w:t>
      </w:r>
      <w:r>
        <w:rPr>
          <w:rFonts w:ascii="Calibri" w:hAnsi="Calibri" w:cs="Calibri"/>
          <w:sz w:val="22"/>
        </w:rPr>
        <w:t xml:space="preserve"> (2006)</w:t>
      </w:r>
    </w:p>
    <w:p w14:paraId="6EDC26B1" w14:textId="0B13A1AB" w:rsidR="00840382" w:rsidRPr="007623E5" w:rsidRDefault="00A060DA" w:rsidP="00840382">
      <w:pPr>
        <w:spacing w:after="0" w:line="240" w:lineRule="auto"/>
        <w:ind w:left="360" w:hanging="360"/>
        <w:rPr>
          <w:noProof/>
          <w:lang w:val="en-US"/>
        </w:rPr>
      </w:pPr>
      <w:r w:rsidRPr="008A2020">
        <w:rPr>
          <w:noProof/>
          <w:lang w:val="es-ES"/>
        </w:rPr>
        <w:t xml:space="preserve">Costas, S., Jerez, S., Trigo, R.M., Goble, R. and Rebêlo, L. </w:t>
      </w:r>
      <w:r w:rsidRPr="007623E5">
        <w:rPr>
          <w:noProof/>
        </w:rPr>
        <w:t xml:space="preserve">Sand invasion along the Portuguese coast forced by westerly shifts during cold climate events. </w:t>
      </w:r>
      <w:r w:rsidRPr="007623E5">
        <w:rPr>
          <w:i/>
          <w:noProof/>
        </w:rPr>
        <w:t>Quat. Sci. Rev</w:t>
      </w:r>
      <w:r w:rsidRPr="007623E5">
        <w:rPr>
          <w:noProof/>
        </w:rPr>
        <w:t xml:space="preserve">., </w:t>
      </w:r>
      <w:r w:rsidRPr="007623E5">
        <w:rPr>
          <w:b/>
          <w:noProof/>
        </w:rPr>
        <w:t>42</w:t>
      </w:r>
      <w:r w:rsidRPr="007623E5">
        <w:rPr>
          <w:noProof/>
        </w:rPr>
        <w:t>(0), 15–28 (2012).</w:t>
      </w:r>
    </w:p>
    <w:p w14:paraId="0EC54512" w14:textId="77777777" w:rsidR="00840382" w:rsidRPr="007623E5" w:rsidRDefault="00A060DA" w:rsidP="008A2020">
      <w:pPr>
        <w:spacing w:after="0" w:line="240" w:lineRule="auto"/>
        <w:ind w:left="357" w:hanging="357"/>
        <w:rPr>
          <w:noProof/>
        </w:rPr>
      </w:pPr>
      <w:r w:rsidRPr="007623E5">
        <w:rPr>
          <w:noProof/>
        </w:rPr>
        <w:t xml:space="preserve">Costas, S., Naughton, F., Goble, R. and Renssen, H. Windiness spells in SW Europe since the last glacial maximum. </w:t>
      </w:r>
      <w:r w:rsidRPr="007623E5">
        <w:rPr>
          <w:i/>
          <w:noProof/>
        </w:rPr>
        <w:t>Earth Planet. Sc. Lett</w:t>
      </w:r>
      <w:r w:rsidRPr="007623E5">
        <w:rPr>
          <w:noProof/>
        </w:rPr>
        <w:t xml:space="preserve">., </w:t>
      </w:r>
      <w:r w:rsidRPr="007623E5">
        <w:rPr>
          <w:b/>
          <w:noProof/>
        </w:rPr>
        <w:t>436</w:t>
      </w:r>
      <w:r w:rsidRPr="007623E5">
        <w:rPr>
          <w:noProof/>
        </w:rPr>
        <w:t>, 82-92 (2016).</w:t>
      </w:r>
    </w:p>
    <w:p w14:paraId="40F78540" w14:textId="7280DAFE" w:rsidR="00840382" w:rsidRDefault="00A060DA" w:rsidP="008A2020">
      <w:pPr>
        <w:spacing w:after="0" w:line="240" w:lineRule="auto"/>
        <w:ind w:left="357" w:hanging="357"/>
        <w:rPr>
          <w:noProof/>
        </w:rPr>
      </w:pPr>
      <w:r w:rsidRPr="007623E5">
        <w:rPr>
          <w:noProof/>
        </w:rPr>
        <w:t xml:space="preserve">da Silva, G.M. and Hesp, P.A. Increasing rainfall, decreasing winds, and historical changes in Santa Catarina dunefields, southern Brazil. </w:t>
      </w:r>
      <w:r w:rsidRPr="007623E5">
        <w:rPr>
          <w:i/>
          <w:noProof/>
        </w:rPr>
        <w:t>Earth Surface. Proc</w:t>
      </w:r>
      <w:r w:rsidRPr="007623E5">
        <w:rPr>
          <w:noProof/>
        </w:rPr>
        <w:t xml:space="preserve">., </w:t>
      </w:r>
      <w:r w:rsidRPr="007623E5">
        <w:rPr>
          <w:b/>
          <w:noProof/>
        </w:rPr>
        <w:t>38</w:t>
      </w:r>
      <w:r w:rsidRPr="007623E5">
        <w:rPr>
          <w:noProof/>
        </w:rPr>
        <w:t>(9), 1036-1045 (2013).</w:t>
      </w:r>
    </w:p>
    <w:p w14:paraId="545E3A15" w14:textId="1B82EA64" w:rsidR="00E93CAB" w:rsidRDefault="00E93CAB" w:rsidP="008A2020">
      <w:pPr>
        <w:spacing w:after="0" w:line="240" w:lineRule="auto"/>
        <w:ind w:left="357" w:hanging="357"/>
        <w:rPr>
          <w:noProof/>
        </w:rPr>
      </w:pPr>
      <w:r w:rsidRPr="00E93CAB">
        <w:rPr>
          <w:noProof/>
        </w:rPr>
        <w:t>Darke, I.B., Eamer, J.B.R., Beaugr</w:t>
      </w:r>
      <w:r>
        <w:rPr>
          <w:noProof/>
        </w:rPr>
        <w:t>and, H.E.R., Walker, I.J.</w:t>
      </w:r>
      <w:r w:rsidRPr="00E93CAB">
        <w:rPr>
          <w:noProof/>
        </w:rPr>
        <w:t xml:space="preserve"> Monitoring considerations for a dynamic dune restoration project: Pacific Rim National Park Reserve, British Columbia, Canada. </w:t>
      </w:r>
      <w:r w:rsidRPr="008A2020">
        <w:rPr>
          <w:i/>
          <w:noProof/>
        </w:rPr>
        <w:t>Earth Surface Processes and Landforms</w:t>
      </w:r>
      <w:r>
        <w:rPr>
          <w:noProof/>
        </w:rPr>
        <w:t>, 38(9):</w:t>
      </w:r>
      <w:r w:rsidRPr="00E93CAB">
        <w:rPr>
          <w:noProof/>
        </w:rPr>
        <w:t xml:space="preserve"> 983-993.</w:t>
      </w:r>
      <w:r>
        <w:rPr>
          <w:noProof/>
        </w:rPr>
        <w:t xml:space="preserve"> (2013)</w:t>
      </w:r>
    </w:p>
    <w:p w14:paraId="28233E29" w14:textId="0B2DD09A" w:rsidR="008A5860" w:rsidRPr="008A5860" w:rsidRDefault="008A5860" w:rsidP="008A2020">
      <w:pPr>
        <w:spacing w:after="0" w:line="240" w:lineRule="auto"/>
        <w:ind w:left="357" w:hanging="357"/>
        <w:rPr>
          <w:noProof/>
        </w:rPr>
      </w:pPr>
      <w:r w:rsidRPr="008A5860">
        <w:rPr>
          <w:noProof/>
        </w:rPr>
        <w:t>David R. Easterling, Gerald A. Meehl, Camille Parmesan, Stanley A. Changnon, Thomas R. Karl, Linda O. Mearns</w:t>
      </w:r>
      <w:r>
        <w:rPr>
          <w:noProof/>
        </w:rPr>
        <w:t xml:space="preserve">. </w:t>
      </w:r>
      <w:r w:rsidRPr="008A5860">
        <w:rPr>
          <w:noProof/>
        </w:rPr>
        <w:t>Climate Extremes: Observations, Modeling, and Impacts</w:t>
      </w:r>
      <w:r>
        <w:rPr>
          <w:noProof/>
        </w:rPr>
        <w:t xml:space="preserve">. </w:t>
      </w:r>
      <w:r w:rsidRPr="008A2020">
        <w:rPr>
          <w:i/>
          <w:noProof/>
        </w:rPr>
        <w:t>Science</w:t>
      </w:r>
      <w:r>
        <w:rPr>
          <w:noProof/>
        </w:rPr>
        <w:t xml:space="preserve"> 289(5487):2068-2074</w:t>
      </w:r>
      <w:r w:rsidR="00D329DB">
        <w:rPr>
          <w:noProof/>
        </w:rPr>
        <w:t xml:space="preserve"> (2000).</w:t>
      </w:r>
    </w:p>
    <w:p w14:paraId="72BFCD8D" w14:textId="0EF54A02" w:rsidR="00840382" w:rsidRPr="007623E5" w:rsidRDefault="008A5860" w:rsidP="008A2020">
      <w:pPr>
        <w:spacing w:after="0"/>
        <w:ind w:left="357" w:hanging="357"/>
        <w:rPr>
          <w:noProof/>
        </w:rPr>
      </w:pPr>
      <w:r>
        <w:rPr>
          <w:noProof/>
        </w:rPr>
        <w:lastRenderedPageBreak/>
        <w:t xml:space="preserve">DeConto, R.M., Pollard, D. </w:t>
      </w:r>
      <w:r w:rsidRPr="008A5860">
        <w:rPr>
          <w:noProof/>
        </w:rPr>
        <w:t>Contribution of Antarctica to past and future sea-level rise</w:t>
      </w:r>
      <w:r>
        <w:rPr>
          <w:noProof/>
        </w:rPr>
        <w:t xml:space="preserve">. </w:t>
      </w:r>
      <w:r w:rsidRPr="008A2020">
        <w:rPr>
          <w:i/>
          <w:noProof/>
        </w:rPr>
        <w:t>Nature</w:t>
      </w:r>
      <w:r>
        <w:rPr>
          <w:i/>
          <w:noProof/>
        </w:rPr>
        <w:t xml:space="preserve"> </w:t>
      </w:r>
      <w:r>
        <w:rPr>
          <w:noProof/>
        </w:rPr>
        <w:t>531(7596): 591-597 (2016).</w:t>
      </w:r>
      <w:r w:rsidR="00A060DA" w:rsidRPr="007623E5">
        <w:rPr>
          <w:noProof/>
        </w:rPr>
        <w:t xml:space="preserve">Donat, M.G., Lowry, A.L., Alexander, L.V., Ogorman, P.A. and Maher, N. More extreme precipitation in the world’s dry and wet regions. </w:t>
      </w:r>
      <w:r w:rsidR="00A060DA" w:rsidRPr="007623E5">
        <w:rPr>
          <w:i/>
          <w:noProof/>
        </w:rPr>
        <w:t>Nat. Clim. Change</w:t>
      </w:r>
      <w:r w:rsidR="00A060DA" w:rsidRPr="007623E5">
        <w:rPr>
          <w:noProof/>
        </w:rPr>
        <w:t xml:space="preserve">, </w:t>
      </w:r>
      <w:r w:rsidR="00A060DA" w:rsidRPr="007623E5">
        <w:rPr>
          <w:b/>
          <w:noProof/>
        </w:rPr>
        <w:t>6</w:t>
      </w:r>
      <w:r w:rsidR="00A060DA" w:rsidRPr="007623E5">
        <w:rPr>
          <w:noProof/>
        </w:rPr>
        <w:t>(5): 508-513 (2016).</w:t>
      </w:r>
    </w:p>
    <w:p w14:paraId="433D8A3E" w14:textId="77777777" w:rsidR="00840382" w:rsidRPr="007623E5" w:rsidRDefault="00A060DA" w:rsidP="00840382">
      <w:pPr>
        <w:pStyle w:val="NoSpacing"/>
        <w:ind w:left="360" w:hanging="360"/>
        <w:rPr>
          <w:rFonts w:ascii="Calibri" w:hAnsi="Calibri" w:cs="Calibri"/>
          <w:sz w:val="22"/>
        </w:rPr>
      </w:pPr>
      <w:r w:rsidRPr="007623E5">
        <w:rPr>
          <w:rFonts w:ascii="Calibri" w:hAnsi="Calibri" w:cs="Calibri"/>
          <w:sz w:val="22"/>
        </w:rPr>
        <w:t>Douglas, E.M., Vogel, R.M., Kroll, C.N., 2000. Trends in ﬂoods and low ﬂows in the United States: impact of spatial correlation. Journal of Hydrology 240, 90–105.</w:t>
      </w:r>
    </w:p>
    <w:p w14:paraId="54D00AD1" w14:textId="31127E22" w:rsidR="0098259C" w:rsidRDefault="00CC79E1" w:rsidP="00840382">
      <w:pPr>
        <w:spacing w:after="0" w:line="240" w:lineRule="auto"/>
        <w:ind w:left="360" w:hanging="360"/>
        <w:rPr>
          <w:noProof/>
        </w:rPr>
      </w:pPr>
      <w:r>
        <w:rPr>
          <w:noProof/>
        </w:rPr>
        <w:t xml:space="preserve">Delgado Fernandez, I., Smyth, T.A.G., Jackson, D.W.T., Smith, A.B., Davidson-Arnott, R.G.D. </w:t>
      </w:r>
      <w:r w:rsidRPr="00CC79E1">
        <w:rPr>
          <w:noProof/>
        </w:rPr>
        <w:t>Event‐Scale Dynamics of a Parabolic Dune and Its Relevance for Mesoscale Evolution</w:t>
      </w:r>
      <w:r>
        <w:rPr>
          <w:noProof/>
        </w:rPr>
        <w:t xml:space="preserve">. J. Geo. Res. : Earth Surface, </w:t>
      </w:r>
      <w:r w:rsidRPr="00CC79E1">
        <w:rPr>
          <w:noProof/>
        </w:rPr>
        <w:t>123, 3084–3100. https://doi.org/10.1029/2017JF004370</w:t>
      </w:r>
    </w:p>
    <w:p w14:paraId="2AED3548" w14:textId="790BCD4D" w:rsidR="00840382" w:rsidRPr="007623E5" w:rsidRDefault="00A060DA" w:rsidP="00840382">
      <w:pPr>
        <w:spacing w:after="0" w:line="240" w:lineRule="auto"/>
        <w:ind w:left="360" w:hanging="360"/>
        <w:rPr>
          <w:noProof/>
        </w:rPr>
      </w:pPr>
      <w:r w:rsidRPr="007623E5">
        <w:rPr>
          <w:noProof/>
        </w:rPr>
        <w:t xml:space="preserve">Feagin, R.A., et al. Going with the flow or against the grain? The promise of vegetation for protecting beaches, dunes, and barrier islands from erosion. </w:t>
      </w:r>
      <w:r w:rsidRPr="007623E5">
        <w:rPr>
          <w:i/>
          <w:noProof/>
        </w:rPr>
        <w:t>Front. Ecol. Env.</w:t>
      </w:r>
      <w:r w:rsidRPr="007623E5">
        <w:rPr>
          <w:noProof/>
        </w:rPr>
        <w:t xml:space="preserve">, </w:t>
      </w:r>
      <w:r w:rsidRPr="007623E5">
        <w:rPr>
          <w:b/>
          <w:noProof/>
        </w:rPr>
        <w:t>13</w:t>
      </w:r>
      <w:r w:rsidRPr="007623E5">
        <w:rPr>
          <w:noProof/>
        </w:rPr>
        <w:t>(4): 203-210 (2015).</w:t>
      </w:r>
    </w:p>
    <w:p w14:paraId="6921CCF1" w14:textId="77777777" w:rsidR="00840382" w:rsidRPr="007623E5" w:rsidRDefault="00A060DA" w:rsidP="00840382">
      <w:pPr>
        <w:spacing w:after="0" w:line="240" w:lineRule="auto"/>
        <w:ind w:left="360" w:hanging="360"/>
      </w:pPr>
      <w:r w:rsidRPr="007623E5">
        <w:t>FitzGerald, D.M., Fenster, M.S., Argow, B.A. Buynevich, I.V. 2008, Coastal impacts due to sea-level rise.  Annual Review Earth Planetary Science, 601–647 (2008)</w:t>
      </w:r>
    </w:p>
    <w:p w14:paraId="50C025D2" w14:textId="77777777" w:rsidR="00840382" w:rsidRPr="007623E5" w:rsidRDefault="00A060DA" w:rsidP="00840382">
      <w:pPr>
        <w:pStyle w:val="NoSpacing"/>
        <w:ind w:left="360" w:hanging="360"/>
        <w:rPr>
          <w:rFonts w:ascii="Calibri" w:hAnsi="Calibri" w:cs="Calibri"/>
          <w:sz w:val="22"/>
        </w:rPr>
      </w:pPr>
      <w:r w:rsidRPr="007623E5">
        <w:rPr>
          <w:rFonts w:ascii="Calibri" w:hAnsi="Calibri" w:cs="Calibri"/>
          <w:sz w:val="22"/>
        </w:rPr>
        <w:t>Fleiss, J. L., Levin, B. and Paik, M. C. Statistical Methods for Rates and Proportions.  (Wiley, 2013).</w:t>
      </w:r>
    </w:p>
    <w:p w14:paraId="7677D52F" w14:textId="77777777" w:rsidR="00840382" w:rsidRPr="007623E5" w:rsidRDefault="00A060DA" w:rsidP="00840382">
      <w:pPr>
        <w:spacing w:after="0" w:line="240" w:lineRule="auto"/>
        <w:ind w:left="360" w:hanging="360"/>
        <w:rPr>
          <w:noProof/>
          <w:lang w:val="en-US"/>
        </w:rPr>
      </w:pPr>
      <w:r w:rsidRPr="007623E5">
        <w:rPr>
          <w:noProof/>
        </w:rPr>
        <w:t xml:space="preserve">Frosini, S., Lardicci, C. and Balestri, E. Global Change and Response of Coastal Dune Plants to the Combined Effects of Increased Sand Accretion (Burial) and Nutrient Availability. </w:t>
      </w:r>
      <w:r w:rsidRPr="007623E5">
        <w:rPr>
          <w:i/>
          <w:noProof/>
          <w:lang w:val="en-US"/>
        </w:rPr>
        <w:t>PLoS ONE</w:t>
      </w:r>
      <w:r w:rsidRPr="007623E5">
        <w:rPr>
          <w:noProof/>
          <w:lang w:val="en-US"/>
        </w:rPr>
        <w:t>,</w:t>
      </w:r>
      <w:r w:rsidRPr="007623E5">
        <w:rPr>
          <w:b/>
          <w:noProof/>
          <w:lang w:val="en-US"/>
        </w:rPr>
        <w:t xml:space="preserve"> 7</w:t>
      </w:r>
      <w:r w:rsidRPr="007623E5">
        <w:rPr>
          <w:noProof/>
          <w:lang w:val="en-US"/>
        </w:rPr>
        <w:t>(10), e47561 (2012).</w:t>
      </w:r>
    </w:p>
    <w:p w14:paraId="6E3A5B7D" w14:textId="77777777" w:rsidR="00840382" w:rsidRPr="007623E5" w:rsidRDefault="00A060DA" w:rsidP="00840382">
      <w:pPr>
        <w:spacing w:after="0" w:line="240" w:lineRule="auto"/>
        <w:ind w:left="360" w:hanging="360"/>
        <w:rPr>
          <w:noProof/>
        </w:rPr>
      </w:pPr>
      <w:r w:rsidRPr="007623E5">
        <w:rPr>
          <w:noProof/>
        </w:rPr>
        <w:t xml:space="preserve">Galloway, J.N., Townsend, A.R., Erisman, J.W., Bekunda, M., Cai, Z., Freney, J.R., Martinelli, L.A., Seitzinger, S.P. and Sutton, M.A.,. Transformation of the Nitrogen cycle: recent trends, questions and potential solutions. </w:t>
      </w:r>
      <w:r w:rsidRPr="007623E5">
        <w:rPr>
          <w:i/>
          <w:noProof/>
        </w:rPr>
        <w:t>Science</w:t>
      </w:r>
      <w:r w:rsidRPr="007623E5">
        <w:rPr>
          <w:noProof/>
        </w:rPr>
        <w:t xml:space="preserve">, </w:t>
      </w:r>
      <w:r w:rsidRPr="008A2020">
        <w:rPr>
          <w:noProof/>
        </w:rPr>
        <w:t>320</w:t>
      </w:r>
      <w:r w:rsidRPr="007623E5">
        <w:rPr>
          <w:noProof/>
        </w:rPr>
        <w:t>(5878), 889-892 (2008).</w:t>
      </w:r>
    </w:p>
    <w:p w14:paraId="4FD4CE82" w14:textId="0866CE81" w:rsidR="00840382" w:rsidRDefault="00A060DA" w:rsidP="00840382">
      <w:pPr>
        <w:pStyle w:val="NoSpacing"/>
        <w:ind w:left="360" w:hanging="360"/>
        <w:rPr>
          <w:rFonts w:ascii="Calibri" w:hAnsi="Calibri" w:cs="Calibri"/>
          <w:sz w:val="22"/>
        </w:rPr>
      </w:pPr>
      <w:r w:rsidRPr="007623E5">
        <w:rPr>
          <w:rFonts w:ascii="Calibri" w:hAnsi="Calibri" w:cs="Calibri"/>
          <w:sz w:val="22"/>
        </w:rPr>
        <w:t>Gilbert, R.O., 1987. Statistical Methods for Environmental Pollution Monitoring. John Wiley &amp; Sons, New York.</w:t>
      </w:r>
    </w:p>
    <w:p w14:paraId="6B0CEBF9" w14:textId="3D56CCB6" w:rsidR="00E93CAB" w:rsidRPr="007623E5" w:rsidRDefault="00E93CAB" w:rsidP="00840382">
      <w:pPr>
        <w:pStyle w:val="NoSpacing"/>
        <w:ind w:left="360" w:hanging="360"/>
        <w:rPr>
          <w:rFonts w:ascii="Calibri" w:hAnsi="Calibri" w:cs="Calibri"/>
          <w:sz w:val="22"/>
        </w:rPr>
      </w:pPr>
      <w:r w:rsidRPr="00E93CAB">
        <w:rPr>
          <w:rFonts w:ascii="Calibri" w:hAnsi="Calibri" w:cs="Calibri"/>
          <w:sz w:val="22"/>
        </w:rPr>
        <w:t>G</w:t>
      </w:r>
      <w:r>
        <w:rPr>
          <w:rFonts w:ascii="Calibri" w:hAnsi="Calibri" w:cs="Calibri"/>
          <w:sz w:val="22"/>
        </w:rPr>
        <w:t>irardi, J.D., Davis, D.M.</w:t>
      </w:r>
      <w:r w:rsidRPr="00E93CAB">
        <w:rPr>
          <w:rFonts w:ascii="Calibri" w:hAnsi="Calibri" w:cs="Calibri"/>
          <w:sz w:val="22"/>
        </w:rPr>
        <w:t xml:space="preserve"> Parabolic dune reactivation and migration at Napeague, NY, USA: Insights from aerial and GPR imagery. </w:t>
      </w:r>
      <w:r w:rsidRPr="008A2020">
        <w:rPr>
          <w:rFonts w:ascii="Calibri" w:hAnsi="Calibri" w:cs="Calibri"/>
          <w:i/>
          <w:sz w:val="22"/>
        </w:rPr>
        <w:t>Geomorphology</w:t>
      </w:r>
      <w:r>
        <w:rPr>
          <w:rFonts w:ascii="Calibri" w:hAnsi="Calibri" w:cs="Calibri"/>
          <w:sz w:val="22"/>
        </w:rPr>
        <w:t>, 114(4):</w:t>
      </w:r>
      <w:r w:rsidRPr="00E93CAB">
        <w:rPr>
          <w:rFonts w:ascii="Calibri" w:hAnsi="Calibri" w:cs="Calibri"/>
          <w:sz w:val="22"/>
        </w:rPr>
        <w:t xml:space="preserve"> 530-541.</w:t>
      </w:r>
      <w:r>
        <w:rPr>
          <w:rFonts w:ascii="Calibri" w:hAnsi="Calibri" w:cs="Calibri"/>
          <w:sz w:val="22"/>
        </w:rPr>
        <w:t xml:space="preserve"> (2010)</w:t>
      </w:r>
    </w:p>
    <w:p w14:paraId="3203340F" w14:textId="77777777" w:rsidR="00840382" w:rsidRPr="007623E5" w:rsidRDefault="00A060DA" w:rsidP="00840382">
      <w:pPr>
        <w:pStyle w:val="NoSpacing"/>
        <w:ind w:left="360" w:hanging="360"/>
        <w:rPr>
          <w:rFonts w:ascii="Calibri" w:hAnsi="Calibri" w:cs="Calibri"/>
          <w:sz w:val="22"/>
        </w:rPr>
      </w:pPr>
      <w:r w:rsidRPr="007623E5">
        <w:rPr>
          <w:rFonts w:ascii="Calibri" w:hAnsi="Calibri" w:cs="Calibri"/>
          <w:sz w:val="22"/>
        </w:rPr>
        <w:t>Gocic, M., Trajkovic, S., 2013. Analysis of changes in meteorological variables using Mann-Kendall and Sen’s slope estimator statistical tests in Serbia. Global and Planetary Change 100, 172-182.</w:t>
      </w:r>
    </w:p>
    <w:p w14:paraId="3FF0ED54" w14:textId="77777777" w:rsidR="00840382" w:rsidRPr="007623E5" w:rsidRDefault="00A060DA" w:rsidP="00840382">
      <w:pPr>
        <w:spacing w:after="0" w:line="240" w:lineRule="auto"/>
        <w:ind w:left="360" w:hanging="360"/>
      </w:pPr>
      <w:r w:rsidRPr="007623E5">
        <w:rPr>
          <w:noProof/>
        </w:rPr>
        <w:t xml:space="preserve">Goldstein, E.B., Moore, L.J. and Durán Vinent, O. Vegetation controls on maximum coastal foredune "hummockiness" and annealing time. </w:t>
      </w:r>
      <w:r w:rsidRPr="007623E5">
        <w:rPr>
          <w:i/>
          <w:noProof/>
        </w:rPr>
        <w:t>Earth Surf. Dynam</w:t>
      </w:r>
      <w:r w:rsidRPr="007623E5">
        <w:rPr>
          <w:noProof/>
        </w:rPr>
        <w:t>., 1-15 (2017)</w:t>
      </w:r>
    </w:p>
    <w:p w14:paraId="18CD8D1B" w14:textId="77777777" w:rsidR="00840382" w:rsidRPr="007623E5" w:rsidRDefault="00A060DA" w:rsidP="00840382">
      <w:pPr>
        <w:spacing w:after="0" w:line="240" w:lineRule="auto"/>
        <w:ind w:left="360" w:hanging="360"/>
        <w:rPr>
          <w:noProof/>
        </w:rPr>
      </w:pPr>
      <w:r w:rsidRPr="007623E5">
        <w:rPr>
          <w:noProof/>
        </w:rPr>
        <w:t xml:space="preserve">González-Villanueva, R., Costas, S., Pérez-Arlucea, M., Jerez, S. and Trigo, R.M. Impact of atmospheric circulation patterns on coastal dune dynamics, NW Spain. </w:t>
      </w:r>
      <w:r w:rsidRPr="007623E5">
        <w:rPr>
          <w:i/>
          <w:noProof/>
        </w:rPr>
        <w:t>Geomorphology</w:t>
      </w:r>
      <w:r w:rsidRPr="007623E5">
        <w:rPr>
          <w:noProof/>
        </w:rPr>
        <w:t xml:space="preserve">, </w:t>
      </w:r>
      <w:r w:rsidRPr="008A2020">
        <w:rPr>
          <w:noProof/>
        </w:rPr>
        <w:t>185</w:t>
      </w:r>
      <w:r w:rsidRPr="007623E5">
        <w:rPr>
          <w:noProof/>
        </w:rPr>
        <w:t>, 96-109 (2013).</w:t>
      </w:r>
    </w:p>
    <w:p w14:paraId="20AAF344" w14:textId="77777777" w:rsidR="00840382" w:rsidRPr="007623E5" w:rsidRDefault="00A060DA" w:rsidP="00840382">
      <w:pPr>
        <w:spacing w:after="0" w:line="240" w:lineRule="auto"/>
        <w:ind w:left="360" w:hanging="360"/>
        <w:rPr>
          <w:noProof/>
        </w:rPr>
      </w:pPr>
      <w:r w:rsidRPr="007623E5">
        <w:rPr>
          <w:noProof/>
        </w:rPr>
        <w:t xml:space="preserve">Hansen, J., Ruedy, R., Sato, M. and Lo, K. Global surface temperature change. </w:t>
      </w:r>
      <w:r w:rsidRPr="007623E5">
        <w:rPr>
          <w:i/>
          <w:noProof/>
        </w:rPr>
        <w:t>Rev. Geophys.</w:t>
      </w:r>
      <w:r w:rsidRPr="007623E5">
        <w:rPr>
          <w:noProof/>
        </w:rPr>
        <w:t xml:space="preserve">, </w:t>
      </w:r>
      <w:r w:rsidRPr="007623E5">
        <w:rPr>
          <w:b/>
          <w:noProof/>
        </w:rPr>
        <w:t>48</w:t>
      </w:r>
      <w:r w:rsidRPr="007623E5">
        <w:rPr>
          <w:noProof/>
        </w:rPr>
        <w:t>(4) (2010).</w:t>
      </w:r>
    </w:p>
    <w:p w14:paraId="594342DB" w14:textId="674C0A7A" w:rsidR="00840382" w:rsidRDefault="00A060DA" w:rsidP="00840382">
      <w:pPr>
        <w:pStyle w:val="NoSpacing"/>
        <w:ind w:left="360" w:hanging="360"/>
        <w:rPr>
          <w:rFonts w:ascii="Calibri" w:hAnsi="Calibri" w:cs="Calibri"/>
          <w:color w:val="222222"/>
          <w:sz w:val="22"/>
        </w:rPr>
      </w:pPr>
      <w:r w:rsidRPr="007623E5">
        <w:rPr>
          <w:rFonts w:ascii="Calibri" w:hAnsi="Calibri" w:cs="Calibri"/>
          <w:color w:val="222222"/>
          <w:sz w:val="22"/>
        </w:rPr>
        <w:t xml:space="preserve">Helsel, D.R. and Hirsch, R.M. Trend analysis. </w:t>
      </w:r>
      <w:r w:rsidRPr="007623E5">
        <w:rPr>
          <w:rFonts w:ascii="Calibri" w:hAnsi="Calibri" w:cs="Calibri"/>
          <w:i/>
          <w:iCs/>
          <w:color w:val="222222"/>
          <w:sz w:val="22"/>
        </w:rPr>
        <w:t>Statistical methods in water resources</w:t>
      </w:r>
      <w:r w:rsidRPr="007623E5">
        <w:rPr>
          <w:rFonts w:ascii="Calibri" w:hAnsi="Calibri" w:cs="Calibri"/>
          <w:color w:val="222222"/>
          <w:sz w:val="22"/>
        </w:rPr>
        <w:t>,</w:t>
      </w:r>
      <w:r w:rsidR="00D329DB">
        <w:rPr>
          <w:rFonts w:ascii="Calibri" w:hAnsi="Calibri" w:cs="Calibri"/>
          <w:color w:val="222222"/>
          <w:sz w:val="22"/>
        </w:rPr>
        <w:t xml:space="preserve"> </w:t>
      </w:r>
      <w:r w:rsidRPr="007623E5">
        <w:rPr>
          <w:rFonts w:ascii="Calibri" w:hAnsi="Calibri" w:cs="Calibri"/>
          <w:color w:val="222222"/>
          <w:sz w:val="22"/>
        </w:rPr>
        <w:t>323-355.</w:t>
      </w:r>
      <w:r w:rsidR="00D329DB">
        <w:rPr>
          <w:rFonts w:ascii="Calibri" w:hAnsi="Calibri" w:cs="Calibri"/>
          <w:color w:val="222222"/>
          <w:sz w:val="22"/>
        </w:rPr>
        <w:t xml:space="preserve"> (</w:t>
      </w:r>
      <w:r w:rsidR="00D329DB" w:rsidRPr="007623E5">
        <w:rPr>
          <w:rFonts w:ascii="Calibri" w:hAnsi="Calibri" w:cs="Calibri"/>
          <w:color w:val="222222"/>
          <w:sz w:val="22"/>
        </w:rPr>
        <w:t>2002</w:t>
      </w:r>
      <w:r w:rsidR="00D329DB">
        <w:rPr>
          <w:rFonts w:ascii="Calibri" w:hAnsi="Calibri" w:cs="Calibri"/>
          <w:color w:val="222222"/>
          <w:sz w:val="22"/>
        </w:rPr>
        <w:t>)</w:t>
      </w:r>
    </w:p>
    <w:p w14:paraId="3C99ED86" w14:textId="7E932DE3" w:rsidR="00E93CAB" w:rsidRPr="007623E5" w:rsidRDefault="00E93CAB" w:rsidP="00840382">
      <w:pPr>
        <w:pStyle w:val="NoSpacing"/>
        <w:ind w:left="360" w:hanging="360"/>
        <w:rPr>
          <w:rFonts w:ascii="Calibri" w:hAnsi="Calibri" w:cs="Calibri"/>
          <w:sz w:val="22"/>
        </w:rPr>
      </w:pPr>
      <w:r w:rsidRPr="00E93CAB">
        <w:rPr>
          <w:rFonts w:ascii="Calibri" w:hAnsi="Calibri" w:cs="Calibri"/>
          <w:sz w:val="22"/>
        </w:rPr>
        <w:t>Hilbert, N.N., Guedes</w:t>
      </w:r>
      <w:r>
        <w:rPr>
          <w:rFonts w:ascii="Calibri" w:hAnsi="Calibri" w:cs="Calibri"/>
          <w:sz w:val="22"/>
        </w:rPr>
        <w:t>, C.C.F., Giannini, P.C.F</w:t>
      </w:r>
      <w:r w:rsidRPr="00E93CAB">
        <w:rPr>
          <w:rFonts w:ascii="Calibri" w:hAnsi="Calibri" w:cs="Calibri"/>
          <w:sz w:val="22"/>
        </w:rPr>
        <w:t xml:space="preserve">. Morphologic and sedimentologic patterns of active aeolian dune-fields on the east coast of Maranhão, northeast Brazil. </w:t>
      </w:r>
      <w:r w:rsidRPr="008A2020">
        <w:rPr>
          <w:rFonts w:ascii="Calibri" w:hAnsi="Calibri" w:cs="Calibri"/>
          <w:i/>
          <w:sz w:val="22"/>
        </w:rPr>
        <w:t>Earth Surface Processes and Landforms</w:t>
      </w:r>
      <w:r>
        <w:rPr>
          <w:rFonts w:ascii="Calibri" w:hAnsi="Calibri" w:cs="Calibri"/>
          <w:sz w:val="22"/>
        </w:rPr>
        <w:t>, 41(1):</w:t>
      </w:r>
      <w:r w:rsidRPr="00E93CAB">
        <w:rPr>
          <w:rFonts w:ascii="Calibri" w:hAnsi="Calibri" w:cs="Calibri"/>
          <w:sz w:val="22"/>
        </w:rPr>
        <w:t xml:space="preserve"> 87-97.</w:t>
      </w:r>
      <w:r>
        <w:rPr>
          <w:rFonts w:ascii="Calibri" w:hAnsi="Calibri" w:cs="Calibri"/>
          <w:sz w:val="22"/>
        </w:rPr>
        <w:t>(2016)</w:t>
      </w:r>
    </w:p>
    <w:p w14:paraId="0468AC85" w14:textId="77777777" w:rsidR="00840382" w:rsidRPr="007623E5" w:rsidRDefault="00A060DA" w:rsidP="00840382">
      <w:pPr>
        <w:spacing w:after="0" w:line="240" w:lineRule="auto"/>
        <w:ind w:left="360" w:hanging="360"/>
      </w:pPr>
      <w:r w:rsidRPr="007623E5">
        <w:t xml:space="preserve">Houser C., Hapke, C., Hamilton, S. Controls on coastal dune morphology, shoreline erosion and barrier island response to extreme storms. Geomorphology, </w:t>
      </w:r>
      <w:r w:rsidRPr="008A2020">
        <w:rPr>
          <w:b/>
        </w:rPr>
        <w:t>100</w:t>
      </w:r>
      <w:r w:rsidRPr="007623E5">
        <w:t>, 223–240. (2008)</w:t>
      </w:r>
    </w:p>
    <w:p w14:paraId="3EAF1F71" w14:textId="77777777" w:rsidR="00840382" w:rsidRPr="007623E5" w:rsidRDefault="00A060DA" w:rsidP="00840382">
      <w:pPr>
        <w:spacing w:after="0" w:line="240" w:lineRule="auto"/>
        <w:ind w:left="360" w:hanging="360"/>
        <w:rPr>
          <w:noProof/>
        </w:rPr>
      </w:pPr>
      <w:r w:rsidRPr="007623E5">
        <w:rPr>
          <w:noProof/>
        </w:rPr>
        <w:t xml:space="preserve">Hughes, L. Biological consequences of global warming: is the signal already apparent? Trends in Ecology &amp; Evolution, </w:t>
      </w:r>
      <w:r w:rsidRPr="007623E5">
        <w:rPr>
          <w:b/>
          <w:noProof/>
        </w:rPr>
        <w:t>15</w:t>
      </w:r>
      <w:r w:rsidRPr="007623E5">
        <w:rPr>
          <w:noProof/>
        </w:rPr>
        <w:t>(2), 56-61 (2000).</w:t>
      </w:r>
    </w:p>
    <w:p w14:paraId="5F560392" w14:textId="77777777" w:rsidR="00840382" w:rsidRDefault="00A060DA" w:rsidP="00840382">
      <w:pPr>
        <w:spacing w:after="0" w:line="240" w:lineRule="auto"/>
        <w:ind w:left="360" w:hanging="360"/>
        <w:rPr>
          <w:noProof/>
        </w:rPr>
      </w:pPr>
      <w:r w:rsidRPr="007623E5">
        <w:rPr>
          <w:noProof/>
        </w:rPr>
        <w:t xml:space="preserve">Jackson, D.W.T. and Cooper, J.A.G. Coastal dune fields in Ireland: rapid regional response to climatic change. </w:t>
      </w:r>
      <w:r w:rsidRPr="007623E5">
        <w:rPr>
          <w:i/>
          <w:noProof/>
        </w:rPr>
        <w:t>J. Coastal. Res</w:t>
      </w:r>
      <w:r w:rsidRPr="007623E5">
        <w:rPr>
          <w:noProof/>
        </w:rPr>
        <w:t>., SI</w:t>
      </w:r>
      <w:r w:rsidRPr="007623E5">
        <w:rPr>
          <w:b/>
          <w:noProof/>
        </w:rPr>
        <w:t>64</w:t>
      </w:r>
      <w:r w:rsidRPr="007623E5">
        <w:rPr>
          <w:noProof/>
        </w:rPr>
        <w:t>, 293-297 (2011).</w:t>
      </w:r>
    </w:p>
    <w:p w14:paraId="01D3E9DC" w14:textId="08FDE44C" w:rsidR="00014000" w:rsidRDefault="00A060DA" w:rsidP="00840382">
      <w:pPr>
        <w:spacing w:after="0" w:line="240" w:lineRule="auto"/>
        <w:ind w:left="360" w:hanging="360"/>
        <w:rPr>
          <w:noProof/>
        </w:rPr>
      </w:pPr>
      <w:r w:rsidRPr="00014000">
        <w:rPr>
          <w:noProof/>
        </w:rPr>
        <w:t>Jackson, D.W.T., Co</w:t>
      </w:r>
      <w:r>
        <w:rPr>
          <w:noProof/>
        </w:rPr>
        <w:t>stas, S. and Guisado-Pintado, E</w:t>
      </w:r>
      <w:r w:rsidRPr="00014000">
        <w:rPr>
          <w:noProof/>
        </w:rPr>
        <w:t xml:space="preserve">. Large-scale transgressive coastal dune behaviour in Europe during the Little Ice Age. </w:t>
      </w:r>
      <w:r w:rsidRPr="008A2020">
        <w:rPr>
          <w:i/>
          <w:noProof/>
        </w:rPr>
        <w:t>Global and Planetary Change</w:t>
      </w:r>
      <w:r w:rsidRPr="00014000">
        <w:rPr>
          <w:noProof/>
        </w:rPr>
        <w:t xml:space="preserve">, </w:t>
      </w:r>
      <w:r w:rsidRPr="008A2020">
        <w:rPr>
          <w:b/>
          <w:noProof/>
        </w:rPr>
        <w:t>175</w:t>
      </w:r>
      <w:r w:rsidRPr="00014000">
        <w:rPr>
          <w:noProof/>
        </w:rPr>
        <w:t>, 82-91.</w:t>
      </w:r>
      <w:r>
        <w:rPr>
          <w:noProof/>
        </w:rPr>
        <w:t xml:space="preserve"> (2019).</w:t>
      </w:r>
    </w:p>
    <w:p w14:paraId="0F2BFF52" w14:textId="7575C4EF" w:rsidR="008A5860" w:rsidRPr="008A5860" w:rsidRDefault="008A5860" w:rsidP="008A5860">
      <w:pPr>
        <w:spacing w:after="0" w:line="240" w:lineRule="auto"/>
        <w:ind w:left="360" w:hanging="360"/>
        <w:rPr>
          <w:noProof/>
        </w:rPr>
      </w:pPr>
      <w:r w:rsidRPr="008A5860">
        <w:rPr>
          <w:noProof/>
        </w:rPr>
        <w:lastRenderedPageBreak/>
        <w:t xml:space="preserve">Jackson, L. P., &amp; Jevrejeva, S. A probabilistic approach to 21st century regional sea‐level projections using RCP and high‐end scenarios. </w:t>
      </w:r>
      <w:r w:rsidRPr="008A2020">
        <w:rPr>
          <w:i/>
          <w:noProof/>
        </w:rPr>
        <w:t>Global and Planetary Change</w:t>
      </w:r>
      <w:r w:rsidRPr="008A5860">
        <w:rPr>
          <w:noProof/>
        </w:rPr>
        <w:t xml:space="preserve">, </w:t>
      </w:r>
      <w:r w:rsidRPr="008A2020">
        <w:rPr>
          <w:b/>
          <w:noProof/>
        </w:rPr>
        <w:t>146</w:t>
      </w:r>
      <w:r w:rsidRPr="008A5860">
        <w:rPr>
          <w:noProof/>
        </w:rPr>
        <w:t>, 179–189. (2016).</w:t>
      </w:r>
    </w:p>
    <w:p w14:paraId="15A46E3A" w14:textId="19BDEBB0" w:rsidR="00DD024E" w:rsidRDefault="00DD024E" w:rsidP="00840382">
      <w:pPr>
        <w:spacing w:after="0" w:line="240" w:lineRule="auto"/>
        <w:ind w:left="360" w:hanging="360"/>
        <w:rPr>
          <w:noProof/>
        </w:rPr>
      </w:pPr>
      <w:r>
        <w:rPr>
          <w:noProof/>
        </w:rPr>
        <w:t>Jevrejeva, S.</w:t>
      </w:r>
      <w:r w:rsidRPr="00DD024E">
        <w:rPr>
          <w:noProof/>
        </w:rPr>
        <w:t xml:space="preserve"> </w:t>
      </w:r>
      <w:r>
        <w:rPr>
          <w:noProof/>
        </w:rPr>
        <w:t>Jackson, L.P.,</w:t>
      </w:r>
      <w:r w:rsidRPr="00DD024E">
        <w:rPr>
          <w:noProof/>
        </w:rPr>
        <w:t xml:space="preserve"> Riva, </w:t>
      </w:r>
      <w:r>
        <w:rPr>
          <w:noProof/>
        </w:rPr>
        <w:t>R.</w:t>
      </w:r>
      <w:r w:rsidRPr="00DD024E">
        <w:rPr>
          <w:noProof/>
        </w:rPr>
        <w:t xml:space="preserve"> E.M.; G</w:t>
      </w:r>
      <w:r>
        <w:rPr>
          <w:noProof/>
        </w:rPr>
        <w:t>rinsted, A., Moore, J. C.</w:t>
      </w:r>
      <w:r w:rsidRPr="00DD024E">
        <w:rPr>
          <w:noProof/>
        </w:rPr>
        <w:t xml:space="preserve"> Coastal sea level rise with warming above 2°C. </w:t>
      </w:r>
      <w:r w:rsidRPr="008A2020">
        <w:rPr>
          <w:i/>
          <w:noProof/>
        </w:rPr>
        <w:t>Proc. Nat. Acad. Sci</w:t>
      </w:r>
      <w:r>
        <w:rPr>
          <w:noProof/>
        </w:rPr>
        <w:t xml:space="preserve">., </w:t>
      </w:r>
      <w:r w:rsidRPr="008A2020">
        <w:rPr>
          <w:b/>
          <w:noProof/>
        </w:rPr>
        <w:t>113</w:t>
      </w:r>
      <w:r>
        <w:rPr>
          <w:noProof/>
        </w:rPr>
        <w:t xml:space="preserve"> (47), 13342-13347 (2016).</w:t>
      </w:r>
    </w:p>
    <w:p w14:paraId="5187ADF4" w14:textId="5BFA608C" w:rsidR="009C7DED" w:rsidRDefault="009C7DED" w:rsidP="00840382">
      <w:pPr>
        <w:spacing w:after="0" w:line="240" w:lineRule="auto"/>
        <w:ind w:left="360" w:hanging="360"/>
        <w:rPr>
          <w:noProof/>
        </w:rPr>
      </w:pPr>
      <w:r w:rsidRPr="009C7DED">
        <w:rPr>
          <w:noProof/>
        </w:rPr>
        <w:t>Jevrejeva, S.</w:t>
      </w:r>
      <w:r>
        <w:rPr>
          <w:noProof/>
        </w:rPr>
        <w:t>,</w:t>
      </w:r>
      <w:r w:rsidRPr="009C7DED">
        <w:rPr>
          <w:noProof/>
        </w:rPr>
        <w:t xml:space="preserve"> Jackson, L</w:t>
      </w:r>
      <w:r>
        <w:rPr>
          <w:noProof/>
        </w:rPr>
        <w:t>.</w:t>
      </w:r>
      <w:r w:rsidRPr="009C7DED">
        <w:rPr>
          <w:noProof/>
        </w:rPr>
        <w:t>P</w:t>
      </w:r>
      <w:r>
        <w:rPr>
          <w:noProof/>
        </w:rPr>
        <w:t>.,</w:t>
      </w:r>
      <w:r w:rsidRPr="009C7DED">
        <w:rPr>
          <w:noProof/>
        </w:rPr>
        <w:t xml:space="preserve"> Grinsted, A</w:t>
      </w:r>
      <w:r>
        <w:rPr>
          <w:noProof/>
        </w:rPr>
        <w:t>., Lincke, D. and</w:t>
      </w:r>
      <w:r w:rsidRPr="009C7DED">
        <w:rPr>
          <w:noProof/>
        </w:rPr>
        <w:t xml:space="preserve"> Marzeion, B. Flood damage costs under the sea level rise with warming of 1.5 °C and 2 °C. </w:t>
      </w:r>
      <w:r w:rsidRPr="008A2020">
        <w:rPr>
          <w:i/>
          <w:noProof/>
        </w:rPr>
        <w:t>Env Res Lett</w:t>
      </w:r>
      <w:r>
        <w:rPr>
          <w:noProof/>
        </w:rPr>
        <w:t>.</w:t>
      </w:r>
      <w:r w:rsidR="00DD024E">
        <w:rPr>
          <w:noProof/>
        </w:rPr>
        <w:t xml:space="preserve">, </w:t>
      </w:r>
      <w:r w:rsidR="00DD024E" w:rsidRPr="008A2020">
        <w:rPr>
          <w:b/>
          <w:noProof/>
        </w:rPr>
        <w:t>13</w:t>
      </w:r>
      <w:r w:rsidR="00DD024E">
        <w:rPr>
          <w:noProof/>
        </w:rPr>
        <w:t xml:space="preserve"> (7). 074014 (</w:t>
      </w:r>
      <w:r w:rsidR="00DD024E" w:rsidRPr="009C7DED">
        <w:rPr>
          <w:noProof/>
        </w:rPr>
        <w:t>2018</w:t>
      </w:r>
      <w:r w:rsidR="00DD024E">
        <w:rPr>
          <w:noProof/>
        </w:rPr>
        <w:t>).</w:t>
      </w:r>
    </w:p>
    <w:p w14:paraId="06885E39" w14:textId="6B3AD88A" w:rsidR="00CB78D5" w:rsidRDefault="00A060DA" w:rsidP="008A2020">
      <w:pPr>
        <w:contextualSpacing/>
        <w:rPr>
          <w:rFonts w:cs="Calibri"/>
        </w:rPr>
      </w:pPr>
      <w:r w:rsidRPr="007623E5">
        <w:rPr>
          <w:noProof/>
        </w:rPr>
        <w:t>Keenan, T.F., Prentice, I.C., Canadell, J.G., Williams, C.A., Wang, H., Raupach, M. and Collatz, G.J.. Recent pause in the growth rate of atmospheric CO</w:t>
      </w:r>
      <w:r w:rsidRPr="007623E5">
        <w:rPr>
          <w:noProof/>
          <w:vertAlign w:val="subscript"/>
        </w:rPr>
        <w:t>2</w:t>
      </w:r>
      <w:r w:rsidRPr="007623E5">
        <w:rPr>
          <w:noProof/>
        </w:rPr>
        <w:t xml:space="preserve"> due to enhanced terrestrial carbon uptake.</w:t>
      </w:r>
      <w:r w:rsidRPr="007623E5">
        <w:t xml:space="preserve"> </w:t>
      </w:r>
      <w:r w:rsidRPr="007623E5">
        <w:rPr>
          <w:i/>
          <w:noProof/>
        </w:rPr>
        <w:t>Nat. Comms</w:t>
      </w:r>
      <w:r w:rsidRPr="007623E5">
        <w:rPr>
          <w:noProof/>
        </w:rPr>
        <w:t xml:space="preserve">, </w:t>
      </w:r>
      <w:r w:rsidRPr="007623E5">
        <w:rPr>
          <w:b/>
          <w:noProof/>
        </w:rPr>
        <w:t>7</w:t>
      </w:r>
      <w:r w:rsidRPr="007623E5">
        <w:rPr>
          <w:noProof/>
        </w:rPr>
        <w:t>, 13428 7 (2016).</w:t>
      </w:r>
    </w:p>
    <w:p w14:paraId="7AFAD08C" w14:textId="4A8FB7BB" w:rsidR="00840382" w:rsidRPr="007623E5" w:rsidRDefault="00A060DA" w:rsidP="008A2020">
      <w:pPr>
        <w:contextualSpacing/>
        <w:rPr>
          <w:rFonts w:cs="Calibri"/>
        </w:rPr>
      </w:pPr>
      <w:r w:rsidRPr="007623E5">
        <w:rPr>
          <w:rFonts w:cs="Calibri"/>
        </w:rPr>
        <w:t>Kendall, M.G., 1975. Rank Correlation Methods. Grifﬁn, London, UK.</w:t>
      </w:r>
    </w:p>
    <w:p w14:paraId="043E4EBE" w14:textId="77777777" w:rsidR="00E67FDB" w:rsidRDefault="00A060DA" w:rsidP="00840382">
      <w:pPr>
        <w:spacing w:after="0" w:line="240" w:lineRule="auto"/>
        <w:ind w:left="360" w:hanging="360"/>
        <w:contextualSpacing/>
        <w:rPr>
          <w:noProof/>
        </w:rPr>
      </w:pPr>
      <w:r w:rsidRPr="007623E5">
        <w:rPr>
          <w:noProof/>
        </w:rPr>
        <w:t xml:space="preserve">Lehmann, J., Coumou, D. and Frieler, K. Increased record-breaking precipitation events under global warming. </w:t>
      </w:r>
      <w:r w:rsidRPr="007623E5">
        <w:rPr>
          <w:i/>
          <w:noProof/>
        </w:rPr>
        <w:t>Clim. Change</w:t>
      </w:r>
      <w:r w:rsidRPr="007623E5">
        <w:rPr>
          <w:noProof/>
        </w:rPr>
        <w:t xml:space="preserve">, </w:t>
      </w:r>
      <w:r w:rsidRPr="007623E5">
        <w:rPr>
          <w:b/>
          <w:noProof/>
        </w:rPr>
        <w:t>132</w:t>
      </w:r>
      <w:r w:rsidRPr="007623E5">
        <w:rPr>
          <w:noProof/>
        </w:rPr>
        <w:t>(4), 501-515 (2015)</w:t>
      </w:r>
    </w:p>
    <w:p w14:paraId="655F7349" w14:textId="3C3E7E79" w:rsidR="00E67FDB" w:rsidRDefault="00E67FDB" w:rsidP="00E67FDB">
      <w:pPr>
        <w:contextualSpacing/>
      </w:pPr>
      <w:r>
        <w:t xml:space="preserve">Luijendijk, A., Hagenaars, G., Ranasinghe, R., Baart, F., Donchyts, G. and Aarninkhof, S. The State of the World’s Beaches. Scientific Reports, 8: 6641. </w:t>
      </w:r>
      <w:r w:rsidR="00D329DB">
        <w:t>(2018)</w:t>
      </w:r>
    </w:p>
    <w:p w14:paraId="68D3DCD6" w14:textId="72790F4B" w:rsidR="00840382" w:rsidRPr="007623E5" w:rsidRDefault="00A060DA" w:rsidP="008A2020">
      <w:pPr>
        <w:spacing w:after="0" w:line="240" w:lineRule="auto"/>
        <w:ind w:left="360" w:hanging="360"/>
        <w:contextualSpacing/>
        <w:rPr>
          <w:rFonts w:cs="Calibri"/>
        </w:rPr>
      </w:pPr>
      <w:r w:rsidRPr="007623E5">
        <w:rPr>
          <w:rFonts w:cs="Calibri"/>
        </w:rPr>
        <w:t>Mann, H.B. Nonparametric tests against trend. Econometrica 13, 245–259</w:t>
      </w:r>
      <w:r w:rsidR="00D329DB">
        <w:rPr>
          <w:rFonts w:cs="Calibri"/>
        </w:rPr>
        <w:t xml:space="preserve"> (</w:t>
      </w:r>
      <w:r w:rsidR="00D329DB" w:rsidRPr="007623E5">
        <w:rPr>
          <w:rFonts w:cs="Calibri"/>
        </w:rPr>
        <w:t>1945</w:t>
      </w:r>
      <w:r w:rsidR="00D329DB">
        <w:rPr>
          <w:rFonts w:cs="Calibri"/>
        </w:rPr>
        <w:t>).</w:t>
      </w:r>
    </w:p>
    <w:p w14:paraId="22CBFCAD" w14:textId="77777777" w:rsidR="00840382" w:rsidRPr="007623E5" w:rsidRDefault="00A060DA" w:rsidP="00840382">
      <w:pPr>
        <w:spacing w:after="0" w:line="240" w:lineRule="auto"/>
        <w:ind w:left="360" w:hanging="360"/>
        <w:rPr>
          <w:noProof/>
        </w:rPr>
      </w:pPr>
      <w:r w:rsidRPr="007623E5">
        <w:rPr>
          <w:noProof/>
        </w:rPr>
        <w:t>Martínez, M.L. and Psuty, N.P. (eds.), Coastal Dunes: Ecology and Conservation. Springer Berlin Heidelberg, Berlin, Heidelberg, pp. 3-10 (2004).</w:t>
      </w:r>
    </w:p>
    <w:p w14:paraId="06A937CB" w14:textId="0F4A40F3" w:rsidR="00840382" w:rsidRDefault="00A060DA" w:rsidP="00840382">
      <w:pPr>
        <w:spacing w:after="0" w:line="240" w:lineRule="auto"/>
        <w:ind w:left="360" w:hanging="360"/>
        <w:rPr>
          <w:noProof/>
        </w:rPr>
      </w:pPr>
      <w:r w:rsidRPr="007623E5">
        <w:rPr>
          <w:noProof/>
        </w:rPr>
        <w:t xml:space="preserve">McVicar, T.R., et al. Global review and synthesis of trends in observed terrestrial near-surface wind speeds: Implications for evaporation. </w:t>
      </w:r>
      <w:r w:rsidRPr="007623E5">
        <w:rPr>
          <w:i/>
          <w:noProof/>
        </w:rPr>
        <w:t>J. Hydro.</w:t>
      </w:r>
      <w:r w:rsidRPr="007623E5">
        <w:rPr>
          <w:noProof/>
        </w:rPr>
        <w:t xml:space="preserve">, </w:t>
      </w:r>
      <w:r w:rsidRPr="007623E5">
        <w:rPr>
          <w:b/>
          <w:noProof/>
        </w:rPr>
        <w:t>416–417</w:t>
      </w:r>
      <w:r w:rsidRPr="007623E5">
        <w:rPr>
          <w:noProof/>
        </w:rPr>
        <w:t>, 182-205 (2012).</w:t>
      </w:r>
    </w:p>
    <w:p w14:paraId="2EAA5177" w14:textId="7132560D" w:rsidR="00E93CAB" w:rsidRPr="007623E5" w:rsidRDefault="00E93CAB" w:rsidP="00840382">
      <w:pPr>
        <w:spacing w:after="0" w:line="240" w:lineRule="auto"/>
        <w:ind w:left="360" w:hanging="360"/>
        <w:rPr>
          <w:noProof/>
        </w:rPr>
      </w:pPr>
      <w:r w:rsidRPr="00E93CAB">
        <w:rPr>
          <w:noProof/>
        </w:rPr>
        <w:t>Mende</w:t>
      </w:r>
      <w:r>
        <w:rPr>
          <w:noProof/>
        </w:rPr>
        <w:t>s, V.R., Giannini, P.C.F.</w:t>
      </w:r>
      <w:r w:rsidRPr="00E93CAB">
        <w:rPr>
          <w:noProof/>
        </w:rPr>
        <w:t xml:space="preserve"> Coastal dunefields of south Brazil as a record of climatic changes in the South American Monsoon System. </w:t>
      </w:r>
      <w:r w:rsidRPr="008A2020">
        <w:rPr>
          <w:i/>
          <w:noProof/>
        </w:rPr>
        <w:t>Geomorphology,</w:t>
      </w:r>
      <w:r w:rsidRPr="00E93CAB">
        <w:rPr>
          <w:noProof/>
        </w:rPr>
        <w:t xml:space="preserve"> 246</w:t>
      </w:r>
      <w:r>
        <w:rPr>
          <w:noProof/>
        </w:rPr>
        <w:t>:</w:t>
      </w:r>
      <w:r w:rsidRPr="00E93CAB">
        <w:rPr>
          <w:noProof/>
        </w:rPr>
        <w:t xml:space="preserve"> 22-34.</w:t>
      </w:r>
      <w:r>
        <w:rPr>
          <w:noProof/>
        </w:rPr>
        <w:t xml:space="preserve"> (2015)</w:t>
      </w:r>
    </w:p>
    <w:p w14:paraId="1D1F7356" w14:textId="7FFB5EC1" w:rsidR="00E3580C" w:rsidRDefault="00E3580C" w:rsidP="00E3580C">
      <w:pPr>
        <w:spacing w:after="0" w:line="240" w:lineRule="auto"/>
        <w:ind w:left="360" w:hanging="360"/>
      </w:pPr>
      <w:r w:rsidRPr="009B6889">
        <w:rPr>
          <w:lang w:val="es-ES"/>
        </w:rPr>
        <w:t>Mentaschi, L., Vousdoukas, M.I., Pekel, J.</w:t>
      </w:r>
      <w:r>
        <w:rPr>
          <w:lang w:val="es-ES"/>
        </w:rPr>
        <w:t>-F., Voukouvalas, E., Feyen, L.</w:t>
      </w:r>
      <w:r w:rsidRPr="009B6889">
        <w:rPr>
          <w:lang w:val="es-ES"/>
        </w:rPr>
        <w:t xml:space="preserve"> </w:t>
      </w:r>
      <w:r w:rsidRPr="00496A0E">
        <w:t>Global long-term observations of coastal erosion and accretion. Sci. Rep. 8, 12876</w:t>
      </w:r>
      <w:r>
        <w:t xml:space="preserve"> (</w:t>
      </w:r>
      <w:r>
        <w:rPr>
          <w:lang w:val="es-ES"/>
        </w:rPr>
        <w:t>2018)</w:t>
      </w:r>
    </w:p>
    <w:p w14:paraId="520D9DF7" w14:textId="36E57DFF" w:rsidR="00E67FDB" w:rsidRDefault="00E67FDB" w:rsidP="00D329DB">
      <w:pPr>
        <w:spacing w:after="0" w:line="240" w:lineRule="auto"/>
        <w:ind w:left="360" w:hanging="360"/>
        <w:rPr>
          <w:noProof/>
        </w:rPr>
      </w:pPr>
      <w:r w:rsidRPr="009A01B4">
        <w:t>Miller</w:t>
      </w:r>
      <w:r>
        <w:t>, L.M</w:t>
      </w:r>
      <w:r w:rsidRPr="008A2020">
        <w:rPr>
          <w:rFonts w:asciiTheme="minorHAnsi" w:hAnsiTheme="minorHAnsi" w:cstheme="minorHAnsi"/>
        </w:rPr>
        <w:t xml:space="preserve">. and </w:t>
      </w:r>
      <w:r w:rsidRPr="008A2020">
        <w:rPr>
          <w:rStyle w:val="highwire-citation-author"/>
          <w:rFonts w:asciiTheme="minorHAnsi" w:hAnsiTheme="minorHAnsi" w:cstheme="minorHAnsi"/>
          <w:color w:val="333333"/>
        </w:rPr>
        <w:t xml:space="preserve">Kleidon, A. </w:t>
      </w:r>
      <w:r>
        <w:t xml:space="preserve">Wind speed reductions by large-scale wind turbine deployments lower turbine efficiencies and set low generation limits, </w:t>
      </w:r>
      <w:r>
        <w:rPr>
          <w:i/>
          <w:iCs/>
        </w:rPr>
        <w:t>Proceedings of the National Academy of Sciences</w:t>
      </w:r>
      <w:r>
        <w:t xml:space="preserve">, </w:t>
      </w:r>
      <w:r w:rsidRPr="00E67FDB">
        <w:t>113 (48) 13570-13575</w:t>
      </w:r>
      <w:r w:rsidR="00D329DB">
        <w:t xml:space="preserve"> (</w:t>
      </w:r>
      <w:r w:rsidR="00D329DB" w:rsidRPr="007E1F34">
        <w:rPr>
          <w:rStyle w:val="highwire-citation-author"/>
          <w:rFonts w:asciiTheme="minorHAnsi" w:hAnsiTheme="minorHAnsi" w:cstheme="minorHAnsi"/>
          <w:color w:val="333333"/>
        </w:rPr>
        <w:t>2016</w:t>
      </w:r>
      <w:r w:rsidR="00D329DB">
        <w:rPr>
          <w:rStyle w:val="highwire-citation-author"/>
          <w:rFonts w:asciiTheme="minorHAnsi" w:hAnsiTheme="minorHAnsi" w:cstheme="minorHAnsi"/>
          <w:color w:val="333333"/>
        </w:rPr>
        <w:t>).</w:t>
      </w:r>
    </w:p>
    <w:p w14:paraId="24CE0A0A" w14:textId="294C9B52" w:rsidR="00840382" w:rsidRPr="007623E5" w:rsidRDefault="00A060DA" w:rsidP="00840382">
      <w:pPr>
        <w:spacing w:after="0" w:line="240" w:lineRule="auto"/>
        <w:ind w:left="360" w:hanging="360"/>
        <w:rPr>
          <w:noProof/>
        </w:rPr>
      </w:pPr>
      <w:r w:rsidRPr="007623E5">
        <w:rPr>
          <w:noProof/>
        </w:rPr>
        <w:t xml:space="preserve">Myneni, R.B., Ramakrishna, R., Nemani, R. and Running, S.W. Estimation of global leaf area index and absorbed par using radiative transfer models. IEEE Trans. Geosci. Remote Sens., </w:t>
      </w:r>
      <w:r w:rsidRPr="007623E5">
        <w:rPr>
          <w:b/>
          <w:noProof/>
        </w:rPr>
        <w:t>35</w:t>
      </w:r>
      <w:r w:rsidRPr="007623E5">
        <w:rPr>
          <w:noProof/>
        </w:rPr>
        <w:t>(6), 1380-1393 (1997).</w:t>
      </w:r>
    </w:p>
    <w:p w14:paraId="30CA941C" w14:textId="59A1B476" w:rsidR="008A5860" w:rsidRDefault="008A5860" w:rsidP="00840382">
      <w:pPr>
        <w:spacing w:after="0" w:line="240" w:lineRule="auto"/>
        <w:ind w:left="360" w:hanging="360"/>
        <w:rPr>
          <w:noProof/>
        </w:rPr>
      </w:pPr>
      <w:r w:rsidRPr="008A5860">
        <w:rPr>
          <w:noProof/>
        </w:rPr>
        <w:t>Paerl, H.W., Hall, N.S., Hounshell, A.G., Luettich, R.A., Jr., Rossignol, K.L., Osburn, C.L., Bales, J.</w:t>
      </w:r>
      <w:r w:rsidRPr="008A5860">
        <w:t xml:space="preserve"> </w:t>
      </w:r>
      <w:r w:rsidRPr="008A5860">
        <w:rPr>
          <w:noProof/>
        </w:rPr>
        <w:t>Recent increase in catastrophic tropical cyclone flooding in coastal North Carolina, USA: Long-term observations suggest a regime shift</w:t>
      </w:r>
      <w:r>
        <w:rPr>
          <w:noProof/>
        </w:rPr>
        <w:t xml:space="preserve">. </w:t>
      </w:r>
      <w:r w:rsidRPr="008A2020">
        <w:rPr>
          <w:i/>
          <w:noProof/>
        </w:rPr>
        <w:t>Scientific Reports</w:t>
      </w:r>
      <w:r w:rsidRPr="008A5860">
        <w:rPr>
          <w:noProof/>
        </w:rPr>
        <w:t>, 9 (1), art. no. 10620</w:t>
      </w:r>
      <w:r>
        <w:rPr>
          <w:noProof/>
        </w:rPr>
        <w:t xml:space="preserve"> 2019</w:t>
      </w:r>
    </w:p>
    <w:p w14:paraId="0720E040" w14:textId="78EDB3BA" w:rsidR="00840382" w:rsidRPr="007623E5" w:rsidRDefault="00A060DA" w:rsidP="00840382">
      <w:pPr>
        <w:spacing w:after="0" w:line="240" w:lineRule="auto"/>
        <w:ind w:left="360" w:hanging="360"/>
        <w:rPr>
          <w:noProof/>
        </w:rPr>
      </w:pPr>
      <w:r w:rsidRPr="008A2020">
        <w:rPr>
          <w:noProof/>
        </w:rPr>
        <w:t xml:space="preserve">Parmesan, C.,  Yohe, G. </w:t>
      </w:r>
      <w:r w:rsidRPr="007623E5">
        <w:rPr>
          <w:noProof/>
        </w:rPr>
        <w:t>A globally coherent fingerprint of climate change impacts across natural systems. Nature, 421, 37-42</w:t>
      </w:r>
      <w:r w:rsidR="00D329DB">
        <w:rPr>
          <w:noProof/>
        </w:rPr>
        <w:t xml:space="preserve"> (</w:t>
      </w:r>
      <w:r w:rsidR="00D329DB" w:rsidRPr="007E1F34">
        <w:rPr>
          <w:noProof/>
        </w:rPr>
        <w:t>2003</w:t>
      </w:r>
      <w:r w:rsidR="00D329DB">
        <w:rPr>
          <w:noProof/>
        </w:rPr>
        <w:t>).</w:t>
      </w:r>
    </w:p>
    <w:p w14:paraId="13479AEB" w14:textId="06F74AE8" w:rsidR="00840382" w:rsidRPr="007623E5" w:rsidRDefault="00A060DA" w:rsidP="00840382">
      <w:pPr>
        <w:pStyle w:val="NoSpacing"/>
        <w:ind w:left="360" w:hanging="360"/>
        <w:rPr>
          <w:rFonts w:ascii="Calibri" w:hAnsi="Calibri" w:cs="Calibri"/>
          <w:sz w:val="22"/>
        </w:rPr>
      </w:pPr>
      <w:r w:rsidRPr="007623E5">
        <w:rPr>
          <w:rFonts w:ascii="Calibri" w:hAnsi="Calibri" w:cs="Calibri"/>
          <w:sz w:val="22"/>
        </w:rPr>
        <w:t>Partal, T., Kahya, E., Trend analysis in Turkish precipitation data. Hydrological Processes 20, 2011–2026</w:t>
      </w:r>
      <w:r w:rsidR="00D329DB">
        <w:rPr>
          <w:rFonts w:ascii="Calibri" w:hAnsi="Calibri" w:cs="Calibri"/>
          <w:sz w:val="22"/>
        </w:rPr>
        <w:t xml:space="preserve"> (</w:t>
      </w:r>
      <w:r w:rsidR="00D329DB" w:rsidRPr="007623E5">
        <w:rPr>
          <w:rFonts w:ascii="Calibri" w:hAnsi="Calibri" w:cs="Calibri"/>
          <w:sz w:val="22"/>
        </w:rPr>
        <w:t>2006</w:t>
      </w:r>
      <w:r w:rsidR="00D329DB">
        <w:rPr>
          <w:rFonts w:ascii="Calibri" w:hAnsi="Calibri" w:cs="Calibri"/>
          <w:sz w:val="22"/>
        </w:rPr>
        <w:t>).</w:t>
      </w:r>
    </w:p>
    <w:p w14:paraId="6A8CB0CD" w14:textId="4D926A25" w:rsidR="00E93CAB" w:rsidRDefault="00E93CAB" w:rsidP="00840382">
      <w:pPr>
        <w:spacing w:after="0" w:line="240" w:lineRule="auto"/>
        <w:ind w:left="360" w:hanging="360"/>
        <w:rPr>
          <w:noProof/>
        </w:rPr>
      </w:pPr>
      <w:r w:rsidRPr="00E93CAB">
        <w:rPr>
          <w:noProof/>
        </w:rPr>
        <w:t>Pint</w:t>
      </w:r>
      <w:r w:rsidRPr="008A2020">
        <w:rPr>
          <w:noProof/>
        </w:rPr>
        <w:t>o, L.H.T., Fernandes, L.R</w:t>
      </w:r>
      <w:r w:rsidRPr="00E93CAB">
        <w:rPr>
          <w:noProof/>
        </w:rPr>
        <w:t>. Multitemporal analyses of the vegetation cover of coastal sand dune ecosystems in Natal/RN, based on NDVI index, XV Simpósio Brasileiro de Sensoriamento Remoto. INPE, Curitiba, PR, Brasil, pp. 1895-1901.</w:t>
      </w:r>
      <w:r>
        <w:rPr>
          <w:noProof/>
        </w:rPr>
        <w:t xml:space="preserve"> (2011)</w:t>
      </w:r>
    </w:p>
    <w:p w14:paraId="3D0EEE88" w14:textId="7D2FE3AF" w:rsidR="00840382" w:rsidRDefault="00A060DA" w:rsidP="00840382">
      <w:pPr>
        <w:spacing w:after="0" w:line="240" w:lineRule="auto"/>
        <w:ind w:left="360" w:hanging="360"/>
        <w:rPr>
          <w:noProof/>
        </w:rPr>
      </w:pPr>
      <w:r w:rsidRPr="007623E5">
        <w:rPr>
          <w:noProof/>
        </w:rPr>
        <w:t xml:space="preserve">Provoost, S., Jones, M.L. and Edmondson, S. Changes in landscape and vegetation of coastal dunes in northwest Europe: a review. </w:t>
      </w:r>
      <w:r w:rsidRPr="007623E5">
        <w:rPr>
          <w:i/>
          <w:noProof/>
        </w:rPr>
        <w:t>J. Coastal Conserv</w:t>
      </w:r>
      <w:r w:rsidRPr="007623E5">
        <w:rPr>
          <w:noProof/>
        </w:rPr>
        <w:t xml:space="preserve">., </w:t>
      </w:r>
      <w:r w:rsidRPr="007623E5">
        <w:rPr>
          <w:b/>
          <w:noProof/>
        </w:rPr>
        <w:t>15</w:t>
      </w:r>
      <w:r w:rsidRPr="007623E5">
        <w:rPr>
          <w:noProof/>
        </w:rPr>
        <w:t>(1): 207-226 (2011).</w:t>
      </w:r>
    </w:p>
    <w:p w14:paraId="6A356242" w14:textId="0402103A" w:rsidR="00E93CAB" w:rsidRDefault="00E93CAB" w:rsidP="00E93CAB">
      <w:pPr>
        <w:spacing w:after="0" w:line="240" w:lineRule="auto"/>
        <w:ind w:left="360" w:hanging="360"/>
        <w:rPr>
          <w:noProof/>
        </w:rPr>
      </w:pPr>
      <w:r>
        <w:rPr>
          <w:noProof/>
        </w:rPr>
        <w:t>Pucino, N., Condurso, S. UAV monitoring of dune dynamics - anna bay entrance, Sockton bight, NSW Coastal Conference, Coffs Harbour, NSW, Australia. (2016)</w:t>
      </w:r>
    </w:p>
    <w:p w14:paraId="313E99ED" w14:textId="57AC0C4A" w:rsidR="00E93CAB" w:rsidRPr="007623E5" w:rsidRDefault="00E93CAB" w:rsidP="00E93CAB">
      <w:pPr>
        <w:spacing w:after="0" w:line="240" w:lineRule="auto"/>
        <w:ind w:left="360" w:hanging="360"/>
        <w:rPr>
          <w:noProof/>
        </w:rPr>
      </w:pPr>
      <w:r>
        <w:rPr>
          <w:noProof/>
        </w:rPr>
        <w:t>Pye, K., Blott, S.J., Howe, M.A. Coastal dune stabilization in Wales and requirements for rejuvenation. Journal of Coastal Conservation, 18(1): w27-54.(2014)</w:t>
      </w:r>
    </w:p>
    <w:p w14:paraId="3BBC6090" w14:textId="17688442" w:rsidR="00CB78D5" w:rsidRDefault="00702CCC" w:rsidP="008A2020">
      <w:pPr>
        <w:spacing w:after="0" w:line="240" w:lineRule="auto"/>
        <w:ind w:left="284" w:hanging="284"/>
        <w:contextualSpacing/>
        <w:jc w:val="both"/>
        <w:rPr>
          <w:rFonts w:asciiTheme="minorHAnsi" w:hAnsiTheme="minorHAnsi"/>
          <w:lang w:val="en-US"/>
        </w:rPr>
      </w:pPr>
      <w:r w:rsidRPr="00DD3210">
        <w:rPr>
          <w:rFonts w:asciiTheme="minorHAnsi" w:hAnsiTheme="minorHAnsi"/>
          <w:lang w:val="en-US"/>
        </w:rPr>
        <w:t>Ranasinghe, R., Stive, M.J.F., Rising seas and retreating</w:t>
      </w:r>
      <w:r w:rsidRPr="00DD3210">
        <w:rPr>
          <w:rFonts w:asciiTheme="minorHAnsi" w:hAnsiTheme="minorHAnsi"/>
        </w:rPr>
        <w:t xml:space="preserve"> </w:t>
      </w:r>
      <w:r w:rsidRPr="00DD3210">
        <w:rPr>
          <w:rFonts w:asciiTheme="minorHAnsi" w:hAnsiTheme="minorHAnsi"/>
          <w:lang w:val="en-US"/>
        </w:rPr>
        <w:t xml:space="preserve">coastlines. </w:t>
      </w:r>
      <w:r w:rsidRPr="00DD3210">
        <w:rPr>
          <w:rFonts w:asciiTheme="minorHAnsi" w:hAnsiTheme="minorHAnsi"/>
        </w:rPr>
        <w:t>Climate Change 97, 465–468</w:t>
      </w:r>
      <w:r w:rsidR="00D329DB">
        <w:rPr>
          <w:rFonts w:asciiTheme="minorHAnsi" w:hAnsiTheme="minorHAnsi"/>
        </w:rPr>
        <w:t xml:space="preserve"> (</w:t>
      </w:r>
      <w:r w:rsidR="00D329DB" w:rsidRPr="00DD3210">
        <w:rPr>
          <w:rFonts w:asciiTheme="minorHAnsi" w:hAnsiTheme="minorHAnsi"/>
          <w:lang w:val="en-US"/>
        </w:rPr>
        <w:t>2009</w:t>
      </w:r>
      <w:r w:rsidR="00D329DB">
        <w:rPr>
          <w:rFonts w:asciiTheme="minorHAnsi" w:hAnsiTheme="minorHAnsi"/>
          <w:lang w:val="en-US"/>
        </w:rPr>
        <w:t>)</w:t>
      </w:r>
      <w:r w:rsidR="00CB78D5">
        <w:rPr>
          <w:rFonts w:asciiTheme="minorHAnsi" w:hAnsiTheme="minorHAnsi"/>
          <w:lang w:val="en-US"/>
        </w:rPr>
        <w:t>.</w:t>
      </w:r>
    </w:p>
    <w:p w14:paraId="00E1A3FD" w14:textId="73847654" w:rsidR="00840382" w:rsidRDefault="00A060DA" w:rsidP="008A2020">
      <w:pPr>
        <w:spacing w:after="0" w:line="240" w:lineRule="auto"/>
        <w:ind w:left="284" w:hanging="284"/>
        <w:contextualSpacing/>
        <w:jc w:val="both"/>
        <w:rPr>
          <w:noProof/>
        </w:rPr>
      </w:pPr>
      <w:r w:rsidRPr="007623E5">
        <w:rPr>
          <w:noProof/>
        </w:rPr>
        <w:t xml:space="preserve">Rouse Jr, J.W., Haas, R., Schell, J. and Deering, D. Monitoring vegetation systems in the Great Plains with ERTS, </w:t>
      </w:r>
      <w:r w:rsidRPr="007623E5">
        <w:rPr>
          <w:i/>
          <w:noProof/>
        </w:rPr>
        <w:t>Third Earth Resources Technology Satellite-1 Symp</w:t>
      </w:r>
      <w:r w:rsidRPr="007623E5">
        <w:rPr>
          <w:noProof/>
        </w:rPr>
        <w:t>. NASA, Washington, D.C., Greenbelt, MD, pp. 301–317 (1974).</w:t>
      </w:r>
    </w:p>
    <w:p w14:paraId="5B18EF6B" w14:textId="5801478C" w:rsidR="00266F2F" w:rsidRPr="007623E5" w:rsidRDefault="00266F2F" w:rsidP="00D329DB">
      <w:pPr>
        <w:spacing w:after="0" w:line="240" w:lineRule="auto"/>
        <w:ind w:left="360" w:hanging="360"/>
        <w:rPr>
          <w:noProof/>
        </w:rPr>
      </w:pPr>
      <w:r>
        <w:lastRenderedPageBreak/>
        <w:t>Ruggiero P., Hacker S., Seabloom E., Zarnetske P. The Role of Vegetation in Determining Dune Morphology, Exposure to Sea-Level Rise, and Storm-Induced Coastal Hazards: A U.S. Pacific Northwest Perspective. In: Moore L., Murray A. (eds) Barrier Dynamics and Response to Changing Climate. Springer, Cham</w:t>
      </w:r>
      <w:r w:rsidR="00D329DB">
        <w:t>. (2018)</w:t>
      </w:r>
    </w:p>
    <w:p w14:paraId="6B5CC672" w14:textId="030FBCC4" w:rsidR="00840382" w:rsidRPr="007623E5" w:rsidRDefault="00A060DA" w:rsidP="00840382">
      <w:pPr>
        <w:pStyle w:val="NoSpacing"/>
        <w:ind w:left="360" w:hanging="360"/>
        <w:rPr>
          <w:rFonts w:ascii="Calibri" w:hAnsi="Calibri" w:cs="Calibri"/>
          <w:sz w:val="22"/>
        </w:rPr>
      </w:pPr>
      <w:r w:rsidRPr="007623E5">
        <w:rPr>
          <w:rFonts w:ascii="Calibri" w:hAnsi="Calibri" w:cs="Calibri"/>
          <w:sz w:val="22"/>
        </w:rPr>
        <w:t>Sen, P.K. Estimates of the regression coefﬁcient based on Kendall's tau. Journal of the American Statistical Association 63, 1379–1389</w:t>
      </w:r>
      <w:r w:rsidR="00D329DB">
        <w:rPr>
          <w:rFonts w:ascii="Calibri" w:hAnsi="Calibri" w:cs="Calibri"/>
          <w:sz w:val="22"/>
        </w:rPr>
        <w:t xml:space="preserve"> (</w:t>
      </w:r>
      <w:r w:rsidR="00D329DB" w:rsidRPr="007623E5">
        <w:rPr>
          <w:rFonts w:ascii="Calibri" w:hAnsi="Calibri" w:cs="Calibri"/>
          <w:sz w:val="22"/>
        </w:rPr>
        <w:t>1968</w:t>
      </w:r>
      <w:r w:rsidR="00D329DB">
        <w:rPr>
          <w:rFonts w:ascii="Calibri" w:hAnsi="Calibri" w:cs="Calibri"/>
          <w:sz w:val="22"/>
        </w:rPr>
        <w:t>).</w:t>
      </w:r>
    </w:p>
    <w:p w14:paraId="613603B1" w14:textId="77777777" w:rsidR="00840382" w:rsidRPr="007623E5" w:rsidRDefault="00A060DA" w:rsidP="00840382">
      <w:pPr>
        <w:spacing w:after="0" w:line="240" w:lineRule="auto"/>
        <w:ind w:left="360" w:hanging="360"/>
        <w:rPr>
          <w:noProof/>
        </w:rPr>
      </w:pPr>
      <w:r w:rsidRPr="007623E5">
        <w:rPr>
          <w:noProof/>
        </w:rPr>
        <w:t xml:space="preserve">Sigren, J.M., Figlus, F. and Armitage, A.R. Coastal sand dunes and dune vegetation: Restoration, erosion, and storm protection. </w:t>
      </w:r>
      <w:r w:rsidRPr="007623E5">
        <w:rPr>
          <w:i/>
          <w:noProof/>
        </w:rPr>
        <w:t>Shore and Beach</w:t>
      </w:r>
      <w:r w:rsidRPr="007623E5">
        <w:rPr>
          <w:noProof/>
        </w:rPr>
        <w:t xml:space="preserve">, </w:t>
      </w:r>
      <w:r w:rsidRPr="007623E5">
        <w:rPr>
          <w:b/>
          <w:noProof/>
        </w:rPr>
        <w:t>82</w:t>
      </w:r>
      <w:r w:rsidRPr="007623E5">
        <w:rPr>
          <w:noProof/>
        </w:rPr>
        <w:t>(4), 5-12 (2014).</w:t>
      </w:r>
    </w:p>
    <w:p w14:paraId="32AFE4B9" w14:textId="77777777" w:rsidR="00CB78D5" w:rsidRDefault="00E67FDB" w:rsidP="008A2020">
      <w:pPr>
        <w:contextualSpacing/>
      </w:pPr>
      <w:r>
        <w:t>Tian, Q.</w:t>
      </w:r>
      <w:r w:rsidRPr="00656A09">
        <w:t>, Huang</w:t>
      </w:r>
      <w:r>
        <w:t xml:space="preserve">, G., </w:t>
      </w:r>
      <w:r w:rsidRPr="00656A09">
        <w:t>Hu</w:t>
      </w:r>
      <w:r>
        <w:t>, K</w:t>
      </w:r>
      <w:r w:rsidRPr="00656A09">
        <w:t xml:space="preserve">, </w:t>
      </w:r>
      <w:r w:rsidR="00D329DB">
        <w:t>Niyogi, D</w:t>
      </w:r>
      <w:r>
        <w:t>.</w:t>
      </w:r>
      <w:r w:rsidRPr="00656A09">
        <w:t xml:space="preserve"> Observed and global climate model based changes in wind power potential over the Northern Hemisphere during 1979–2016</w:t>
      </w:r>
      <w:r>
        <w:t>. Energy, 167, 1224-1235</w:t>
      </w:r>
      <w:r w:rsidR="00D329DB">
        <w:t xml:space="preserve"> (2019)</w:t>
      </w:r>
      <w:r>
        <w:t>.</w:t>
      </w:r>
    </w:p>
    <w:p w14:paraId="7038817A" w14:textId="031F356C" w:rsidR="00840382" w:rsidRPr="007623E5" w:rsidRDefault="00A060DA" w:rsidP="008A2020">
      <w:pPr>
        <w:contextualSpacing/>
        <w:rPr>
          <w:rFonts w:cs="Calibri"/>
        </w:rPr>
      </w:pPr>
      <w:r w:rsidRPr="007623E5">
        <w:rPr>
          <w:rFonts w:cs="Calibri"/>
        </w:rPr>
        <w:t>Tabari, H., Shifteh Somee, B.,Rezaeian Zadeh, M.,Testing for long-term trends in climatic variables in Iran. Atmospheric Research 100 (1), 132–140</w:t>
      </w:r>
      <w:r w:rsidR="00D329DB">
        <w:rPr>
          <w:rFonts w:cs="Calibri"/>
        </w:rPr>
        <w:t xml:space="preserve"> (</w:t>
      </w:r>
      <w:r w:rsidR="00D329DB" w:rsidRPr="007623E5">
        <w:rPr>
          <w:rFonts w:cs="Calibri"/>
        </w:rPr>
        <w:t>2011</w:t>
      </w:r>
      <w:r w:rsidR="00D329DB">
        <w:rPr>
          <w:rFonts w:cs="Calibri"/>
        </w:rPr>
        <w:t>).</w:t>
      </w:r>
    </w:p>
    <w:p w14:paraId="42CC1FE7" w14:textId="77777777" w:rsidR="00840382" w:rsidRPr="007623E5" w:rsidRDefault="00A060DA" w:rsidP="00840382">
      <w:pPr>
        <w:spacing w:after="0" w:line="240" w:lineRule="auto"/>
        <w:ind w:left="360" w:hanging="360"/>
        <w:rPr>
          <w:noProof/>
        </w:rPr>
      </w:pPr>
      <w:r w:rsidRPr="007623E5">
        <w:rPr>
          <w:noProof/>
        </w:rPr>
        <w:t xml:space="preserve">van Gent, M.R.A., van Thiel de Vries, J.S.M., Coeveld, E.M., de Vroeg, J.H. and van de Graaff, J. Large-scale dune erosion tests to study the influence of wave periods. Coast. Eng., </w:t>
      </w:r>
      <w:r w:rsidRPr="007623E5">
        <w:rPr>
          <w:b/>
          <w:noProof/>
        </w:rPr>
        <w:t>55</w:t>
      </w:r>
      <w:r w:rsidRPr="007623E5">
        <w:rPr>
          <w:noProof/>
        </w:rPr>
        <w:t>(12), 1041-1051 (2008).</w:t>
      </w:r>
    </w:p>
    <w:p w14:paraId="2BF0C10D" w14:textId="74CEB3EF" w:rsidR="00840382" w:rsidRDefault="00A060DA" w:rsidP="00840382">
      <w:pPr>
        <w:spacing w:after="0" w:line="240" w:lineRule="auto"/>
        <w:ind w:left="360" w:hanging="360"/>
        <w:rPr>
          <w:noProof/>
        </w:rPr>
      </w:pPr>
      <w:r w:rsidRPr="007623E5">
        <w:rPr>
          <w:noProof/>
        </w:rPr>
        <w:t xml:space="preserve">Vautard, R., Cattiaux, J., Yiou, P., Thepaut, J.-N. and Ciais, P. Northern Hemisphere atmospheric stilling partly attributed to an increase in surface roughness. </w:t>
      </w:r>
      <w:r w:rsidRPr="007623E5">
        <w:rPr>
          <w:i/>
          <w:noProof/>
        </w:rPr>
        <w:t>Nat. Geosci</w:t>
      </w:r>
      <w:r w:rsidRPr="007623E5">
        <w:rPr>
          <w:noProof/>
        </w:rPr>
        <w:t>., 3(11): 756-761 (2010).</w:t>
      </w:r>
    </w:p>
    <w:p w14:paraId="38D9DB66" w14:textId="70E18500" w:rsidR="008A5860" w:rsidRPr="007623E5" w:rsidRDefault="008A5860" w:rsidP="008A2020">
      <w:pPr>
        <w:spacing w:after="0" w:line="240" w:lineRule="auto"/>
        <w:ind w:left="360" w:hanging="360"/>
        <w:rPr>
          <w:noProof/>
        </w:rPr>
      </w:pPr>
      <w:r>
        <w:rPr>
          <w:noProof/>
        </w:rPr>
        <w:t>Vermeer, M., Rahmstorf, S.</w:t>
      </w:r>
      <w:r w:rsidRPr="008A5860">
        <w:rPr>
          <w:noProof/>
        </w:rPr>
        <w:t xml:space="preserve"> Global sea level linked to global temperature </w:t>
      </w:r>
      <w:r w:rsidRPr="008A2020">
        <w:rPr>
          <w:i/>
          <w:noProof/>
        </w:rPr>
        <w:t>Proceedings of the National Academy of Sciences of the United States of America</w:t>
      </w:r>
      <w:r w:rsidRPr="008A5860">
        <w:rPr>
          <w:i/>
          <w:noProof/>
        </w:rPr>
        <w:t xml:space="preserve"> </w:t>
      </w:r>
      <w:r>
        <w:rPr>
          <w:noProof/>
        </w:rPr>
        <w:t>106(51): 21527-21532 (2009)</w:t>
      </w:r>
    </w:p>
    <w:p w14:paraId="4E2AEB49" w14:textId="77777777" w:rsidR="00840382" w:rsidRPr="007623E5" w:rsidRDefault="00A060DA" w:rsidP="008A5860">
      <w:pPr>
        <w:spacing w:after="0" w:line="240" w:lineRule="auto"/>
        <w:ind w:left="360" w:hanging="360"/>
        <w:rPr>
          <w:noProof/>
        </w:rPr>
      </w:pPr>
      <w:r w:rsidRPr="007623E5">
        <w:rPr>
          <w:noProof/>
        </w:rPr>
        <w:t xml:space="preserve">Xu, C., Liu, H., Williams, A.P., Yin, Y. and Wu, X.Trends toward an earlier peak of the growing season in Northern Hemisphere mid-latitudes. </w:t>
      </w:r>
      <w:r w:rsidRPr="007623E5">
        <w:rPr>
          <w:i/>
          <w:noProof/>
        </w:rPr>
        <w:t>Glob. Change Biol</w:t>
      </w:r>
      <w:r w:rsidRPr="007623E5">
        <w:rPr>
          <w:noProof/>
        </w:rPr>
        <w:t>., 22(8): 2852-2860 (2016).</w:t>
      </w:r>
    </w:p>
    <w:p w14:paraId="5F912802" w14:textId="77777777" w:rsidR="00840382" w:rsidRDefault="00A060DA" w:rsidP="00840382">
      <w:pPr>
        <w:spacing w:after="0" w:line="240" w:lineRule="auto"/>
        <w:ind w:left="360" w:hanging="360"/>
        <w:rPr>
          <w:noProof/>
        </w:rPr>
      </w:pPr>
      <w:r w:rsidRPr="007623E5">
        <w:rPr>
          <w:noProof/>
        </w:rPr>
        <w:t xml:space="preserve">Zhu, Z., et al. Greening of the Earth and its drivers. </w:t>
      </w:r>
      <w:r w:rsidRPr="007623E5">
        <w:rPr>
          <w:i/>
          <w:noProof/>
        </w:rPr>
        <w:t>Nat. Clim. Change</w:t>
      </w:r>
      <w:r w:rsidRPr="007623E5">
        <w:rPr>
          <w:noProof/>
        </w:rPr>
        <w:t xml:space="preserve">, </w:t>
      </w:r>
      <w:r w:rsidRPr="007623E5">
        <w:rPr>
          <w:b/>
          <w:noProof/>
        </w:rPr>
        <w:t>6</w:t>
      </w:r>
      <w:r w:rsidRPr="007623E5">
        <w:rPr>
          <w:noProof/>
        </w:rPr>
        <w:t>(8), 791-795 (2016).</w:t>
      </w:r>
    </w:p>
    <w:p w14:paraId="5EB8C26C" w14:textId="77777777" w:rsidR="00A45A6C" w:rsidRDefault="00A45A6C" w:rsidP="00840382">
      <w:pPr>
        <w:spacing w:after="0" w:line="240" w:lineRule="auto"/>
        <w:ind w:left="360" w:hanging="360"/>
        <w:rPr>
          <w:noProof/>
        </w:rPr>
      </w:pPr>
    </w:p>
    <w:tbl>
      <w:tblPr>
        <w:tblW w:w="0" w:type="auto"/>
        <w:tblLook w:val="04A0" w:firstRow="1" w:lastRow="0" w:firstColumn="1" w:lastColumn="0" w:noHBand="0" w:noVBand="1"/>
      </w:tblPr>
      <w:tblGrid>
        <w:gridCol w:w="8645"/>
      </w:tblGrid>
      <w:tr w:rsidR="00D1756C" w14:paraId="47C946BF" w14:textId="77777777" w:rsidTr="00565F4D">
        <w:tc>
          <w:tcPr>
            <w:tcW w:w="13994" w:type="dxa"/>
            <w:shd w:val="clear" w:color="auto" w:fill="auto"/>
          </w:tcPr>
          <w:p w14:paraId="71078013" w14:textId="77777777" w:rsidR="00A45A6C" w:rsidRPr="00A27181" w:rsidRDefault="00A45A6C" w:rsidP="00565F4D">
            <w:pPr>
              <w:rPr>
                <w:color w:val="000000"/>
                <w:sz w:val="20"/>
                <w:lang w:val="en-US"/>
              </w:rPr>
            </w:pPr>
          </w:p>
        </w:tc>
      </w:tr>
    </w:tbl>
    <w:p w14:paraId="0FABF252" w14:textId="77777777" w:rsidR="00A45A6C" w:rsidRDefault="00A060DA" w:rsidP="00A45A6C">
      <w:pPr>
        <w:rPr>
          <w:b/>
          <w:color w:val="1F497D"/>
        </w:rPr>
      </w:pPr>
      <w:r w:rsidRPr="005A77E5">
        <w:rPr>
          <w:b/>
          <w:color w:val="1F497D"/>
        </w:rPr>
        <w:t>Figure</w:t>
      </w:r>
      <w:r>
        <w:rPr>
          <w:b/>
          <w:color w:val="1F497D"/>
        </w:rPr>
        <w:t>s Captions and Table</w:t>
      </w:r>
      <w:r w:rsidRPr="005A77E5">
        <w:rPr>
          <w:b/>
          <w:color w:val="1F497D"/>
        </w:rPr>
        <w:t>s</w:t>
      </w:r>
    </w:p>
    <w:p w14:paraId="4270DDF3" w14:textId="3DEAA64B" w:rsidR="00221802" w:rsidRDefault="00221802" w:rsidP="00221802">
      <w:pPr>
        <w:spacing w:before="240"/>
        <w:rPr>
          <w:highlight w:val="cyan"/>
        </w:rPr>
      </w:pPr>
      <w:r w:rsidRPr="0086003D">
        <w:rPr>
          <w:b/>
        </w:rPr>
        <w:t>Figure 1.</w:t>
      </w:r>
      <w:r w:rsidRPr="009A01B4">
        <w:t xml:space="preserve"> Spatial distribution of examples from the literature with reference to the recent trend of dune field systems; stable or active. The numbers represent the reference from the literature review: a (Bar, 2013), b (Darke et al., 2013), c (Mendes and Giannini, 2015), d (da Silva and Hesp, 2013), e (Pucino and Condurso, 2016), f (Arens et al., 2013), g (González-Villanueva et al., 2013), h (Costas et al., 2006), i (Costa et al., 2016), j (Pye et al., 2014), k (Clemmensen et al., 2014), l (Jackson and Cooper, 2011), m (Bristow et al., 2011), n (Girardi and Davis, 2010), o (Abhar et al., 2015), p (Bailey and Bristow, 2004), q (Alappat et al., 2011), r (Pinto and Fernandes, 2011), s (Mendes and Giannini, 2015), t (Hilbert et al., 2016)</w:t>
      </w:r>
      <w:r w:rsidR="00390716">
        <w:t>, u (</w:t>
      </w:r>
      <w:r w:rsidR="00390716" w:rsidRPr="00390716">
        <w:t>Ajedegba, J.O. et al, 2019</w:t>
      </w:r>
      <w:r w:rsidR="00390716">
        <w:t>a)</w:t>
      </w:r>
      <w:r w:rsidRPr="009A01B4">
        <w:t>. The global relief model integrates land topography and ocean bathymetry (ETOPO1: doi:10.7289/V5C8276M). The map was created using ArcGIS software version 10.3 (ESRI; http://www.esriportugal.pt/ArcGIS-for-Desktop).</w:t>
      </w:r>
    </w:p>
    <w:p w14:paraId="747E233A" w14:textId="77777777" w:rsidR="00A45A6C" w:rsidRPr="008A2020" w:rsidRDefault="00A060DA" w:rsidP="00A45A6C">
      <w:r w:rsidRPr="008A2020">
        <w:rPr>
          <w:b/>
        </w:rPr>
        <w:t xml:space="preserve">Figure 2. </w:t>
      </w:r>
      <w:r w:rsidRPr="008A2020">
        <w:t>Main methodology followed in the extraction of vegetation cover from Landsat imagery.</w:t>
      </w:r>
    </w:p>
    <w:p w14:paraId="2D921219" w14:textId="74DA6D1A" w:rsidR="00221802" w:rsidRPr="008A2020" w:rsidRDefault="00221802" w:rsidP="005D7694">
      <w:pPr>
        <w:rPr>
          <w:color w:val="000000"/>
          <w:lang w:val="en-US"/>
        </w:rPr>
      </w:pPr>
      <w:r w:rsidRPr="008A2020">
        <w:rPr>
          <w:b/>
          <w:color w:val="000000"/>
        </w:rPr>
        <w:t>Figure 3.</w:t>
      </w:r>
      <w:r w:rsidRPr="008A2020">
        <w:rPr>
          <w:color w:val="000000"/>
        </w:rPr>
        <w:t xml:space="preserve"> </w:t>
      </w:r>
      <w:r w:rsidRPr="008A2020">
        <w:rPr>
          <w:color w:val="000000"/>
          <w:lang w:val="en-US"/>
        </w:rPr>
        <w:t>Changes in vegetation cover [km</w:t>
      </w:r>
      <w:r w:rsidRPr="008A2020">
        <w:rPr>
          <w:color w:val="000000"/>
          <w:vertAlign w:val="superscript"/>
          <w:lang w:val="en-US"/>
        </w:rPr>
        <w:t>2</w:t>
      </w:r>
      <w:r w:rsidRPr="008A2020">
        <w:rPr>
          <w:color w:val="000000"/>
          <w:lang w:val="en-US"/>
        </w:rPr>
        <w:t xml:space="preserve">] over the evaluated period of time and over different time scale intervals tested at the 17 sites. Graphs are showing for each site </w:t>
      </w:r>
      <w:r w:rsidR="00D329DB">
        <w:rPr>
          <w:color w:val="000000"/>
          <w:lang w:val="en-US"/>
        </w:rPr>
        <w:t xml:space="preserve">at </w:t>
      </w:r>
      <w:r w:rsidRPr="008A2020">
        <w:rPr>
          <w:color w:val="000000"/>
          <w:lang w:val="en-US"/>
        </w:rPr>
        <w:t xml:space="preserve">all eleven temporal points of vegetation area over the same time period, with a trend line and 99.5% confidence limit. Map created using ArcGIS software version 10.3 (ESRI; http://www.esriportugal.pt/ArcGIS-for-Desktop). </w:t>
      </w:r>
      <w:r w:rsidR="00DD4D14">
        <w:rPr>
          <w:color w:val="000000"/>
          <w:lang w:val="en-US"/>
        </w:rPr>
        <w:t>Sites are 1:</w:t>
      </w:r>
      <w:r w:rsidR="00DD4D14" w:rsidRPr="00DD4D14">
        <w:rPr>
          <w:lang w:val="en-US"/>
        </w:rPr>
        <w:t xml:space="preserve"> </w:t>
      </w:r>
      <w:r w:rsidR="00DD4D14" w:rsidRPr="00686D48">
        <w:rPr>
          <w:lang w:val="en-US"/>
        </w:rPr>
        <w:t>Skagen Odde</w:t>
      </w:r>
      <w:r w:rsidR="00DD4D14">
        <w:rPr>
          <w:lang w:val="en-US"/>
        </w:rPr>
        <w:t xml:space="preserve">, DENMARK, 2: </w:t>
      </w:r>
      <w:r w:rsidR="00DD4D14" w:rsidRPr="00A82AE0">
        <w:rPr>
          <w:lang w:val="en-US"/>
        </w:rPr>
        <w:lastRenderedPageBreak/>
        <w:t>Curonian Spit</w:t>
      </w:r>
      <w:r w:rsidR="00DD4D14">
        <w:rPr>
          <w:lang w:val="en-US"/>
        </w:rPr>
        <w:t xml:space="preserve">, RUSSIA, 3: </w:t>
      </w:r>
      <w:r w:rsidR="00DD4D14" w:rsidRPr="00A62ECF">
        <w:rPr>
          <w:lang w:val="en-US"/>
        </w:rPr>
        <w:t>des Marais d’Hourtin</w:t>
      </w:r>
      <w:r w:rsidR="00DD4D14">
        <w:rPr>
          <w:lang w:val="en-US"/>
        </w:rPr>
        <w:t xml:space="preserve">, FRANCE, 4: Provincelands Hook at Cape Cod, U.S.A., 5: </w:t>
      </w:r>
      <w:r w:rsidR="00C85A73" w:rsidRPr="008A2020">
        <w:rPr>
          <w:color w:val="000000" w:themeColor="text1"/>
          <w:lang w:val="en-US"/>
        </w:rPr>
        <w:t>William Tugman State Park dunes</w:t>
      </w:r>
      <w:r w:rsidR="00DD4D14">
        <w:rPr>
          <w:lang w:val="en-US"/>
        </w:rPr>
        <w:t xml:space="preserve">, U.S.A., 6: </w:t>
      </w:r>
      <w:r w:rsidR="00DD4D14" w:rsidRPr="00B20C09">
        <w:rPr>
          <w:lang w:val="en-US"/>
        </w:rPr>
        <w:t>Ten Mile Dunes</w:t>
      </w:r>
      <w:r w:rsidR="00DD4D14">
        <w:rPr>
          <w:lang w:val="en-US"/>
        </w:rPr>
        <w:t xml:space="preserve">, U.S.A., 7: Essaouira, MOROCCO, 8: Médanos de Coro, </w:t>
      </w:r>
      <w:r w:rsidR="00DD4D14" w:rsidRPr="00D037A7">
        <w:rPr>
          <w:lang w:val="en-US"/>
        </w:rPr>
        <w:t>VENEZUELA</w:t>
      </w:r>
      <w:r w:rsidR="00DD4D14">
        <w:rPr>
          <w:lang w:val="en-US"/>
        </w:rPr>
        <w:t xml:space="preserve">, 9: </w:t>
      </w:r>
      <w:r w:rsidR="00DD4D14" w:rsidRPr="000550BC">
        <w:rPr>
          <w:lang w:val="en-US"/>
        </w:rPr>
        <w:t>Mudug</w:t>
      </w:r>
      <w:r w:rsidR="00DD4D14">
        <w:rPr>
          <w:lang w:val="en-US"/>
        </w:rPr>
        <w:t xml:space="preserve">, SOMALIA, 10: Pequenos Lençois Maranhenses, BRAZIL, 11: </w:t>
      </w:r>
      <w:r w:rsidR="00DD4D14" w:rsidRPr="00975CC8">
        <w:rPr>
          <w:lang w:val="en-US"/>
        </w:rPr>
        <w:t>Bazaruto</w:t>
      </w:r>
      <w:r w:rsidR="00DD4D14">
        <w:rPr>
          <w:lang w:val="en-US"/>
        </w:rPr>
        <w:t xml:space="preserve">, MOZAMBIQUE, 12: Fraser Island, AUSTRALIA, 13: </w:t>
      </w:r>
      <w:r w:rsidR="00DD4D14">
        <w:t xml:space="preserve">Mangueira, BRAZIL, 14: </w:t>
      </w:r>
      <w:r w:rsidR="00DD4D14">
        <w:rPr>
          <w:lang w:val="en-US"/>
        </w:rPr>
        <w:t xml:space="preserve">Arniston, SOUTH AFRICA, 15: Port Elizabeth, SOUTH AFRICA, 16: </w:t>
      </w:r>
      <w:r w:rsidR="005D7694">
        <w:rPr>
          <w:lang w:val="en-US"/>
        </w:rPr>
        <w:t xml:space="preserve">Cape Arid, AUSTRALIA, 17: </w:t>
      </w:r>
      <w:r w:rsidR="005D7694">
        <w:t>Faro Querandí, ARGENTINA.</w:t>
      </w:r>
    </w:p>
    <w:p w14:paraId="261A6DBF" w14:textId="26FE9AFC" w:rsidR="00A45A6C" w:rsidRPr="008A2020" w:rsidRDefault="00A060DA" w:rsidP="00A45A6C">
      <w:pPr>
        <w:rPr>
          <w:color w:val="000000"/>
          <w:lang w:val="en-US"/>
        </w:rPr>
      </w:pPr>
      <w:r w:rsidRPr="008A2020">
        <w:rPr>
          <w:b/>
          <w:color w:val="000000"/>
        </w:rPr>
        <w:t xml:space="preserve">Figure </w:t>
      </w:r>
      <w:r w:rsidR="00221802" w:rsidRPr="008A2020">
        <w:rPr>
          <w:b/>
          <w:color w:val="000000"/>
        </w:rPr>
        <w:t>4</w:t>
      </w:r>
      <w:r w:rsidRPr="008A2020">
        <w:rPr>
          <w:b/>
          <w:color w:val="000000"/>
        </w:rPr>
        <w:t>.</w:t>
      </w:r>
      <w:r w:rsidRPr="008A2020">
        <w:rPr>
          <w:color w:val="000000"/>
        </w:rPr>
        <w:t xml:space="preserve"> </w:t>
      </w:r>
      <w:r w:rsidRPr="008A2020">
        <w:rPr>
          <w:color w:val="000000"/>
          <w:lang w:val="en-US"/>
        </w:rPr>
        <w:t>NDVI-quantified changes in vegetation cover [km</w:t>
      </w:r>
      <w:r w:rsidRPr="008A2020">
        <w:rPr>
          <w:color w:val="000000"/>
          <w:vertAlign w:val="superscript"/>
          <w:lang w:val="en-US"/>
        </w:rPr>
        <w:t>2</w:t>
      </w:r>
      <w:r w:rsidRPr="008A2020">
        <w:rPr>
          <w:color w:val="000000"/>
          <w:lang w:val="en-US"/>
        </w:rPr>
        <w:t>] over the evaluated time period for site 14 (South Africa)</w:t>
      </w:r>
      <w:r w:rsidR="00221802" w:rsidRPr="008A2020">
        <w:rPr>
          <w:color w:val="000000"/>
          <w:lang w:val="en-US"/>
        </w:rPr>
        <w:t xml:space="preserve">. This </w:t>
      </w:r>
      <w:r w:rsidRPr="008A2020">
        <w:rPr>
          <w:color w:val="000000"/>
          <w:lang w:val="en-US"/>
        </w:rPr>
        <w:t>show</w:t>
      </w:r>
      <w:r w:rsidR="00221802" w:rsidRPr="008A2020">
        <w:rPr>
          <w:color w:val="000000"/>
          <w:lang w:val="en-US"/>
        </w:rPr>
        <w:t>s</w:t>
      </w:r>
      <w:r w:rsidRPr="008A2020">
        <w:rPr>
          <w:color w:val="000000"/>
          <w:lang w:val="en-US"/>
        </w:rPr>
        <w:t xml:space="preserve"> the classification of land cover based on NDVI values</w:t>
      </w:r>
      <w:r w:rsidR="00221802" w:rsidRPr="008A2020">
        <w:rPr>
          <w:color w:val="000000"/>
          <w:lang w:val="en-US"/>
        </w:rPr>
        <w:t xml:space="preserve"> </w:t>
      </w:r>
      <w:r w:rsidRPr="008A2020">
        <w:rPr>
          <w:color w:val="000000"/>
          <w:lang w:val="en-US"/>
        </w:rPr>
        <w:t xml:space="preserve">and the land cover from the NDVI index </w:t>
      </w:r>
      <w:r w:rsidR="00221802" w:rsidRPr="008A2020">
        <w:rPr>
          <w:color w:val="000000"/>
          <w:lang w:val="en-US"/>
        </w:rPr>
        <w:t xml:space="preserve">over </w:t>
      </w:r>
      <w:r w:rsidRPr="008A2020">
        <w:rPr>
          <w:color w:val="000000"/>
          <w:lang w:val="en-US"/>
        </w:rPr>
        <w:t>four</w:t>
      </w:r>
      <w:r w:rsidR="00221802" w:rsidRPr="008A2020">
        <w:rPr>
          <w:color w:val="000000"/>
          <w:lang w:val="en-US"/>
        </w:rPr>
        <w:t xml:space="preserve"> time periods</w:t>
      </w:r>
      <w:r w:rsidRPr="008A2020">
        <w:rPr>
          <w:color w:val="000000"/>
          <w:lang w:val="en-US"/>
        </w:rPr>
        <w:t xml:space="preserve">.  </w:t>
      </w:r>
      <w:r w:rsidR="00221802" w:rsidRPr="008A2020">
        <w:rPr>
          <w:color w:val="000000"/>
          <w:lang w:val="en-US"/>
        </w:rPr>
        <w:t>The l</w:t>
      </w:r>
      <w:r w:rsidRPr="008A2020">
        <w:rPr>
          <w:color w:val="000000"/>
          <w:lang w:val="en-US"/>
        </w:rPr>
        <w:t xml:space="preserve">ower graph shows data from all eleven temporal points, with a trend line and 99.5% confidence limits. Map created using ArcGIS software version 10.3 (ESRI; </w:t>
      </w:r>
      <w:hyperlink r:id="rId12" w:history="1">
        <w:r w:rsidRPr="008A2020">
          <w:rPr>
            <w:rStyle w:val="Hyperlink"/>
            <w:color w:val="000000"/>
            <w:lang w:val="en-US"/>
          </w:rPr>
          <w:t>http://www.esriportugal.pt/ArcGIS-for-Desktop</w:t>
        </w:r>
      </w:hyperlink>
      <w:r w:rsidRPr="008A2020">
        <w:rPr>
          <w:color w:val="000000"/>
          <w:lang w:val="en-US"/>
        </w:rPr>
        <w:t>).</w:t>
      </w:r>
    </w:p>
    <w:p w14:paraId="5BDA4BDA" w14:textId="108C8666" w:rsidR="00A45A6C" w:rsidRPr="008A2020" w:rsidRDefault="00A060DA" w:rsidP="00A45A6C">
      <w:pPr>
        <w:rPr>
          <w:vertAlign w:val="superscript"/>
        </w:rPr>
      </w:pPr>
      <w:r w:rsidRPr="008A2020">
        <w:rPr>
          <w:b/>
        </w:rPr>
        <w:t xml:space="preserve">Figure </w:t>
      </w:r>
      <w:r w:rsidR="00221802" w:rsidRPr="008A2020">
        <w:rPr>
          <w:b/>
        </w:rPr>
        <w:t>5</w:t>
      </w:r>
      <w:r w:rsidRPr="008A2020">
        <w:t xml:space="preserve">. Global trends of climatic variables showing significant changes in (i) Air temperature (NOAA National Centers for Environmental information, Climate at a Glance: Global Time Series, published July 2017, retrieved on July 24, 2017 from http://www.ncdc.noaa.gov/cag/) (ii) CO2 levels (Ed: Dlugokencky and Pieter Tans, NOAA/ESRL (www.esrl.noaa.gov/gmd/ccgg/trends/)) (iii) Precipitation (figure sourced from Donat et al., 2016) and (iv) Wind speeds (figure sourced from </w:t>
      </w:r>
      <w:r w:rsidRPr="00B536C5">
        <w:rPr>
          <w:noProof/>
        </w:rPr>
        <w:t>McVicar, 2012</w:t>
      </w:r>
      <w:r w:rsidRPr="008A2020">
        <w:t>) over recent decades. Units are in ms</w:t>
      </w:r>
      <w:r w:rsidRPr="008A2020">
        <w:rPr>
          <w:vertAlign w:val="superscript"/>
        </w:rPr>
        <w:t>-1</w:t>
      </w:r>
      <w:r w:rsidRPr="008A2020">
        <w:t xml:space="preserve"> a</w:t>
      </w:r>
      <w:r w:rsidRPr="008A2020">
        <w:rPr>
          <w:vertAlign w:val="superscript"/>
        </w:rPr>
        <w:t>-1</w:t>
      </w:r>
    </w:p>
    <w:p w14:paraId="609CD3C5" w14:textId="7A0CAA27" w:rsidR="00A45A6C" w:rsidRPr="00B536C5" w:rsidRDefault="00A060DA" w:rsidP="00A45A6C">
      <w:pPr>
        <w:rPr>
          <w:noProof/>
          <w:lang w:val="en-US"/>
        </w:rPr>
      </w:pPr>
      <w:r w:rsidRPr="008A2020">
        <w:rPr>
          <w:b/>
        </w:rPr>
        <w:t xml:space="preserve">Figure </w:t>
      </w:r>
      <w:r w:rsidR="00221802" w:rsidRPr="008A2020">
        <w:rPr>
          <w:b/>
        </w:rPr>
        <w:t>6</w:t>
      </w:r>
      <w:r w:rsidRPr="008A2020">
        <w:t xml:space="preserve"> Likely relationships envisaged between the drivers and dune vegetation growth.  Our study contends that the impact of these combined effects may be greater than the sum of the individual contributions. For example, Frosini et al.</w:t>
      </w:r>
      <w:r w:rsidRPr="008A2020">
        <w:rPr>
          <w:vertAlign w:val="superscript"/>
        </w:rPr>
        <w:t xml:space="preserve"> </w:t>
      </w:r>
      <w:r w:rsidRPr="008A2020">
        <w:t>(2012) show the combined effect of sediment transport and nutrient availability on dune vegetation.</w:t>
      </w:r>
    </w:p>
    <w:p w14:paraId="531EF9FB" w14:textId="77777777" w:rsidR="00A45A6C" w:rsidRPr="008A2020" w:rsidRDefault="00A060DA" w:rsidP="00A45A6C">
      <w:pPr>
        <w:ind w:right="140"/>
        <w:rPr>
          <w:color w:val="1F497D"/>
        </w:rPr>
      </w:pPr>
      <w:r w:rsidRPr="008A2020">
        <w:rPr>
          <w:b/>
          <w:color w:val="000000"/>
        </w:rPr>
        <w:t>TABLE 1.</w:t>
      </w:r>
      <w:r w:rsidRPr="008A2020">
        <w:rPr>
          <w:color w:val="000000"/>
        </w:rPr>
        <w:t xml:space="preserve"> Summary of the trends observed at each of the sites over the study period (a full listing, including site description and partial changes observed, is available in supplemental information). The sites are listed from high N latitudes to high S latitudes. The assessment of the trend obtained was achieved by applying the Sen’s slope estimator; a nonparametric trend regression analysis. The results of this analysis are documented by the slope of the trend (Sen’s slope), the significance level of the analysis (alpha), the rejection of the null hypothesis (h=0), the significance of the analysis (sig), and the number of samples (n) or analysed images. The Kappa coefficient is a measure of the accuracy of the classification. Net change refers to the change of vegetated covered area relative to the total assessed area between the first and the last analysed year.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708"/>
        <w:gridCol w:w="1131"/>
        <w:gridCol w:w="715"/>
        <w:gridCol w:w="333"/>
        <w:gridCol w:w="990"/>
        <w:gridCol w:w="435"/>
        <w:gridCol w:w="1166"/>
        <w:gridCol w:w="886"/>
        <w:gridCol w:w="857"/>
      </w:tblGrid>
      <w:tr w:rsidR="00D1756C" w14:paraId="1317ACE4" w14:textId="77777777" w:rsidTr="00A63B56">
        <w:trPr>
          <w:trHeight w:val="576"/>
        </w:trPr>
        <w:tc>
          <w:tcPr>
            <w:tcW w:w="819" w:type="pct"/>
            <w:shd w:val="clear" w:color="auto" w:fill="auto"/>
            <w:noWrap/>
            <w:vAlign w:val="bottom"/>
            <w:hideMark/>
          </w:tcPr>
          <w:p w14:paraId="6668E26E" w14:textId="77777777" w:rsidR="00A45A6C" w:rsidRPr="00A63B56" w:rsidRDefault="00A060DA" w:rsidP="00565F4D">
            <w:pPr>
              <w:spacing w:after="0" w:line="240" w:lineRule="auto"/>
              <w:rPr>
                <w:rFonts w:eastAsia="Times New Roman"/>
                <w:b/>
                <w:bCs/>
                <w:sz w:val="20"/>
              </w:rPr>
            </w:pPr>
            <w:r w:rsidRPr="00A63B56">
              <w:rPr>
                <w:rFonts w:eastAsia="Times New Roman"/>
                <w:b/>
                <w:bCs/>
                <w:sz w:val="20"/>
              </w:rPr>
              <w:t>Country</w:t>
            </w:r>
          </w:p>
        </w:tc>
        <w:tc>
          <w:tcPr>
            <w:tcW w:w="410" w:type="pct"/>
            <w:shd w:val="clear" w:color="auto" w:fill="auto"/>
            <w:noWrap/>
            <w:vAlign w:val="bottom"/>
            <w:hideMark/>
          </w:tcPr>
          <w:p w14:paraId="60C38467" w14:textId="77777777" w:rsidR="00A45A6C" w:rsidRPr="00A63B56" w:rsidRDefault="00A060DA" w:rsidP="00565F4D">
            <w:pPr>
              <w:spacing w:after="0" w:line="240" w:lineRule="auto"/>
              <w:rPr>
                <w:rFonts w:eastAsia="Times New Roman"/>
                <w:b/>
                <w:bCs/>
                <w:sz w:val="20"/>
              </w:rPr>
            </w:pPr>
            <w:r w:rsidRPr="00A63B56">
              <w:rPr>
                <w:rFonts w:eastAsia="Times New Roman"/>
                <w:b/>
                <w:bCs/>
                <w:sz w:val="20"/>
              </w:rPr>
              <w:t>Code</w:t>
            </w:r>
          </w:p>
        </w:tc>
        <w:tc>
          <w:tcPr>
            <w:tcW w:w="655" w:type="pct"/>
            <w:shd w:val="clear" w:color="auto" w:fill="auto"/>
            <w:noWrap/>
            <w:vAlign w:val="bottom"/>
            <w:hideMark/>
          </w:tcPr>
          <w:p w14:paraId="47BB5994" w14:textId="77777777" w:rsidR="00A45A6C" w:rsidRPr="00A63B56" w:rsidRDefault="00A060DA" w:rsidP="00565F4D">
            <w:pPr>
              <w:spacing w:after="0" w:line="240" w:lineRule="auto"/>
              <w:rPr>
                <w:rFonts w:eastAsia="Times New Roman"/>
                <w:b/>
                <w:bCs/>
                <w:sz w:val="20"/>
              </w:rPr>
            </w:pPr>
            <w:r w:rsidRPr="00A63B56">
              <w:rPr>
                <w:rFonts w:eastAsia="Times New Roman"/>
                <w:b/>
                <w:bCs/>
                <w:sz w:val="20"/>
              </w:rPr>
              <w:t>Sen's slope</w:t>
            </w:r>
          </w:p>
        </w:tc>
        <w:tc>
          <w:tcPr>
            <w:tcW w:w="414" w:type="pct"/>
            <w:shd w:val="clear" w:color="auto" w:fill="auto"/>
            <w:noWrap/>
            <w:vAlign w:val="bottom"/>
            <w:hideMark/>
          </w:tcPr>
          <w:p w14:paraId="79686DC3" w14:textId="77777777" w:rsidR="00A45A6C" w:rsidRPr="00A63B56" w:rsidRDefault="00A060DA" w:rsidP="00565F4D">
            <w:pPr>
              <w:spacing w:after="0" w:line="240" w:lineRule="auto"/>
              <w:rPr>
                <w:rFonts w:eastAsia="Times New Roman"/>
                <w:b/>
                <w:bCs/>
                <w:sz w:val="20"/>
              </w:rPr>
            </w:pPr>
            <w:r w:rsidRPr="00A63B56">
              <w:rPr>
                <w:rFonts w:eastAsia="Times New Roman"/>
                <w:b/>
                <w:bCs/>
                <w:sz w:val="20"/>
              </w:rPr>
              <w:t>alpha</w:t>
            </w:r>
          </w:p>
        </w:tc>
        <w:tc>
          <w:tcPr>
            <w:tcW w:w="193" w:type="pct"/>
            <w:shd w:val="clear" w:color="auto" w:fill="auto"/>
            <w:noWrap/>
            <w:vAlign w:val="bottom"/>
            <w:hideMark/>
          </w:tcPr>
          <w:p w14:paraId="3647BA5E" w14:textId="77777777" w:rsidR="00A45A6C" w:rsidRPr="00A63B56" w:rsidRDefault="00A060DA" w:rsidP="00565F4D">
            <w:pPr>
              <w:spacing w:after="0" w:line="240" w:lineRule="auto"/>
              <w:rPr>
                <w:rFonts w:eastAsia="Times New Roman"/>
                <w:b/>
                <w:bCs/>
                <w:sz w:val="20"/>
              </w:rPr>
            </w:pPr>
            <w:r w:rsidRPr="00A63B56">
              <w:rPr>
                <w:rFonts w:eastAsia="Times New Roman"/>
                <w:b/>
                <w:bCs/>
                <w:sz w:val="20"/>
              </w:rPr>
              <w:t>h</w:t>
            </w:r>
          </w:p>
        </w:tc>
        <w:tc>
          <w:tcPr>
            <w:tcW w:w="573" w:type="pct"/>
            <w:shd w:val="clear" w:color="auto" w:fill="auto"/>
            <w:noWrap/>
            <w:vAlign w:val="bottom"/>
            <w:hideMark/>
          </w:tcPr>
          <w:p w14:paraId="78C56A9B" w14:textId="77777777" w:rsidR="00A45A6C" w:rsidRPr="00A63B56" w:rsidRDefault="00A060DA" w:rsidP="00565F4D">
            <w:pPr>
              <w:spacing w:after="0" w:line="240" w:lineRule="auto"/>
              <w:rPr>
                <w:rFonts w:eastAsia="Times New Roman"/>
                <w:b/>
                <w:bCs/>
                <w:sz w:val="20"/>
              </w:rPr>
            </w:pPr>
            <w:r w:rsidRPr="00A63B56">
              <w:rPr>
                <w:rFonts w:eastAsia="Times New Roman"/>
                <w:b/>
                <w:bCs/>
                <w:sz w:val="20"/>
              </w:rPr>
              <w:t>sig</w:t>
            </w:r>
          </w:p>
        </w:tc>
        <w:tc>
          <w:tcPr>
            <w:tcW w:w="252" w:type="pct"/>
            <w:shd w:val="clear" w:color="auto" w:fill="auto"/>
            <w:noWrap/>
            <w:vAlign w:val="bottom"/>
            <w:hideMark/>
          </w:tcPr>
          <w:p w14:paraId="4897C0EE" w14:textId="77777777" w:rsidR="00A45A6C" w:rsidRPr="00A63B56" w:rsidRDefault="00A060DA" w:rsidP="00565F4D">
            <w:pPr>
              <w:spacing w:after="0" w:line="240" w:lineRule="auto"/>
              <w:rPr>
                <w:rFonts w:eastAsia="Times New Roman"/>
                <w:b/>
                <w:bCs/>
                <w:sz w:val="20"/>
              </w:rPr>
            </w:pPr>
            <w:r w:rsidRPr="00A63B56">
              <w:rPr>
                <w:rFonts w:eastAsia="Times New Roman"/>
                <w:b/>
                <w:bCs/>
                <w:sz w:val="20"/>
              </w:rPr>
              <w:t>n</w:t>
            </w:r>
          </w:p>
        </w:tc>
        <w:tc>
          <w:tcPr>
            <w:tcW w:w="675" w:type="pct"/>
            <w:shd w:val="clear" w:color="auto" w:fill="auto"/>
            <w:vAlign w:val="bottom"/>
            <w:hideMark/>
          </w:tcPr>
          <w:p w14:paraId="00D157C9" w14:textId="77777777" w:rsidR="00A45A6C" w:rsidRPr="00A63B56" w:rsidRDefault="00A060DA" w:rsidP="00565F4D">
            <w:pPr>
              <w:spacing w:after="0" w:line="240" w:lineRule="auto"/>
              <w:jc w:val="center"/>
              <w:rPr>
                <w:rFonts w:eastAsia="Times New Roman"/>
                <w:b/>
                <w:bCs/>
                <w:sz w:val="20"/>
              </w:rPr>
            </w:pPr>
            <w:r w:rsidRPr="00A63B56">
              <w:rPr>
                <w:rFonts w:eastAsia="Times New Roman"/>
                <w:b/>
                <w:bCs/>
                <w:sz w:val="20"/>
              </w:rPr>
              <w:t>Kappa coefficient</w:t>
            </w:r>
            <w:r w:rsidRPr="00A63B56">
              <w:rPr>
                <w:rFonts w:eastAsia="Times New Roman"/>
                <w:b/>
                <w:bCs/>
                <w:sz w:val="20"/>
              </w:rPr>
              <w:br/>
              <w:t>ranges</w:t>
            </w:r>
          </w:p>
        </w:tc>
        <w:tc>
          <w:tcPr>
            <w:tcW w:w="513" w:type="pct"/>
          </w:tcPr>
          <w:p w14:paraId="7A216E04" w14:textId="77777777" w:rsidR="00A45A6C" w:rsidRPr="00A63B56" w:rsidRDefault="00A060DA" w:rsidP="00565F4D">
            <w:pPr>
              <w:spacing w:after="0" w:line="240" w:lineRule="auto"/>
              <w:rPr>
                <w:rFonts w:eastAsia="Times New Roman"/>
                <w:b/>
                <w:bCs/>
                <w:sz w:val="20"/>
              </w:rPr>
            </w:pPr>
            <w:r w:rsidRPr="00A63B56">
              <w:rPr>
                <w:rFonts w:eastAsia="Times New Roman"/>
                <w:b/>
                <w:bCs/>
                <w:sz w:val="20"/>
              </w:rPr>
              <w:t xml:space="preserve">Surface </w:t>
            </w:r>
          </w:p>
          <w:p w14:paraId="6F8691E7" w14:textId="77777777" w:rsidR="00A45A6C" w:rsidRPr="00A63B56" w:rsidRDefault="00A060DA" w:rsidP="00565F4D">
            <w:pPr>
              <w:spacing w:after="0" w:line="240" w:lineRule="auto"/>
              <w:jc w:val="center"/>
              <w:rPr>
                <w:rFonts w:eastAsia="Times New Roman"/>
                <w:b/>
                <w:bCs/>
                <w:sz w:val="20"/>
              </w:rPr>
            </w:pPr>
            <w:r w:rsidRPr="00A63B56">
              <w:rPr>
                <w:rFonts w:eastAsia="Times New Roman"/>
                <w:b/>
                <w:bCs/>
                <w:sz w:val="20"/>
              </w:rPr>
              <w:t>(km</w:t>
            </w:r>
            <w:r w:rsidRPr="00A63B56">
              <w:rPr>
                <w:rFonts w:eastAsia="Times New Roman"/>
                <w:b/>
                <w:bCs/>
                <w:sz w:val="20"/>
                <w:vertAlign w:val="superscript"/>
              </w:rPr>
              <w:t>2</w:t>
            </w:r>
            <w:r w:rsidRPr="00A63B56">
              <w:rPr>
                <w:rFonts w:eastAsia="Times New Roman"/>
                <w:b/>
                <w:bCs/>
                <w:sz w:val="20"/>
              </w:rPr>
              <w:t>)</w:t>
            </w:r>
          </w:p>
        </w:tc>
        <w:tc>
          <w:tcPr>
            <w:tcW w:w="496" w:type="pct"/>
          </w:tcPr>
          <w:p w14:paraId="18983971" w14:textId="77777777" w:rsidR="00A45A6C" w:rsidRPr="00A63B56" w:rsidRDefault="00A060DA" w:rsidP="00565F4D">
            <w:pPr>
              <w:spacing w:after="0" w:line="240" w:lineRule="auto"/>
              <w:rPr>
                <w:rFonts w:eastAsia="Times New Roman"/>
                <w:b/>
                <w:bCs/>
                <w:sz w:val="20"/>
              </w:rPr>
            </w:pPr>
            <w:r w:rsidRPr="00A63B56">
              <w:rPr>
                <w:rFonts w:eastAsia="Times New Roman"/>
                <w:b/>
                <w:bCs/>
                <w:sz w:val="20"/>
              </w:rPr>
              <w:t>Net change</w:t>
            </w:r>
          </w:p>
          <w:p w14:paraId="22E05488" w14:textId="77777777" w:rsidR="00A45A6C" w:rsidRPr="00A63B56" w:rsidRDefault="00A060DA" w:rsidP="00565F4D">
            <w:pPr>
              <w:spacing w:after="0" w:line="240" w:lineRule="auto"/>
              <w:jc w:val="center"/>
              <w:rPr>
                <w:rFonts w:eastAsia="Times New Roman"/>
                <w:b/>
                <w:bCs/>
                <w:sz w:val="20"/>
              </w:rPr>
            </w:pPr>
            <w:r w:rsidRPr="00A63B56">
              <w:rPr>
                <w:rFonts w:eastAsia="Times New Roman"/>
                <w:b/>
                <w:bCs/>
                <w:sz w:val="20"/>
              </w:rPr>
              <w:t>(km</w:t>
            </w:r>
            <w:r w:rsidRPr="00A63B56">
              <w:rPr>
                <w:rFonts w:eastAsia="Times New Roman"/>
                <w:b/>
                <w:bCs/>
                <w:sz w:val="20"/>
                <w:vertAlign w:val="superscript"/>
              </w:rPr>
              <w:t>2</w:t>
            </w:r>
            <w:r w:rsidRPr="00A63B56">
              <w:rPr>
                <w:rFonts w:eastAsia="Times New Roman"/>
                <w:b/>
                <w:bCs/>
                <w:sz w:val="20"/>
              </w:rPr>
              <w:t>)</w:t>
            </w:r>
          </w:p>
        </w:tc>
      </w:tr>
      <w:tr w:rsidR="00D1756C" w14:paraId="3CE921BA" w14:textId="77777777" w:rsidTr="00A63B56">
        <w:trPr>
          <w:trHeight w:val="288"/>
        </w:trPr>
        <w:tc>
          <w:tcPr>
            <w:tcW w:w="819" w:type="pct"/>
            <w:shd w:val="clear" w:color="auto" w:fill="auto"/>
            <w:noWrap/>
            <w:vAlign w:val="bottom"/>
            <w:hideMark/>
          </w:tcPr>
          <w:p w14:paraId="0E50653F" w14:textId="77777777" w:rsidR="00A45A6C" w:rsidRPr="00A63B56" w:rsidRDefault="00A060DA" w:rsidP="00565F4D">
            <w:pPr>
              <w:spacing w:after="0" w:line="240" w:lineRule="auto"/>
              <w:rPr>
                <w:rFonts w:eastAsia="Times New Roman"/>
                <w:sz w:val="20"/>
              </w:rPr>
            </w:pPr>
            <w:r w:rsidRPr="00A63B56">
              <w:rPr>
                <w:rFonts w:eastAsia="Times New Roman"/>
                <w:sz w:val="20"/>
              </w:rPr>
              <w:t>Denmark</w:t>
            </w:r>
          </w:p>
        </w:tc>
        <w:tc>
          <w:tcPr>
            <w:tcW w:w="410" w:type="pct"/>
            <w:shd w:val="clear" w:color="auto" w:fill="auto"/>
            <w:noWrap/>
            <w:vAlign w:val="bottom"/>
            <w:hideMark/>
          </w:tcPr>
          <w:p w14:paraId="3D48E120"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w:t>
            </w:r>
          </w:p>
        </w:tc>
        <w:tc>
          <w:tcPr>
            <w:tcW w:w="655" w:type="pct"/>
            <w:shd w:val="clear" w:color="auto" w:fill="auto"/>
            <w:noWrap/>
            <w:vAlign w:val="bottom"/>
            <w:hideMark/>
          </w:tcPr>
          <w:p w14:paraId="2FF16E27"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0.058</w:t>
            </w:r>
          </w:p>
        </w:tc>
        <w:tc>
          <w:tcPr>
            <w:tcW w:w="414" w:type="pct"/>
            <w:shd w:val="clear" w:color="auto" w:fill="auto"/>
            <w:noWrap/>
            <w:vAlign w:val="bottom"/>
            <w:hideMark/>
          </w:tcPr>
          <w:p w14:paraId="5C1BACBA"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0.05</w:t>
            </w:r>
          </w:p>
        </w:tc>
        <w:tc>
          <w:tcPr>
            <w:tcW w:w="193" w:type="pct"/>
            <w:shd w:val="clear" w:color="auto" w:fill="auto"/>
            <w:noWrap/>
            <w:vAlign w:val="bottom"/>
            <w:hideMark/>
          </w:tcPr>
          <w:p w14:paraId="2CBE3E41"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w:t>
            </w:r>
          </w:p>
        </w:tc>
        <w:tc>
          <w:tcPr>
            <w:tcW w:w="573" w:type="pct"/>
            <w:shd w:val="clear" w:color="auto" w:fill="auto"/>
            <w:noWrap/>
            <w:vAlign w:val="bottom"/>
            <w:hideMark/>
          </w:tcPr>
          <w:p w14:paraId="1966FF8F"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0.0285</w:t>
            </w:r>
          </w:p>
        </w:tc>
        <w:tc>
          <w:tcPr>
            <w:tcW w:w="252" w:type="pct"/>
            <w:shd w:val="clear" w:color="auto" w:fill="auto"/>
            <w:noWrap/>
            <w:vAlign w:val="bottom"/>
            <w:hideMark/>
          </w:tcPr>
          <w:p w14:paraId="1F66D06A"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14</w:t>
            </w:r>
          </w:p>
        </w:tc>
        <w:tc>
          <w:tcPr>
            <w:tcW w:w="675" w:type="pct"/>
            <w:shd w:val="clear" w:color="auto" w:fill="auto"/>
            <w:noWrap/>
            <w:vAlign w:val="bottom"/>
            <w:hideMark/>
          </w:tcPr>
          <w:p w14:paraId="46564694" w14:textId="77777777" w:rsidR="00A45A6C" w:rsidRPr="00A63B56" w:rsidRDefault="00A060DA" w:rsidP="00565F4D">
            <w:pPr>
              <w:spacing w:after="0" w:line="240" w:lineRule="auto"/>
              <w:rPr>
                <w:rFonts w:eastAsia="Times New Roman"/>
                <w:sz w:val="20"/>
              </w:rPr>
            </w:pPr>
            <w:r w:rsidRPr="00A63B56">
              <w:rPr>
                <w:rFonts w:eastAsia="Times New Roman"/>
                <w:sz w:val="20"/>
              </w:rPr>
              <w:t>0.50 - 1.00</w:t>
            </w:r>
          </w:p>
        </w:tc>
        <w:tc>
          <w:tcPr>
            <w:tcW w:w="513" w:type="pct"/>
          </w:tcPr>
          <w:p w14:paraId="76DE6DF5" w14:textId="77777777" w:rsidR="00A45A6C" w:rsidRPr="00A63B56" w:rsidRDefault="00A060DA" w:rsidP="00565F4D">
            <w:pPr>
              <w:spacing w:after="0" w:line="240" w:lineRule="auto"/>
              <w:rPr>
                <w:rFonts w:eastAsia="Times New Roman"/>
                <w:sz w:val="20"/>
              </w:rPr>
            </w:pPr>
            <w:r w:rsidRPr="00A63B56">
              <w:rPr>
                <w:rFonts w:eastAsia="Times New Roman"/>
                <w:sz w:val="20"/>
              </w:rPr>
              <w:t>16.70</w:t>
            </w:r>
          </w:p>
        </w:tc>
        <w:tc>
          <w:tcPr>
            <w:tcW w:w="496" w:type="pct"/>
          </w:tcPr>
          <w:p w14:paraId="4E2D5A2C" w14:textId="77777777" w:rsidR="00A45A6C" w:rsidRPr="00A63B56" w:rsidRDefault="00A060DA" w:rsidP="00565F4D">
            <w:pPr>
              <w:spacing w:after="0" w:line="240" w:lineRule="auto"/>
              <w:rPr>
                <w:rFonts w:eastAsia="Times New Roman"/>
                <w:sz w:val="20"/>
              </w:rPr>
            </w:pPr>
            <w:r w:rsidRPr="00A63B56">
              <w:rPr>
                <w:rFonts w:eastAsia="Times New Roman"/>
                <w:sz w:val="20"/>
              </w:rPr>
              <w:t>+0.21</w:t>
            </w:r>
          </w:p>
        </w:tc>
      </w:tr>
      <w:tr w:rsidR="00D1756C" w14:paraId="61B36C55" w14:textId="77777777" w:rsidTr="00A63B56">
        <w:trPr>
          <w:trHeight w:val="288"/>
        </w:trPr>
        <w:tc>
          <w:tcPr>
            <w:tcW w:w="819" w:type="pct"/>
            <w:shd w:val="clear" w:color="auto" w:fill="auto"/>
            <w:noWrap/>
            <w:vAlign w:val="bottom"/>
            <w:hideMark/>
          </w:tcPr>
          <w:p w14:paraId="56BFAAF2" w14:textId="77777777" w:rsidR="00A45A6C" w:rsidRPr="00A63B56" w:rsidRDefault="00A060DA" w:rsidP="00565F4D">
            <w:pPr>
              <w:spacing w:after="0" w:line="240" w:lineRule="auto"/>
              <w:rPr>
                <w:rFonts w:eastAsia="Times New Roman"/>
                <w:sz w:val="20"/>
              </w:rPr>
            </w:pPr>
            <w:r w:rsidRPr="00A63B56">
              <w:rPr>
                <w:rFonts w:eastAsia="Times New Roman"/>
                <w:sz w:val="20"/>
              </w:rPr>
              <w:t>Russia</w:t>
            </w:r>
          </w:p>
        </w:tc>
        <w:tc>
          <w:tcPr>
            <w:tcW w:w="410" w:type="pct"/>
            <w:shd w:val="clear" w:color="auto" w:fill="auto"/>
            <w:noWrap/>
            <w:vAlign w:val="bottom"/>
            <w:hideMark/>
          </w:tcPr>
          <w:p w14:paraId="120DDF9B"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2</w:t>
            </w:r>
          </w:p>
        </w:tc>
        <w:tc>
          <w:tcPr>
            <w:tcW w:w="655" w:type="pct"/>
            <w:shd w:val="clear" w:color="auto" w:fill="auto"/>
            <w:noWrap/>
            <w:vAlign w:val="bottom"/>
            <w:hideMark/>
          </w:tcPr>
          <w:p w14:paraId="3948010B"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0.0761</w:t>
            </w:r>
          </w:p>
        </w:tc>
        <w:tc>
          <w:tcPr>
            <w:tcW w:w="414" w:type="pct"/>
            <w:shd w:val="clear" w:color="auto" w:fill="auto"/>
            <w:noWrap/>
            <w:vAlign w:val="bottom"/>
            <w:hideMark/>
          </w:tcPr>
          <w:p w14:paraId="1A5CE4A1"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0.05</w:t>
            </w:r>
          </w:p>
        </w:tc>
        <w:tc>
          <w:tcPr>
            <w:tcW w:w="193" w:type="pct"/>
            <w:shd w:val="clear" w:color="auto" w:fill="auto"/>
            <w:noWrap/>
            <w:vAlign w:val="bottom"/>
            <w:hideMark/>
          </w:tcPr>
          <w:p w14:paraId="78BBC1F6"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w:t>
            </w:r>
          </w:p>
        </w:tc>
        <w:tc>
          <w:tcPr>
            <w:tcW w:w="573" w:type="pct"/>
            <w:shd w:val="clear" w:color="auto" w:fill="auto"/>
            <w:noWrap/>
            <w:vAlign w:val="bottom"/>
            <w:hideMark/>
          </w:tcPr>
          <w:p w14:paraId="560CF386"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0.006</w:t>
            </w:r>
          </w:p>
        </w:tc>
        <w:tc>
          <w:tcPr>
            <w:tcW w:w="252" w:type="pct"/>
            <w:shd w:val="clear" w:color="auto" w:fill="auto"/>
            <w:noWrap/>
            <w:vAlign w:val="bottom"/>
            <w:hideMark/>
          </w:tcPr>
          <w:p w14:paraId="49E750F1"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13</w:t>
            </w:r>
          </w:p>
        </w:tc>
        <w:tc>
          <w:tcPr>
            <w:tcW w:w="675" w:type="pct"/>
            <w:shd w:val="clear" w:color="auto" w:fill="auto"/>
            <w:noWrap/>
            <w:vAlign w:val="bottom"/>
            <w:hideMark/>
          </w:tcPr>
          <w:p w14:paraId="4A1911A8" w14:textId="77777777" w:rsidR="00A45A6C" w:rsidRPr="00A63B56" w:rsidRDefault="00A060DA" w:rsidP="00565F4D">
            <w:pPr>
              <w:spacing w:after="0" w:line="240" w:lineRule="auto"/>
              <w:rPr>
                <w:rFonts w:eastAsia="Times New Roman"/>
                <w:sz w:val="20"/>
              </w:rPr>
            </w:pPr>
            <w:r w:rsidRPr="00A63B56">
              <w:rPr>
                <w:rFonts w:eastAsia="Times New Roman"/>
                <w:sz w:val="20"/>
              </w:rPr>
              <w:t>0.69 - 0.93</w:t>
            </w:r>
          </w:p>
        </w:tc>
        <w:tc>
          <w:tcPr>
            <w:tcW w:w="513" w:type="pct"/>
          </w:tcPr>
          <w:p w14:paraId="3EC72748" w14:textId="77777777" w:rsidR="00A45A6C" w:rsidRPr="00A63B56" w:rsidRDefault="00A060DA" w:rsidP="00565F4D">
            <w:pPr>
              <w:spacing w:after="0" w:line="240" w:lineRule="auto"/>
              <w:rPr>
                <w:rFonts w:eastAsia="Times New Roman"/>
                <w:sz w:val="20"/>
              </w:rPr>
            </w:pPr>
            <w:r w:rsidRPr="00A63B56">
              <w:rPr>
                <w:rFonts w:eastAsia="Times New Roman"/>
                <w:sz w:val="20"/>
              </w:rPr>
              <w:t>11.71</w:t>
            </w:r>
          </w:p>
        </w:tc>
        <w:tc>
          <w:tcPr>
            <w:tcW w:w="496" w:type="pct"/>
          </w:tcPr>
          <w:p w14:paraId="793AD968" w14:textId="77777777" w:rsidR="00A45A6C" w:rsidRPr="00A63B56" w:rsidRDefault="00A060DA" w:rsidP="00565F4D">
            <w:pPr>
              <w:spacing w:after="0" w:line="240" w:lineRule="auto"/>
              <w:rPr>
                <w:rFonts w:eastAsia="Times New Roman"/>
                <w:sz w:val="20"/>
              </w:rPr>
            </w:pPr>
            <w:r w:rsidRPr="00A63B56">
              <w:rPr>
                <w:rFonts w:eastAsia="Times New Roman"/>
                <w:sz w:val="20"/>
              </w:rPr>
              <w:t>+2.47</w:t>
            </w:r>
          </w:p>
        </w:tc>
      </w:tr>
      <w:tr w:rsidR="00D1756C" w14:paraId="6A910467" w14:textId="77777777" w:rsidTr="00A63B56">
        <w:trPr>
          <w:trHeight w:val="288"/>
        </w:trPr>
        <w:tc>
          <w:tcPr>
            <w:tcW w:w="819" w:type="pct"/>
            <w:shd w:val="clear" w:color="auto" w:fill="auto"/>
            <w:noWrap/>
            <w:vAlign w:val="bottom"/>
            <w:hideMark/>
          </w:tcPr>
          <w:p w14:paraId="3B4FD4F7" w14:textId="77777777" w:rsidR="00A45A6C" w:rsidRPr="00A63B56" w:rsidRDefault="00A060DA" w:rsidP="00565F4D">
            <w:pPr>
              <w:spacing w:after="0" w:line="240" w:lineRule="auto"/>
              <w:rPr>
                <w:rFonts w:eastAsia="Times New Roman"/>
                <w:sz w:val="20"/>
              </w:rPr>
            </w:pPr>
            <w:r w:rsidRPr="00A63B56">
              <w:rPr>
                <w:rFonts w:eastAsia="Times New Roman"/>
                <w:sz w:val="20"/>
              </w:rPr>
              <w:t>France</w:t>
            </w:r>
          </w:p>
        </w:tc>
        <w:tc>
          <w:tcPr>
            <w:tcW w:w="410" w:type="pct"/>
            <w:shd w:val="clear" w:color="auto" w:fill="auto"/>
            <w:noWrap/>
            <w:vAlign w:val="bottom"/>
            <w:hideMark/>
          </w:tcPr>
          <w:p w14:paraId="00A9EAA4"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3</w:t>
            </w:r>
          </w:p>
        </w:tc>
        <w:tc>
          <w:tcPr>
            <w:tcW w:w="655" w:type="pct"/>
            <w:shd w:val="clear" w:color="auto" w:fill="auto"/>
            <w:noWrap/>
            <w:vAlign w:val="bottom"/>
            <w:hideMark/>
          </w:tcPr>
          <w:p w14:paraId="119B4011"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0.0153</w:t>
            </w:r>
          </w:p>
        </w:tc>
        <w:tc>
          <w:tcPr>
            <w:tcW w:w="414" w:type="pct"/>
            <w:shd w:val="clear" w:color="auto" w:fill="auto"/>
            <w:noWrap/>
            <w:vAlign w:val="bottom"/>
            <w:hideMark/>
          </w:tcPr>
          <w:p w14:paraId="0BF57F48"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0.05</w:t>
            </w:r>
          </w:p>
        </w:tc>
        <w:tc>
          <w:tcPr>
            <w:tcW w:w="193" w:type="pct"/>
            <w:shd w:val="clear" w:color="auto" w:fill="auto"/>
            <w:noWrap/>
            <w:vAlign w:val="bottom"/>
            <w:hideMark/>
          </w:tcPr>
          <w:p w14:paraId="6420A77C"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w:t>
            </w:r>
          </w:p>
        </w:tc>
        <w:tc>
          <w:tcPr>
            <w:tcW w:w="573" w:type="pct"/>
            <w:shd w:val="clear" w:color="auto" w:fill="auto"/>
            <w:noWrap/>
            <w:vAlign w:val="bottom"/>
            <w:hideMark/>
          </w:tcPr>
          <w:p w14:paraId="53C63CB0"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6.29E-04</w:t>
            </w:r>
          </w:p>
        </w:tc>
        <w:tc>
          <w:tcPr>
            <w:tcW w:w="252" w:type="pct"/>
            <w:shd w:val="clear" w:color="auto" w:fill="auto"/>
            <w:noWrap/>
            <w:vAlign w:val="bottom"/>
            <w:hideMark/>
          </w:tcPr>
          <w:p w14:paraId="77131F06"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15</w:t>
            </w:r>
          </w:p>
        </w:tc>
        <w:tc>
          <w:tcPr>
            <w:tcW w:w="675" w:type="pct"/>
            <w:shd w:val="clear" w:color="auto" w:fill="auto"/>
            <w:noWrap/>
            <w:vAlign w:val="bottom"/>
            <w:hideMark/>
          </w:tcPr>
          <w:p w14:paraId="339A2962" w14:textId="77777777" w:rsidR="00A45A6C" w:rsidRPr="00A63B56" w:rsidRDefault="00A060DA" w:rsidP="00565F4D">
            <w:pPr>
              <w:spacing w:after="0" w:line="240" w:lineRule="auto"/>
              <w:rPr>
                <w:rFonts w:eastAsia="Times New Roman"/>
                <w:sz w:val="20"/>
              </w:rPr>
            </w:pPr>
            <w:r w:rsidRPr="00A63B56">
              <w:rPr>
                <w:rFonts w:eastAsia="Times New Roman"/>
                <w:sz w:val="20"/>
              </w:rPr>
              <w:t>0.51 - 1.00</w:t>
            </w:r>
          </w:p>
        </w:tc>
        <w:tc>
          <w:tcPr>
            <w:tcW w:w="513" w:type="pct"/>
          </w:tcPr>
          <w:p w14:paraId="3C326659" w14:textId="77777777" w:rsidR="00A45A6C" w:rsidRPr="00A63B56" w:rsidRDefault="00A060DA" w:rsidP="00565F4D">
            <w:pPr>
              <w:spacing w:after="0" w:line="240" w:lineRule="auto"/>
              <w:rPr>
                <w:rFonts w:eastAsia="Times New Roman"/>
                <w:sz w:val="20"/>
              </w:rPr>
            </w:pPr>
            <w:r w:rsidRPr="00A63B56">
              <w:rPr>
                <w:rFonts w:eastAsia="Times New Roman"/>
                <w:sz w:val="20"/>
              </w:rPr>
              <w:t>07.02</w:t>
            </w:r>
          </w:p>
        </w:tc>
        <w:tc>
          <w:tcPr>
            <w:tcW w:w="496" w:type="pct"/>
          </w:tcPr>
          <w:p w14:paraId="748D44B0" w14:textId="77777777" w:rsidR="00A45A6C" w:rsidRPr="00A63B56" w:rsidRDefault="00A060DA" w:rsidP="00565F4D">
            <w:pPr>
              <w:spacing w:after="0" w:line="240" w:lineRule="auto"/>
              <w:rPr>
                <w:rFonts w:eastAsia="Times New Roman"/>
                <w:sz w:val="20"/>
              </w:rPr>
            </w:pPr>
            <w:r w:rsidRPr="00A63B56">
              <w:rPr>
                <w:rFonts w:eastAsia="Times New Roman"/>
                <w:sz w:val="20"/>
              </w:rPr>
              <w:t>+0.41</w:t>
            </w:r>
          </w:p>
        </w:tc>
      </w:tr>
      <w:tr w:rsidR="00D1756C" w14:paraId="6F759D22" w14:textId="77777777" w:rsidTr="00A63B56">
        <w:trPr>
          <w:trHeight w:val="288"/>
        </w:trPr>
        <w:tc>
          <w:tcPr>
            <w:tcW w:w="819" w:type="pct"/>
            <w:shd w:val="clear" w:color="auto" w:fill="auto"/>
            <w:noWrap/>
            <w:vAlign w:val="bottom"/>
            <w:hideMark/>
          </w:tcPr>
          <w:p w14:paraId="5862D5FB" w14:textId="77777777" w:rsidR="00A45A6C" w:rsidRPr="00A63B56" w:rsidRDefault="00A060DA" w:rsidP="00565F4D">
            <w:pPr>
              <w:spacing w:after="0" w:line="240" w:lineRule="auto"/>
              <w:rPr>
                <w:rFonts w:eastAsia="Times New Roman"/>
                <w:sz w:val="20"/>
              </w:rPr>
            </w:pPr>
            <w:r w:rsidRPr="00A63B56">
              <w:rPr>
                <w:rFonts w:eastAsia="Times New Roman"/>
                <w:sz w:val="20"/>
              </w:rPr>
              <w:t>USA</w:t>
            </w:r>
          </w:p>
        </w:tc>
        <w:tc>
          <w:tcPr>
            <w:tcW w:w="410" w:type="pct"/>
            <w:shd w:val="clear" w:color="auto" w:fill="auto"/>
            <w:noWrap/>
            <w:vAlign w:val="bottom"/>
            <w:hideMark/>
          </w:tcPr>
          <w:p w14:paraId="62B7F3F8"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4</w:t>
            </w:r>
          </w:p>
        </w:tc>
        <w:tc>
          <w:tcPr>
            <w:tcW w:w="655" w:type="pct"/>
            <w:shd w:val="clear" w:color="auto" w:fill="auto"/>
            <w:noWrap/>
            <w:vAlign w:val="bottom"/>
            <w:hideMark/>
          </w:tcPr>
          <w:p w14:paraId="46175F9D"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-0.0027</w:t>
            </w:r>
          </w:p>
        </w:tc>
        <w:tc>
          <w:tcPr>
            <w:tcW w:w="414" w:type="pct"/>
            <w:shd w:val="clear" w:color="auto" w:fill="auto"/>
            <w:noWrap/>
            <w:vAlign w:val="bottom"/>
            <w:hideMark/>
          </w:tcPr>
          <w:p w14:paraId="09BBE0CE"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0.05</w:t>
            </w:r>
          </w:p>
        </w:tc>
        <w:tc>
          <w:tcPr>
            <w:tcW w:w="193" w:type="pct"/>
            <w:shd w:val="clear" w:color="auto" w:fill="auto"/>
            <w:noWrap/>
            <w:vAlign w:val="bottom"/>
            <w:hideMark/>
          </w:tcPr>
          <w:p w14:paraId="07ABFF5A"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w:t>
            </w:r>
          </w:p>
        </w:tc>
        <w:tc>
          <w:tcPr>
            <w:tcW w:w="573" w:type="pct"/>
            <w:shd w:val="clear" w:color="auto" w:fill="auto"/>
            <w:noWrap/>
            <w:vAlign w:val="bottom"/>
            <w:hideMark/>
          </w:tcPr>
          <w:p w14:paraId="6C6FE23B"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0.9015</w:t>
            </w:r>
          </w:p>
        </w:tc>
        <w:tc>
          <w:tcPr>
            <w:tcW w:w="252" w:type="pct"/>
            <w:shd w:val="clear" w:color="auto" w:fill="auto"/>
            <w:noWrap/>
            <w:vAlign w:val="bottom"/>
            <w:hideMark/>
          </w:tcPr>
          <w:p w14:paraId="1B46D6AA"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17</w:t>
            </w:r>
          </w:p>
        </w:tc>
        <w:tc>
          <w:tcPr>
            <w:tcW w:w="675" w:type="pct"/>
            <w:shd w:val="clear" w:color="auto" w:fill="auto"/>
            <w:noWrap/>
            <w:vAlign w:val="bottom"/>
            <w:hideMark/>
          </w:tcPr>
          <w:p w14:paraId="07A5FA86" w14:textId="77777777" w:rsidR="00A45A6C" w:rsidRPr="00A63B56" w:rsidRDefault="00A060DA" w:rsidP="00565F4D">
            <w:pPr>
              <w:spacing w:after="0" w:line="240" w:lineRule="auto"/>
              <w:rPr>
                <w:rFonts w:eastAsia="Times New Roman"/>
                <w:sz w:val="20"/>
              </w:rPr>
            </w:pPr>
            <w:r w:rsidRPr="00A63B56">
              <w:rPr>
                <w:rFonts w:eastAsia="Times New Roman"/>
                <w:sz w:val="20"/>
              </w:rPr>
              <w:t>0.77 - 1.00</w:t>
            </w:r>
          </w:p>
        </w:tc>
        <w:tc>
          <w:tcPr>
            <w:tcW w:w="513" w:type="pct"/>
          </w:tcPr>
          <w:p w14:paraId="05889417" w14:textId="77777777" w:rsidR="00A45A6C" w:rsidRPr="00A63B56" w:rsidRDefault="00A060DA" w:rsidP="00565F4D">
            <w:pPr>
              <w:spacing w:after="0" w:line="240" w:lineRule="auto"/>
              <w:rPr>
                <w:rFonts w:eastAsia="Times New Roman"/>
                <w:sz w:val="20"/>
              </w:rPr>
            </w:pPr>
            <w:r w:rsidRPr="00A63B56">
              <w:rPr>
                <w:rFonts w:eastAsia="Times New Roman"/>
                <w:sz w:val="20"/>
              </w:rPr>
              <w:t>09.53</w:t>
            </w:r>
          </w:p>
        </w:tc>
        <w:tc>
          <w:tcPr>
            <w:tcW w:w="496" w:type="pct"/>
          </w:tcPr>
          <w:p w14:paraId="63A5ECAD" w14:textId="77777777" w:rsidR="00A45A6C" w:rsidRPr="00A63B56" w:rsidRDefault="00A060DA" w:rsidP="00565F4D">
            <w:pPr>
              <w:spacing w:after="0" w:line="240" w:lineRule="auto"/>
              <w:rPr>
                <w:rFonts w:eastAsia="Times New Roman"/>
                <w:sz w:val="20"/>
              </w:rPr>
            </w:pPr>
            <w:r w:rsidRPr="00A63B56">
              <w:rPr>
                <w:rFonts w:eastAsia="Times New Roman"/>
                <w:sz w:val="20"/>
              </w:rPr>
              <w:t>+1.21</w:t>
            </w:r>
          </w:p>
        </w:tc>
      </w:tr>
      <w:tr w:rsidR="00D1756C" w14:paraId="325E547B" w14:textId="77777777" w:rsidTr="00A63B56">
        <w:trPr>
          <w:trHeight w:val="288"/>
        </w:trPr>
        <w:tc>
          <w:tcPr>
            <w:tcW w:w="819" w:type="pct"/>
            <w:shd w:val="clear" w:color="auto" w:fill="auto"/>
            <w:noWrap/>
            <w:vAlign w:val="bottom"/>
            <w:hideMark/>
          </w:tcPr>
          <w:p w14:paraId="0E1A1DF6" w14:textId="77777777" w:rsidR="00A45A6C" w:rsidRPr="00A63B56" w:rsidRDefault="00A060DA" w:rsidP="00565F4D">
            <w:pPr>
              <w:spacing w:after="0" w:line="240" w:lineRule="auto"/>
              <w:rPr>
                <w:rFonts w:eastAsia="Times New Roman"/>
                <w:sz w:val="20"/>
              </w:rPr>
            </w:pPr>
            <w:r w:rsidRPr="00A63B56">
              <w:rPr>
                <w:rFonts w:eastAsia="Times New Roman"/>
                <w:sz w:val="20"/>
              </w:rPr>
              <w:t>USA</w:t>
            </w:r>
          </w:p>
        </w:tc>
        <w:tc>
          <w:tcPr>
            <w:tcW w:w="410" w:type="pct"/>
            <w:shd w:val="clear" w:color="auto" w:fill="auto"/>
            <w:noWrap/>
            <w:vAlign w:val="bottom"/>
            <w:hideMark/>
          </w:tcPr>
          <w:p w14:paraId="1AFC1C8B"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5</w:t>
            </w:r>
          </w:p>
        </w:tc>
        <w:tc>
          <w:tcPr>
            <w:tcW w:w="655" w:type="pct"/>
            <w:shd w:val="clear" w:color="auto" w:fill="auto"/>
            <w:noWrap/>
            <w:vAlign w:val="bottom"/>
            <w:hideMark/>
          </w:tcPr>
          <w:p w14:paraId="54DFC07C"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-0.0125</w:t>
            </w:r>
          </w:p>
        </w:tc>
        <w:tc>
          <w:tcPr>
            <w:tcW w:w="414" w:type="pct"/>
            <w:shd w:val="clear" w:color="auto" w:fill="auto"/>
            <w:noWrap/>
            <w:vAlign w:val="bottom"/>
            <w:hideMark/>
          </w:tcPr>
          <w:p w14:paraId="26E83389"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0.05</w:t>
            </w:r>
          </w:p>
        </w:tc>
        <w:tc>
          <w:tcPr>
            <w:tcW w:w="193" w:type="pct"/>
            <w:shd w:val="clear" w:color="auto" w:fill="auto"/>
            <w:noWrap/>
            <w:vAlign w:val="bottom"/>
            <w:hideMark/>
          </w:tcPr>
          <w:p w14:paraId="350DC41F"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w:t>
            </w:r>
          </w:p>
        </w:tc>
        <w:tc>
          <w:tcPr>
            <w:tcW w:w="573" w:type="pct"/>
            <w:shd w:val="clear" w:color="auto" w:fill="auto"/>
            <w:noWrap/>
            <w:vAlign w:val="bottom"/>
            <w:hideMark/>
          </w:tcPr>
          <w:p w14:paraId="6C299953"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0.4995</w:t>
            </w:r>
          </w:p>
        </w:tc>
        <w:tc>
          <w:tcPr>
            <w:tcW w:w="252" w:type="pct"/>
            <w:shd w:val="clear" w:color="auto" w:fill="auto"/>
            <w:noWrap/>
            <w:vAlign w:val="bottom"/>
            <w:hideMark/>
          </w:tcPr>
          <w:p w14:paraId="12EBEA9C"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16</w:t>
            </w:r>
          </w:p>
        </w:tc>
        <w:tc>
          <w:tcPr>
            <w:tcW w:w="675" w:type="pct"/>
            <w:shd w:val="clear" w:color="auto" w:fill="auto"/>
            <w:noWrap/>
            <w:vAlign w:val="bottom"/>
            <w:hideMark/>
          </w:tcPr>
          <w:p w14:paraId="7F94140C" w14:textId="77777777" w:rsidR="00A45A6C" w:rsidRPr="00A63B56" w:rsidRDefault="00A060DA" w:rsidP="00565F4D">
            <w:pPr>
              <w:spacing w:after="0" w:line="240" w:lineRule="auto"/>
              <w:rPr>
                <w:rFonts w:eastAsia="Times New Roman"/>
                <w:sz w:val="20"/>
              </w:rPr>
            </w:pPr>
            <w:r w:rsidRPr="00A63B56">
              <w:rPr>
                <w:rFonts w:eastAsia="Times New Roman"/>
                <w:sz w:val="20"/>
              </w:rPr>
              <w:t>0.53 - 1.00</w:t>
            </w:r>
          </w:p>
        </w:tc>
        <w:tc>
          <w:tcPr>
            <w:tcW w:w="513" w:type="pct"/>
          </w:tcPr>
          <w:p w14:paraId="6ED20518" w14:textId="77777777" w:rsidR="00A45A6C" w:rsidRPr="00A63B56" w:rsidRDefault="00A060DA" w:rsidP="00565F4D">
            <w:pPr>
              <w:spacing w:after="0" w:line="240" w:lineRule="auto"/>
              <w:rPr>
                <w:rFonts w:eastAsia="Times New Roman"/>
                <w:sz w:val="20"/>
              </w:rPr>
            </w:pPr>
            <w:r w:rsidRPr="00A63B56">
              <w:rPr>
                <w:rFonts w:eastAsia="Times New Roman"/>
                <w:sz w:val="20"/>
              </w:rPr>
              <w:t>22.01</w:t>
            </w:r>
          </w:p>
        </w:tc>
        <w:tc>
          <w:tcPr>
            <w:tcW w:w="496" w:type="pct"/>
          </w:tcPr>
          <w:p w14:paraId="0A1A69ED" w14:textId="77777777" w:rsidR="00A45A6C" w:rsidRPr="00A63B56" w:rsidRDefault="00A060DA" w:rsidP="00565F4D">
            <w:pPr>
              <w:spacing w:after="0" w:line="240" w:lineRule="auto"/>
              <w:rPr>
                <w:rFonts w:eastAsia="Times New Roman"/>
                <w:sz w:val="20"/>
              </w:rPr>
            </w:pPr>
            <w:r w:rsidRPr="00A63B56">
              <w:rPr>
                <w:rFonts w:eastAsia="Times New Roman"/>
                <w:sz w:val="20"/>
              </w:rPr>
              <w:t>+4.11</w:t>
            </w:r>
          </w:p>
        </w:tc>
      </w:tr>
      <w:tr w:rsidR="00D1756C" w14:paraId="2B945693" w14:textId="77777777" w:rsidTr="00A63B56">
        <w:trPr>
          <w:trHeight w:val="288"/>
        </w:trPr>
        <w:tc>
          <w:tcPr>
            <w:tcW w:w="819" w:type="pct"/>
            <w:shd w:val="clear" w:color="auto" w:fill="auto"/>
            <w:noWrap/>
            <w:vAlign w:val="bottom"/>
            <w:hideMark/>
          </w:tcPr>
          <w:p w14:paraId="67DBD30A" w14:textId="77777777" w:rsidR="00A45A6C" w:rsidRPr="00A63B56" w:rsidRDefault="00A060DA" w:rsidP="00565F4D">
            <w:pPr>
              <w:spacing w:after="0" w:line="240" w:lineRule="auto"/>
              <w:rPr>
                <w:rFonts w:eastAsia="Times New Roman"/>
                <w:sz w:val="20"/>
              </w:rPr>
            </w:pPr>
            <w:r w:rsidRPr="00A63B56">
              <w:rPr>
                <w:rFonts w:eastAsia="Times New Roman"/>
                <w:sz w:val="20"/>
              </w:rPr>
              <w:t>USA</w:t>
            </w:r>
          </w:p>
        </w:tc>
        <w:tc>
          <w:tcPr>
            <w:tcW w:w="410" w:type="pct"/>
            <w:shd w:val="clear" w:color="auto" w:fill="auto"/>
            <w:noWrap/>
            <w:vAlign w:val="bottom"/>
            <w:hideMark/>
          </w:tcPr>
          <w:p w14:paraId="773C1719"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6</w:t>
            </w:r>
          </w:p>
        </w:tc>
        <w:tc>
          <w:tcPr>
            <w:tcW w:w="655" w:type="pct"/>
            <w:shd w:val="clear" w:color="auto" w:fill="auto"/>
            <w:noWrap/>
            <w:vAlign w:val="bottom"/>
            <w:hideMark/>
          </w:tcPr>
          <w:p w14:paraId="574F0C92"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0.0156</w:t>
            </w:r>
          </w:p>
        </w:tc>
        <w:tc>
          <w:tcPr>
            <w:tcW w:w="414" w:type="pct"/>
            <w:shd w:val="clear" w:color="auto" w:fill="auto"/>
            <w:noWrap/>
            <w:vAlign w:val="bottom"/>
            <w:hideMark/>
          </w:tcPr>
          <w:p w14:paraId="0EA22BDD"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0.05</w:t>
            </w:r>
          </w:p>
        </w:tc>
        <w:tc>
          <w:tcPr>
            <w:tcW w:w="193" w:type="pct"/>
            <w:shd w:val="clear" w:color="auto" w:fill="auto"/>
            <w:noWrap/>
            <w:vAlign w:val="bottom"/>
            <w:hideMark/>
          </w:tcPr>
          <w:p w14:paraId="7E796332"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w:t>
            </w:r>
          </w:p>
        </w:tc>
        <w:tc>
          <w:tcPr>
            <w:tcW w:w="573" w:type="pct"/>
            <w:shd w:val="clear" w:color="auto" w:fill="auto"/>
            <w:noWrap/>
            <w:vAlign w:val="bottom"/>
            <w:hideMark/>
          </w:tcPr>
          <w:p w14:paraId="11DF71EC"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0.0195</w:t>
            </w:r>
          </w:p>
        </w:tc>
        <w:tc>
          <w:tcPr>
            <w:tcW w:w="252" w:type="pct"/>
            <w:shd w:val="clear" w:color="auto" w:fill="auto"/>
            <w:noWrap/>
            <w:vAlign w:val="bottom"/>
            <w:hideMark/>
          </w:tcPr>
          <w:p w14:paraId="44222ED8"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11</w:t>
            </w:r>
          </w:p>
        </w:tc>
        <w:tc>
          <w:tcPr>
            <w:tcW w:w="675" w:type="pct"/>
            <w:shd w:val="clear" w:color="auto" w:fill="auto"/>
            <w:noWrap/>
            <w:vAlign w:val="bottom"/>
            <w:hideMark/>
          </w:tcPr>
          <w:p w14:paraId="6E6BF294" w14:textId="77777777" w:rsidR="00A45A6C" w:rsidRPr="00A63B56" w:rsidRDefault="00A060DA" w:rsidP="00565F4D">
            <w:pPr>
              <w:spacing w:after="0" w:line="240" w:lineRule="auto"/>
              <w:rPr>
                <w:rFonts w:eastAsia="Times New Roman"/>
                <w:sz w:val="20"/>
              </w:rPr>
            </w:pPr>
            <w:r w:rsidRPr="00A63B56">
              <w:rPr>
                <w:rFonts w:eastAsia="Times New Roman"/>
                <w:sz w:val="20"/>
              </w:rPr>
              <w:t>0.66 - 1.00</w:t>
            </w:r>
          </w:p>
        </w:tc>
        <w:tc>
          <w:tcPr>
            <w:tcW w:w="513" w:type="pct"/>
          </w:tcPr>
          <w:p w14:paraId="3E45F700" w14:textId="77777777" w:rsidR="00A45A6C" w:rsidRPr="00A63B56" w:rsidRDefault="00A060DA" w:rsidP="00565F4D">
            <w:pPr>
              <w:spacing w:after="0" w:line="240" w:lineRule="auto"/>
              <w:rPr>
                <w:rFonts w:eastAsia="Times New Roman"/>
                <w:sz w:val="20"/>
              </w:rPr>
            </w:pPr>
            <w:r w:rsidRPr="00A63B56">
              <w:rPr>
                <w:rFonts w:eastAsia="Times New Roman"/>
                <w:sz w:val="20"/>
              </w:rPr>
              <w:t>5.40</w:t>
            </w:r>
          </w:p>
        </w:tc>
        <w:tc>
          <w:tcPr>
            <w:tcW w:w="496" w:type="pct"/>
          </w:tcPr>
          <w:p w14:paraId="1D218FBF" w14:textId="77777777" w:rsidR="00A45A6C" w:rsidRPr="00A63B56" w:rsidRDefault="00A060DA" w:rsidP="00565F4D">
            <w:pPr>
              <w:spacing w:after="0" w:line="240" w:lineRule="auto"/>
              <w:rPr>
                <w:rFonts w:eastAsia="Times New Roman"/>
                <w:sz w:val="20"/>
              </w:rPr>
            </w:pPr>
            <w:r w:rsidRPr="00A63B56">
              <w:rPr>
                <w:rFonts w:eastAsia="Times New Roman"/>
                <w:sz w:val="20"/>
              </w:rPr>
              <w:t>+0.70</w:t>
            </w:r>
          </w:p>
        </w:tc>
      </w:tr>
      <w:tr w:rsidR="00D1756C" w14:paraId="0F66190C" w14:textId="77777777" w:rsidTr="00A63B56">
        <w:trPr>
          <w:trHeight w:val="288"/>
        </w:trPr>
        <w:tc>
          <w:tcPr>
            <w:tcW w:w="819" w:type="pct"/>
            <w:shd w:val="clear" w:color="auto" w:fill="auto"/>
            <w:noWrap/>
            <w:vAlign w:val="bottom"/>
            <w:hideMark/>
          </w:tcPr>
          <w:p w14:paraId="74CA041D" w14:textId="77777777" w:rsidR="00A45A6C" w:rsidRPr="00A63B56" w:rsidRDefault="00A060DA" w:rsidP="00565F4D">
            <w:pPr>
              <w:spacing w:after="0" w:line="240" w:lineRule="auto"/>
              <w:rPr>
                <w:rFonts w:eastAsia="Times New Roman"/>
                <w:sz w:val="20"/>
              </w:rPr>
            </w:pPr>
            <w:r w:rsidRPr="00A63B56">
              <w:rPr>
                <w:rFonts w:eastAsia="Times New Roman"/>
                <w:sz w:val="20"/>
              </w:rPr>
              <w:t>Morocco</w:t>
            </w:r>
          </w:p>
        </w:tc>
        <w:tc>
          <w:tcPr>
            <w:tcW w:w="410" w:type="pct"/>
            <w:shd w:val="clear" w:color="auto" w:fill="auto"/>
            <w:noWrap/>
            <w:vAlign w:val="bottom"/>
            <w:hideMark/>
          </w:tcPr>
          <w:p w14:paraId="050CCE04"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7</w:t>
            </w:r>
          </w:p>
        </w:tc>
        <w:tc>
          <w:tcPr>
            <w:tcW w:w="655" w:type="pct"/>
            <w:shd w:val="clear" w:color="auto" w:fill="auto"/>
            <w:noWrap/>
            <w:vAlign w:val="bottom"/>
            <w:hideMark/>
          </w:tcPr>
          <w:p w14:paraId="57481E22"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0.025</w:t>
            </w:r>
          </w:p>
        </w:tc>
        <w:tc>
          <w:tcPr>
            <w:tcW w:w="414" w:type="pct"/>
            <w:shd w:val="clear" w:color="auto" w:fill="auto"/>
            <w:noWrap/>
            <w:vAlign w:val="bottom"/>
            <w:hideMark/>
          </w:tcPr>
          <w:p w14:paraId="04B8DE6A"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0.05</w:t>
            </w:r>
          </w:p>
        </w:tc>
        <w:tc>
          <w:tcPr>
            <w:tcW w:w="193" w:type="pct"/>
            <w:shd w:val="clear" w:color="auto" w:fill="auto"/>
            <w:noWrap/>
            <w:vAlign w:val="bottom"/>
            <w:hideMark/>
          </w:tcPr>
          <w:p w14:paraId="433936BD"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w:t>
            </w:r>
          </w:p>
        </w:tc>
        <w:tc>
          <w:tcPr>
            <w:tcW w:w="573" w:type="pct"/>
            <w:shd w:val="clear" w:color="auto" w:fill="auto"/>
            <w:noWrap/>
            <w:vAlign w:val="bottom"/>
            <w:hideMark/>
          </w:tcPr>
          <w:p w14:paraId="04F5CD47"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0.0584</w:t>
            </w:r>
          </w:p>
        </w:tc>
        <w:tc>
          <w:tcPr>
            <w:tcW w:w="252" w:type="pct"/>
            <w:shd w:val="clear" w:color="auto" w:fill="auto"/>
            <w:noWrap/>
            <w:vAlign w:val="bottom"/>
            <w:hideMark/>
          </w:tcPr>
          <w:p w14:paraId="64D0BD63"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16</w:t>
            </w:r>
          </w:p>
        </w:tc>
        <w:tc>
          <w:tcPr>
            <w:tcW w:w="675" w:type="pct"/>
            <w:shd w:val="clear" w:color="auto" w:fill="auto"/>
            <w:noWrap/>
            <w:vAlign w:val="bottom"/>
            <w:hideMark/>
          </w:tcPr>
          <w:p w14:paraId="36FE5954" w14:textId="77777777" w:rsidR="00A45A6C" w:rsidRPr="00A63B56" w:rsidRDefault="00A060DA" w:rsidP="00565F4D">
            <w:pPr>
              <w:spacing w:after="0" w:line="240" w:lineRule="auto"/>
              <w:rPr>
                <w:rFonts w:eastAsia="Times New Roman"/>
                <w:sz w:val="20"/>
              </w:rPr>
            </w:pPr>
            <w:r w:rsidRPr="00A63B56">
              <w:rPr>
                <w:rFonts w:eastAsia="Times New Roman"/>
                <w:sz w:val="20"/>
              </w:rPr>
              <w:t>0.53 - 0.92</w:t>
            </w:r>
          </w:p>
        </w:tc>
        <w:tc>
          <w:tcPr>
            <w:tcW w:w="513" w:type="pct"/>
          </w:tcPr>
          <w:p w14:paraId="56B5C79A" w14:textId="77777777" w:rsidR="00A45A6C" w:rsidRPr="00A63B56" w:rsidRDefault="00A060DA" w:rsidP="00565F4D">
            <w:pPr>
              <w:spacing w:after="0" w:line="240" w:lineRule="auto"/>
              <w:rPr>
                <w:rFonts w:eastAsia="Times New Roman"/>
                <w:sz w:val="20"/>
              </w:rPr>
            </w:pPr>
            <w:r w:rsidRPr="00A63B56">
              <w:rPr>
                <w:rFonts w:eastAsia="Times New Roman"/>
                <w:sz w:val="20"/>
              </w:rPr>
              <w:t>12.45</w:t>
            </w:r>
          </w:p>
        </w:tc>
        <w:tc>
          <w:tcPr>
            <w:tcW w:w="496" w:type="pct"/>
          </w:tcPr>
          <w:p w14:paraId="16B741DA" w14:textId="77777777" w:rsidR="00A45A6C" w:rsidRPr="00A63B56" w:rsidRDefault="00A060DA" w:rsidP="00565F4D">
            <w:pPr>
              <w:spacing w:after="0" w:line="240" w:lineRule="auto"/>
              <w:rPr>
                <w:rFonts w:eastAsia="Times New Roman"/>
                <w:sz w:val="20"/>
              </w:rPr>
            </w:pPr>
            <w:r w:rsidRPr="00A63B56">
              <w:rPr>
                <w:rFonts w:eastAsia="Times New Roman"/>
                <w:sz w:val="20"/>
              </w:rPr>
              <w:t>+1.26</w:t>
            </w:r>
          </w:p>
        </w:tc>
      </w:tr>
      <w:tr w:rsidR="00D1756C" w14:paraId="2409BB95" w14:textId="77777777" w:rsidTr="00A63B56">
        <w:trPr>
          <w:trHeight w:val="288"/>
        </w:trPr>
        <w:tc>
          <w:tcPr>
            <w:tcW w:w="819" w:type="pct"/>
            <w:shd w:val="clear" w:color="auto" w:fill="auto"/>
            <w:noWrap/>
            <w:vAlign w:val="bottom"/>
            <w:hideMark/>
          </w:tcPr>
          <w:p w14:paraId="5ADB9476" w14:textId="77777777" w:rsidR="00A45A6C" w:rsidRPr="00A63B56" w:rsidRDefault="00A060DA" w:rsidP="00565F4D">
            <w:pPr>
              <w:spacing w:after="0" w:line="240" w:lineRule="auto"/>
              <w:rPr>
                <w:rFonts w:eastAsia="Times New Roman"/>
                <w:sz w:val="20"/>
              </w:rPr>
            </w:pPr>
            <w:r w:rsidRPr="00A63B56">
              <w:rPr>
                <w:rFonts w:eastAsia="Times New Roman"/>
                <w:sz w:val="20"/>
              </w:rPr>
              <w:t xml:space="preserve">Venezuela </w:t>
            </w:r>
          </w:p>
        </w:tc>
        <w:tc>
          <w:tcPr>
            <w:tcW w:w="410" w:type="pct"/>
            <w:shd w:val="clear" w:color="auto" w:fill="auto"/>
            <w:noWrap/>
            <w:vAlign w:val="bottom"/>
            <w:hideMark/>
          </w:tcPr>
          <w:p w14:paraId="34DB4810"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8</w:t>
            </w:r>
          </w:p>
        </w:tc>
        <w:tc>
          <w:tcPr>
            <w:tcW w:w="655" w:type="pct"/>
            <w:shd w:val="clear" w:color="auto" w:fill="auto"/>
            <w:noWrap/>
            <w:vAlign w:val="bottom"/>
            <w:hideMark/>
          </w:tcPr>
          <w:p w14:paraId="5B685571"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0.204</w:t>
            </w:r>
          </w:p>
        </w:tc>
        <w:tc>
          <w:tcPr>
            <w:tcW w:w="414" w:type="pct"/>
            <w:shd w:val="clear" w:color="auto" w:fill="auto"/>
            <w:noWrap/>
            <w:vAlign w:val="bottom"/>
            <w:hideMark/>
          </w:tcPr>
          <w:p w14:paraId="4CA2C2C4"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0.05</w:t>
            </w:r>
          </w:p>
        </w:tc>
        <w:tc>
          <w:tcPr>
            <w:tcW w:w="193" w:type="pct"/>
            <w:shd w:val="clear" w:color="auto" w:fill="auto"/>
            <w:noWrap/>
            <w:vAlign w:val="bottom"/>
            <w:hideMark/>
          </w:tcPr>
          <w:p w14:paraId="1B16B691"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w:t>
            </w:r>
          </w:p>
        </w:tc>
        <w:tc>
          <w:tcPr>
            <w:tcW w:w="573" w:type="pct"/>
            <w:shd w:val="clear" w:color="auto" w:fill="auto"/>
            <w:noWrap/>
            <w:vAlign w:val="bottom"/>
            <w:hideMark/>
          </w:tcPr>
          <w:p w14:paraId="51669897"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3.42E-04</w:t>
            </w:r>
          </w:p>
        </w:tc>
        <w:tc>
          <w:tcPr>
            <w:tcW w:w="252" w:type="pct"/>
            <w:shd w:val="clear" w:color="auto" w:fill="auto"/>
            <w:noWrap/>
            <w:vAlign w:val="bottom"/>
            <w:hideMark/>
          </w:tcPr>
          <w:p w14:paraId="67F8B05F"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11</w:t>
            </w:r>
          </w:p>
        </w:tc>
        <w:tc>
          <w:tcPr>
            <w:tcW w:w="675" w:type="pct"/>
            <w:shd w:val="clear" w:color="auto" w:fill="auto"/>
            <w:noWrap/>
            <w:vAlign w:val="bottom"/>
            <w:hideMark/>
          </w:tcPr>
          <w:p w14:paraId="4A930C58" w14:textId="77777777" w:rsidR="00A45A6C" w:rsidRPr="00A63B56" w:rsidRDefault="00A060DA" w:rsidP="00565F4D">
            <w:pPr>
              <w:spacing w:after="0" w:line="240" w:lineRule="auto"/>
              <w:rPr>
                <w:rFonts w:eastAsia="Times New Roman"/>
                <w:sz w:val="20"/>
              </w:rPr>
            </w:pPr>
            <w:r w:rsidRPr="00A63B56">
              <w:rPr>
                <w:rFonts w:eastAsia="Times New Roman"/>
                <w:sz w:val="20"/>
              </w:rPr>
              <w:t>0.62 - 1.00</w:t>
            </w:r>
          </w:p>
        </w:tc>
        <w:tc>
          <w:tcPr>
            <w:tcW w:w="513" w:type="pct"/>
          </w:tcPr>
          <w:p w14:paraId="064D7206" w14:textId="77777777" w:rsidR="00A45A6C" w:rsidRPr="00A63B56" w:rsidRDefault="00A060DA" w:rsidP="00565F4D">
            <w:pPr>
              <w:spacing w:after="0" w:line="240" w:lineRule="auto"/>
              <w:rPr>
                <w:rFonts w:eastAsia="Times New Roman"/>
                <w:sz w:val="20"/>
              </w:rPr>
            </w:pPr>
            <w:r w:rsidRPr="00A63B56">
              <w:rPr>
                <w:rFonts w:eastAsia="Times New Roman"/>
                <w:sz w:val="20"/>
              </w:rPr>
              <w:t>25.00</w:t>
            </w:r>
          </w:p>
        </w:tc>
        <w:tc>
          <w:tcPr>
            <w:tcW w:w="496" w:type="pct"/>
          </w:tcPr>
          <w:p w14:paraId="641C12CA" w14:textId="77777777" w:rsidR="00A45A6C" w:rsidRPr="00A63B56" w:rsidRDefault="00A060DA" w:rsidP="00565F4D">
            <w:pPr>
              <w:spacing w:after="0" w:line="240" w:lineRule="auto"/>
              <w:rPr>
                <w:rFonts w:eastAsia="Times New Roman"/>
                <w:sz w:val="20"/>
              </w:rPr>
            </w:pPr>
            <w:r w:rsidRPr="00A63B56">
              <w:rPr>
                <w:rFonts w:eastAsia="Times New Roman"/>
                <w:sz w:val="20"/>
              </w:rPr>
              <w:t>+5.43</w:t>
            </w:r>
          </w:p>
        </w:tc>
      </w:tr>
      <w:tr w:rsidR="00D1756C" w14:paraId="118A0653" w14:textId="77777777" w:rsidTr="00A63B56">
        <w:trPr>
          <w:trHeight w:val="288"/>
        </w:trPr>
        <w:tc>
          <w:tcPr>
            <w:tcW w:w="819" w:type="pct"/>
            <w:shd w:val="clear" w:color="auto" w:fill="auto"/>
            <w:noWrap/>
            <w:vAlign w:val="bottom"/>
            <w:hideMark/>
          </w:tcPr>
          <w:p w14:paraId="246E01B2" w14:textId="77777777" w:rsidR="00A45A6C" w:rsidRPr="00A63B56" w:rsidRDefault="00A060DA" w:rsidP="00565F4D">
            <w:pPr>
              <w:spacing w:after="0" w:line="240" w:lineRule="auto"/>
              <w:rPr>
                <w:rFonts w:eastAsia="Times New Roman"/>
                <w:sz w:val="20"/>
              </w:rPr>
            </w:pPr>
            <w:r w:rsidRPr="00A63B56">
              <w:rPr>
                <w:rFonts w:eastAsia="Times New Roman"/>
                <w:sz w:val="20"/>
              </w:rPr>
              <w:lastRenderedPageBreak/>
              <w:t>Somalia</w:t>
            </w:r>
          </w:p>
        </w:tc>
        <w:tc>
          <w:tcPr>
            <w:tcW w:w="410" w:type="pct"/>
            <w:shd w:val="clear" w:color="auto" w:fill="auto"/>
            <w:noWrap/>
            <w:vAlign w:val="bottom"/>
            <w:hideMark/>
          </w:tcPr>
          <w:p w14:paraId="2B43D6D7"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9</w:t>
            </w:r>
          </w:p>
        </w:tc>
        <w:tc>
          <w:tcPr>
            <w:tcW w:w="655" w:type="pct"/>
            <w:shd w:val="clear" w:color="auto" w:fill="auto"/>
            <w:noWrap/>
            <w:vAlign w:val="bottom"/>
            <w:hideMark/>
          </w:tcPr>
          <w:p w14:paraId="6495D364"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0.1894</w:t>
            </w:r>
          </w:p>
        </w:tc>
        <w:tc>
          <w:tcPr>
            <w:tcW w:w="414" w:type="pct"/>
            <w:shd w:val="clear" w:color="auto" w:fill="auto"/>
            <w:noWrap/>
            <w:vAlign w:val="bottom"/>
            <w:hideMark/>
          </w:tcPr>
          <w:p w14:paraId="62DB82A3"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0.05</w:t>
            </w:r>
          </w:p>
        </w:tc>
        <w:tc>
          <w:tcPr>
            <w:tcW w:w="193" w:type="pct"/>
            <w:shd w:val="clear" w:color="auto" w:fill="auto"/>
            <w:noWrap/>
            <w:vAlign w:val="bottom"/>
            <w:hideMark/>
          </w:tcPr>
          <w:p w14:paraId="1A2F82DB"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w:t>
            </w:r>
          </w:p>
        </w:tc>
        <w:tc>
          <w:tcPr>
            <w:tcW w:w="573" w:type="pct"/>
            <w:shd w:val="clear" w:color="auto" w:fill="auto"/>
            <w:noWrap/>
            <w:vAlign w:val="bottom"/>
            <w:hideMark/>
          </w:tcPr>
          <w:p w14:paraId="2BBBC4A8"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0.0354</w:t>
            </w:r>
          </w:p>
        </w:tc>
        <w:tc>
          <w:tcPr>
            <w:tcW w:w="252" w:type="pct"/>
            <w:shd w:val="clear" w:color="auto" w:fill="auto"/>
            <w:noWrap/>
            <w:vAlign w:val="bottom"/>
            <w:hideMark/>
          </w:tcPr>
          <w:p w14:paraId="5D74243E"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8</w:t>
            </w:r>
          </w:p>
        </w:tc>
        <w:tc>
          <w:tcPr>
            <w:tcW w:w="675" w:type="pct"/>
            <w:shd w:val="clear" w:color="auto" w:fill="auto"/>
            <w:noWrap/>
            <w:vAlign w:val="bottom"/>
            <w:hideMark/>
          </w:tcPr>
          <w:p w14:paraId="4B9F35BD" w14:textId="77777777" w:rsidR="00A45A6C" w:rsidRPr="00A63B56" w:rsidRDefault="00A060DA" w:rsidP="00565F4D">
            <w:pPr>
              <w:spacing w:after="0" w:line="240" w:lineRule="auto"/>
              <w:rPr>
                <w:rFonts w:eastAsia="Times New Roman"/>
                <w:sz w:val="20"/>
              </w:rPr>
            </w:pPr>
            <w:r w:rsidRPr="00A63B56">
              <w:rPr>
                <w:rFonts w:eastAsia="Times New Roman"/>
                <w:sz w:val="20"/>
              </w:rPr>
              <w:t>0.63 - 1.00</w:t>
            </w:r>
          </w:p>
        </w:tc>
        <w:tc>
          <w:tcPr>
            <w:tcW w:w="513" w:type="pct"/>
          </w:tcPr>
          <w:p w14:paraId="35DD7DFC" w14:textId="77777777" w:rsidR="00A45A6C" w:rsidRPr="00A63B56" w:rsidRDefault="00A060DA" w:rsidP="00565F4D">
            <w:pPr>
              <w:spacing w:after="0" w:line="240" w:lineRule="auto"/>
              <w:rPr>
                <w:rFonts w:eastAsia="Times New Roman"/>
                <w:sz w:val="20"/>
              </w:rPr>
            </w:pPr>
            <w:r w:rsidRPr="00A63B56">
              <w:rPr>
                <w:rFonts w:eastAsia="Times New Roman"/>
                <w:sz w:val="20"/>
              </w:rPr>
              <w:t>17.30</w:t>
            </w:r>
          </w:p>
        </w:tc>
        <w:tc>
          <w:tcPr>
            <w:tcW w:w="496" w:type="pct"/>
          </w:tcPr>
          <w:p w14:paraId="0D36FCB9" w14:textId="77777777" w:rsidR="00A45A6C" w:rsidRPr="00A63B56" w:rsidRDefault="00A060DA" w:rsidP="00565F4D">
            <w:pPr>
              <w:spacing w:after="0" w:line="240" w:lineRule="auto"/>
              <w:rPr>
                <w:rFonts w:eastAsia="Times New Roman"/>
                <w:sz w:val="20"/>
              </w:rPr>
            </w:pPr>
            <w:r w:rsidRPr="00A63B56">
              <w:rPr>
                <w:rFonts w:eastAsia="Times New Roman"/>
                <w:sz w:val="20"/>
              </w:rPr>
              <w:t>+6.05</w:t>
            </w:r>
          </w:p>
        </w:tc>
      </w:tr>
      <w:tr w:rsidR="00D1756C" w14:paraId="4276A8D7" w14:textId="77777777" w:rsidTr="00A63B56">
        <w:trPr>
          <w:trHeight w:val="288"/>
        </w:trPr>
        <w:tc>
          <w:tcPr>
            <w:tcW w:w="819" w:type="pct"/>
            <w:shd w:val="clear" w:color="auto" w:fill="auto"/>
            <w:noWrap/>
            <w:vAlign w:val="bottom"/>
            <w:hideMark/>
          </w:tcPr>
          <w:p w14:paraId="77214BB5" w14:textId="77777777" w:rsidR="00A45A6C" w:rsidRPr="00A63B56" w:rsidRDefault="00A060DA" w:rsidP="00565F4D">
            <w:pPr>
              <w:spacing w:after="0" w:line="240" w:lineRule="auto"/>
              <w:rPr>
                <w:rFonts w:eastAsia="Times New Roman"/>
                <w:sz w:val="20"/>
              </w:rPr>
            </w:pPr>
            <w:r w:rsidRPr="00A63B56">
              <w:rPr>
                <w:rFonts w:eastAsia="Times New Roman"/>
                <w:sz w:val="20"/>
              </w:rPr>
              <w:t>Brazil</w:t>
            </w:r>
          </w:p>
        </w:tc>
        <w:tc>
          <w:tcPr>
            <w:tcW w:w="410" w:type="pct"/>
            <w:shd w:val="clear" w:color="auto" w:fill="auto"/>
            <w:noWrap/>
            <w:vAlign w:val="bottom"/>
            <w:hideMark/>
          </w:tcPr>
          <w:p w14:paraId="53624960"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10</w:t>
            </w:r>
          </w:p>
        </w:tc>
        <w:tc>
          <w:tcPr>
            <w:tcW w:w="655" w:type="pct"/>
            <w:shd w:val="clear" w:color="auto" w:fill="auto"/>
            <w:noWrap/>
            <w:vAlign w:val="bottom"/>
            <w:hideMark/>
          </w:tcPr>
          <w:p w14:paraId="7CA5D3FE"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0.6926</w:t>
            </w:r>
          </w:p>
        </w:tc>
        <w:tc>
          <w:tcPr>
            <w:tcW w:w="414" w:type="pct"/>
            <w:shd w:val="clear" w:color="auto" w:fill="auto"/>
            <w:noWrap/>
            <w:vAlign w:val="bottom"/>
            <w:hideMark/>
          </w:tcPr>
          <w:p w14:paraId="00C2BB9A"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0.05</w:t>
            </w:r>
          </w:p>
        </w:tc>
        <w:tc>
          <w:tcPr>
            <w:tcW w:w="193" w:type="pct"/>
            <w:shd w:val="clear" w:color="auto" w:fill="auto"/>
            <w:noWrap/>
            <w:vAlign w:val="bottom"/>
            <w:hideMark/>
          </w:tcPr>
          <w:p w14:paraId="49A3AE07"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w:t>
            </w:r>
          </w:p>
        </w:tc>
        <w:tc>
          <w:tcPr>
            <w:tcW w:w="573" w:type="pct"/>
            <w:shd w:val="clear" w:color="auto" w:fill="auto"/>
            <w:noWrap/>
            <w:vAlign w:val="bottom"/>
            <w:hideMark/>
          </w:tcPr>
          <w:p w14:paraId="27582D65"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3.19E-04</w:t>
            </w:r>
          </w:p>
        </w:tc>
        <w:tc>
          <w:tcPr>
            <w:tcW w:w="252" w:type="pct"/>
            <w:shd w:val="clear" w:color="auto" w:fill="auto"/>
            <w:noWrap/>
            <w:vAlign w:val="bottom"/>
            <w:hideMark/>
          </w:tcPr>
          <w:p w14:paraId="7CD23B61"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13</w:t>
            </w:r>
          </w:p>
        </w:tc>
        <w:tc>
          <w:tcPr>
            <w:tcW w:w="675" w:type="pct"/>
            <w:shd w:val="clear" w:color="auto" w:fill="auto"/>
            <w:noWrap/>
            <w:vAlign w:val="bottom"/>
            <w:hideMark/>
          </w:tcPr>
          <w:p w14:paraId="283CE137" w14:textId="77777777" w:rsidR="00A45A6C" w:rsidRPr="00A63B56" w:rsidRDefault="00A060DA" w:rsidP="00565F4D">
            <w:pPr>
              <w:spacing w:after="0" w:line="240" w:lineRule="auto"/>
              <w:rPr>
                <w:rFonts w:eastAsia="Times New Roman"/>
                <w:sz w:val="20"/>
              </w:rPr>
            </w:pPr>
            <w:r w:rsidRPr="00A63B56">
              <w:rPr>
                <w:rFonts w:eastAsia="Times New Roman"/>
                <w:sz w:val="20"/>
              </w:rPr>
              <w:t>0.76 - 1.00</w:t>
            </w:r>
          </w:p>
        </w:tc>
        <w:tc>
          <w:tcPr>
            <w:tcW w:w="513" w:type="pct"/>
          </w:tcPr>
          <w:p w14:paraId="4298C0E4" w14:textId="77777777" w:rsidR="00A45A6C" w:rsidRPr="00A63B56" w:rsidRDefault="00A060DA" w:rsidP="00565F4D">
            <w:pPr>
              <w:spacing w:after="0" w:line="240" w:lineRule="auto"/>
              <w:rPr>
                <w:rFonts w:eastAsia="Times New Roman"/>
                <w:sz w:val="20"/>
              </w:rPr>
            </w:pPr>
            <w:r w:rsidRPr="00A63B56">
              <w:rPr>
                <w:rFonts w:eastAsia="Times New Roman"/>
                <w:sz w:val="20"/>
              </w:rPr>
              <w:t>95.20</w:t>
            </w:r>
          </w:p>
        </w:tc>
        <w:tc>
          <w:tcPr>
            <w:tcW w:w="496" w:type="pct"/>
          </w:tcPr>
          <w:p w14:paraId="792CB05C" w14:textId="77777777" w:rsidR="00A45A6C" w:rsidRPr="00A63B56" w:rsidRDefault="00A060DA" w:rsidP="00565F4D">
            <w:pPr>
              <w:spacing w:after="0" w:line="240" w:lineRule="auto"/>
              <w:rPr>
                <w:rFonts w:eastAsia="Times New Roman"/>
                <w:sz w:val="20"/>
              </w:rPr>
            </w:pPr>
            <w:r w:rsidRPr="00A63B56">
              <w:rPr>
                <w:rFonts w:eastAsia="Times New Roman"/>
                <w:sz w:val="20"/>
              </w:rPr>
              <w:t>+21.89</w:t>
            </w:r>
          </w:p>
        </w:tc>
      </w:tr>
      <w:tr w:rsidR="00D1756C" w14:paraId="3564B96A" w14:textId="77777777" w:rsidTr="00A63B56">
        <w:trPr>
          <w:trHeight w:val="288"/>
        </w:trPr>
        <w:tc>
          <w:tcPr>
            <w:tcW w:w="819" w:type="pct"/>
            <w:shd w:val="clear" w:color="auto" w:fill="auto"/>
            <w:noWrap/>
            <w:vAlign w:val="bottom"/>
            <w:hideMark/>
          </w:tcPr>
          <w:p w14:paraId="5D381DD7" w14:textId="77777777" w:rsidR="00A45A6C" w:rsidRPr="00A63B56" w:rsidRDefault="00A060DA" w:rsidP="00565F4D">
            <w:pPr>
              <w:spacing w:after="0" w:line="240" w:lineRule="auto"/>
              <w:rPr>
                <w:rFonts w:eastAsia="Times New Roman"/>
                <w:sz w:val="20"/>
              </w:rPr>
            </w:pPr>
            <w:r w:rsidRPr="00A63B56">
              <w:rPr>
                <w:rFonts w:eastAsia="Times New Roman"/>
                <w:sz w:val="20"/>
              </w:rPr>
              <w:t>Mozambique</w:t>
            </w:r>
          </w:p>
        </w:tc>
        <w:tc>
          <w:tcPr>
            <w:tcW w:w="410" w:type="pct"/>
            <w:shd w:val="clear" w:color="auto" w:fill="auto"/>
            <w:noWrap/>
            <w:vAlign w:val="bottom"/>
            <w:hideMark/>
          </w:tcPr>
          <w:p w14:paraId="4CDDA3DC"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11</w:t>
            </w:r>
          </w:p>
        </w:tc>
        <w:tc>
          <w:tcPr>
            <w:tcW w:w="655" w:type="pct"/>
            <w:shd w:val="clear" w:color="auto" w:fill="auto"/>
            <w:noWrap/>
            <w:vAlign w:val="bottom"/>
            <w:hideMark/>
          </w:tcPr>
          <w:p w14:paraId="6DE41832"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-0.0178</w:t>
            </w:r>
          </w:p>
        </w:tc>
        <w:tc>
          <w:tcPr>
            <w:tcW w:w="414" w:type="pct"/>
            <w:shd w:val="clear" w:color="auto" w:fill="auto"/>
            <w:noWrap/>
            <w:vAlign w:val="bottom"/>
            <w:hideMark/>
          </w:tcPr>
          <w:p w14:paraId="628117DE"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0.05</w:t>
            </w:r>
          </w:p>
        </w:tc>
        <w:tc>
          <w:tcPr>
            <w:tcW w:w="193" w:type="pct"/>
            <w:shd w:val="clear" w:color="auto" w:fill="auto"/>
            <w:noWrap/>
            <w:vAlign w:val="bottom"/>
            <w:hideMark/>
          </w:tcPr>
          <w:p w14:paraId="0D7D9A76"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w:t>
            </w:r>
          </w:p>
        </w:tc>
        <w:tc>
          <w:tcPr>
            <w:tcW w:w="573" w:type="pct"/>
            <w:shd w:val="clear" w:color="auto" w:fill="auto"/>
            <w:noWrap/>
            <w:vAlign w:val="bottom"/>
            <w:hideMark/>
          </w:tcPr>
          <w:p w14:paraId="269B492E"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0.4273</w:t>
            </w:r>
          </w:p>
        </w:tc>
        <w:tc>
          <w:tcPr>
            <w:tcW w:w="252" w:type="pct"/>
            <w:shd w:val="clear" w:color="auto" w:fill="auto"/>
            <w:noWrap/>
            <w:vAlign w:val="bottom"/>
            <w:hideMark/>
          </w:tcPr>
          <w:p w14:paraId="2E5338E9"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15</w:t>
            </w:r>
          </w:p>
        </w:tc>
        <w:tc>
          <w:tcPr>
            <w:tcW w:w="675" w:type="pct"/>
            <w:shd w:val="clear" w:color="auto" w:fill="auto"/>
            <w:noWrap/>
            <w:vAlign w:val="bottom"/>
            <w:hideMark/>
          </w:tcPr>
          <w:p w14:paraId="49BB1C42" w14:textId="77777777" w:rsidR="00A45A6C" w:rsidRPr="00A63B56" w:rsidRDefault="00A060DA" w:rsidP="00565F4D">
            <w:pPr>
              <w:spacing w:after="0" w:line="240" w:lineRule="auto"/>
              <w:rPr>
                <w:rFonts w:eastAsia="Times New Roman"/>
                <w:sz w:val="20"/>
              </w:rPr>
            </w:pPr>
            <w:r w:rsidRPr="00A63B56">
              <w:rPr>
                <w:rFonts w:eastAsia="Times New Roman"/>
                <w:sz w:val="20"/>
              </w:rPr>
              <w:t>0.62 - 1.00</w:t>
            </w:r>
          </w:p>
        </w:tc>
        <w:tc>
          <w:tcPr>
            <w:tcW w:w="513" w:type="pct"/>
          </w:tcPr>
          <w:p w14:paraId="2A37F31C" w14:textId="77777777" w:rsidR="00A45A6C" w:rsidRPr="00A63B56" w:rsidRDefault="00A060DA" w:rsidP="00565F4D">
            <w:pPr>
              <w:spacing w:after="0" w:line="240" w:lineRule="auto"/>
              <w:rPr>
                <w:rFonts w:eastAsia="Times New Roman"/>
                <w:sz w:val="20"/>
              </w:rPr>
            </w:pPr>
            <w:r w:rsidRPr="00A63B56">
              <w:rPr>
                <w:rFonts w:eastAsia="Times New Roman"/>
                <w:sz w:val="20"/>
              </w:rPr>
              <w:t>29.26</w:t>
            </w:r>
          </w:p>
        </w:tc>
        <w:tc>
          <w:tcPr>
            <w:tcW w:w="496" w:type="pct"/>
          </w:tcPr>
          <w:p w14:paraId="3F763890" w14:textId="77777777" w:rsidR="00A45A6C" w:rsidRPr="00A63B56" w:rsidRDefault="00A060DA" w:rsidP="00565F4D">
            <w:pPr>
              <w:spacing w:after="0" w:line="240" w:lineRule="auto"/>
              <w:rPr>
                <w:rFonts w:eastAsia="Times New Roman"/>
                <w:sz w:val="20"/>
              </w:rPr>
            </w:pPr>
            <w:r w:rsidRPr="00A63B56">
              <w:rPr>
                <w:rFonts w:eastAsia="Times New Roman"/>
                <w:sz w:val="20"/>
              </w:rPr>
              <w:t>-0.21</w:t>
            </w:r>
          </w:p>
        </w:tc>
      </w:tr>
      <w:tr w:rsidR="00D1756C" w14:paraId="23B651DA" w14:textId="77777777" w:rsidTr="00A63B56">
        <w:trPr>
          <w:trHeight w:val="288"/>
        </w:trPr>
        <w:tc>
          <w:tcPr>
            <w:tcW w:w="819" w:type="pct"/>
            <w:shd w:val="clear" w:color="auto" w:fill="auto"/>
            <w:noWrap/>
            <w:vAlign w:val="bottom"/>
            <w:hideMark/>
          </w:tcPr>
          <w:p w14:paraId="7429EDD3" w14:textId="77777777" w:rsidR="00A45A6C" w:rsidRPr="00A63B56" w:rsidRDefault="00A060DA" w:rsidP="00565F4D">
            <w:pPr>
              <w:spacing w:after="0" w:line="240" w:lineRule="auto"/>
              <w:rPr>
                <w:rFonts w:eastAsia="Times New Roman"/>
                <w:sz w:val="20"/>
              </w:rPr>
            </w:pPr>
            <w:r w:rsidRPr="00A63B56">
              <w:rPr>
                <w:rFonts w:eastAsia="Times New Roman"/>
                <w:sz w:val="20"/>
              </w:rPr>
              <w:t>Australia</w:t>
            </w:r>
          </w:p>
        </w:tc>
        <w:tc>
          <w:tcPr>
            <w:tcW w:w="410" w:type="pct"/>
            <w:shd w:val="clear" w:color="auto" w:fill="auto"/>
            <w:noWrap/>
            <w:vAlign w:val="bottom"/>
            <w:hideMark/>
          </w:tcPr>
          <w:p w14:paraId="07959B16"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12</w:t>
            </w:r>
          </w:p>
        </w:tc>
        <w:tc>
          <w:tcPr>
            <w:tcW w:w="655" w:type="pct"/>
            <w:shd w:val="clear" w:color="auto" w:fill="auto"/>
            <w:noWrap/>
            <w:vAlign w:val="bottom"/>
            <w:hideMark/>
          </w:tcPr>
          <w:p w14:paraId="116B4FF8"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0.0445</w:t>
            </w:r>
          </w:p>
        </w:tc>
        <w:tc>
          <w:tcPr>
            <w:tcW w:w="414" w:type="pct"/>
            <w:shd w:val="clear" w:color="auto" w:fill="auto"/>
            <w:noWrap/>
            <w:vAlign w:val="bottom"/>
            <w:hideMark/>
          </w:tcPr>
          <w:p w14:paraId="5CE7A0AD"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0.05</w:t>
            </w:r>
          </w:p>
        </w:tc>
        <w:tc>
          <w:tcPr>
            <w:tcW w:w="193" w:type="pct"/>
            <w:shd w:val="clear" w:color="auto" w:fill="auto"/>
            <w:noWrap/>
            <w:vAlign w:val="bottom"/>
            <w:hideMark/>
          </w:tcPr>
          <w:p w14:paraId="3D0C06E8"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w:t>
            </w:r>
          </w:p>
        </w:tc>
        <w:tc>
          <w:tcPr>
            <w:tcW w:w="573" w:type="pct"/>
            <w:shd w:val="clear" w:color="auto" w:fill="auto"/>
            <w:noWrap/>
            <w:vAlign w:val="bottom"/>
            <w:hideMark/>
          </w:tcPr>
          <w:p w14:paraId="1171C801"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6.58E-06</w:t>
            </w:r>
          </w:p>
        </w:tc>
        <w:tc>
          <w:tcPr>
            <w:tcW w:w="252" w:type="pct"/>
            <w:shd w:val="clear" w:color="auto" w:fill="auto"/>
            <w:noWrap/>
            <w:vAlign w:val="bottom"/>
            <w:hideMark/>
          </w:tcPr>
          <w:p w14:paraId="55127A0C"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16</w:t>
            </w:r>
          </w:p>
        </w:tc>
        <w:tc>
          <w:tcPr>
            <w:tcW w:w="675" w:type="pct"/>
            <w:shd w:val="clear" w:color="auto" w:fill="auto"/>
            <w:noWrap/>
            <w:vAlign w:val="bottom"/>
            <w:hideMark/>
          </w:tcPr>
          <w:p w14:paraId="40E0F43A" w14:textId="77777777" w:rsidR="00A45A6C" w:rsidRPr="00A63B56" w:rsidRDefault="00A060DA" w:rsidP="00565F4D">
            <w:pPr>
              <w:spacing w:after="0" w:line="240" w:lineRule="auto"/>
              <w:rPr>
                <w:rFonts w:eastAsia="Times New Roman"/>
                <w:sz w:val="20"/>
              </w:rPr>
            </w:pPr>
            <w:r w:rsidRPr="00A63B56">
              <w:rPr>
                <w:rFonts w:eastAsia="Times New Roman"/>
                <w:sz w:val="20"/>
              </w:rPr>
              <w:t>0.55 - 0.91</w:t>
            </w:r>
          </w:p>
        </w:tc>
        <w:tc>
          <w:tcPr>
            <w:tcW w:w="513" w:type="pct"/>
          </w:tcPr>
          <w:p w14:paraId="1106350F" w14:textId="77777777" w:rsidR="00A45A6C" w:rsidRPr="00A63B56" w:rsidRDefault="00A060DA" w:rsidP="00565F4D">
            <w:pPr>
              <w:spacing w:after="0" w:line="240" w:lineRule="auto"/>
              <w:rPr>
                <w:rFonts w:eastAsia="Times New Roman"/>
                <w:sz w:val="20"/>
              </w:rPr>
            </w:pPr>
            <w:r w:rsidRPr="00A63B56">
              <w:rPr>
                <w:rFonts w:eastAsia="Times New Roman"/>
                <w:sz w:val="20"/>
              </w:rPr>
              <w:t>05.00</w:t>
            </w:r>
          </w:p>
        </w:tc>
        <w:tc>
          <w:tcPr>
            <w:tcW w:w="496" w:type="pct"/>
          </w:tcPr>
          <w:p w14:paraId="362E27B6" w14:textId="77777777" w:rsidR="00A45A6C" w:rsidRPr="00A63B56" w:rsidRDefault="00A060DA" w:rsidP="00565F4D">
            <w:pPr>
              <w:spacing w:after="0" w:line="240" w:lineRule="auto"/>
              <w:rPr>
                <w:rFonts w:eastAsia="Times New Roman"/>
                <w:sz w:val="20"/>
              </w:rPr>
            </w:pPr>
            <w:r w:rsidRPr="00A63B56">
              <w:rPr>
                <w:rFonts w:eastAsia="Times New Roman"/>
                <w:sz w:val="20"/>
              </w:rPr>
              <w:t>+1.42</w:t>
            </w:r>
          </w:p>
        </w:tc>
      </w:tr>
      <w:tr w:rsidR="00D1756C" w14:paraId="6E4F9851" w14:textId="77777777" w:rsidTr="00A63B56">
        <w:trPr>
          <w:trHeight w:val="288"/>
        </w:trPr>
        <w:tc>
          <w:tcPr>
            <w:tcW w:w="819" w:type="pct"/>
            <w:shd w:val="clear" w:color="auto" w:fill="auto"/>
            <w:noWrap/>
            <w:vAlign w:val="bottom"/>
            <w:hideMark/>
          </w:tcPr>
          <w:p w14:paraId="246EDEC8" w14:textId="77777777" w:rsidR="00A45A6C" w:rsidRPr="00A63B56" w:rsidRDefault="00A060DA" w:rsidP="00565F4D">
            <w:pPr>
              <w:spacing w:after="0" w:line="240" w:lineRule="auto"/>
              <w:rPr>
                <w:rFonts w:eastAsia="Times New Roman"/>
                <w:sz w:val="20"/>
              </w:rPr>
            </w:pPr>
            <w:r w:rsidRPr="00A63B56">
              <w:rPr>
                <w:rFonts w:eastAsia="Times New Roman"/>
                <w:sz w:val="20"/>
              </w:rPr>
              <w:t>Brazil</w:t>
            </w:r>
          </w:p>
        </w:tc>
        <w:tc>
          <w:tcPr>
            <w:tcW w:w="410" w:type="pct"/>
            <w:shd w:val="clear" w:color="auto" w:fill="auto"/>
            <w:noWrap/>
            <w:vAlign w:val="bottom"/>
            <w:hideMark/>
          </w:tcPr>
          <w:p w14:paraId="4C65562D"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13</w:t>
            </w:r>
          </w:p>
        </w:tc>
        <w:tc>
          <w:tcPr>
            <w:tcW w:w="655" w:type="pct"/>
            <w:shd w:val="clear" w:color="auto" w:fill="auto"/>
            <w:noWrap/>
            <w:vAlign w:val="bottom"/>
            <w:hideMark/>
          </w:tcPr>
          <w:p w14:paraId="66A7ED0A"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-0.313</w:t>
            </w:r>
          </w:p>
        </w:tc>
        <w:tc>
          <w:tcPr>
            <w:tcW w:w="414" w:type="pct"/>
            <w:shd w:val="clear" w:color="auto" w:fill="auto"/>
            <w:noWrap/>
            <w:vAlign w:val="bottom"/>
            <w:hideMark/>
          </w:tcPr>
          <w:p w14:paraId="533D79AA"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0.05</w:t>
            </w:r>
          </w:p>
        </w:tc>
        <w:tc>
          <w:tcPr>
            <w:tcW w:w="193" w:type="pct"/>
            <w:shd w:val="clear" w:color="auto" w:fill="auto"/>
            <w:noWrap/>
            <w:vAlign w:val="bottom"/>
            <w:hideMark/>
          </w:tcPr>
          <w:p w14:paraId="78715136"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w:t>
            </w:r>
          </w:p>
        </w:tc>
        <w:tc>
          <w:tcPr>
            <w:tcW w:w="573" w:type="pct"/>
            <w:shd w:val="clear" w:color="auto" w:fill="auto"/>
            <w:noWrap/>
            <w:vAlign w:val="bottom"/>
            <w:hideMark/>
          </w:tcPr>
          <w:p w14:paraId="2E457862"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0.7603</w:t>
            </w:r>
          </w:p>
        </w:tc>
        <w:tc>
          <w:tcPr>
            <w:tcW w:w="252" w:type="pct"/>
            <w:shd w:val="clear" w:color="auto" w:fill="auto"/>
            <w:noWrap/>
            <w:vAlign w:val="bottom"/>
            <w:hideMark/>
          </w:tcPr>
          <w:p w14:paraId="3A281381"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15</w:t>
            </w:r>
          </w:p>
        </w:tc>
        <w:tc>
          <w:tcPr>
            <w:tcW w:w="675" w:type="pct"/>
            <w:shd w:val="clear" w:color="auto" w:fill="auto"/>
            <w:noWrap/>
            <w:vAlign w:val="bottom"/>
            <w:hideMark/>
          </w:tcPr>
          <w:p w14:paraId="2E8115C7" w14:textId="77777777" w:rsidR="00A45A6C" w:rsidRPr="00A63B56" w:rsidRDefault="00A060DA" w:rsidP="00565F4D">
            <w:pPr>
              <w:spacing w:after="0" w:line="240" w:lineRule="auto"/>
              <w:rPr>
                <w:rFonts w:eastAsia="Times New Roman"/>
                <w:sz w:val="20"/>
              </w:rPr>
            </w:pPr>
            <w:r w:rsidRPr="00A63B56">
              <w:rPr>
                <w:rFonts w:eastAsia="Times New Roman"/>
                <w:sz w:val="20"/>
              </w:rPr>
              <w:t>0.78 - 1.00</w:t>
            </w:r>
          </w:p>
        </w:tc>
        <w:tc>
          <w:tcPr>
            <w:tcW w:w="513" w:type="pct"/>
          </w:tcPr>
          <w:p w14:paraId="292D4BEF" w14:textId="77777777" w:rsidR="00A45A6C" w:rsidRPr="00A63B56" w:rsidRDefault="00A060DA" w:rsidP="00565F4D">
            <w:pPr>
              <w:spacing w:after="0" w:line="240" w:lineRule="auto"/>
              <w:rPr>
                <w:rFonts w:eastAsia="Times New Roman"/>
                <w:sz w:val="20"/>
              </w:rPr>
            </w:pPr>
            <w:r w:rsidRPr="00A63B56">
              <w:rPr>
                <w:rFonts w:eastAsia="Times New Roman"/>
                <w:sz w:val="20"/>
              </w:rPr>
              <w:t>308.70</w:t>
            </w:r>
          </w:p>
        </w:tc>
        <w:tc>
          <w:tcPr>
            <w:tcW w:w="496" w:type="pct"/>
          </w:tcPr>
          <w:p w14:paraId="49C6E518" w14:textId="77777777" w:rsidR="00A45A6C" w:rsidRPr="00A63B56" w:rsidRDefault="00A060DA" w:rsidP="00565F4D">
            <w:pPr>
              <w:spacing w:after="0" w:line="240" w:lineRule="auto"/>
              <w:rPr>
                <w:rFonts w:eastAsia="Times New Roman"/>
                <w:sz w:val="20"/>
              </w:rPr>
            </w:pPr>
            <w:r w:rsidRPr="00A63B56">
              <w:rPr>
                <w:rFonts w:eastAsia="Times New Roman"/>
                <w:sz w:val="20"/>
              </w:rPr>
              <w:t>+57.58</w:t>
            </w:r>
          </w:p>
        </w:tc>
      </w:tr>
      <w:tr w:rsidR="00D1756C" w14:paraId="245CEE55" w14:textId="77777777" w:rsidTr="00A63B56">
        <w:trPr>
          <w:trHeight w:val="288"/>
        </w:trPr>
        <w:tc>
          <w:tcPr>
            <w:tcW w:w="819" w:type="pct"/>
            <w:shd w:val="clear" w:color="auto" w:fill="auto"/>
            <w:noWrap/>
            <w:vAlign w:val="bottom"/>
            <w:hideMark/>
          </w:tcPr>
          <w:p w14:paraId="7E934A04" w14:textId="77777777" w:rsidR="00A45A6C" w:rsidRPr="00A63B56" w:rsidRDefault="00A060DA" w:rsidP="00565F4D">
            <w:pPr>
              <w:spacing w:after="0" w:line="240" w:lineRule="auto"/>
              <w:rPr>
                <w:rFonts w:eastAsia="Times New Roman"/>
                <w:sz w:val="20"/>
              </w:rPr>
            </w:pPr>
            <w:r w:rsidRPr="00A63B56">
              <w:rPr>
                <w:rFonts w:eastAsia="Times New Roman"/>
                <w:sz w:val="20"/>
              </w:rPr>
              <w:t>South Africa</w:t>
            </w:r>
          </w:p>
        </w:tc>
        <w:tc>
          <w:tcPr>
            <w:tcW w:w="410" w:type="pct"/>
            <w:shd w:val="clear" w:color="auto" w:fill="auto"/>
            <w:noWrap/>
            <w:vAlign w:val="bottom"/>
            <w:hideMark/>
          </w:tcPr>
          <w:p w14:paraId="738B7F8D"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14</w:t>
            </w:r>
          </w:p>
        </w:tc>
        <w:tc>
          <w:tcPr>
            <w:tcW w:w="655" w:type="pct"/>
            <w:shd w:val="clear" w:color="auto" w:fill="auto"/>
            <w:noWrap/>
            <w:vAlign w:val="bottom"/>
            <w:hideMark/>
          </w:tcPr>
          <w:p w14:paraId="49A9270E"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0.0967</w:t>
            </w:r>
          </w:p>
        </w:tc>
        <w:tc>
          <w:tcPr>
            <w:tcW w:w="414" w:type="pct"/>
            <w:shd w:val="clear" w:color="auto" w:fill="auto"/>
            <w:noWrap/>
            <w:vAlign w:val="bottom"/>
            <w:hideMark/>
          </w:tcPr>
          <w:p w14:paraId="794C0E09"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0.05</w:t>
            </w:r>
          </w:p>
        </w:tc>
        <w:tc>
          <w:tcPr>
            <w:tcW w:w="193" w:type="pct"/>
            <w:shd w:val="clear" w:color="auto" w:fill="auto"/>
            <w:noWrap/>
            <w:vAlign w:val="bottom"/>
            <w:hideMark/>
          </w:tcPr>
          <w:p w14:paraId="75C37A2F"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w:t>
            </w:r>
          </w:p>
        </w:tc>
        <w:tc>
          <w:tcPr>
            <w:tcW w:w="573" w:type="pct"/>
            <w:shd w:val="clear" w:color="auto" w:fill="auto"/>
            <w:noWrap/>
            <w:vAlign w:val="bottom"/>
            <w:hideMark/>
          </w:tcPr>
          <w:p w14:paraId="67335448"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3.42E-04</w:t>
            </w:r>
          </w:p>
        </w:tc>
        <w:tc>
          <w:tcPr>
            <w:tcW w:w="252" w:type="pct"/>
            <w:shd w:val="clear" w:color="auto" w:fill="auto"/>
            <w:noWrap/>
            <w:vAlign w:val="bottom"/>
            <w:hideMark/>
          </w:tcPr>
          <w:p w14:paraId="37354E0F"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11</w:t>
            </w:r>
          </w:p>
        </w:tc>
        <w:tc>
          <w:tcPr>
            <w:tcW w:w="675" w:type="pct"/>
            <w:shd w:val="clear" w:color="auto" w:fill="auto"/>
            <w:noWrap/>
            <w:vAlign w:val="bottom"/>
            <w:hideMark/>
          </w:tcPr>
          <w:p w14:paraId="1300719D" w14:textId="77777777" w:rsidR="00A45A6C" w:rsidRPr="00A63B56" w:rsidRDefault="00A060DA" w:rsidP="00565F4D">
            <w:pPr>
              <w:spacing w:after="0" w:line="240" w:lineRule="auto"/>
              <w:rPr>
                <w:rFonts w:eastAsia="Times New Roman"/>
                <w:sz w:val="20"/>
              </w:rPr>
            </w:pPr>
            <w:r w:rsidRPr="00A63B56">
              <w:rPr>
                <w:rFonts w:eastAsia="Times New Roman"/>
                <w:sz w:val="20"/>
              </w:rPr>
              <w:t>0.53 - 1.00</w:t>
            </w:r>
          </w:p>
        </w:tc>
        <w:tc>
          <w:tcPr>
            <w:tcW w:w="513" w:type="pct"/>
          </w:tcPr>
          <w:p w14:paraId="1313578C" w14:textId="77777777" w:rsidR="00A45A6C" w:rsidRPr="00A63B56" w:rsidRDefault="00A060DA" w:rsidP="00565F4D">
            <w:pPr>
              <w:spacing w:after="0" w:line="240" w:lineRule="auto"/>
              <w:rPr>
                <w:rFonts w:eastAsia="Times New Roman"/>
                <w:sz w:val="20"/>
              </w:rPr>
            </w:pPr>
            <w:r w:rsidRPr="00A63B56">
              <w:rPr>
                <w:rFonts w:eastAsia="Times New Roman"/>
                <w:sz w:val="20"/>
              </w:rPr>
              <w:t>11.80</w:t>
            </w:r>
          </w:p>
        </w:tc>
        <w:tc>
          <w:tcPr>
            <w:tcW w:w="496" w:type="pct"/>
          </w:tcPr>
          <w:p w14:paraId="68126295" w14:textId="77777777" w:rsidR="00A45A6C" w:rsidRPr="00A63B56" w:rsidRDefault="00A060DA" w:rsidP="00565F4D">
            <w:pPr>
              <w:spacing w:after="0" w:line="240" w:lineRule="auto"/>
              <w:rPr>
                <w:rFonts w:eastAsia="Times New Roman"/>
                <w:sz w:val="20"/>
              </w:rPr>
            </w:pPr>
            <w:r w:rsidRPr="00A63B56">
              <w:rPr>
                <w:rFonts w:eastAsia="Times New Roman"/>
                <w:sz w:val="20"/>
              </w:rPr>
              <w:t>+2.82</w:t>
            </w:r>
          </w:p>
        </w:tc>
      </w:tr>
      <w:tr w:rsidR="00D1756C" w14:paraId="6CCE44A2" w14:textId="77777777" w:rsidTr="00A63B56">
        <w:trPr>
          <w:trHeight w:val="288"/>
        </w:trPr>
        <w:tc>
          <w:tcPr>
            <w:tcW w:w="819" w:type="pct"/>
            <w:shd w:val="clear" w:color="auto" w:fill="auto"/>
            <w:noWrap/>
            <w:vAlign w:val="bottom"/>
            <w:hideMark/>
          </w:tcPr>
          <w:p w14:paraId="1C30048E" w14:textId="77777777" w:rsidR="00A45A6C" w:rsidRPr="00A63B56" w:rsidRDefault="00A060DA" w:rsidP="00565F4D">
            <w:pPr>
              <w:spacing w:after="0" w:line="240" w:lineRule="auto"/>
              <w:rPr>
                <w:rFonts w:eastAsia="Times New Roman"/>
                <w:sz w:val="20"/>
              </w:rPr>
            </w:pPr>
            <w:r w:rsidRPr="00A63B56">
              <w:rPr>
                <w:rFonts w:eastAsia="Times New Roman"/>
                <w:sz w:val="20"/>
              </w:rPr>
              <w:t>South Africa</w:t>
            </w:r>
          </w:p>
        </w:tc>
        <w:tc>
          <w:tcPr>
            <w:tcW w:w="410" w:type="pct"/>
            <w:shd w:val="clear" w:color="auto" w:fill="auto"/>
            <w:noWrap/>
            <w:vAlign w:val="bottom"/>
            <w:hideMark/>
          </w:tcPr>
          <w:p w14:paraId="792B6E9C"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15</w:t>
            </w:r>
          </w:p>
        </w:tc>
        <w:tc>
          <w:tcPr>
            <w:tcW w:w="655" w:type="pct"/>
            <w:shd w:val="clear" w:color="auto" w:fill="auto"/>
            <w:noWrap/>
            <w:vAlign w:val="bottom"/>
            <w:hideMark/>
          </w:tcPr>
          <w:p w14:paraId="123F4B43"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0.0731</w:t>
            </w:r>
          </w:p>
        </w:tc>
        <w:tc>
          <w:tcPr>
            <w:tcW w:w="414" w:type="pct"/>
            <w:shd w:val="clear" w:color="auto" w:fill="auto"/>
            <w:noWrap/>
            <w:vAlign w:val="bottom"/>
            <w:hideMark/>
          </w:tcPr>
          <w:p w14:paraId="21371518"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0.05</w:t>
            </w:r>
          </w:p>
        </w:tc>
        <w:tc>
          <w:tcPr>
            <w:tcW w:w="193" w:type="pct"/>
            <w:shd w:val="clear" w:color="auto" w:fill="auto"/>
            <w:noWrap/>
            <w:vAlign w:val="bottom"/>
            <w:hideMark/>
          </w:tcPr>
          <w:p w14:paraId="593105B2"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w:t>
            </w:r>
          </w:p>
        </w:tc>
        <w:tc>
          <w:tcPr>
            <w:tcW w:w="573" w:type="pct"/>
            <w:shd w:val="clear" w:color="auto" w:fill="auto"/>
            <w:noWrap/>
            <w:vAlign w:val="bottom"/>
            <w:hideMark/>
          </w:tcPr>
          <w:p w14:paraId="48B45E8C"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4.78E-02</w:t>
            </w:r>
          </w:p>
        </w:tc>
        <w:tc>
          <w:tcPr>
            <w:tcW w:w="252" w:type="pct"/>
            <w:shd w:val="clear" w:color="auto" w:fill="auto"/>
            <w:noWrap/>
            <w:vAlign w:val="bottom"/>
            <w:hideMark/>
          </w:tcPr>
          <w:p w14:paraId="4A9BF561"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15</w:t>
            </w:r>
          </w:p>
        </w:tc>
        <w:tc>
          <w:tcPr>
            <w:tcW w:w="675" w:type="pct"/>
            <w:shd w:val="clear" w:color="auto" w:fill="auto"/>
            <w:noWrap/>
            <w:vAlign w:val="bottom"/>
            <w:hideMark/>
          </w:tcPr>
          <w:p w14:paraId="5C215FE1" w14:textId="77777777" w:rsidR="00A45A6C" w:rsidRPr="00A63B56" w:rsidRDefault="00A060DA" w:rsidP="00565F4D">
            <w:pPr>
              <w:spacing w:after="0" w:line="240" w:lineRule="auto"/>
              <w:rPr>
                <w:rFonts w:eastAsia="Times New Roman"/>
                <w:sz w:val="20"/>
              </w:rPr>
            </w:pPr>
            <w:r w:rsidRPr="00A63B56">
              <w:rPr>
                <w:rFonts w:eastAsia="Times New Roman"/>
                <w:sz w:val="20"/>
              </w:rPr>
              <w:t>0.73 - 1.00</w:t>
            </w:r>
          </w:p>
        </w:tc>
        <w:tc>
          <w:tcPr>
            <w:tcW w:w="513" w:type="pct"/>
          </w:tcPr>
          <w:p w14:paraId="07682C2F" w14:textId="77777777" w:rsidR="00A45A6C" w:rsidRPr="00A63B56" w:rsidRDefault="00A060DA" w:rsidP="00565F4D">
            <w:pPr>
              <w:spacing w:after="0" w:line="240" w:lineRule="auto"/>
              <w:rPr>
                <w:rFonts w:eastAsia="Times New Roman"/>
                <w:sz w:val="20"/>
              </w:rPr>
            </w:pPr>
            <w:r w:rsidRPr="00A63B56">
              <w:rPr>
                <w:rFonts w:eastAsia="Times New Roman"/>
                <w:sz w:val="20"/>
              </w:rPr>
              <w:t>105.30</w:t>
            </w:r>
          </w:p>
        </w:tc>
        <w:tc>
          <w:tcPr>
            <w:tcW w:w="496" w:type="pct"/>
          </w:tcPr>
          <w:p w14:paraId="4273BAB3" w14:textId="77777777" w:rsidR="00A45A6C" w:rsidRPr="00A63B56" w:rsidRDefault="00A060DA" w:rsidP="00565F4D">
            <w:pPr>
              <w:spacing w:after="0" w:line="240" w:lineRule="auto"/>
              <w:rPr>
                <w:rFonts w:eastAsia="Times New Roman"/>
                <w:sz w:val="20"/>
              </w:rPr>
            </w:pPr>
            <w:r w:rsidRPr="00A63B56">
              <w:rPr>
                <w:rFonts w:eastAsia="Times New Roman"/>
                <w:sz w:val="20"/>
              </w:rPr>
              <w:t>+1.13</w:t>
            </w:r>
          </w:p>
        </w:tc>
      </w:tr>
      <w:tr w:rsidR="00D1756C" w14:paraId="0E6FBC60" w14:textId="77777777" w:rsidTr="00A63B56">
        <w:trPr>
          <w:trHeight w:val="288"/>
        </w:trPr>
        <w:tc>
          <w:tcPr>
            <w:tcW w:w="819" w:type="pct"/>
            <w:shd w:val="clear" w:color="auto" w:fill="auto"/>
            <w:noWrap/>
            <w:vAlign w:val="bottom"/>
            <w:hideMark/>
          </w:tcPr>
          <w:p w14:paraId="402BF25D" w14:textId="77777777" w:rsidR="00A45A6C" w:rsidRPr="00A63B56" w:rsidRDefault="00A060DA" w:rsidP="00565F4D">
            <w:pPr>
              <w:spacing w:after="0" w:line="240" w:lineRule="auto"/>
              <w:rPr>
                <w:rFonts w:eastAsia="Times New Roman"/>
                <w:sz w:val="20"/>
              </w:rPr>
            </w:pPr>
            <w:r w:rsidRPr="00A63B56">
              <w:rPr>
                <w:rFonts w:eastAsia="Times New Roman"/>
                <w:sz w:val="20"/>
              </w:rPr>
              <w:t>Australia</w:t>
            </w:r>
          </w:p>
        </w:tc>
        <w:tc>
          <w:tcPr>
            <w:tcW w:w="410" w:type="pct"/>
            <w:shd w:val="clear" w:color="auto" w:fill="auto"/>
            <w:noWrap/>
            <w:vAlign w:val="bottom"/>
            <w:hideMark/>
          </w:tcPr>
          <w:p w14:paraId="70FDA8D5"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16</w:t>
            </w:r>
          </w:p>
        </w:tc>
        <w:tc>
          <w:tcPr>
            <w:tcW w:w="655" w:type="pct"/>
            <w:shd w:val="clear" w:color="auto" w:fill="auto"/>
            <w:noWrap/>
            <w:vAlign w:val="bottom"/>
            <w:hideMark/>
          </w:tcPr>
          <w:p w14:paraId="4E42E56B"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0.1412</w:t>
            </w:r>
          </w:p>
        </w:tc>
        <w:tc>
          <w:tcPr>
            <w:tcW w:w="414" w:type="pct"/>
            <w:shd w:val="clear" w:color="auto" w:fill="auto"/>
            <w:noWrap/>
            <w:vAlign w:val="bottom"/>
            <w:hideMark/>
          </w:tcPr>
          <w:p w14:paraId="77682564"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0.1</w:t>
            </w:r>
          </w:p>
        </w:tc>
        <w:tc>
          <w:tcPr>
            <w:tcW w:w="193" w:type="pct"/>
            <w:shd w:val="clear" w:color="auto" w:fill="auto"/>
            <w:noWrap/>
            <w:vAlign w:val="bottom"/>
            <w:hideMark/>
          </w:tcPr>
          <w:p w14:paraId="716F6044"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w:t>
            </w:r>
          </w:p>
        </w:tc>
        <w:tc>
          <w:tcPr>
            <w:tcW w:w="573" w:type="pct"/>
            <w:shd w:val="clear" w:color="auto" w:fill="auto"/>
            <w:noWrap/>
            <w:vAlign w:val="bottom"/>
            <w:hideMark/>
          </w:tcPr>
          <w:p w14:paraId="58CD031E"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0.0335</w:t>
            </w:r>
          </w:p>
        </w:tc>
        <w:tc>
          <w:tcPr>
            <w:tcW w:w="252" w:type="pct"/>
            <w:shd w:val="clear" w:color="auto" w:fill="auto"/>
            <w:noWrap/>
            <w:vAlign w:val="bottom"/>
            <w:hideMark/>
          </w:tcPr>
          <w:p w14:paraId="4BFD7DD3"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12</w:t>
            </w:r>
          </w:p>
        </w:tc>
        <w:tc>
          <w:tcPr>
            <w:tcW w:w="675" w:type="pct"/>
            <w:shd w:val="clear" w:color="auto" w:fill="auto"/>
            <w:noWrap/>
            <w:vAlign w:val="bottom"/>
            <w:hideMark/>
          </w:tcPr>
          <w:p w14:paraId="56D0DF05" w14:textId="77777777" w:rsidR="00A45A6C" w:rsidRPr="00A63B56" w:rsidRDefault="00A060DA" w:rsidP="00565F4D">
            <w:pPr>
              <w:spacing w:after="0" w:line="240" w:lineRule="auto"/>
              <w:rPr>
                <w:rFonts w:eastAsia="Times New Roman"/>
                <w:sz w:val="20"/>
              </w:rPr>
            </w:pPr>
            <w:r w:rsidRPr="00A63B56">
              <w:rPr>
                <w:rFonts w:eastAsia="Times New Roman"/>
                <w:sz w:val="20"/>
              </w:rPr>
              <w:t>0.60 - 1.00</w:t>
            </w:r>
          </w:p>
        </w:tc>
        <w:tc>
          <w:tcPr>
            <w:tcW w:w="513" w:type="pct"/>
          </w:tcPr>
          <w:p w14:paraId="260894B7" w14:textId="77777777" w:rsidR="00A45A6C" w:rsidRPr="00A63B56" w:rsidRDefault="00A060DA" w:rsidP="00565F4D">
            <w:pPr>
              <w:spacing w:after="0" w:line="240" w:lineRule="auto"/>
              <w:rPr>
                <w:rFonts w:eastAsia="Times New Roman"/>
                <w:sz w:val="20"/>
              </w:rPr>
            </w:pPr>
            <w:r w:rsidRPr="00A63B56">
              <w:rPr>
                <w:rFonts w:eastAsia="Times New Roman"/>
                <w:sz w:val="20"/>
              </w:rPr>
              <w:t>62.03</w:t>
            </w:r>
          </w:p>
        </w:tc>
        <w:tc>
          <w:tcPr>
            <w:tcW w:w="496" w:type="pct"/>
          </w:tcPr>
          <w:p w14:paraId="323DF86A" w14:textId="77777777" w:rsidR="00A45A6C" w:rsidRPr="00A63B56" w:rsidRDefault="00A060DA" w:rsidP="00565F4D">
            <w:pPr>
              <w:spacing w:after="0" w:line="240" w:lineRule="auto"/>
              <w:rPr>
                <w:rFonts w:eastAsia="Times New Roman"/>
                <w:sz w:val="20"/>
              </w:rPr>
            </w:pPr>
            <w:r w:rsidRPr="00A63B56">
              <w:rPr>
                <w:rFonts w:eastAsia="Times New Roman"/>
                <w:sz w:val="20"/>
              </w:rPr>
              <w:t>+0.09</w:t>
            </w:r>
          </w:p>
        </w:tc>
      </w:tr>
      <w:tr w:rsidR="00D1756C" w14:paraId="046ACFA4" w14:textId="77777777" w:rsidTr="00A63B56">
        <w:trPr>
          <w:trHeight w:val="288"/>
        </w:trPr>
        <w:tc>
          <w:tcPr>
            <w:tcW w:w="819" w:type="pct"/>
            <w:shd w:val="clear" w:color="auto" w:fill="auto"/>
            <w:noWrap/>
            <w:vAlign w:val="bottom"/>
            <w:hideMark/>
          </w:tcPr>
          <w:p w14:paraId="6F9A5563" w14:textId="77777777" w:rsidR="00A45A6C" w:rsidRPr="00A63B56" w:rsidRDefault="00A060DA" w:rsidP="00565F4D">
            <w:pPr>
              <w:spacing w:after="0" w:line="240" w:lineRule="auto"/>
              <w:rPr>
                <w:rFonts w:eastAsia="Times New Roman"/>
                <w:sz w:val="20"/>
              </w:rPr>
            </w:pPr>
            <w:r w:rsidRPr="00A63B56">
              <w:rPr>
                <w:rFonts w:eastAsia="Times New Roman"/>
                <w:sz w:val="20"/>
              </w:rPr>
              <w:t>Argentina</w:t>
            </w:r>
          </w:p>
        </w:tc>
        <w:tc>
          <w:tcPr>
            <w:tcW w:w="410" w:type="pct"/>
            <w:shd w:val="clear" w:color="auto" w:fill="auto"/>
            <w:noWrap/>
            <w:vAlign w:val="bottom"/>
            <w:hideMark/>
          </w:tcPr>
          <w:p w14:paraId="0ECA9EBE"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17</w:t>
            </w:r>
          </w:p>
        </w:tc>
        <w:tc>
          <w:tcPr>
            <w:tcW w:w="655" w:type="pct"/>
            <w:shd w:val="clear" w:color="auto" w:fill="auto"/>
            <w:noWrap/>
            <w:vAlign w:val="bottom"/>
            <w:hideMark/>
          </w:tcPr>
          <w:p w14:paraId="0E38A888"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0.9325</w:t>
            </w:r>
          </w:p>
        </w:tc>
        <w:tc>
          <w:tcPr>
            <w:tcW w:w="414" w:type="pct"/>
            <w:shd w:val="clear" w:color="auto" w:fill="auto"/>
            <w:noWrap/>
            <w:vAlign w:val="bottom"/>
            <w:hideMark/>
          </w:tcPr>
          <w:p w14:paraId="2EA62427"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0.05</w:t>
            </w:r>
          </w:p>
        </w:tc>
        <w:tc>
          <w:tcPr>
            <w:tcW w:w="193" w:type="pct"/>
            <w:shd w:val="clear" w:color="auto" w:fill="auto"/>
            <w:noWrap/>
            <w:vAlign w:val="bottom"/>
            <w:hideMark/>
          </w:tcPr>
          <w:p w14:paraId="36C5AF3B"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w:t>
            </w:r>
          </w:p>
        </w:tc>
        <w:tc>
          <w:tcPr>
            <w:tcW w:w="573" w:type="pct"/>
            <w:shd w:val="clear" w:color="auto" w:fill="auto"/>
            <w:noWrap/>
            <w:vAlign w:val="bottom"/>
            <w:hideMark/>
          </w:tcPr>
          <w:p w14:paraId="58E033B6"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2.08E-05</w:t>
            </w:r>
          </w:p>
        </w:tc>
        <w:tc>
          <w:tcPr>
            <w:tcW w:w="252" w:type="pct"/>
            <w:shd w:val="clear" w:color="auto" w:fill="auto"/>
            <w:noWrap/>
            <w:vAlign w:val="bottom"/>
            <w:hideMark/>
          </w:tcPr>
          <w:p w14:paraId="2C2CBFAF" w14:textId="77777777" w:rsidR="00A45A6C" w:rsidRPr="00A63B56" w:rsidRDefault="00A060DA" w:rsidP="00565F4D">
            <w:pPr>
              <w:spacing w:after="0" w:line="240" w:lineRule="auto"/>
              <w:jc w:val="right"/>
              <w:rPr>
                <w:rFonts w:eastAsia="Times New Roman"/>
                <w:sz w:val="20"/>
              </w:rPr>
            </w:pPr>
            <w:r w:rsidRPr="00A63B56">
              <w:rPr>
                <w:rFonts w:eastAsia="Times New Roman"/>
                <w:sz w:val="20"/>
              </w:rPr>
              <w:t>15</w:t>
            </w:r>
          </w:p>
        </w:tc>
        <w:tc>
          <w:tcPr>
            <w:tcW w:w="675" w:type="pct"/>
            <w:shd w:val="clear" w:color="auto" w:fill="auto"/>
            <w:noWrap/>
            <w:vAlign w:val="bottom"/>
            <w:hideMark/>
          </w:tcPr>
          <w:p w14:paraId="4BC26BFF" w14:textId="77777777" w:rsidR="00A45A6C" w:rsidRPr="00A63B56" w:rsidRDefault="00A060DA" w:rsidP="00565F4D">
            <w:pPr>
              <w:spacing w:after="0" w:line="240" w:lineRule="auto"/>
              <w:rPr>
                <w:rFonts w:eastAsia="Times New Roman"/>
                <w:sz w:val="20"/>
              </w:rPr>
            </w:pPr>
            <w:r w:rsidRPr="00A63B56">
              <w:rPr>
                <w:rFonts w:eastAsia="Times New Roman"/>
                <w:sz w:val="20"/>
              </w:rPr>
              <w:t>0.83 - 1.00</w:t>
            </w:r>
          </w:p>
        </w:tc>
        <w:tc>
          <w:tcPr>
            <w:tcW w:w="513" w:type="pct"/>
          </w:tcPr>
          <w:p w14:paraId="7CB60427" w14:textId="77777777" w:rsidR="00A45A6C" w:rsidRPr="00A63B56" w:rsidRDefault="00A060DA" w:rsidP="00565F4D">
            <w:pPr>
              <w:spacing w:after="0" w:line="240" w:lineRule="auto"/>
              <w:rPr>
                <w:rFonts w:eastAsia="Times New Roman"/>
                <w:sz w:val="20"/>
              </w:rPr>
            </w:pPr>
            <w:r w:rsidRPr="00A63B56">
              <w:rPr>
                <w:rFonts w:eastAsia="Times New Roman"/>
                <w:sz w:val="20"/>
              </w:rPr>
              <w:t>103.90</w:t>
            </w:r>
          </w:p>
        </w:tc>
        <w:tc>
          <w:tcPr>
            <w:tcW w:w="496" w:type="pct"/>
          </w:tcPr>
          <w:p w14:paraId="6DCA494C" w14:textId="77777777" w:rsidR="00A45A6C" w:rsidRPr="00A63B56" w:rsidRDefault="00A060DA" w:rsidP="00565F4D">
            <w:pPr>
              <w:spacing w:after="0" w:line="240" w:lineRule="auto"/>
              <w:rPr>
                <w:rFonts w:eastAsia="Times New Roman"/>
                <w:sz w:val="20"/>
              </w:rPr>
            </w:pPr>
            <w:r w:rsidRPr="00A63B56">
              <w:rPr>
                <w:rFonts w:eastAsia="Times New Roman"/>
                <w:sz w:val="20"/>
              </w:rPr>
              <w:t>+27.57</w:t>
            </w:r>
          </w:p>
        </w:tc>
      </w:tr>
    </w:tbl>
    <w:p w14:paraId="10AC70C4" w14:textId="6A646B70" w:rsidR="00A45A6C" w:rsidRDefault="00A45A6C" w:rsidP="00840382">
      <w:pPr>
        <w:spacing w:after="0" w:line="240" w:lineRule="auto"/>
        <w:ind w:left="360" w:hanging="360"/>
        <w:rPr>
          <w:noProof/>
          <w:sz w:val="20"/>
        </w:rPr>
      </w:pPr>
    </w:p>
    <w:p w14:paraId="297AAA70" w14:textId="61E9631A" w:rsidR="008A2020" w:rsidRDefault="008A2020" w:rsidP="00840382">
      <w:pPr>
        <w:spacing w:after="0" w:line="240" w:lineRule="auto"/>
        <w:ind w:left="360" w:hanging="360"/>
        <w:rPr>
          <w:noProof/>
          <w:sz w:val="20"/>
        </w:rPr>
      </w:pPr>
    </w:p>
    <w:p w14:paraId="518BC32C" w14:textId="79CB49F2" w:rsidR="008A2020" w:rsidRDefault="008A2020" w:rsidP="00840382">
      <w:pPr>
        <w:spacing w:after="0" w:line="240" w:lineRule="auto"/>
        <w:ind w:left="360" w:hanging="360"/>
        <w:rPr>
          <w:noProof/>
          <w:sz w:val="20"/>
        </w:rPr>
      </w:pPr>
    </w:p>
    <w:p w14:paraId="06E0B663" w14:textId="2FC3A42E" w:rsidR="008A2020" w:rsidRDefault="008A2020" w:rsidP="00840382">
      <w:pPr>
        <w:spacing w:after="0" w:line="240" w:lineRule="auto"/>
        <w:ind w:left="360" w:hanging="360"/>
        <w:rPr>
          <w:noProof/>
          <w:sz w:val="20"/>
        </w:rPr>
      </w:pPr>
      <w:r>
        <w:rPr>
          <w:noProof/>
          <w:sz w:val="20"/>
        </w:rPr>
        <w:t>Fig. 1</w:t>
      </w:r>
    </w:p>
    <w:p w14:paraId="7F7E33FA" w14:textId="1A43E9E6" w:rsidR="008A2020" w:rsidRDefault="008A2020" w:rsidP="00840382">
      <w:pPr>
        <w:spacing w:after="0" w:line="240" w:lineRule="auto"/>
        <w:ind w:left="360" w:hanging="360"/>
        <w:rPr>
          <w:noProof/>
          <w:sz w:val="20"/>
        </w:rPr>
      </w:pPr>
      <w:r>
        <w:rPr>
          <w:noProof/>
          <w:sz w:val="20"/>
          <w:lang w:eastAsia="en-GB"/>
        </w:rPr>
        <w:drawing>
          <wp:inline distT="0" distB="0" distL="0" distR="0" wp14:anchorId="68BFED5D" wp14:editId="16176329">
            <wp:extent cx="5489575" cy="2872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 new.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9575" cy="2872740"/>
                    </a:xfrm>
                    <a:prstGeom prst="rect">
                      <a:avLst/>
                    </a:prstGeom>
                  </pic:spPr>
                </pic:pic>
              </a:graphicData>
            </a:graphic>
          </wp:inline>
        </w:drawing>
      </w:r>
    </w:p>
    <w:p w14:paraId="568CEA2C" w14:textId="77777777" w:rsidR="008A2020" w:rsidRDefault="008A2020" w:rsidP="00840382">
      <w:pPr>
        <w:spacing w:after="0" w:line="240" w:lineRule="auto"/>
        <w:ind w:left="360" w:hanging="360"/>
        <w:rPr>
          <w:noProof/>
          <w:sz w:val="20"/>
        </w:rPr>
      </w:pPr>
    </w:p>
    <w:p w14:paraId="6A87535F" w14:textId="77777777" w:rsidR="008A2020" w:rsidRDefault="008A2020" w:rsidP="00840382">
      <w:pPr>
        <w:spacing w:after="0" w:line="240" w:lineRule="auto"/>
        <w:ind w:left="360" w:hanging="360"/>
        <w:rPr>
          <w:noProof/>
          <w:sz w:val="20"/>
        </w:rPr>
      </w:pPr>
    </w:p>
    <w:p w14:paraId="73746F16" w14:textId="77777777" w:rsidR="008A2020" w:rsidRDefault="008A2020" w:rsidP="00840382">
      <w:pPr>
        <w:spacing w:after="0" w:line="240" w:lineRule="auto"/>
        <w:ind w:left="360" w:hanging="360"/>
        <w:rPr>
          <w:noProof/>
          <w:sz w:val="20"/>
        </w:rPr>
      </w:pPr>
    </w:p>
    <w:p w14:paraId="3A70D367" w14:textId="54D6A38A" w:rsidR="008A2020" w:rsidRDefault="008A2020" w:rsidP="00840382">
      <w:pPr>
        <w:spacing w:after="0" w:line="240" w:lineRule="auto"/>
        <w:ind w:left="360" w:hanging="360"/>
        <w:rPr>
          <w:noProof/>
          <w:sz w:val="20"/>
        </w:rPr>
      </w:pPr>
      <w:r>
        <w:rPr>
          <w:noProof/>
          <w:sz w:val="20"/>
        </w:rPr>
        <w:t>Fig. 2</w:t>
      </w:r>
    </w:p>
    <w:p w14:paraId="494CCB69" w14:textId="238B49AB" w:rsidR="008A2020" w:rsidRDefault="008A2020" w:rsidP="00840382">
      <w:pPr>
        <w:spacing w:after="0" w:line="240" w:lineRule="auto"/>
        <w:ind w:left="360" w:hanging="360"/>
        <w:rPr>
          <w:noProof/>
          <w:sz w:val="20"/>
        </w:rPr>
      </w:pPr>
      <w:r>
        <w:rPr>
          <w:noProof/>
          <w:sz w:val="20"/>
          <w:lang w:eastAsia="en-GB"/>
        </w:rPr>
        <w:lastRenderedPageBreak/>
        <w:drawing>
          <wp:inline distT="0" distB="0" distL="0" distR="0" wp14:anchorId="7096801F" wp14:editId="041B39F6">
            <wp:extent cx="5489575" cy="3800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9575" cy="3800475"/>
                    </a:xfrm>
                    <a:prstGeom prst="rect">
                      <a:avLst/>
                    </a:prstGeom>
                  </pic:spPr>
                </pic:pic>
              </a:graphicData>
            </a:graphic>
          </wp:inline>
        </w:drawing>
      </w:r>
    </w:p>
    <w:p w14:paraId="3195DA8C" w14:textId="49C59234" w:rsidR="008A2020" w:rsidRDefault="008A2020" w:rsidP="00840382">
      <w:pPr>
        <w:spacing w:after="0" w:line="240" w:lineRule="auto"/>
        <w:ind w:left="360" w:hanging="360"/>
        <w:rPr>
          <w:noProof/>
          <w:sz w:val="20"/>
        </w:rPr>
      </w:pPr>
    </w:p>
    <w:p w14:paraId="3B86A238" w14:textId="370A0334" w:rsidR="008A2020" w:rsidRDefault="008A2020" w:rsidP="00840382">
      <w:pPr>
        <w:spacing w:after="0" w:line="240" w:lineRule="auto"/>
        <w:ind w:left="360" w:hanging="360"/>
        <w:rPr>
          <w:noProof/>
          <w:sz w:val="20"/>
        </w:rPr>
      </w:pPr>
    </w:p>
    <w:p w14:paraId="1629B8F6" w14:textId="59A96B64" w:rsidR="008A2020" w:rsidRDefault="008A2020" w:rsidP="00840382">
      <w:pPr>
        <w:spacing w:after="0" w:line="240" w:lineRule="auto"/>
        <w:ind w:left="360" w:hanging="360"/>
        <w:rPr>
          <w:noProof/>
          <w:sz w:val="20"/>
        </w:rPr>
      </w:pPr>
    </w:p>
    <w:p w14:paraId="5389B3BE" w14:textId="670E0311" w:rsidR="008A2020" w:rsidRDefault="008A2020" w:rsidP="00840382">
      <w:pPr>
        <w:spacing w:after="0" w:line="240" w:lineRule="auto"/>
        <w:ind w:left="360" w:hanging="360"/>
        <w:rPr>
          <w:noProof/>
          <w:sz w:val="20"/>
        </w:rPr>
      </w:pPr>
      <w:r>
        <w:rPr>
          <w:noProof/>
          <w:sz w:val="20"/>
        </w:rPr>
        <w:t xml:space="preserve">Fig.3 </w:t>
      </w:r>
    </w:p>
    <w:p w14:paraId="1F988C74" w14:textId="7AEA3AC8" w:rsidR="008A2020" w:rsidRDefault="008A2020" w:rsidP="00840382">
      <w:pPr>
        <w:spacing w:after="0" w:line="240" w:lineRule="auto"/>
        <w:ind w:left="360" w:hanging="360"/>
        <w:rPr>
          <w:noProof/>
          <w:sz w:val="20"/>
        </w:rPr>
      </w:pPr>
      <w:r>
        <w:rPr>
          <w:noProof/>
          <w:sz w:val="20"/>
          <w:lang w:eastAsia="en-GB"/>
        </w:rPr>
        <w:lastRenderedPageBreak/>
        <w:drawing>
          <wp:inline distT="0" distB="0" distL="0" distR="0" wp14:anchorId="77875672" wp14:editId="5513FD53">
            <wp:extent cx="5489575" cy="7490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 ne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9575" cy="7490460"/>
                    </a:xfrm>
                    <a:prstGeom prst="rect">
                      <a:avLst/>
                    </a:prstGeom>
                  </pic:spPr>
                </pic:pic>
              </a:graphicData>
            </a:graphic>
          </wp:inline>
        </w:drawing>
      </w:r>
    </w:p>
    <w:p w14:paraId="06DDFE80" w14:textId="3C6780E7" w:rsidR="008A2020" w:rsidRDefault="008A2020" w:rsidP="00840382">
      <w:pPr>
        <w:spacing w:after="0" w:line="240" w:lineRule="auto"/>
        <w:ind w:left="360" w:hanging="360"/>
        <w:rPr>
          <w:noProof/>
          <w:sz w:val="20"/>
        </w:rPr>
      </w:pPr>
    </w:p>
    <w:p w14:paraId="69C901CC" w14:textId="5F56CDD1" w:rsidR="008A2020" w:rsidRDefault="008A2020" w:rsidP="00840382">
      <w:pPr>
        <w:spacing w:after="0" w:line="240" w:lineRule="auto"/>
        <w:ind w:left="360" w:hanging="360"/>
        <w:rPr>
          <w:noProof/>
          <w:sz w:val="20"/>
        </w:rPr>
      </w:pPr>
    </w:p>
    <w:p w14:paraId="2022BB8C" w14:textId="6F819D8F" w:rsidR="008A2020" w:rsidRDefault="008A2020" w:rsidP="00840382">
      <w:pPr>
        <w:spacing w:after="0" w:line="240" w:lineRule="auto"/>
        <w:ind w:left="360" w:hanging="360"/>
        <w:rPr>
          <w:noProof/>
          <w:sz w:val="20"/>
        </w:rPr>
      </w:pPr>
    </w:p>
    <w:p w14:paraId="5A865D86" w14:textId="6FBED124" w:rsidR="008A2020" w:rsidRDefault="008A2020" w:rsidP="00840382">
      <w:pPr>
        <w:spacing w:after="0" w:line="240" w:lineRule="auto"/>
        <w:ind w:left="360" w:hanging="360"/>
        <w:rPr>
          <w:noProof/>
          <w:sz w:val="20"/>
        </w:rPr>
      </w:pPr>
    </w:p>
    <w:p w14:paraId="066A4EC3" w14:textId="375C4BE8" w:rsidR="008A2020" w:rsidRDefault="008A2020" w:rsidP="00840382">
      <w:pPr>
        <w:spacing w:after="0" w:line="240" w:lineRule="auto"/>
        <w:ind w:left="360" w:hanging="360"/>
        <w:rPr>
          <w:noProof/>
          <w:sz w:val="20"/>
        </w:rPr>
      </w:pPr>
    </w:p>
    <w:p w14:paraId="6AD8DE8B" w14:textId="6B06FA64" w:rsidR="008A2020" w:rsidRDefault="008A2020" w:rsidP="00840382">
      <w:pPr>
        <w:spacing w:after="0" w:line="240" w:lineRule="auto"/>
        <w:ind w:left="360" w:hanging="360"/>
        <w:rPr>
          <w:noProof/>
          <w:sz w:val="20"/>
        </w:rPr>
      </w:pPr>
      <w:r>
        <w:rPr>
          <w:noProof/>
          <w:sz w:val="20"/>
        </w:rPr>
        <w:t>Fig. 4</w:t>
      </w:r>
    </w:p>
    <w:p w14:paraId="05C0CB3D" w14:textId="762C6E4D" w:rsidR="008A2020" w:rsidRDefault="008A2020" w:rsidP="00840382">
      <w:pPr>
        <w:spacing w:after="0" w:line="240" w:lineRule="auto"/>
        <w:ind w:left="360" w:hanging="360"/>
        <w:rPr>
          <w:noProof/>
          <w:sz w:val="20"/>
        </w:rPr>
      </w:pPr>
      <w:r>
        <w:rPr>
          <w:noProof/>
          <w:sz w:val="20"/>
          <w:lang w:eastAsia="en-GB"/>
        </w:rPr>
        <w:lastRenderedPageBreak/>
        <w:drawing>
          <wp:inline distT="0" distB="0" distL="0" distR="0" wp14:anchorId="0B8C253B" wp14:editId="1F395988">
            <wp:extent cx="5489575" cy="7929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 new.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9575" cy="7929245"/>
                    </a:xfrm>
                    <a:prstGeom prst="rect">
                      <a:avLst/>
                    </a:prstGeom>
                  </pic:spPr>
                </pic:pic>
              </a:graphicData>
            </a:graphic>
          </wp:inline>
        </w:drawing>
      </w:r>
    </w:p>
    <w:p w14:paraId="21906D25" w14:textId="6EB5AEFD" w:rsidR="008A2020" w:rsidRDefault="008A2020" w:rsidP="00840382">
      <w:pPr>
        <w:spacing w:after="0" w:line="240" w:lineRule="auto"/>
        <w:ind w:left="360" w:hanging="360"/>
        <w:rPr>
          <w:noProof/>
          <w:sz w:val="20"/>
        </w:rPr>
      </w:pPr>
    </w:p>
    <w:p w14:paraId="4B06FFAB" w14:textId="668B225A" w:rsidR="008A2020" w:rsidRDefault="008A2020" w:rsidP="00840382">
      <w:pPr>
        <w:spacing w:after="0" w:line="240" w:lineRule="auto"/>
        <w:ind w:left="360" w:hanging="360"/>
        <w:rPr>
          <w:noProof/>
          <w:sz w:val="20"/>
        </w:rPr>
      </w:pPr>
    </w:p>
    <w:p w14:paraId="02B1D1BB" w14:textId="7AC7B026" w:rsidR="008A2020" w:rsidRDefault="008A2020" w:rsidP="00840382">
      <w:pPr>
        <w:spacing w:after="0" w:line="240" w:lineRule="auto"/>
        <w:ind w:left="360" w:hanging="360"/>
        <w:rPr>
          <w:noProof/>
          <w:sz w:val="20"/>
        </w:rPr>
      </w:pPr>
    </w:p>
    <w:p w14:paraId="59BD8B01" w14:textId="22F43608" w:rsidR="008A2020" w:rsidRDefault="008A2020" w:rsidP="00840382">
      <w:pPr>
        <w:spacing w:after="0" w:line="240" w:lineRule="auto"/>
        <w:ind w:left="360" w:hanging="360"/>
        <w:rPr>
          <w:noProof/>
          <w:sz w:val="20"/>
        </w:rPr>
      </w:pPr>
      <w:r>
        <w:rPr>
          <w:noProof/>
          <w:sz w:val="20"/>
        </w:rPr>
        <w:t>Fig. 5</w:t>
      </w:r>
    </w:p>
    <w:p w14:paraId="0DC9874F" w14:textId="4253A68B" w:rsidR="008A2020" w:rsidRDefault="008A2020" w:rsidP="00840382">
      <w:pPr>
        <w:spacing w:after="0" w:line="240" w:lineRule="auto"/>
        <w:ind w:left="360" w:hanging="360"/>
        <w:rPr>
          <w:noProof/>
          <w:sz w:val="20"/>
        </w:rPr>
      </w:pPr>
      <w:r>
        <w:rPr>
          <w:noProof/>
          <w:sz w:val="20"/>
          <w:lang w:eastAsia="en-GB"/>
        </w:rPr>
        <w:lastRenderedPageBreak/>
        <w:drawing>
          <wp:inline distT="0" distB="0" distL="0" distR="0" wp14:anchorId="3FEF996C" wp14:editId="0101EFA8">
            <wp:extent cx="5489575" cy="3800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 new.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9575" cy="3800475"/>
                    </a:xfrm>
                    <a:prstGeom prst="rect">
                      <a:avLst/>
                    </a:prstGeom>
                  </pic:spPr>
                </pic:pic>
              </a:graphicData>
            </a:graphic>
          </wp:inline>
        </w:drawing>
      </w:r>
    </w:p>
    <w:p w14:paraId="1E290A46" w14:textId="4C895491" w:rsidR="008A2020" w:rsidRDefault="008A2020" w:rsidP="00840382">
      <w:pPr>
        <w:spacing w:after="0" w:line="240" w:lineRule="auto"/>
        <w:ind w:left="360" w:hanging="360"/>
        <w:rPr>
          <w:noProof/>
          <w:sz w:val="20"/>
        </w:rPr>
      </w:pPr>
    </w:p>
    <w:p w14:paraId="4B7E0CAD" w14:textId="3DB9260F" w:rsidR="008A2020" w:rsidRDefault="008A2020" w:rsidP="00840382">
      <w:pPr>
        <w:spacing w:after="0" w:line="240" w:lineRule="auto"/>
        <w:ind w:left="360" w:hanging="360"/>
        <w:rPr>
          <w:noProof/>
          <w:sz w:val="20"/>
        </w:rPr>
      </w:pPr>
      <w:bookmarkStart w:id="1" w:name="_GoBack"/>
      <w:bookmarkEnd w:id="1"/>
    </w:p>
    <w:p w14:paraId="02F5E5CB" w14:textId="2E7D5624" w:rsidR="008A2020" w:rsidRDefault="008A2020" w:rsidP="00840382">
      <w:pPr>
        <w:spacing w:after="0" w:line="240" w:lineRule="auto"/>
        <w:ind w:left="360" w:hanging="360"/>
        <w:rPr>
          <w:noProof/>
          <w:sz w:val="20"/>
        </w:rPr>
      </w:pPr>
    </w:p>
    <w:p w14:paraId="195E822B" w14:textId="59B462FE" w:rsidR="008A2020" w:rsidRDefault="008A2020" w:rsidP="00840382">
      <w:pPr>
        <w:spacing w:after="0" w:line="240" w:lineRule="auto"/>
        <w:ind w:left="360" w:hanging="360"/>
        <w:rPr>
          <w:noProof/>
          <w:sz w:val="20"/>
        </w:rPr>
      </w:pPr>
    </w:p>
    <w:p w14:paraId="78468D07" w14:textId="459D2ED1" w:rsidR="008A2020" w:rsidRDefault="008A2020" w:rsidP="00840382">
      <w:pPr>
        <w:spacing w:after="0" w:line="240" w:lineRule="auto"/>
        <w:ind w:left="360" w:hanging="360"/>
        <w:rPr>
          <w:noProof/>
          <w:sz w:val="20"/>
        </w:rPr>
      </w:pPr>
    </w:p>
    <w:p w14:paraId="3A19E9B5" w14:textId="7BD168BC" w:rsidR="008A2020" w:rsidRDefault="008A2020" w:rsidP="00840382">
      <w:pPr>
        <w:spacing w:after="0" w:line="240" w:lineRule="auto"/>
        <w:ind w:left="360" w:hanging="360"/>
        <w:rPr>
          <w:noProof/>
          <w:sz w:val="20"/>
        </w:rPr>
      </w:pPr>
      <w:r>
        <w:rPr>
          <w:noProof/>
          <w:sz w:val="20"/>
        </w:rPr>
        <w:t>Fig. 6</w:t>
      </w:r>
    </w:p>
    <w:p w14:paraId="2BABF600" w14:textId="1C5D2B0F" w:rsidR="008A2020" w:rsidRPr="00A63B56" w:rsidRDefault="008A2020" w:rsidP="00840382">
      <w:pPr>
        <w:spacing w:after="0" w:line="240" w:lineRule="auto"/>
        <w:ind w:left="360" w:hanging="360"/>
        <w:rPr>
          <w:noProof/>
          <w:sz w:val="20"/>
        </w:rPr>
      </w:pPr>
      <w:r>
        <w:rPr>
          <w:noProof/>
          <w:sz w:val="20"/>
          <w:lang w:eastAsia="en-GB"/>
        </w:rPr>
        <w:drawing>
          <wp:inline distT="0" distB="0" distL="0" distR="0" wp14:anchorId="3D49B032" wp14:editId="1963CF26">
            <wp:extent cx="5489575" cy="32778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6 new.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9575" cy="3277870"/>
                    </a:xfrm>
                    <a:prstGeom prst="rect">
                      <a:avLst/>
                    </a:prstGeom>
                  </pic:spPr>
                </pic:pic>
              </a:graphicData>
            </a:graphic>
          </wp:inline>
        </w:drawing>
      </w:r>
    </w:p>
    <w:sectPr w:rsidR="008A2020" w:rsidRPr="00A63B56" w:rsidSect="00840382">
      <w:type w:val="continuous"/>
      <w:pgSz w:w="11906" w:h="16838"/>
      <w:pgMar w:top="1417" w:right="1560"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79B4BC" w16cid:durableId="20E3363D"/>
  <w16cid:commentId w16cid:paraId="16E6E8EA" w16cid:durableId="20E3363E"/>
  <w16cid:commentId w16cid:paraId="7A1CDD4F" w16cid:durableId="210E4DE3"/>
  <w16cid:commentId w16cid:paraId="6C7D9E30" w16cid:durableId="210E4DE4"/>
  <w16cid:commentId w16cid:paraId="3A42B776" w16cid:durableId="210E4DE5"/>
  <w16cid:commentId w16cid:paraId="68A6D391" w16cid:durableId="20E3363F"/>
  <w16cid:commentId w16cid:paraId="301DAB7C" w16cid:durableId="20E33640"/>
  <w16cid:commentId w16cid:paraId="2508C4EC" w16cid:durableId="210E4DE8"/>
  <w16cid:commentId w16cid:paraId="630F4075" w16cid:durableId="20E33641"/>
  <w16cid:commentId w16cid:paraId="2479C7BA" w16cid:durableId="20E33642"/>
  <w16cid:commentId w16cid:paraId="263C8BF8" w16cid:durableId="20E33643"/>
  <w16cid:commentId w16cid:paraId="2232AD68" w16cid:durableId="210E4DEC"/>
  <w16cid:commentId w16cid:paraId="5B28C017" w16cid:durableId="20E33644"/>
  <w16cid:commentId w16cid:paraId="27C0758A" w16cid:durableId="210E4DEE"/>
  <w16cid:commentId w16cid:paraId="5D8363AE" w16cid:durableId="210E83B6"/>
  <w16cid:commentId w16cid:paraId="4FDF3166" w16cid:durableId="210E8195"/>
  <w16cid:commentId w16cid:paraId="5FC64DCF" w16cid:durableId="210E4DEF"/>
  <w16cid:commentId w16cid:paraId="4723009C" w16cid:durableId="210E4DF0"/>
  <w16cid:commentId w16cid:paraId="21B0A147" w16cid:durableId="20E33645"/>
  <w16cid:commentId w16cid:paraId="455E084C" w16cid:durableId="20E33646"/>
  <w16cid:commentId w16cid:paraId="55B9CC2F" w16cid:durableId="210E4DF3"/>
  <w16cid:commentId w16cid:paraId="7EFE2099" w16cid:durableId="210E4DF4"/>
  <w16cid:commentId w16cid:paraId="322363C0" w16cid:durableId="210E8750"/>
  <w16cid:commentId w16cid:paraId="1E9F9C80" w16cid:durableId="210E4DF5"/>
  <w16cid:commentId w16cid:paraId="44F48482" w16cid:durableId="210E8577"/>
  <w16cid:commentId w16cid:paraId="12DF663A" w16cid:durableId="210E4DF6"/>
  <w16cid:commentId w16cid:paraId="193EF26A" w16cid:durableId="210E8714"/>
  <w16cid:commentId w16cid:paraId="6AF54E57" w16cid:durableId="210E4DF7"/>
  <w16cid:commentId w16cid:paraId="43713290" w16cid:durableId="20E33647"/>
  <w16cid:commentId w16cid:paraId="123D8774" w16cid:durableId="210E4DF9"/>
  <w16cid:commentId w16cid:paraId="538E5493" w16cid:durableId="210E4DFA"/>
  <w16cid:commentId w16cid:paraId="21A4A666" w16cid:durableId="210E4DFB"/>
  <w16cid:commentId w16cid:paraId="68AD87D1" w16cid:durableId="20E33648"/>
  <w16cid:commentId w16cid:paraId="64403E08" w16cid:durableId="20E33649"/>
  <w16cid:commentId w16cid:paraId="68F0FF6A" w16cid:durableId="210E89DC"/>
  <w16cid:commentId w16cid:paraId="3A2366BA" w16cid:durableId="210E4DFE"/>
  <w16cid:commentId w16cid:paraId="14B54EB9" w16cid:durableId="210E4DFF"/>
  <w16cid:commentId w16cid:paraId="0F98A255" w16cid:durableId="20E3364A"/>
  <w16cid:commentId w16cid:paraId="1285232A" w16cid:durableId="210E4E01"/>
  <w16cid:commentId w16cid:paraId="1BC34BD1" w16cid:durableId="210E4E02"/>
  <w16cid:commentId w16cid:paraId="46A39287" w16cid:durableId="210E8A8B"/>
  <w16cid:commentId w16cid:paraId="01CFC3B6" w16cid:durableId="210E4E03"/>
  <w16cid:commentId w16cid:paraId="7B64771F" w16cid:durableId="210E4E04"/>
  <w16cid:commentId w16cid:paraId="6D986028" w16cid:durableId="20E3364B"/>
  <w16cid:commentId w16cid:paraId="1103D0E4" w16cid:durableId="20E3364C"/>
  <w16cid:commentId w16cid:paraId="799B6004" w16cid:durableId="210E4E07"/>
  <w16cid:commentId w16cid:paraId="6D1914AE" w16cid:durableId="210E4E08"/>
  <w16cid:commentId w16cid:paraId="27E71256" w16cid:durableId="210E4E09"/>
  <w16cid:commentId w16cid:paraId="7F9199B1" w16cid:durableId="210E4E0A"/>
  <w16cid:commentId w16cid:paraId="33C493E7" w16cid:durableId="210E4E0B"/>
  <w16cid:commentId w16cid:paraId="4327D3C5" w16cid:durableId="210E8B26"/>
  <w16cid:commentId w16cid:paraId="59750331" w16cid:durableId="210E4E0C"/>
  <w16cid:commentId w16cid:paraId="09ADD11A" w16cid:durableId="20E3364D"/>
  <w16cid:commentId w16cid:paraId="2444C08A" w16cid:durableId="210E4E0E"/>
  <w16cid:commentId w16cid:paraId="6C3B7B94" w16cid:durableId="20E3364E"/>
  <w16cid:commentId w16cid:paraId="2313FF11" w16cid:durableId="210E4E10"/>
  <w16cid:commentId w16cid:paraId="38C73E30" w16cid:durableId="210E8BC3"/>
  <w16cid:commentId w16cid:paraId="4100D241" w16cid:durableId="20E3364F"/>
  <w16cid:commentId w16cid:paraId="0CCC0CD1" w16cid:durableId="210E4E12"/>
  <w16cid:commentId w16cid:paraId="578EDA42" w16cid:durableId="20E33651"/>
  <w16cid:commentId w16cid:paraId="63A1E2B6" w16cid:durableId="20E33652"/>
  <w16cid:commentId w16cid:paraId="1E57FD3B" w16cid:durableId="20E3365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900CE"/>
    <w:multiLevelType w:val="hybridMultilevel"/>
    <w:tmpl w:val="18643420"/>
    <w:lvl w:ilvl="0" w:tplc="7090B22C">
      <w:start w:val="1"/>
      <w:numFmt w:val="bullet"/>
      <w:lvlText w:val=""/>
      <w:lvlJc w:val="left"/>
      <w:pPr>
        <w:ind w:left="720" w:hanging="360"/>
      </w:pPr>
      <w:rPr>
        <w:rFonts w:ascii="Symbol" w:hAnsi="Symbol" w:hint="default"/>
      </w:rPr>
    </w:lvl>
    <w:lvl w:ilvl="1" w:tplc="E212798C" w:tentative="1">
      <w:start w:val="1"/>
      <w:numFmt w:val="bullet"/>
      <w:lvlText w:val="o"/>
      <w:lvlJc w:val="left"/>
      <w:pPr>
        <w:ind w:left="1440" w:hanging="360"/>
      </w:pPr>
      <w:rPr>
        <w:rFonts w:ascii="Courier New" w:hAnsi="Courier New" w:cs="Courier New" w:hint="default"/>
      </w:rPr>
    </w:lvl>
    <w:lvl w:ilvl="2" w:tplc="9600FC84" w:tentative="1">
      <w:start w:val="1"/>
      <w:numFmt w:val="bullet"/>
      <w:lvlText w:val=""/>
      <w:lvlJc w:val="left"/>
      <w:pPr>
        <w:ind w:left="2160" w:hanging="360"/>
      </w:pPr>
      <w:rPr>
        <w:rFonts w:ascii="Wingdings" w:hAnsi="Wingdings" w:hint="default"/>
      </w:rPr>
    </w:lvl>
    <w:lvl w:ilvl="3" w:tplc="FBF8FC7C" w:tentative="1">
      <w:start w:val="1"/>
      <w:numFmt w:val="bullet"/>
      <w:lvlText w:val=""/>
      <w:lvlJc w:val="left"/>
      <w:pPr>
        <w:ind w:left="2880" w:hanging="360"/>
      </w:pPr>
      <w:rPr>
        <w:rFonts w:ascii="Symbol" w:hAnsi="Symbol" w:hint="default"/>
      </w:rPr>
    </w:lvl>
    <w:lvl w:ilvl="4" w:tplc="B0AAE4F8" w:tentative="1">
      <w:start w:val="1"/>
      <w:numFmt w:val="bullet"/>
      <w:lvlText w:val="o"/>
      <w:lvlJc w:val="left"/>
      <w:pPr>
        <w:ind w:left="3600" w:hanging="360"/>
      </w:pPr>
      <w:rPr>
        <w:rFonts w:ascii="Courier New" w:hAnsi="Courier New" w:cs="Courier New" w:hint="default"/>
      </w:rPr>
    </w:lvl>
    <w:lvl w:ilvl="5" w:tplc="9C12FDDA" w:tentative="1">
      <w:start w:val="1"/>
      <w:numFmt w:val="bullet"/>
      <w:lvlText w:val=""/>
      <w:lvlJc w:val="left"/>
      <w:pPr>
        <w:ind w:left="4320" w:hanging="360"/>
      </w:pPr>
      <w:rPr>
        <w:rFonts w:ascii="Wingdings" w:hAnsi="Wingdings" w:hint="default"/>
      </w:rPr>
    </w:lvl>
    <w:lvl w:ilvl="6" w:tplc="2D0EC7D0" w:tentative="1">
      <w:start w:val="1"/>
      <w:numFmt w:val="bullet"/>
      <w:lvlText w:val=""/>
      <w:lvlJc w:val="left"/>
      <w:pPr>
        <w:ind w:left="5040" w:hanging="360"/>
      </w:pPr>
      <w:rPr>
        <w:rFonts w:ascii="Symbol" w:hAnsi="Symbol" w:hint="default"/>
      </w:rPr>
    </w:lvl>
    <w:lvl w:ilvl="7" w:tplc="0A466330" w:tentative="1">
      <w:start w:val="1"/>
      <w:numFmt w:val="bullet"/>
      <w:lvlText w:val="o"/>
      <w:lvlJc w:val="left"/>
      <w:pPr>
        <w:ind w:left="5760" w:hanging="360"/>
      </w:pPr>
      <w:rPr>
        <w:rFonts w:ascii="Courier New" w:hAnsi="Courier New" w:cs="Courier New" w:hint="default"/>
      </w:rPr>
    </w:lvl>
    <w:lvl w:ilvl="8" w:tplc="8918D63A" w:tentative="1">
      <w:start w:val="1"/>
      <w:numFmt w:val="bullet"/>
      <w:lvlText w:val=""/>
      <w:lvlJc w:val="left"/>
      <w:pPr>
        <w:ind w:left="6480" w:hanging="360"/>
      </w:pPr>
      <w:rPr>
        <w:rFonts w:ascii="Wingdings" w:hAnsi="Wingdings" w:hint="default"/>
      </w:rPr>
    </w:lvl>
  </w:abstractNum>
  <w:abstractNum w:abstractNumId="1" w15:restartNumberingAfterBreak="0">
    <w:nsid w:val="1A9E51AB"/>
    <w:multiLevelType w:val="hybridMultilevel"/>
    <w:tmpl w:val="7CB47F2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3A84298D"/>
    <w:multiLevelType w:val="hybridMultilevel"/>
    <w:tmpl w:val="01AA3110"/>
    <w:lvl w:ilvl="0" w:tplc="29A27CC8">
      <w:start w:val="1"/>
      <w:numFmt w:val="bullet"/>
      <w:lvlText w:val=""/>
      <w:lvlJc w:val="left"/>
      <w:pPr>
        <w:ind w:left="720" w:hanging="360"/>
      </w:pPr>
      <w:rPr>
        <w:rFonts w:ascii="Symbol" w:hAnsi="Symbol" w:hint="default"/>
      </w:rPr>
    </w:lvl>
    <w:lvl w:ilvl="1" w:tplc="8EE688DC" w:tentative="1">
      <w:start w:val="1"/>
      <w:numFmt w:val="bullet"/>
      <w:lvlText w:val="o"/>
      <w:lvlJc w:val="left"/>
      <w:pPr>
        <w:ind w:left="1440" w:hanging="360"/>
      </w:pPr>
      <w:rPr>
        <w:rFonts w:ascii="Courier New" w:hAnsi="Courier New" w:cs="Courier New" w:hint="default"/>
      </w:rPr>
    </w:lvl>
    <w:lvl w:ilvl="2" w:tplc="DFC88526" w:tentative="1">
      <w:start w:val="1"/>
      <w:numFmt w:val="bullet"/>
      <w:lvlText w:val=""/>
      <w:lvlJc w:val="left"/>
      <w:pPr>
        <w:ind w:left="2160" w:hanging="360"/>
      </w:pPr>
      <w:rPr>
        <w:rFonts w:ascii="Wingdings" w:hAnsi="Wingdings" w:hint="default"/>
      </w:rPr>
    </w:lvl>
    <w:lvl w:ilvl="3" w:tplc="980A368A" w:tentative="1">
      <w:start w:val="1"/>
      <w:numFmt w:val="bullet"/>
      <w:lvlText w:val=""/>
      <w:lvlJc w:val="left"/>
      <w:pPr>
        <w:ind w:left="2880" w:hanging="360"/>
      </w:pPr>
      <w:rPr>
        <w:rFonts w:ascii="Symbol" w:hAnsi="Symbol" w:hint="default"/>
      </w:rPr>
    </w:lvl>
    <w:lvl w:ilvl="4" w:tplc="BE1268BA" w:tentative="1">
      <w:start w:val="1"/>
      <w:numFmt w:val="bullet"/>
      <w:lvlText w:val="o"/>
      <w:lvlJc w:val="left"/>
      <w:pPr>
        <w:ind w:left="3600" w:hanging="360"/>
      </w:pPr>
      <w:rPr>
        <w:rFonts w:ascii="Courier New" w:hAnsi="Courier New" w:cs="Courier New" w:hint="default"/>
      </w:rPr>
    </w:lvl>
    <w:lvl w:ilvl="5" w:tplc="019ABE1E" w:tentative="1">
      <w:start w:val="1"/>
      <w:numFmt w:val="bullet"/>
      <w:lvlText w:val=""/>
      <w:lvlJc w:val="left"/>
      <w:pPr>
        <w:ind w:left="4320" w:hanging="360"/>
      </w:pPr>
      <w:rPr>
        <w:rFonts w:ascii="Wingdings" w:hAnsi="Wingdings" w:hint="default"/>
      </w:rPr>
    </w:lvl>
    <w:lvl w:ilvl="6" w:tplc="070EF9D8" w:tentative="1">
      <w:start w:val="1"/>
      <w:numFmt w:val="bullet"/>
      <w:lvlText w:val=""/>
      <w:lvlJc w:val="left"/>
      <w:pPr>
        <w:ind w:left="5040" w:hanging="360"/>
      </w:pPr>
      <w:rPr>
        <w:rFonts w:ascii="Symbol" w:hAnsi="Symbol" w:hint="default"/>
      </w:rPr>
    </w:lvl>
    <w:lvl w:ilvl="7" w:tplc="99E08D14" w:tentative="1">
      <w:start w:val="1"/>
      <w:numFmt w:val="bullet"/>
      <w:lvlText w:val="o"/>
      <w:lvlJc w:val="left"/>
      <w:pPr>
        <w:ind w:left="5760" w:hanging="360"/>
      </w:pPr>
      <w:rPr>
        <w:rFonts w:ascii="Courier New" w:hAnsi="Courier New" w:cs="Courier New" w:hint="default"/>
      </w:rPr>
    </w:lvl>
    <w:lvl w:ilvl="8" w:tplc="D0FCFAFC" w:tentative="1">
      <w:start w:val="1"/>
      <w:numFmt w:val="bullet"/>
      <w:lvlText w:val=""/>
      <w:lvlJc w:val="left"/>
      <w:pPr>
        <w:ind w:left="6480" w:hanging="360"/>
      </w:pPr>
      <w:rPr>
        <w:rFonts w:ascii="Wingdings" w:hAnsi="Wingdings" w:hint="default"/>
      </w:rPr>
    </w:lvl>
  </w:abstractNum>
  <w:abstractNum w:abstractNumId="3" w15:restartNumberingAfterBreak="0">
    <w:nsid w:val="424A4253"/>
    <w:multiLevelType w:val="multilevel"/>
    <w:tmpl w:val="DC3680F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15:restartNumberingAfterBreak="0">
    <w:nsid w:val="47BC2AA3"/>
    <w:multiLevelType w:val="hybridMultilevel"/>
    <w:tmpl w:val="E3D4FF46"/>
    <w:lvl w:ilvl="0" w:tplc="204A1DC6">
      <w:start w:val="1"/>
      <w:numFmt w:val="decimal"/>
      <w:lvlText w:val="%1."/>
      <w:lvlJc w:val="left"/>
      <w:pPr>
        <w:ind w:left="720" w:hanging="360"/>
      </w:pPr>
    </w:lvl>
    <w:lvl w:ilvl="1" w:tplc="9404FB1E" w:tentative="1">
      <w:start w:val="1"/>
      <w:numFmt w:val="lowerLetter"/>
      <w:lvlText w:val="%2."/>
      <w:lvlJc w:val="left"/>
      <w:pPr>
        <w:ind w:left="1440" w:hanging="360"/>
      </w:pPr>
    </w:lvl>
    <w:lvl w:ilvl="2" w:tplc="70E6A2A4" w:tentative="1">
      <w:start w:val="1"/>
      <w:numFmt w:val="lowerRoman"/>
      <w:lvlText w:val="%3."/>
      <w:lvlJc w:val="right"/>
      <w:pPr>
        <w:ind w:left="2160" w:hanging="180"/>
      </w:pPr>
    </w:lvl>
    <w:lvl w:ilvl="3" w:tplc="1F3A40CC" w:tentative="1">
      <w:start w:val="1"/>
      <w:numFmt w:val="decimal"/>
      <w:lvlText w:val="%4."/>
      <w:lvlJc w:val="left"/>
      <w:pPr>
        <w:ind w:left="2880" w:hanging="360"/>
      </w:pPr>
    </w:lvl>
    <w:lvl w:ilvl="4" w:tplc="48926054" w:tentative="1">
      <w:start w:val="1"/>
      <w:numFmt w:val="lowerLetter"/>
      <w:lvlText w:val="%5."/>
      <w:lvlJc w:val="left"/>
      <w:pPr>
        <w:ind w:left="3600" w:hanging="360"/>
      </w:pPr>
    </w:lvl>
    <w:lvl w:ilvl="5" w:tplc="D2580EE4" w:tentative="1">
      <w:start w:val="1"/>
      <w:numFmt w:val="lowerRoman"/>
      <w:lvlText w:val="%6."/>
      <w:lvlJc w:val="right"/>
      <w:pPr>
        <w:ind w:left="4320" w:hanging="180"/>
      </w:pPr>
    </w:lvl>
    <w:lvl w:ilvl="6" w:tplc="B2421A3C" w:tentative="1">
      <w:start w:val="1"/>
      <w:numFmt w:val="decimal"/>
      <w:lvlText w:val="%7."/>
      <w:lvlJc w:val="left"/>
      <w:pPr>
        <w:ind w:left="5040" w:hanging="360"/>
      </w:pPr>
    </w:lvl>
    <w:lvl w:ilvl="7" w:tplc="C0122EB6" w:tentative="1">
      <w:start w:val="1"/>
      <w:numFmt w:val="lowerLetter"/>
      <w:lvlText w:val="%8."/>
      <w:lvlJc w:val="left"/>
      <w:pPr>
        <w:ind w:left="5760" w:hanging="360"/>
      </w:pPr>
    </w:lvl>
    <w:lvl w:ilvl="8" w:tplc="897CBDB8" w:tentative="1">
      <w:start w:val="1"/>
      <w:numFmt w:val="lowerRoman"/>
      <w:lvlText w:val="%9."/>
      <w:lvlJc w:val="right"/>
      <w:pPr>
        <w:ind w:left="6480" w:hanging="180"/>
      </w:pPr>
    </w:lvl>
  </w:abstractNum>
  <w:abstractNum w:abstractNumId="5" w15:restartNumberingAfterBreak="0">
    <w:nsid w:val="61802A63"/>
    <w:multiLevelType w:val="hybridMultilevel"/>
    <w:tmpl w:val="D318F4EE"/>
    <w:lvl w:ilvl="0" w:tplc="01C2E600">
      <w:numFmt w:val="bullet"/>
      <w:lvlText w:val=""/>
      <w:lvlJc w:val="left"/>
      <w:pPr>
        <w:ind w:left="720" w:hanging="360"/>
      </w:pPr>
      <w:rPr>
        <w:rFonts w:ascii="Calibri" w:eastAsia="Calibri" w:hAnsi="Calibri" w:cs="Times New Roman" w:hint="default"/>
      </w:rPr>
    </w:lvl>
    <w:lvl w:ilvl="1" w:tplc="45A89BB8" w:tentative="1">
      <w:start w:val="1"/>
      <w:numFmt w:val="bullet"/>
      <w:lvlText w:val="o"/>
      <w:lvlJc w:val="left"/>
      <w:pPr>
        <w:ind w:left="1440" w:hanging="360"/>
      </w:pPr>
      <w:rPr>
        <w:rFonts w:ascii="Courier New" w:hAnsi="Courier New" w:cs="Courier New" w:hint="default"/>
      </w:rPr>
    </w:lvl>
    <w:lvl w:ilvl="2" w:tplc="6B5C211E" w:tentative="1">
      <w:start w:val="1"/>
      <w:numFmt w:val="bullet"/>
      <w:lvlText w:val=""/>
      <w:lvlJc w:val="left"/>
      <w:pPr>
        <w:ind w:left="2160" w:hanging="360"/>
      </w:pPr>
      <w:rPr>
        <w:rFonts w:ascii="Wingdings" w:hAnsi="Wingdings" w:hint="default"/>
      </w:rPr>
    </w:lvl>
    <w:lvl w:ilvl="3" w:tplc="019C3BB8" w:tentative="1">
      <w:start w:val="1"/>
      <w:numFmt w:val="bullet"/>
      <w:lvlText w:val=""/>
      <w:lvlJc w:val="left"/>
      <w:pPr>
        <w:ind w:left="2880" w:hanging="360"/>
      </w:pPr>
      <w:rPr>
        <w:rFonts w:ascii="Symbol" w:hAnsi="Symbol" w:hint="default"/>
      </w:rPr>
    </w:lvl>
    <w:lvl w:ilvl="4" w:tplc="96140442" w:tentative="1">
      <w:start w:val="1"/>
      <w:numFmt w:val="bullet"/>
      <w:lvlText w:val="o"/>
      <w:lvlJc w:val="left"/>
      <w:pPr>
        <w:ind w:left="3600" w:hanging="360"/>
      </w:pPr>
      <w:rPr>
        <w:rFonts w:ascii="Courier New" w:hAnsi="Courier New" w:cs="Courier New" w:hint="default"/>
      </w:rPr>
    </w:lvl>
    <w:lvl w:ilvl="5" w:tplc="9D146EE4" w:tentative="1">
      <w:start w:val="1"/>
      <w:numFmt w:val="bullet"/>
      <w:lvlText w:val=""/>
      <w:lvlJc w:val="left"/>
      <w:pPr>
        <w:ind w:left="4320" w:hanging="360"/>
      </w:pPr>
      <w:rPr>
        <w:rFonts w:ascii="Wingdings" w:hAnsi="Wingdings" w:hint="default"/>
      </w:rPr>
    </w:lvl>
    <w:lvl w:ilvl="6" w:tplc="8F5434C4" w:tentative="1">
      <w:start w:val="1"/>
      <w:numFmt w:val="bullet"/>
      <w:lvlText w:val=""/>
      <w:lvlJc w:val="left"/>
      <w:pPr>
        <w:ind w:left="5040" w:hanging="360"/>
      </w:pPr>
      <w:rPr>
        <w:rFonts w:ascii="Symbol" w:hAnsi="Symbol" w:hint="default"/>
      </w:rPr>
    </w:lvl>
    <w:lvl w:ilvl="7" w:tplc="A0FC9034" w:tentative="1">
      <w:start w:val="1"/>
      <w:numFmt w:val="bullet"/>
      <w:lvlText w:val="o"/>
      <w:lvlJc w:val="left"/>
      <w:pPr>
        <w:ind w:left="5760" w:hanging="360"/>
      </w:pPr>
      <w:rPr>
        <w:rFonts w:ascii="Courier New" w:hAnsi="Courier New" w:cs="Courier New" w:hint="default"/>
      </w:rPr>
    </w:lvl>
    <w:lvl w:ilvl="8" w:tplc="93663406" w:tentative="1">
      <w:start w:val="1"/>
      <w:numFmt w:val="bullet"/>
      <w:lvlText w:val=""/>
      <w:lvlJc w:val="left"/>
      <w:pPr>
        <w:ind w:left="6480" w:hanging="360"/>
      </w:pPr>
      <w:rPr>
        <w:rFonts w:ascii="Wingdings" w:hAnsi="Wingdings" w:hint="default"/>
      </w:rPr>
    </w:lvl>
  </w:abstractNum>
  <w:abstractNum w:abstractNumId="6" w15:restartNumberingAfterBreak="0">
    <w:nsid w:val="634461D5"/>
    <w:multiLevelType w:val="hybridMultilevel"/>
    <w:tmpl w:val="D42647D2"/>
    <w:lvl w:ilvl="0" w:tplc="91C6CED2">
      <w:start w:val="1"/>
      <w:numFmt w:val="decimal"/>
      <w:lvlText w:val="%1."/>
      <w:lvlJc w:val="left"/>
      <w:pPr>
        <w:ind w:left="720" w:hanging="360"/>
      </w:pPr>
      <w:rPr>
        <w:rFonts w:hint="default"/>
      </w:rPr>
    </w:lvl>
    <w:lvl w:ilvl="1" w:tplc="FC7A6CF8" w:tentative="1">
      <w:start w:val="1"/>
      <w:numFmt w:val="lowerLetter"/>
      <w:lvlText w:val="%2."/>
      <w:lvlJc w:val="left"/>
      <w:pPr>
        <w:ind w:left="1440" w:hanging="360"/>
      </w:pPr>
    </w:lvl>
    <w:lvl w:ilvl="2" w:tplc="05723C60" w:tentative="1">
      <w:start w:val="1"/>
      <w:numFmt w:val="lowerRoman"/>
      <w:lvlText w:val="%3."/>
      <w:lvlJc w:val="right"/>
      <w:pPr>
        <w:ind w:left="2160" w:hanging="180"/>
      </w:pPr>
    </w:lvl>
    <w:lvl w:ilvl="3" w:tplc="7B0288C4" w:tentative="1">
      <w:start w:val="1"/>
      <w:numFmt w:val="decimal"/>
      <w:lvlText w:val="%4."/>
      <w:lvlJc w:val="left"/>
      <w:pPr>
        <w:ind w:left="2880" w:hanging="360"/>
      </w:pPr>
    </w:lvl>
    <w:lvl w:ilvl="4" w:tplc="589CC32A" w:tentative="1">
      <w:start w:val="1"/>
      <w:numFmt w:val="lowerLetter"/>
      <w:lvlText w:val="%5."/>
      <w:lvlJc w:val="left"/>
      <w:pPr>
        <w:ind w:left="3600" w:hanging="360"/>
      </w:pPr>
    </w:lvl>
    <w:lvl w:ilvl="5" w:tplc="C0121C1C" w:tentative="1">
      <w:start w:val="1"/>
      <w:numFmt w:val="lowerRoman"/>
      <w:lvlText w:val="%6."/>
      <w:lvlJc w:val="right"/>
      <w:pPr>
        <w:ind w:left="4320" w:hanging="180"/>
      </w:pPr>
    </w:lvl>
    <w:lvl w:ilvl="6" w:tplc="D1D45C84" w:tentative="1">
      <w:start w:val="1"/>
      <w:numFmt w:val="decimal"/>
      <w:lvlText w:val="%7."/>
      <w:lvlJc w:val="left"/>
      <w:pPr>
        <w:ind w:left="5040" w:hanging="360"/>
      </w:pPr>
    </w:lvl>
    <w:lvl w:ilvl="7" w:tplc="B6F0C096" w:tentative="1">
      <w:start w:val="1"/>
      <w:numFmt w:val="lowerLetter"/>
      <w:lvlText w:val="%8."/>
      <w:lvlJc w:val="left"/>
      <w:pPr>
        <w:ind w:left="5760" w:hanging="360"/>
      </w:pPr>
    </w:lvl>
    <w:lvl w:ilvl="8" w:tplc="D690E668" w:tentative="1">
      <w:start w:val="1"/>
      <w:numFmt w:val="lowerRoman"/>
      <w:lvlText w:val="%9."/>
      <w:lvlJc w:val="right"/>
      <w:pPr>
        <w:ind w:left="6480" w:hanging="180"/>
      </w:pPr>
    </w:lvl>
  </w:abstractNum>
  <w:abstractNum w:abstractNumId="7" w15:restartNumberingAfterBreak="0">
    <w:nsid w:val="68375DEC"/>
    <w:multiLevelType w:val="multilevel"/>
    <w:tmpl w:val="DC3680F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15:restartNumberingAfterBreak="0">
    <w:nsid w:val="687E0668"/>
    <w:multiLevelType w:val="hybridMultilevel"/>
    <w:tmpl w:val="CCE4DA38"/>
    <w:lvl w:ilvl="0" w:tplc="1640FA36">
      <w:start w:val="1"/>
      <w:numFmt w:val="bullet"/>
      <w:lvlText w:val=""/>
      <w:lvlJc w:val="left"/>
      <w:pPr>
        <w:ind w:left="360" w:hanging="360"/>
      </w:pPr>
      <w:rPr>
        <w:rFonts w:ascii="Symbol" w:hAnsi="Symbol" w:hint="default"/>
      </w:rPr>
    </w:lvl>
    <w:lvl w:ilvl="1" w:tplc="96769680" w:tentative="1">
      <w:start w:val="1"/>
      <w:numFmt w:val="bullet"/>
      <w:lvlText w:val="o"/>
      <w:lvlJc w:val="left"/>
      <w:pPr>
        <w:ind w:left="1080" w:hanging="360"/>
      </w:pPr>
      <w:rPr>
        <w:rFonts w:ascii="Courier New" w:hAnsi="Courier New" w:cs="Courier New" w:hint="default"/>
      </w:rPr>
    </w:lvl>
    <w:lvl w:ilvl="2" w:tplc="29A03014" w:tentative="1">
      <w:start w:val="1"/>
      <w:numFmt w:val="bullet"/>
      <w:lvlText w:val=""/>
      <w:lvlJc w:val="left"/>
      <w:pPr>
        <w:ind w:left="1800" w:hanging="360"/>
      </w:pPr>
      <w:rPr>
        <w:rFonts w:ascii="Wingdings" w:hAnsi="Wingdings" w:hint="default"/>
      </w:rPr>
    </w:lvl>
    <w:lvl w:ilvl="3" w:tplc="D430BD22" w:tentative="1">
      <w:start w:val="1"/>
      <w:numFmt w:val="bullet"/>
      <w:lvlText w:val=""/>
      <w:lvlJc w:val="left"/>
      <w:pPr>
        <w:ind w:left="2520" w:hanging="360"/>
      </w:pPr>
      <w:rPr>
        <w:rFonts w:ascii="Symbol" w:hAnsi="Symbol" w:hint="default"/>
      </w:rPr>
    </w:lvl>
    <w:lvl w:ilvl="4" w:tplc="584CC2BE" w:tentative="1">
      <w:start w:val="1"/>
      <w:numFmt w:val="bullet"/>
      <w:lvlText w:val="o"/>
      <w:lvlJc w:val="left"/>
      <w:pPr>
        <w:ind w:left="3240" w:hanging="360"/>
      </w:pPr>
      <w:rPr>
        <w:rFonts w:ascii="Courier New" w:hAnsi="Courier New" w:cs="Courier New" w:hint="default"/>
      </w:rPr>
    </w:lvl>
    <w:lvl w:ilvl="5" w:tplc="84F09096" w:tentative="1">
      <w:start w:val="1"/>
      <w:numFmt w:val="bullet"/>
      <w:lvlText w:val=""/>
      <w:lvlJc w:val="left"/>
      <w:pPr>
        <w:ind w:left="3960" w:hanging="360"/>
      </w:pPr>
      <w:rPr>
        <w:rFonts w:ascii="Wingdings" w:hAnsi="Wingdings" w:hint="default"/>
      </w:rPr>
    </w:lvl>
    <w:lvl w:ilvl="6" w:tplc="53FECA00" w:tentative="1">
      <w:start w:val="1"/>
      <w:numFmt w:val="bullet"/>
      <w:lvlText w:val=""/>
      <w:lvlJc w:val="left"/>
      <w:pPr>
        <w:ind w:left="4680" w:hanging="360"/>
      </w:pPr>
      <w:rPr>
        <w:rFonts w:ascii="Symbol" w:hAnsi="Symbol" w:hint="default"/>
      </w:rPr>
    </w:lvl>
    <w:lvl w:ilvl="7" w:tplc="F0A44424" w:tentative="1">
      <w:start w:val="1"/>
      <w:numFmt w:val="bullet"/>
      <w:lvlText w:val="o"/>
      <w:lvlJc w:val="left"/>
      <w:pPr>
        <w:ind w:left="5400" w:hanging="360"/>
      </w:pPr>
      <w:rPr>
        <w:rFonts w:ascii="Courier New" w:hAnsi="Courier New" w:cs="Courier New" w:hint="default"/>
      </w:rPr>
    </w:lvl>
    <w:lvl w:ilvl="8" w:tplc="7DD0F8E6" w:tentative="1">
      <w:start w:val="1"/>
      <w:numFmt w:val="bullet"/>
      <w:lvlText w:val=""/>
      <w:lvlJc w:val="left"/>
      <w:pPr>
        <w:ind w:left="6120" w:hanging="360"/>
      </w:pPr>
      <w:rPr>
        <w:rFonts w:ascii="Wingdings" w:hAnsi="Wingdings" w:hint="default"/>
      </w:rPr>
    </w:lvl>
  </w:abstractNum>
  <w:num w:numId="1">
    <w:abstractNumId w:val="8"/>
  </w:num>
  <w:num w:numId="2">
    <w:abstractNumId w:val="0"/>
  </w:num>
  <w:num w:numId="3">
    <w:abstractNumId w:val="5"/>
  </w:num>
  <w:num w:numId="4">
    <w:abstractNumId w:val="2"/>
  </w:num>
  <w:num w:numId="5">
    <w:abstractNumId w:val="7"/>
  </w:num>
  <w:num w:numId="6">
    <w:abstractNumId w:val="3"/>
  </w:num>
  <w:num w:numId="7">
    <w:abstractNumId w:val="4"/>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FR" w:vendorID="64" w:dllVersion="131078" w:nlCheck="1" w:checkStyle="0"/>
  <w:activeWritingStyle w:appName="MSWord" w:lang="en-GB" w:vendorID="64" w:dllVersion="131078" w:nlCheck="1" w:checkStyle="1"/>
  <w:activeWritingStyle w:appName="MSWord" w:lang="es-ES" w:vendorID="64" w:dllVersion="131078" w:nlCheck="1" w:checkStyle="0"/>
  <w:activeWritingStyle w:appName="MSWord" w:lang="en-US" w:vendorID="64" w:dllVersion="131078" w:nlCheck="1" w:checkStyle="1"/>
  <w:attachedTemplate r:id="rId1"/>
  <w:trackRevisions/>
  <w:defaultTabStop w:val="720"/>
  <w:hyphenationZone w:val="425"/>
  <w:doNotShadeFormData/>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LQwNjQ3NrI0tjAxMTVR0lEKTi0uzszPAykwqQUA20WO8ywAAAA="/>
  </w:docVars>
  <w:rsids>
    <w:rsidRoot w:val="000B78FB"/>
    <w:rsid w:val="00012FCF"/>
    <w:rsid w:val="00014000"/>
    <w:rsid w:val="000217F6"/>
    <w:rsid w:val="0002385F"/>
    <w:rsid w:val="00036BC3"/>
    <w:rsid w:val="00036E16"/>
    <w:rsid w:val="00045BA0"/>
    <w:rsid w:val="00046339"/>
    <w:rsid w:val="000466F4"/>
    <w:rsid w:val="00061157"/>
    <w:rsid w:val="000627A7"/>
    <w:rsid w:val="00071F7F"/>
    <w:rsid w:val="000739E2"/>
    <w:rsid w:val="00074E53"/>
    <w:rsid w:val="000772F5"/>
    <w:rsid w:val="0008419D"/>
    <w:rsid w:val="000967BE"/>
    <w:rsid w:val="000B78FB"/>
    <w:rsid w:val="000D2075"/>
    <w:rsid w:val="000D5BE3"/>
    <w:rsid w:val="000D7B89"/>
    <w:rsid w:val="000E2062"/>
    <w:rsid w:val="000E5761"/>
    <w:rsid w:val="000E63C1"/>
    <w:rsid w:val="00100863"/>
    <w:rsid w:val="001049A8"/>
    <w:rsid w:val="0011451B"/>
    <w:rsid w:val="00114E9D"/>
    <w:rsid w:val="00120489"/>
    <w:rsid w:val="00126360"/>
    <w:rsid w:val="00127BC1"/>
    <w:rsid w:val="00135274"/>
    <w:rsid w:val="00136F48"/>
    <w:rsid w:val="00144871"/>
    <w:rsid w:val="0015315D"/>
    <w:rsid w:val="00163049"/>
    <w:rsid w:val="001825DC"/>
    <w:rsid w:val="00185309"/>
    <w:rsid w:val="001870BD"/>
    <w:rsid w:val="001937B9"/>
    <w:rsid w:val="00196D15"/>
    <w:rsid w:val="001A13C8"/>
    <w:rsid w:val="001A3DEC"/>
    <w:rsid w:val="001A7075"/>
    <w:rsid w:val="001B1C40"/>
    <w:rsid w:val="001B7973"/>
    <w:rsid w:val="001C3E5D"/>
    <w:rsid w:val="001C6AAA"/>
    <w:rsid w:val="001D57F4"/>
    <w:rsid w:val="001D68CD"/>
    <w:rsid w:val="001E331B"/>
    <w:rsid w:val="001E4C5B"/>
    <w:rsid w:val="001F5AFA"/>
    <w:rsid w:val="001F6768"/>
    <w:rsid w:val="00201799"/>
    <w:rsid w:val="002025EB"/>
    <w:rsid w:val="00205E64"/>
    <w:rsid w:val="00212A35"/>
    <w:rsid w:val="0021368A"/>
    <w:rsid w:val="00221802"/>
    <w:rsid w:val="00224F9D"/>
    <w:rsid w:val="0024052F"/>
    <w:rsid w:val="00266868"/>
    <w:rsid w:val="00266F2F"/>
    <w:rsid w:val="00272213"/>
    <w:rsid w:val="002737A6"/>
    <w:rsid w:val="002760B4"/>
    <w:rsid w:val="00293478"/>
    <w:rsid w:val="00297601"/>
    <w:rsid w:val="002C5D93"/>
    <w:rsid w:val="002D18FB"/>
    <w:rsid w:val="002D2226"/>
    <w:rsid w:val="002D3187"/>
    <w:rsid w:val="002D464C"/>
    <w:rsid w:val="002E66FF"/>
    <w:rsid w:val="002F0E72"/>
    <w:rsid w:val="002F5D19"/>
    <w:rsid w:val="00305282"/>
    <w:rsid w:val="00310AE8"/>
    <w:rsid w:val="00326949"/>
    <w:rsid w:val="0033004A"/>
    <w:rsid w:val="00341057"/>
    <w:rsid w:val="0035302F"/>
    <w:rsid w:val="003612EE"/>
    <w:rsid w:val="00380712"/>
    <w:rsid w:val="003851A9"/>
    <w:rsid w:val="00390716"/>
    <w:rsid w:val="0039133A"/>
    <w:rsid w:val="00392CAF"/>
    <w:rsid w:val="00394D61"/>
    <w:rsid w:val="003A36CC"/>
    <w:rsid w:val="003A57E7"/>
    <w:rsid w:val="003A7F4F"/>
    <w:rsid w:val="003C16C5"/>
    <w:rsid w:val="003C35FE"/>
    <w:rsid w:val="003D5F3C"/>
    <w:rsid w:val="003F3956"/>
    <w:rsid w:val="00401676"/>
    <w:rsid w:val="004058CA"/>
    <w:rsid w:val="004225D1"/>
    <w:rsid w:val="004243BE"/>
    <w:rsid w:val="004270B1"/>
    <w:rsid w:val="00435FE8"/>
    <w:rsid w:val="0043609C"/>
    <w:rsid w:val="004439B1"/>
    <w:rsid w:val="00443C29"/>
    <w:rsid w:val="00443D60"/>
    <w:rsid w:val="00452F04"/>
    <w:rsid w:val="00461846"/>
    <w:rsid w:val="004642A7"/>
    <w:rsid w:val="00465EF1"/>
    <w:rsid w:val="00475B29"/>
    <w:rsid w:val="00487590"/>
    <w:rsid w:val="0048797E"/>
    <w:rsid w:val="004940F4"/>
    <w:rsid w:val="0049419D"/>
    <w:rsid w:val="00496A0E"/>
    <w:rsid w:val="004A6390"/>
    <w:rsid w:val="004A6755"/>
    <w:rsid w:val="004B2B9E"/>
    <w:rsid w:val="004B52AF"/>
    <w:rsid w:val="004B752B"/>
    <w:rsid w:val="004C48A3"/>
    <w:rsid w:val="004C5327"/>
    <w:rsid w:val="004E6D00"/>
    <w:rsid w:val="004F5E75"/>
    <w:rsid w:val="004F61C8"/>
    <w:rsid w:val="004F6227"/>
    <w:rsid w:val="0050443C"/>
    <w:rsid w:val="00513086"/>
    <w:rsid w:val="005155DB"/>
    <w:rsid w:val="005167D2"/>
    <w:rsid w:val="00516D22"/>
    <w:rsid w:val="00530800"/>
    <w:rsid w:val="00543334"/>
    <w:rsid w:val="005461D7"/>
    <w:rsid w:val="005612F6"/>
    <w:rsid w:val="00565F4D"/>
    <w:rsid w:val="00577318"/>
    <w:rsid w:val="005A5ACF"/>
    <w:rsid w:val="005A61F4"/>
    <w:rsid w:val="005A77E5"/>
    <w:rsid w:val="005C1F20"/>
    <w:rsid w:val="005D2185"/>
    <w:rsid w:val="005D4EC4"/>
    <w:rsid w:val="005D56CD"/>
    <w:rsid w:val="005D7694"/>
    <w:rsid w:val="005F0876"/>
    <w:rsid w:val="005F5E7D"/>
    <w:rsid w:val="00600185"/>
    <w:rsid w:val="00601694"/>
    <w:rsid w:val="00607137"/>
    <w:rsid w:val="00611E74"/>
    <w:rsid w:val="00633A28"/>
    <w:rsid w:val="00633EF5"/>
    <w:rsid w:val="006375F9"/>
    <w:rsid w:val="00644598"/>
    <w:rsid w:val="00646D79"/>
    <w:rsid w:val="006513DF"/>
    <w:rsid w:val="00656560"/>
    <w:rsid w:val="00661D95"/>
    <w:rsid w:val="00662E52"/>
    <w:rsid w:val="00666852"/>
    <w:rsid w:val="006751A1"/>
    <w:rsid w:val="006876C9"/>
    <w:rsid w:val="006A6D3D"/>
    <w:rsid w:val="006B3EF7"/>
    <w:rsid w:val="006B6518"/>
    <w:rsid w:val="006C1DCA"/>
    <w:rsid w:val="006D4300"/>
    <w:rsid w:val="006E31D9"/>
    <w:rsid w:val="006F36E7"/>
    <w:rsid w:val="00701A40"/>
    <w:rsid w:val="00702CCC"/>
    <w:rsid w:val="00711674"/>
    <w:rsid w:val="00717A2D"/>
    <w:rsid w:val="00733E37"/>
    <w:rsid w:val="00735923"/>
    <w:rsid w:val="00746A6C"/>
    <w:rsid w:val="007607D1"/>
    <w:rsid w:val="007623E5"/>
    <w:rsid w:val="00766D0F"/>
    <w:rsid w:val="00770C08"/>
    <w:rsid w:val="007A7814"/>
    <w:rsid w:val="007B0DEA"/>
    <w:rsid w:val="007B6E71"/>
    <w:rsid w:val="007C0AED"/>
    <w:rsid w:val="007C0D51"/>
    <w:rsid w:val="007C7538"/>
    <w:rsid w:val="007D22BB"/>
    <w:rsid w:val="007D49AE"/>
    <w:rsid w:val="007E451E"/>
    <w:rsid w:val="007E48A5"/>
    <w:rsid w:val="007E6803"/>
    <w:rsid w:val="007F4D75"/>
    <w:rsid w:val="007F5E92"/>
    <w:rsid w:val="00811A62"/>
    <w:rsid w:val="00814378"/>
    <w:rsid w:val="00815BDE"/>
    <w:rsid w:val="00817C6D"/>
    <w:rsid w:val="00836245"/>
    <w:rsid w:val="00840382"/>
    <w:rsid w:val="008441E3"/>
    <w:rsid w:val="008461DE"/>
    <w:rsid w:val="00846B4D"/>
    <w:rsid w:val="008477D7"/>
    <w:rsid w:val="008673D7"/>
    <w:rsid w:val="008875B1"/>
    <w:rsid w:val="008921DA"/>
    <w:rsid w:val="008A2020"/>
    <w:rsid w:val="008A5860"/>
    <w:rsid w:val="008B42E9"/>
    <w:rsid w:val="008B4BC1"/>
    <w:rsid w:val="008D2766"/>
    <w:rsid w:val="008D28EC"/>
    <w:rsid w:val="008E309B"/>
    <w:rsid w:val="00901DD4"/>
    <w:rsid w:val="00906AB8"/>
    <w:rsid w:val="00916E7C"/>
    <w:rsid w:val="009230B9"/>
    <w:rsid w:val="009250A1"/>
    <w:rsid w:val="009273AA"/>
    <w:rsid w:val="00934AE5"/>
    <w:rsid w:val="009355AA"/>
    <w:rsid w:val="00935704"/>
    <w:rsid w:val="0094690A"/>
    <w:rsid w:val="00952C5E"/>
    <w:rsid w:val="00960C9B"/>
    <w:rsid w:val="00965992"/>
    <w:rsid w:val="0097076D"/>
    <w:rsid w:val="009723B7"/>
    <w:rsid w:val="00972C40"/>
    <w:rsid w:val="0098259C"/>
    <w:rsid w:val="0098421B"/>
    <w:rsid w:val="009A01B4"/>
    <w:rsid w:val="009A04D6"/>
    <w:rsid w:val="009A5B32"/>
    <w:rsid w:val="009B6889"/>
    <w:rsid w:val="009B74C3"/>
    <w:rsid w:val="009C7DED"/>
    <w:rsid w:val="009D0597"/>
    <w:rsid w:val="009D7754"/>
    <w:rsid w:val="009E2950"/>
    <w:rsid w:val="009E5CAC"/>
    <w:rsid w:val="009F2812"/>
    <w:rsid w:val="009F33DE"/>
    <w:rsid w:val="00A060DA"/>
    <w:rsid w:val="00A110A1"/>
    <w:rsid w:val="00A11622"/>
    <w:rsid w:val="00A15328"/>
    <w:rsid w:val="00A16E0E"/>
    <w:rsid w:val="00A27181"/>
    <w:rsid w:val="00A35D77"/>
    <w:rsid w:val="00A45A6C"/>
    <w:rsid w:val="00A515FE"/>
    <w:rsid w:val="00A56D2C"/>
    <w:rsid w:val="00A63B56"/>
    <w:rsid w:val="00A67766"/>
    <w:rsid w:val="00A7156C"/>
    <w:rsid w:val="00A74290"/>
    <w:rsid w:val="00A747D7"/>
    <w:rsid w:val="00A7569E"/>
    <w:rsid w:val="00A82620"/>
    <w:rsid w:val="00A86117"/>
    <w:rsid w:val="00A87F46"/>
    <w:rsid w:val="00A91653"/>
    <w:rsid w:val="00AA301F"/>
    <w:rsid w:val="00AA645A"/>
    <w:rsid w:val="00AB05CD"/>
    <w:rsid w:val="00AC3C04"/>
    <w:rsid w:val="00AC79E1"/>
    <w:rsid w:val="00AD0AA0"/>
    <w:rsid w:val="00AD2952"/>
    <w:rsid w:val="00AE0D0E"/>
    <w:rsid w:val="00AE24E8"/>
    <w:rsid w:val="00AF27E9"/>
    <w:rsid w:val="00AF3923"/>
    <w:rsid w:val="00AF4083"/>
    <w:rsid w:val="00AF6683"/>
    <w:rsid w:val="00B152CC"/>
    <w:rsid w:val="00B17137"/>
    <w:rsid w:val="00B26161"/>
    <w:rsid w:val="00B35BD7"/>
    <w:rsid w:val="00B40970"/>
    <w:rsid w:val="00B42120"/>
    <w:rsid w:val="00B536C5"/>
    <w:rsid w:val="00B540CE"/>
    <w:rsid w:val="00B634D9"/>
    <w:rsid w:val="00B642A0"/>
    <w:rsid w:val="00B71588"/>
    <w:rsid w:val="00B85BA8"/>
    <w:rsid w:val="00BA5AC5"/>
    <w:rsid w:val="00BB18D6"/>
    <w:rsid w:val="00BD148E"/>
    <w:rsid w:val="00BD54C5"/>
    <w:rsid w:val="00BD6822"/>
    <w:rsid w:val="00BE3790"/>
    <w:rsid w:val="00BE4BF1"/>
    <w:rsid w:val="00C00AC2"/>
    <w:rsid w:val="00C04B71"/>
    <w:rsid w:val="00C11854"/>
    <w:rsid w:val="00C16C1A"/>
    <w:rsid w:val="00C31FF0"/>
    <w:rsid w:val="00C325E7"/>
    <w:rsid w:val="00C42E21"/>
    <w:rsid w:val="00C45000"/>
    <w:rsid w:val="00C53303"/>
    <w:rsid w:val="00C6582C"/>
    <w:rsid w:val="00C74AF1"/>
    <w:rsid w:val="00C75048"/>
    <w:rsid w:val="00C817DE"/>
    <w:rsid w:val="00C85A73"/>
    <w:rsid w:val="00C905C6"/>
    <w:rsid w:val="00C9347B"/>
    <w:rsid w:val="00C93537"/>
    <w:rsid w:val="00C9736D"/>
    <w:rsid w:val="00CA4A93"/>
    <w:rsid w:val="00CA53DD"/>
    <w:rsid w:val="00CB47D9"/>
    <w:rsid w:val="00CB4F7A"/>
    <w:rsid w:val="00CB54C1"/>
    <w:rsid w:val="00CB78D5"/>
    <w:rsid w:val="00CC1B84"/>
    <w:rsid w:val="00CC3A35"/>
    <w:rsid w:val="00CC46BD"/>
    <w:rsid w:val="00CC79E1"/>
    <w:rsid w:val="00CE519B"/>
    <w:rsid w:val="00CE6213"/>
    <w:rsid w:val="00CF333B"/>
    <w:rsid w:val="00D0201D"/>
    <w:rsid w:val="00D0797E"/>
    <w:rsid w:val="00D1756C"/>
    <w:rsid w:val="00D17895"/>
    <w:rsid w:val="00D2146A"/>
    <w:rsid w:val="00D24BE3"/>
    <w:rsid w:val="00D24C2C"/>
    <w:rsid w:val="00D31146"/>
    <w:rsid w:val="00D329DB"/>
    <w:rsid w:val="00D534DA"/>
    <w:rsid w:val="00D5572F"/>
    <w:rsid w:val="00D67FD7"/>
    <w:rsid w:val="00D72920"/>
    <w:rsid w:val="00D734B9"/>
    <w:rsid w:val="00D73F94"/>
    <w:rsid w:val="00D75DA1"/>
    <w:rsid w:val="00D83518"/>
    <w:rsid w:val="00DA6CFC"/>
    <w:rsid w:val="00DA7795"/>
    <w:rsid w:val="00DC45DC"/>
    <w:rsid w:val="00DC4BF9"/>
    <w:rsid w:val="00DD024E"/>
    <w:rsid w:val="00DD3210"/>
    <w:rsid w:val="00DD4D14"/>
    <w:rsid w:val="00DE038E"/>
    <w:rsid w:val="00DF68EF"/>
    <w:rsid w:val="00E018F2"/>
    <w:rsid w:val="00E020EA"/>
    <w:rsid w:val="00E20B06"/>
    <w:rsid w:val="00E21500"/>
    <w:rsid w:val="00E3580C"/>
    <w:rsid w:val="00E469FD"/>
    <w:rsid w:val="00E508C3"/>
    <w:rsid w:val="00E6182C"/>
    <w:rsid w:val="00E627CC"/>
    <w:rsid w:val="00E67FDB"/>
    <w:rsid w:val="00E765F6"/>
    <w:rsid w:val="00E774EB"/>
    <w:rsid w:val="00E81730"/>
    <w:rsid w:val="00E93CAB"/>
    <w:rsid w:val="00E94620"/>
    <w:rsid w:val="00EA56BA"/>
    <w:rsid w:val="00EB0B61"/>
    <w:rsid w:val="00EB4A90"/>
    <w:rsid w:val="00EC3DC1"/>
    <w:rsid w:val="00EC5D0E"/>
    <w:rsid w:val="00EC63CA"/>
    <w:rsid w:val="00ED1D2C"/>
    <w:rsid w:val="00ED7048"/>
    <w:rsid w:val="00EE0FB6"/>
    <w:rsid w:val="00EE1464"/>
    <w:rsid w:val="00EF12F0"/>
    <w:rsid w:val="00F06749"/>
    <w:rsid w:val="00F16172"/>
    <w:rsid w:val="00F33FE7"/>
    <w:rsid w:val="00F36394"/>
    <w:rsid w:val="00F37C59"/>
    <w:rsid w:val="00F42B29"/>
    <w:rsid w:val="00F43E4E"/>
    <w:rsid w:val="00F62B02"/>
    <w:rsid w:val="00F63D99"/>
    <w:rsid w:val="00F647AB"/>
    <w:rsid w:val="00F65C22"/>
    <w:rsid w:val="00F65C7D"/>
    <w:rsid w:val="00F66564"/>
    <w:rsid w:val="00F66FD6"/>
    <w:rsid w:val="00F70347"/>
    <w:rsid w:val="00F724FB"/>
    <w:rsid w:val="00F731CA"/>
    <w:rsid w:val="00F7433C"/>
    <w:rsid w:val="00F74696"/>
    <w:rsid w:val="00F8421F"/>
    <w:rsid w:val="00F91114"/>
    <w:rsid w:val="00F93F0A"/>
    <w:rsid w:val="00FB0C64"/>
    <w:rsid w:val="00FB6194"/>
    <w:rsid w:val="00FC4D7A"/>
    <w:rsid w:val="00FD01BB"/>
    <w:rsid w:val="00FD076C"/>
    <w:rsid w:val="00FD37BD"/>
    <w:rsid w:val="00FE478E"/>
    <w:rsid w:val="00FE5149"/>
    <w:rsid w:val="00FE69A2"/>
    <w:rsid w:val="00FF3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B3051"/>
  <w15:chartTrackingRefBased/>
  <w15:docId w15:val="{D9D4D9D2-0107-4826-904D-7C4B57999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C64"/>
    <w:pPr>
      <w:spacing w:after="200" w:line="276" w:lineRule="auto"/>
    </w:pPr>
    <w:rPr>
      <w:sz w:val="22"/>
      <w:szCs w:val="22"/>
      <w:lang w:val="en-GB"/>
    </w:rPr>
  </w:style>
  <w:style w:type="paragraph" w:styleId="Heading1">
    <w:name w:val="heading 1"/>
    <w:basedOn w:val="Normal"/>
    <w:next w:val="Normal"/>
    <w:link w:val="Heading1Char"/>
    <w:uiPriority w:val="9"/>
    <w:qFormat/>
    <w:rsid w:val="007C0AED"/>
    <w:pPr>
      <w:outlineLvl w:val="0"/>
    </w:pPr>
    <w:rPr>
      <w:b/>
      <w:caps/>
      <w:sz w:val="24"/>
      <w:szCs w:val="24"/>
    </w:rPr>
  </w:style>
  <w:style w:type="paragraph" w:styleId="Heading2">
    <w:name w:val="heading 2"/>
    <w:basedOn w:val="Normal"/>
    <w:next w:val="Normal"/>
    <w:link w:val="Heading2Char"/>
    <w:uiPriority w:val="9"/>
    <w:unhideWhenUsed/>
    <w:qFormat/>
    <w:rsid w:val="007C0AED"/>
    <w:pPr>
      <w:outlineLvl w:val="1"/>
    </w:pPr>
    <w:rPr>
      <w:b/>
    </w:rPr>
  </w:style>
  <w:style w:type="paragraph" w:styleId="Heading3">
    <w:name w:val="heading 3"/>
    <w:basedOn w:val="Normal"/>
    <w:next w:val="Normal"/>
    <w:link w:val="Heading3Char"/>
    <w:uiPriority w:val="9"/>
    <w:unhideWhenUsed/>
    <w:qFormat/>
    <w:rsid w:val="007C0AED"/>
    <w:pPr>
      <w:outlineLvl w:val="2"/>
    </w:pPr>
    <w:rPr>
      <w:i/>
    </w:rPr>
  </w:style>
  <w:style w:type="paragraph" w:styleId="Heading4">
    <w:name w:val="heading 4"/>
    <w:basedOn w:val="Normal"/>
    <w:next w:val="Normal"/>
    <w:link w:val="Heading4Char"/>
    <w:rsid w:val="00901DD4"/>
    <w:pPr>
      <w:keepNext/>
      <w:keepLines/>
      <w:widowControl w:val="0"/>
      <w:pBdr>
        <w:top w:val="nil"/>
        <w:left w:val="nil"/>
        <w:bottom w:val="nil"/>
        <w:right w:val="nil"/>
        <w:between w:val="nil"/>
      </w:pBdr>
      <w:spacing w:before="240" w:after="40"/>
      <w:contextualSpacing/>
      <w:outlineLvl w:val="3"/>
    </w:pPr>
    <w:rPr>
      <w:rFonts w:cs="Calibri"/>
      <w:b/>
      <w:color w:val="000000"/>
      <w:sz w:val="24"/>
      <w:szCs w:val="24"/>
      <w:lang w:eastAsia="en-GB"/>
    </w:rPr>
  </w:style>
  <w:style w:type="paragraph" w:styleId="Heading5">
    <w:name w:val="heading 5"/>
    <w:basedOn w:val="Normal"/>
    <w:next w:val="Normal"/>
    <w:link w:val="Heading5Char"/>
    <w:rsid w:val="00901DD4"/>
    <w:pPr>
      <w:keepNext/>
      <w:keepLines/>
      <w:widowControl w:val="0"/>
      <w:pBdr>
        <w:top w:val="nil"/>
        <w:left w:val="nil"/>
        <w:bottom w:val="nil"/>
        <w:right w:val="nil"/>
        <w:between w:val="nil"/>
      </w:pBdr>
      <w:spacing w:before="220" w:after="40"/>
      <w:contextualSpacing/>
      <w:outlineLvl w:val="4"/>
    </w:pPr>
    <w:rPr>
      <w:rFonts w:cs="Calibri"/>
      <w:b/>
      <w:color w:val="000000"/>
      <w:lang w:eastAsia="en-GB"/>
    </w:rPr>
  </w:style>
  <w:style w:type="paragraph" w:styleId="Heading6">
    <w:name w:val="heading 6"/>
    <w:basedOn w:val="Normal"/>
    <w:next w:val="Normal"/>
    <w:link w:val="Heading6Char"/>
    <w:rsid w:val="00901DD4"/>
    <w:pPr>
      <w:keepNext/>
      <w:keepLines/>
      <w:widowControl w:val="0"/>
      <w:pBdr>
        <w:top w:val="nil"/>
        <w:left w:val="nil"/>
        <w:bottom w:val="nil"/>
        <w:right w:val="nil"/>
        <w:between w:val="nil"/>
      </w:pBdr>
      <w:spacing w:before="200" w:after="40"/>
      <w:contextualSpacing/>
      <w:outlineLvl w:val="5"/>
    </w:pPr>
    <w:rPr>
      <w:rFonts w:cs="Calibri"/>
      <w:b/>
      <w:color w:val="000000"/>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3C2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3C29"/>
    <w:rPr>
      <w:rFonts w:ascii="Tahoma" w:hAnsi="Tahoma" w:cs="Tahoma"/>
      <w:sz w:val="16"/>
      <w:szCs w:val="16"/>
    </w:rPr>
  </w:style>
  <w:style w:type="table" w:styleId="TableGrid">
    <w:name w:val="Table Grid"/>
    <w:basedOn w:val="TableNormal"/>
    <w:uiPriority w:val="39"/>
    <w:rsid w:val="00443C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F91114"/>
    <w:rPr>
      <w:sz w:val="16"/>
      <w:szCs w:val="16"/>
    </w:rPr>
  </w:style>
  <w:style w:type="paragraph" w:styleId="CommentText">
    <w:name w:val="annotation text"/>
    <w:basedOn w:val="Normal"/>
    <w:link w:val="CommentTextChar"/>
    <w:uiPriority w:val="99"/>
    <w:unhideWhenUsed/>
    <w:rsid w:val="00F91114"/>
    <w:rPr>
      <w:sz w:val="20"/>
      <w:szCs w:val="20"/>
    </w:rPr>
  </w:style>
  <w:style w:type="character" w:customStyle="1" w:styleId="CommentTextChar">
    <w:name w:val="Comment Text Char"/>
    <w:link w:val="CommentText"/>
    <w:uiPriority w:val="99"/>
    <w:rsid w:val="00F91114"/>
    <w:rPr>
      <w:lang w:eastAsia="en-US"/>
    </w:rPr>
  </w:style>
  <w:style w:type="paragraph" w:styleId="CommentSubject">
    <w:name w:val="annotation subject"/>
    <w:basedOn w:val="CommentText"/>
    <w:next w:val="CommentText"/>
    <w:link w:val="CommentSubjectChar"/>
    <w:uiPriority w:val="99"/>
    <w:semiHidden/>
    <w:unhideWhenUsed/>
    <w:rsid w:val="00F91114"/>
    <w:rPr>
      <w:b/>
      <w:bCs/>
    </w:rPr>
  </w:style>
  <w:style w:type="character" w:customStyle="1" w:styleId="CommentSubjectChar">
    <w:name w:val="Comment Subject Char"/>
    <w:link w:val="CommentSubject"/>
    <w:uiPriority w:val="99"/>
    <w:semiHidden/>
    <w:rsid w:val="00F91114"/>
    <w:rPr>
      <w:b/>
      <w:bCs/>
      <w:lang w:eastAsia="en-US"/>
    </w:rPr>
  </w:style>
  <w:style w:type="character" w:customStyle="1" w:styleId="AuthoraffiliationWIREs">
    <w:name w:val="Author affiliation_WIREs"/>
    <w:rsid w:val="00F91114"/>
    <w:rPr>
      <w:rFonts w:ascii="Arial" w:hAnsi="Arial"/>
      <w:sz w:val="20"/>
    </w:rPr>
  </w:style>
  <w:style w:type="character" w:styleId="Hyperlink">
    <w:name w:val="Hyperlink"/>
    <w:uiPriority w:val="99"/>
    <w:unhideWhenUsed/>
    <w:rsid w:val="00F91114"/>
    <w:rPr>
      <w:color w:val="0000FF"/>
      <w:u w:val="single"/>
    </w:rPr>
  </w:style>
  <w:style w:type="paragraph" w:customStyle="1" w:styleId="BodyText1">
    <w:name w:val="Body Text1"/>
    <w:basedOn w:val="Normal"/>
    <w:rsid w:val="005A5ACF"/>
    <w:pPr>
      <w:spacing w:before="200"/>
      <w:ind w:firstLine="288"/>
      <w:jc w:val="both"/>
    </w:pPr>
    <w:rPr>
      <w:rFonts w:ascii="Arial" w:eastAsia="Times New Roman" w:hAnsi="Arial"/>
      <w:sz w:val="20"/>
      <w:szCs w:val="20"/>
      <w:lang w:val="en-US" w:bidi="en-US"/>
    </w:rPr>
  </w:style>
  <w:style w:type="paragraph" w:customStyle="1" w:styleId="BodytextWIREs">
    <w:name w:val="Body text_WIREs"/>
    <w:basedOn w:val="Normal"/>
    <w:rsid w:val="009B74C3"/>
    <w:pPr>
      <w:overflowPunct w:val="0"/>
      <w:autoSpaceDE w:val="0"/>
      <w:autoSpaceDN w:val="0"/>
      <w:adjustRightInd w:val="0"/>
      <w:spacing w:after="240" w:line="240" w:lineRule="auto"/>
      <w:textAlignment w:val="baseline"/>
    </w:pPr>
    <w:rPr>
      <w:rFonts w:ascii="Arial" w:eastAsia="Times New Roman" w:hAnsi="Arial"/>
      <w:sz w:val="20"/>
      <w:lang w:val="en-US"/>
    </w:rPr>
  </w:style>
  <w:style w:type="paragraph" w:customStyle="1" w:styleId="ReferencesheadWIREs">
    <w:name w:val="References head_WIREs"/>
    <w:basedOn w:val="Normal"/>
    <w:next w:val="BodytextWIREs"/>
    <w:rsid w:val="009B74C3"/>
    <w:pPr>
      <w:shd w:val="clear" w:color="auto" w:fill="E6E6E6"/>
      <w:overflowPunct w:val="0"/>
      <w:autoSpaceDE w:val="0"/>
      <w:autoSpaceDN w:val="0"/>
      <w:adjustRightInd w:val="0"/>
      <w:spacing w:before="240" w:after="120" w:line="240" w:lineRule="auto"/>
      <w:textAlignment w:val="baseline"/>
    </w:pPr>
    <w:rPr>
      <w:rFonts w:ascii="Arial" w:eastAsia="Times New Roman" w:hAnsi="Arial" w:cs="Arial"/>
      <w:b/>
      <w:sz w:val="24"/>
      <w:lang w:val="en-US"/>
    </w:rPr>
  </w:style>
  <w:style w:type="paragraph" w:customStyle="1" w:styleId="ReferencesWIREs">
    <w:name w:val="References_WIREs"/>
    <w:basedOn w:val="Normal"/>
    <w:rsid w:val="009B74C3"/>
    <w:pPr>
      <w:overflowPunct w:val="0"/>
      <w:autoSpaceDE w:val="0"/>
      <w:autoSpaceDN w:val="0"/>
      <w:adjustRightInd w:val="0"/>
      <w:spacing w:after="240" w:line="240" w:lineRule="auto"/>
      <w:textAlignment w:val="baseline"/>
    </w:pPr>
    <w:rPr>
      <w:rFonts w:ascii="Arial" w:eastAsia="Times New Roman" w:hAnsi="Arial"/>
      <w:sz w:val="20"/>
      <w:lang w:val="en-US"/>
    </w:rPr>
  </w:style>
  <w:style w:type="character" w:styleId="FollowedHyperlink">
    <w:name w:val="FollowedHyperlink"/>
    <w:uiPriority w:val="99"/>
    <w:semiHidden/>
    <w:unhideWhenUsed/>
    <w:rsid w:val="0097076D"/>
    <w:rPr>
      <w:color w:val="800080"/>
      <w:u w:val="single"/>
    </w:rPr>
  </w:style>
  <w:style w:type="paragraph" w:styleId="Header">
    <w:name w:val="header"/>
    <w:basedOn w:val="Normal"/>
    <w:link w:val="HeaderChar"/>
    <w:uiPriority w:val="99"/>
    <w:unhideWhenUsed/>
    <w:rsid w:val="00AE24E8"/>
    <w:pPr>
      <w:tabs>
        <w:tab w:val="center" w:pos="4680"/>
        <w:tab w:val="right" w:pos="9360"/>
      </w:tabs>
    </w:pPr>
  </w:style>
  <w:style w:type="character" w:customStyle="1" w:styleId="HeaderChar">
    <w:name w:val="Header Char"/>
    <w:link w:val="Header"/>
    <w:uiPriority w:val="99"/>
    <w:rsid w:val="00AE24E8"/>
    <w:rPr>
      <w:sz w:val="22"/>
      <w:szCs w:val="22"/>
      <w:lang w:val="en-GB" w:eastAsia="en-US" w:bidi="ar-SA"/>
    </w:rPr>
  </w:style>
  <w:style w:type="paragraph" w:styleId="Footer">
    <w:name w:val="footer"/>
    <w:basedOn w:val="Normal"/>
    <w:link w:val="FooterChar"/>
    <w:uiPriority w:val="99"/>
    <w:unhideWhenUsed/>
    <w:rsid w:val="00AE24E8"/>
    <w:pPr>
      <w:tabs>
        <w:tab w:val="center" w:pos="4680"/>
        <w:tab w:val="right" w:pos="9360"/>
      </w:tabs>
    </w:pPr>
  </w:style>
  <w:style w:type="character" w:customStyle="1" w:styleId="FooterChar">
    <w:name w:val="Footer Char"/>
    <w:link w:val="Footer"/>
    <w:uiPriority w:val="99"/>
    <w:rsid w:val="00AE24E8"/>
    <w:rPr>
      <w:sz w:val="22"/>
      <w:szCs w:val="22"/>
      <w:lang w:val="en-GB" w:eastAsia="en-US" w:bidi="ar-SA"/>
    </w:rPr>
  </w:style>
  <w:style w:type="paragraph" w:styleId="z-TopofForm">
    <w:name w:val="HTML Top of Form"/>
    <w:basedOn w:val="Normal"/>
    <w:next w:val="Normal"/>
    <w:link w:val="z-TopofFormChar"/>
    <w:hidden/>
    <w:uiPriority w:val="99"/>
    <w:semiHidden/>
    <w:unhideWhenUsed/>
    <w:rsid w:val="004B752B"/>
    <w:pPr>
      <w:pBdr>
        <w:bottom w:val="single" w:sz="6" w:space="1" w:color="auto"/>
      </w:pBdr>
      <w:spacing w:after="0"/>
      <w:jc w:val="center"/>
    </w:pPr>
    <w:rPr>
      <w:rFonts w:ascii="Arial" w:hAnsi="Arial" w:cs="Arial"/>
      <w:vanish/>
      <w:sz w:val="16"/>
      <w:szCs w:val="16"/>
    </w:rPr>
  </w:style>
  <w:style w:type="character" w:customStyle="1" w:styleId="z-TopofFormChar">
    <w:name w:val="z-Top of Form Char"/>
    <w:link w:val="z-TopofForm"/>
    <w:uiPriority w:val="99"/>
    <w:semiHidden/>
    <w:rsid w:val="004B752B"/>
    <w:rPr>
      <w:rFonts w:ascii="Arial" w:hAnsi="Arial" w:cs="Arial"/>
      <w:vanish/>
      <w:sz w:val="16"/>
      <w:szCs w:val="16"/>
      <w:lang w:val="en-GB"/>
    </w:rPr>
  </w:style>
  <w:style w:type="paragraph" w:styleId="z-BottomofForm">
    <w:name w:val="HTML Bottom of Form"/>
    <w:basedOn w:val="Normal"/>
    <w:next w:val="Normal"/>
    <w:link w:val="z-BottomofFormChar"/>
    <w:hidden/>
    <w:uiPriority w:val="99"/>
    <w:semiHidden/>
    <w:unhideWhenUsed/>
    <w:rsid w:val="004B752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link w:val="z-BottomofForm"/>
    <w:uiPriority w:val="99"/>
    <w:semiHidden/>
    <w:rsid w:val="004B752B"/>
    <w:rPr>
      <w:rFonts w:ascii="Arial" w:hAnsi="Arial" w:cs="Arial"/>
      <w:vanish/>
      <w:sz w:val="16"/>
      <w:szCs w:val="16"/>
      <w:lang w:val="en-GB"/>
    </w:rPr>
  </w:style>
  <w:style w:type="paragraph" w:styleId="Revision">
    <w:name w:val="Revision"/>
    <w:hidden/>
    <w:uiPriority w:val="99"/>
    <w:semiHidden/>
    <w:rsid w:val="00C42E21"/>
    <w:rPr>
      <w:sz w:val="22"/>
      <w:szCs w:val="22"/>
      <w:lang w:val="en-GB"/>
    </w:rPr>
  </w:style>
  <w:style w:type="paragraph" w:styleId="Title">
    <w:name w:val="Title"/>
    <w:basedOn w:val="Normal"/>
    <w:next w:val="Normal"/>
    <w:link w:val="TitleChar"/>
    <w:uiPriority w:val="10"/>
    <w:qFormat/>
    <w:rsid w:val="007C0AED"/>
    <w:pPr>
      <w:spacing w:after="0"/>
    </w:pPr>
    <w:rPr>
      <w:b/>
      <w:color w:val="1F497D"/>
      <w:sz w:val="28"/>
      <w:szCs w:val="28"/>
    </w:rPr>
  </w:style>
  <w:style w:type="character" w:customStyle="1" w:styleId="TitleChar">
    <w:name w:val="Title Char"/>
    <w:link w:val="Title"/>
    <w:uiPriority w:val="10"/>
    <w:rsid w:val="007C0AED"/>
    <w:rPr>
      <w:b/>
      <w:color w:val="1F497D"/>
      <w:sz w:val="28"/>
      <w:szCs w:val="28"/>
      <w:lang w:val="en-GB"/>
    </w:rPr>
  </w:style>
  <w:style w:type="character" w:customStyle="1" w:styleId="Heading1Char">
    <w:name w:val="Heading 1 Char"/>
    <w:link w:val="Heading1"/>
    <w:uiPriority w:val="9"/>
    <w:rsid w:val="007C0AED"/>
    <w:rPr>
      <w:b/>
      <w:caps/>
      <w:sz w:val="24"/>
      <w:szCs w:val="24"/>
      <w:lang w:val="en-GB"/>
    </w:rPr>
  </w:style>
  <w:style w:type="character" w:customStyle="1" w:styleId="Heading2Char">
    <w:name w:val="Heading 2 Char"/>
    <w:link w:val="Heading2"/>
    <w:uiPriority w:val="9"/>
    <w:rsid w:val="007C0AED"/>
    <w:rPr>
      <w:b/>
      <w:sz w:val="22"/>
      <w:szCs w:val="22"/>
      <w:lang w:val="en-GB"/>
    </w:rPr>
  </w:style>
  <w:style w:type="character" w:customStyle="1" w:styleId="Heading3Char">
    <w:name w:val="Heading 3 Char"/>
    <w:link w:val="Heading3"/>
    <w:uiPriority w:val="9"/>
    <w:rsid w:val="007C0AED"/>
    <w:rPr>
      <w:i/>
      <w:sz w:val="22"/>
      <w:szCs w:val="22"/>
      <w:lang w:val="en-GB"/>
    </w:rPr>
  </w:style>
  <w:style w:type="character" w:customStyle="1" w:styleId="UnresolvedMention1">
    <w:name w:val="Unresolved Mention1"/>
    <w:uiPriority w:val="99"/>
    <w:semiHidden/>
    <w:unhideWhenUsed/>
    <w:rsid w:val="00305282"/>
    <w:rPr>
      <w:color w:val="605E5C"/>
      <w:shd w:val="clear" w:color="auto" w:fill="E1DFDD"/>
    </w:rPr>
  </w:style>
  <w:style w:type="character" w:customStyle="1" w:styleId="citation">
    <w:name w:val="citation"/>
    <w:rsid w:val="004058CA"/>
  </w:style>
  <w:style w:type="paragraph" w:styleId="NoSpacing">
    <w:name w:val="No Spacing"/>
    <w:uiPriority w:val="1"/>
    <w:qFormat/>
    <w:rsid w:val="004058CA"/>
    <w:rPr>
      <w:rFonts w:ascii="Arial" w:hAnsi="Arial"/>
      <w:sz w:val="24"/>
      <w:szCs w:val="22"/>
      <w:lang w:val="en-GB"/>
    </w:rPr>
  </w:style>
  <w:style w:type="character" w:customStyle="1" w:styleId="Heading4Char">
    <w:name w:val="Heading 4 Char"/>
    <w:link w:val="Heading4"/>
    <w:rsid w:val="00901DD4"/>
    <w:rPr>
      <w:rFonts w:cs="Calibri"/>
      <w:b/>
      <w:color w:val="000000"/>
      <w:sz w:val="24"/>
      <w:szCs w:val="24"/>
      <w:lang w:val="en-GB" w:eastAsia="en-GB"/>
    </w:rPr>
  </w:style>
  <w:style w:type="character" w:customStyle="1" w:styleId="Heading5Char">
    <w:name w:val="Heading 5 Char"/>
    <w:link w:val="Heading5"/>
    <w:rsid w:val="00901DD4"/>
    <w:rPr>
      <w:rFonts w:cs="Calibri"/>
      <w:b/>
      <w:color w:val="000000"/>
      <w:sz w:val="22"/>
      <w:szCs w:val="22"/>
      <w:lang w:val="en-GB" w:eastAsia="en-GB"/>
    </w:rPr>
  </w:style>
  <w:style w:type="character" w:customStyle="1" w:styleId="Heading6Char">
    <w:name w:val="Heading 6 Char"/>
    <w:link w:val="Heading6"/>
    <w:rsid w:val="00901DD4"/>
    <w:rPr>
      <w:rFonts w:cs="Calibri"/>
      <w:b/>
      <w:color w:val="000000"/>
      <w:lang w:val="en-GB" w:eastAsia="en-GB"/>
    </w:rPr>
  </w:style>
  <w:style w:type="paragraph" w:styleId="Subtitle">
    <w:name w:val="Subtitle"/>
    <w:basedOn w:val="Normal"/>
    <w:next w:val="Normal"/>
    <w:link w:val="SubtitleChar"/>
    <w:rsid w:val="00901DD4"/>
    <w:pPr>
      <w:keepNext/>
      <w:keepLines/>
      <w:widowControl w:val="0"/>
      <w:pBdr>
        <w:top w:val="nil"/>
        <w:left w:val="nil"/>
        <w:bottom w:val="nil"/>
        <w:right w:val="nil"/>
        <w:between w:val="nil"/>
      </w:pBdr>
      <w:spacing w:before="360" w:after="80"/>
      <w:contextualSpacing/>
    </w:pPr>
    <w:rPr>
      <w:rFonts w:ascii="Georgia" w:eastAsia="Georgia" w:hAnsi="Georgia" w:cs="Georgia"/>
      <w:i/>
      <w:color w:val="666666"/>
      <w:sz w:val="48"/>
      <w:szCs w:val="48"/>
      <w:lang w:eastAsia="en-GB"/>
    </w:rPr>
  </w:style>
  <w:style w:type="character" w:customStyle="1" w:styleId="SubtitleChar">
    <w:name w:val="Subtitle Char"/>
    <w:link w:val="Subtitle"/>
    <w:rsid w:val="00901DD4"/>
    <w:rPr>
      <w:rFonts w:ascii="Georgia" w:eastAsia="Georgia" w:hAnsi="Georgia" w:cs="Georgia"/>
      <w:i/>
      <w:color w:val="666666"/>
      <w:sz w:val="48"/>
      <w:szCs w:val="48"/>
      <w:lang w:val="en-GB" w:eastAsia="en-GB"/>
    </w:rPr>
  </w:style>
  <w:style w:type="character" w:customStyle="1" w:styleId="text">
    <w:name w:val="text"/>
    <w:rsid w:val="00901DD4"/>
  </w:style>
  <w:style w:type="character" w:customStyle="1" w:styleId="author-ref">
    <w:name w:val="author-ref"/>
    <w:rsid w:val="00901DD4"/>
  </w:style>
  <w:style w:type="character" w:customStyle="1" w:styleId="sr-only">
    <w:name w:val="sr-only"/>
    <w:rsid w:val="00901DD4"/>
  </w:style>
  <w:style w:type="paragraph" w:styleId="ListParagraph">
    <w:name w:val="List Paragraph"/>
    <w:basedOn w:val="Normal"/>
    <w:uiPriority w:val="34"/>
    <w:qFormat/>
    <w:rsid w:val="00901DD4"/>
    <w:pPr>
      <w:widowControl w:val="0"/>
      <w:pBdr>
        <w:top w:val="nil"/>
        <w:left w:val="nil"/>
        <w:bottom w:val="nil"/>
        <w:right w:val="nil"/>
        <w:between w:val="nil"/>
      </w:pBdr>
      <w:ind w:left="720"/>
      <w:contextualSpacing/>
    </w:pPr>
    <w:rPr>
      <w:rFonts w:cs="Calibri"/>
      <w:color w:val="000000"/>
      <w:lang w:eastAsia="en-GB"/>
    </w:rPr>
  </w:style>
  <w:style w:type="table" w:customStyle="1" w:styleId="PlainTable51">
    <w:name w:val="Plain Table 51"/>
    <w:basedOn w:val="TableNormal"/>
    <w:uiPriority w:val="45"/>
    <w:rsid w:val="00901DD4"/>
    <w:rPr>
      <w:lang w:val="pt-PT"/>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ocumentMap">
    <w:name w:val="Document Map"/>
    <w:basedOn w:val="Normal"/>
    <w:link w:val="DocumentMapChar"/>
    <w:uiPriority w:val="99"/>
    <w:semiHidden/>
    <w:unhideWhenUsed/>
    <w:rsid w:val="00901DD4"/>
    <w:pPr>
      <w:widowControl w:val="0"/>
      <w:pBdr>
        <w:top w:val="nil"/>
        <w:left w:val="nil"/>
        <w:bottom w:val="nil"/>
        <w:right w:val="nil"/>
        <w:between w:val="nil"/>
      </w:pBdr>
      <w:spacing w:after="0" w:line="240" w:lineRule="auto"/>
    </w:pPr>
    <w:rPr>
      <w:rFonts w:ascii="Tahoma" w:hAnsi="Tahoma" w:cs="Tahoma"/>
      <w:color w:val="000000"/>
      <w:sz w:val="16"/>
      <w:szCs w:val="16"/>
      <w:lang w:eastAsia="en-GB"/>
    </w:rPr>
  </w:style>
  <w:style w:type="character" w:customStyle="1" w:styleId="DocumentMapChar">
    <w:name w:val="Document Map Char"/>
    <w:link w:val="DocumentMap"/>
    <w:uiPriority w:val="99"/>
    <w:semiHidden/>
    <w:rsid w:val="00901DD4"/>
    <w:rPr>
      <w:rFonts w:ascii="Tahoma" w:hAnsi="Tahoma" w:cs="Tahoma"/>
      <w:color w:val="000000"/>
      <w:sz w:val="16"/>
      <w:szCs w:val="16"/>
      <w:lang w:val="en-GB" w:eastAsia="en-GB"/>
    </w:rPr>
  </w:style>
  <w:style w:type="table" w:customStyle="1" w:styleId="PlainTable31">
    <w:name w:val="Plain Table 31"/>
    <w:basedOn w:val="TableNormal"/>
    <w:uiPriority w:val="43"/>
    <w:rsid w:val="00901DD4"/>
    <w:rPr>
      <w:lang w:val="es-E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styleId="LineNumber">
    <w:name w:val="line number"/>
    <w:uiPriority w:val="99"/>
    <w:semiHidden/>
    <w:unhideWhenUsed/>
    <w:rsid w:val="00901DD4"/>
  </w:style>
  <w:style w:type="paragraph" w:styleId="Caption">
    <w:name w:val="caption"/>
    <w:basedOn w:val="Normal"/>
    <w:next w:val="Normal"/>
    <w:uiPriority w:val="35"/>
    <w:unhideWhenUsed/>
    <w:qFormat/>
    <w:rsid w:val="00901DD4"/>
    <w:pPr>
      <w:widowControl w:val="0"/>
      <w:pBdr>
        <w:top w:val="nil"/>
        <w:left w:val="nil"/>
        <w:bottom w:val="nil"/>
        <w:right w:val="nil"/>
        <w:between w:val="nil"/>
      </w:pBdr>
      <w:spacing w:line="240" w:lineRule="auto"/>
    </w:pPr>
    <w:rPr>
      <w:rFonts w:cs="Calibri"/>
      <w:i/>
      <w:iCs/>
      <w:color w:val="1F497D"/>
      <w:sz w:val="18"/>
      <w:szCs w:val="18"/>
      <w:lang w:eastAsia="en-GB"/>
    </w:rPr>
  </w:style>
  <w:style w:type="table" w:styleId="PlainTable1">
    <w:name w:val="Plain Table 1"/>
    <w:basedOn w:val="TableNormal"/>
    <w:uiPriority w:val="41"/>
    <w:rsid w:val="00901DD4"/>
    <w:rPr>
      <w:sz w:val="22"/>
      <w:szCs w:val="22"/>
      <w:lang w:val="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3">
    <w:name w:val="Plain Table 3"/>
    <w:basedOn w:val="TableNormal"/>
    <w:uiPriority w:val="43"/>
    <w:rsid w:val="00901DD4"/>
    <w:rPr>
      <w:sz w:val="22"/>
      <w:szCs w:val="22"/>
      <w:lang w:val="es-E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ighwire-citation-author">
    <w:name w:val="highwire-citation-author"/>
    <w:basedOn w:val="DefaultParagraphFont"/>
    <w:rsid w:val="00E67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555753">
      <w:bodyDiv w:val="1"/>
      <w:marLeft w:val="0"/>
      <w:marRight w:val="0"/>
      <w:marTop w:val="0"/>
      <w:marBottom w:val="0"/>
      <w:divBdr>
        <w:top w:val="none" w:sz="0" w:space="0" w:color="auto"/>
        <w:left w:val="none" w:sz="0" w:space="0" w:color="auto"/>
        <w:bottom w:val="none" w:sz="0" w:space="0" w:color="auto"/>
        <w:right w:val="none" w:sz="0" w:space="0" w:color="auto"/>
      </w:divBdr>
    </w:div>
    <w:div w:id="174676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tiff"/><Relationship Id="rId18" Type="http://schemas.openxmlformats.org/officeDocument/2006/relationships/image" Target="media/image6.tiff"/><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www.esriportugal.pt/ArcGIS-for-Desktop" TargetMode="External"/><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www.mathworks.com/matlabcentral/fileexchange/authors/23983" TargetMode="External"/><Relationship Id="rId5" Type="http://schemas.openxmlformats.org/officeDocument/2006/relationships/customXml" Target="../customXml/item5.xml"/><Relationship Id="rId15" Type="http://schemas.openxmlformats.org/officeDocument/2006/relationships/image" Target="media/image3.tiff"/><Relationship Id="rId10" Type="http://schemas.openxmlformats.org/officeDocument/2006/relationships/hyperlink" Target="http://espa.cr.usgs.gov/"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geller\Desktop\Cogsci-flat_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DFA30E12D072479EE1BF58C5C8A8A1" ma:contentTypeVersion="9" ma:contentTypeDescription="Create a new document." ma:contentTypeScope="" ma:versionID="9e440e438da758f1e9722d1b954389b0">
  <xsd:schema xmlns:xsd="http://www.w3.org/2001/XMLSchema" xmlns:xs="http://www.w3.org/2001/XMLSchema" xmlns:p="http://schemas.microsoft.com/office/2006/metadata/properties" xmlns:ns2="50571ac7-9baf-4cc3-a537-20d4e1315efe" xmlns:ns3="1a68ca4d-d518-4a5b-ba6f-27c518ef0a84" targetNamespace="http://schemas.microsoft.com/office/2006/metadata/properties" ma:root="true" ma:fieldsID="6af20a4b561e7a8d73ce4e06a66a6b75" ns2:_="" ns3:_="">
    <xsd:import namespace="50571ac7-9baf-4cc3-a537-20d4e1315efe"/>
    <xsd:import namespace="1a68ca4d-d518-4a5b-ba6f-27c518ef0a8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71ac7-9baf-4cc3-a537-20d4e1315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68ca4d-d518-4a5b-ba6f-27c518ef0a8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CCF99-C421-4C34-A90F-8E409F0ADC81}">
  <ds:schemaRefs>
    <ds:schemaRef ds:uri="http://schemas.microsoft.com/sharepoint/v3/contenttype/forms"/>
  </ds:schemaRefs>
</ds:datastoreItem>
</file>

<file path=customXml/itemProps2.xml><?xml version="1.0" encoding="utf-8"?>
<ds:datastoreItem xmlns:ds="http://schemas.openxmlformats.org/officeDocument/2006/customXml" ds:itemID="{1DB64413-FC15-45F4-B01C-003DC805F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571ac7-9baf-4cc3-a537-20d4e1315efe"/>
    <ds:schemaRef ds:uri="1a68ca4d-d518-4a5b-ba6f-27c518ef0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F798C9-250E-4F39-8446-97272D0CB6E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53D22BF-140A-4031-B2E3-E49C4395E3C0}">
  <ds:schemaRefs>
    <ds:schemaRef ds:uri="http://schemas.microsoft.com/office/2006/metadata/longProperties"/>
  </ds:schemaRefs>
</ds:datastoreItem>
</file>

<file path=customXml/itemProps5.xml><?xml version="1.0" encoding="utf-8"?>
<ds:datastoreItem xmlns:ds="http://schemas.openxmlformats.org/officeDocument/2006/customXml" ds:itemID="{46CD5B2B-06B1-4849-8C8C-7539FFA80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Cogsci-flat_AR.dot</Template>
  <TotalTime>1</TotalTime>
  <Pages>18</Pages>
  <Words>6987</Words>
  <Characters>39827</Characters>
  <Application>Microsoft Office Word</Application>
  <DocSecurity>0</DocSecurity>
  <Lines>331</Lines>
  <Paragraphs>93</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46721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Jackson, Derek</dc:creator>
  <cp:lastModifiedBy>Jackson, Derek</cp:lastModifiedBy>
  <cp:revision>2</cp:revision>
  <cp:lastPrinted>2009-12-23T14:02:00Z</cp:lastPrinted>
  <dcterms:created xsi:type="dcterms:W3CDTF">2019-09-05T14:22:00Z</dcterms:created>
  <dcterms:modified xsi:type="dcterms:W3CDTF">2019-09-05T14:22:00Z</dcterms:modified>
</cp:coreProperties>
</file>