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AF" w:rsidRPr="009A604B" w:rsidRDefault="00631FAF" w:rsidP="00631FAF">
      <w:pPr>
        <w:spacing w:after="0" w:line="360" w:lineRule="auto"/>
        <w:jc w:val="both"/>
        <w:rPr>
          <w:rFonts w:ascii="Arial" w:hAnsi="Arial" w:cs="Arial"/>
          <w:sz w:val="16"/>
          <w:szCs w:val="16"/>
        </w:rPr>
      </w:pPr>
      <w:r w:rsidRPr="00631FAF">
        <w:rPr>
          <w:rFonts w:ascii="Arial" w:hAnsi="Arial" w:cs="Arial"/>
          <w:b/>
          <w:sz w:val="24"/>
          <w:szCs w:val="24"/>
        </w:rPr>
        <w:t>Electricity autoproduction, storage and billing</w:t>
      </w:r>
      <w:r w:rsidR="00CE68AB">
        <w:rPr>
          <w:rFonts w:ascii="Arial" w:hAnsi="Arial" w:cs="Arial"/>
          <w:b/>
          <w:sz w:val="24"/>
          <w:szCs w:val="24"/>
        </w:rPr>
        <w:t>: A case study</w:t>
      </w:r>
      <w:r w:rsidRPr="00631FAF">
        <w:rPr>
          <w:rFonts w:ascii="Arial" w:hAnsi="Arial" w:cs="Arial"/>
          <w:b/>
          <w:sz w:val="24"/>
          <w:szCs w:val="24"/>
        </w:rPr>
        <w:t xml:space="preserve"> at Dundalk Institute of Technology, Ireland</w:t>
      </w:r>
    </w:p>
    <w:p w:rsidR="00631FAF" w:rsidRPr="009A604B" w:rsidRDefault="00631FAF" w:rsidP="00631FAF">
      <w:pPr>
        <w:spacing w:after="0" w:line="360" w:lineRule="auto"/>
        <w:jc w:val="both"/>
        <w:rPr>
          <w:rFonts w:ascii="Arial" w:hAnsi="Arial" w:cs="Arial"/>
          <w:sz w:val="16"/>
          <w:szCs w:val="16"/>
        </w:rPr>
      </w:pPr>
    </w:p>
    <w:p w:rsidR="009A604B" w:rsidRPr="009A604B" w:rsidRDefault="00631FAF" w:rsidP="00631FAF">
      <w:pPr>
        <w:spacing w:after="0" w:line="360" w:lineRule="auto"/>
        <w:jc w:val="both"/>
        <w:rPr>
          <w:rFonts w:ascii="Arial" w:hAnsi="Arial" w:cs="Arial"/>
          <w:sz w:val="6"/>
          <w:szCs w:val="6"/>
        </w:rPr>
      </w:pPr>
      <w:r w:rsidRPr="009A604B">
        <w:rPr>
          <w:rFonts w:ascii="Arial" w:hAnsi="Arial" w:cs="Arial"/>
          <w:sz w:val="20"/>
          <w:szCs w:val="20"/>
        </w:rPr>
        <w:t>Conall E. Ruth</w:t>
      </w:r>
      <w:r w:rsidR="00DF1426" w:rsidRPr="009A604B">
        <w:rPr>
          <w:rFonts w:ascii="Arial" w:hAnsi="Arial" w:cs="Arial"/>
          <w:sz w:val="20"/>
          <w:szCs w:val="20"/>
          <w:vertAlign w:val="superscript"/>
        </w:rPr>
        <w:t>a,</w:t>
      </w:r>
      <w:r w:rsidR="005E5A35" w:rsidRPr="009A604B">
        <w:rPr>
          <w:rFonts w:ascii="Arial" w:hAnsi="Arial" w:cs="Arial"/>
          <w:sz w:val="20"/>
          <w:szCs w:val="20"/>
          <w:vertAlign w:val="superscript"/>
        </w:rPr>
        <w:t>1</w:t>
      </w:r>
      <w:r w:rsidR="005E5A35" w:rsidRPr="009A604B">
        <w:rPr>
          <w:rFonts w:ascii="Arial" w:hAnsi="Arial" w:cs="Arial"/>
          <w:sz w:val="20"/>
          <w:szCs w:val="20"/>
        </w:rPr>
        <w:t>,</w:t>
      </w:r>
      <w:r w:rsidRPr="009A604B">
        <w:rPr>
          <w:rFonts w:ascii="Arial" w:hAnsi="Arial" w:cs="Arial"/>
          <w:sz w:val="20"/>
          <w:szCs w:val="20"/>
        </w:rPr>
        <w:t xml:space="preserve"> Paul MacArtain</w:t>
      </w:r>
      <w:r w:rsidR="00DF1426" w:rsidRPr="009A604B">
        <w:rPr>
          <w:rFonts w:ascii="Arial" w:hAnsi="Arial" w:cs="Arial"/>
          <w:sz w:val="20"/>
          <w:szCs w:val="20"/>
          <w:vertAlign w:val="superscript"/>
        </w:rPr>
        <w:t>a,</w:t>
      </w:r>
      <w:r w:rsidR="005E5A35" w:rsidRPr="009A604B">
        <w:rPr>
          <w:rFonts w:ascii="Arial" w:hAnsi="Arial" w:cs="Arial"/>
          <w:sz w:val="20"/>
          <w:szCs w:val="20"/>
          <w:vertAlign w:val="superscript"/>
        </w:rPr>
        <w:t>2</w:t>
      </w:r>
      <w:r w:rsidRPr="009A604B">
        <w:rPr>
          <w:rFonts w:ascii="Arial" w:hAnsi="Arial" w:cs="Arial"/>
          <w:sz w:val="20"/>
          <w:szCs w:val="20"/>
        </w:rPr>
        <w:t>, Raymond Byrne</w:t>
      </w:r>
      <w:r w:rsidR="00DF1426" w:rsidRPr="009A604B">
        <w:rPr>
          <w:rFonts w:ascii="Arial" w:hAnsi="Arial" w:cs="Arial"/>
          <w:sz w:val="20"/>
          <w:szCs w:val="20"/>
          <w:vertAlign w:val="superscript"/>
        </w:rPr>
        <w:t>a,</w:t>
      </w:r>
      <w:r w:rsidR="005E5A35" w:rsidRPr="009A604B">
        <w:rPr>
          <w:rFonts w:ascii="Arial" w:hAnsi="Arial" w:cs="Arial"/>
          <w:sz w:val="20"/>
          <w:szCs w:val="20"/>
          <w:vertAlign w:val="superscript"/>
        </w:rPr>
        <w:t>3</w:t>
      </w:r>
      <w:r w:rsidRPr="009A604B">
        <w:rPr>
          <w:rFonts w:ascii="Arial" w:hAnsi="Arial" w:cs="Arial"/>
          <w:sz w:val="20"/>
          <w:szCs w:val="20"/>
        </w:rPr>
        <w:t>, and Neil J. Hewitt</w:t>
      </w:r>
      <w:r w:rsidR="005E5A35" w:rsidRPr="009A604B">
        <w:rPr>
          <w:rFonts w:ascii="Arial" w:hAnsi="Arial" w:cs="Arial"/>
          <w:sz w:val="20"/>
          <w:szCs w:val="20"/>
          <w:vertAlign w:val="superscript"/>
        </w:rPr>
        <w:t>b</w:t>
      </w:r>
      <w:r w:rsidR="00DF1426" w:rsidRPr="009A604B">
        <w:rPr>
          <w:rFonts w:ascii="Arial" w:hAnsi="Arial" w:cs="Arial"/>
          <w:sz w:val="20"/>
          <w:szCs w:val="20"/>
          <w:vertAlign w:val="superscript"/>
        </w:rPr>
        <w:t>,</w:t>
      </w:r>
      <w:r w:rsidR="005E5A35" w:rsidRPr="009A604B">
        <w:rPr>
          <w:rFonts w:ascii="Arial" w:hAnsi="Arial" w:cs="Arial"/>
          <w:sz w:val="20"/>
          <w:szCs w:val="20"/>
          <w:vertAlign w:val="superscript"/>
        </w:rPr>
        <w:t>4</w:t>
      </w:r>
    </w:p>
    <w:p w:rsidR="009A604B" w:rsidRPr="009A604B" w:rsidRDefault="009A604B" w:rsidP="00631FAF">
      <w:pPr>
        <w:spacing w:after="0" w:line="360" w:lineRule="auto"/>
        <w:jc w:val="both"/>
        <w:rPr>
          <w:rFonts w:ascii="Arial" w:hAnsi="Arial" w:cs="Arial"/>
          <w:sz w:val="6"/>
          <w:szCs w:val="6"/>
        </w:rPr>
      </w:pPr>
    </w:p>
    <w:p w:rsidR="00631FAF" w:rsidRPr="00063834" w:rsidRDefault="009A604B" w:rsidP="00631FAF">
      <w:pPr>
        <w:spacing w:after="0" w:line="360" w:lineRule="auto"/>
        <w:jc w:val="both"/>
        <w:rPr>
          <w:rFonts w:ascii="Arial" w:hAnsi="Arial" w:cs="Arial"/>
          <w:sz w:val="18"/>
          <w:szCs w:val="18"/>
        </w:rPr>
      </w:pPr>
      <w:proofErr w:type="spellStart"/>
      <w:r w:rsidRPr="00063834">
        <w:rPr>
          <w:rFonts w:ascii="Arial" w:hAnsi="Arial" w:cs="Arial"/>
          <w:sz w:val="18"/>
          <w:szCs w:val="18"/>
          <w:vertAlign w:val="superscript"/>
        </w:rPr>
        <w:t>a</w:t>
      </w:r>
      <w:r w:rsidRPr="00063834">
        <w:rPr>
          <w:rFonts w:ascii="Arial" w:hAnsi="Arial" w:cs="Arial"/>
          <w:sz w:val="18"/>
          <w:szCs w:val="18"/>
        </w:rPr>
        <w:t>C</w:t>
      </w:r>
      <w:r w:rsidR="00DF1426" w:rsidRPr="00063834">
        <w:rPr>
          <w:rFonts w:ascii="Arial" w:hAnsi="Arial" w:cs="Arial"/>
          <w:sz w:val="18"/>
          <w:szCs w:val="18"/>
        </w:rPr>
        <w:t>entre</w:t>
      </w:r>
      <w:proofErr w:type="spellEnd"/>
      <w:r w:rsidR="00DF1426" w:rsidRPr="00063834">
        <w:rPr>
          <w:rFonts w:ascii="Arial" w:hAnsi="Arial" w:cs="Arial"/>
          <w:sz w:val="18"/>
          <w:szCs w:val="18"/>
        </w:rPr>
        <w:t xml:space="preserve"> for Renewables and Energy, </w:t>
      </w:r>
      <w:r w:rsidRPr="00063834">
        <w:rPr>
          <w:rFonts w:ascii="Arial" w:hAnsi="Arial" w:cs="Arial"/>
          <w:sz w:val="18"/>
          <w:szCs w:val="18"/>
        </w:rPr>
        <w:t xml:space="preserve">School of Engineering, </w:t>
      </w:r>
      <w:r w:rsidR="00DF1426" w:rsidRPr="00063834">
        <w:rPr>
          <w:rFonts w:ascii="Arial" w:hAnsi="Arial" w:cs="Arial"/>
          <w:sz w:val="18"/>
          <w:szCs w:val="18"/>
        </w:rPr>
        <w:t>D</w:t>
      </w:r>
      <w:r w:rsidR="00631FAF" w:rsidRPr="00063834">
        <w:rPr>
          <w:rFonts w:ascii="Arial" w:hAnsi="Arial" w:cs="Arial"/>
          <w:sz w:val="18"/>
          <w:szCs w:val="18"/>
        </w:rPr>
        <w:t>undalk Institute of Technology</w:t>
      </w:r>
      <w:r w:rsidR="00DF1426" w:rsidRPr="00063834">
        <w:rPr>
          <w:rFonts w:ascii="Arial" w:hAnsi="Arial" w:cs="Arial"/>
          <w:sz w:val="18"/>
          <w:szCs w:val="18"/>
        </w:rPr>
        <w:t>, Dundalk, Ireland</w:t>
      </w:r>
    </w:p>
    <w:p w:rsidR="009A604B" w:rsidRPr="00063834" w:rsidRDefault="009A604B" w:rsidP="009A604B">
      <w:pPr>
        <w:spacing w:after="0" w:line="360" w:lineRule="auto"/>
        <w:jc w:val="both"/>
        <w:rPr>
          <w:rFonts w:ascii="Arial" w:hAnsi="Arial" w:cs="Arial"/>
          <w:sz w:val="18"/>
          <w:szCs w:val="18"/>
        </w:rPr>
      </w:pPr>
      <w:r w:rsidRPr="00063834">
        <w:rPr>
          <w:rFonts w:ascii="Arial" w:hAnsi="Arial" w:cs="Arial"/>
          <w:sz w:val="18"/>
          <w:szCs w:val="18"/>
          <w:vertAlign w:val="superscript"/>
        </w:rPr>
        <w:t>1</w:t>
      </w:r>
      <w:r w:rsidRPr="00063834">
        <w:rPr>
          <w:rFonts w:ascii="Arial" w:hAnsi="Arial" w:cs="Arial"/>
          <w:sz w:val="18"/>
          <w:szCs w:val="18"/>
        </w:rPr>
        <w:t>corresponding author: conall.ruth@dkit.ie; +353 42 937 04 74</w:t>
      </w:r>
    </w:p>
    <w:p w:rsidR="009A604B" w:rsidRPr="00063834" w:rsidRDefault="009A604B" w:rsidP="009A604B">
      <w:pPr>
        <w:spacing w:after="0" w:line="360" w:lineRule="auto"/>
        <w:jc w:val="both"/>
        <w:rPr>
          <w:rFonts w:ascii="Arial" w:hAnsi="Arial" w:cs="Arial"/>
          <w:sz w:val="18"/>
          <w:szCs w:val="18"/>
        </w:rPr>
      </w:pPr>
      <w:r w:rsidRPr="00063834">
        <w:rPr>
          <w:rFonts w:ascii="Arial" w:hAnsi="Arial" w:cs="Arial"/>
          <w:sz w:val="18"/>
          <w:szCs w:val="18"/>
          <w:vertAlign w:val="superscript"/>
        </w:rPr>
        <w:t>2</w:t>
      </w:r>
      <w:r w:rsidRPr="00063834">
        <w:rPr>
          <w:rFonts w:ascii="Arial" w:hAnsi="Arial" w:cs="Arial"/>
          <w:sz w:val="18"/>
          <w:szCs w:val="18"/>
        </w:rPr>
        <w:t>paul.macartain@dkit.ie</w:t>
      </w:r>
    </w:p>
    <w:p w:rsidR="009A604B" w:rsidRPr="003D1F44" w:rsidRDefault="009A604B" w:rsidP="00631FAF">
      <w:pPr>
        <w:spacing w:after="0" w:line="360" w:lineRule="auto"/>
        <w:jc w:val="both"/>
        <w:rPr>
          <w:rFonts w:ascii="Arial" w:hAnsi="Arial" w:cs="Arial"/>
          <w:sz w:val="4"/>
          <w:szCs w:val="4"/>
        </w:rPr>
      </w:pPr>
      <w:r w:rsidRPr="00063834">
        <w:rPr>
          <w:rFonts w:ascii="Arial" w:hAnsi="Arial" w:cs="Arial"/>
          <w:sz w:val="18"/>
          <w:szCs w:val="18"/>
          <w:vertAlign w:val="superscript"/>
        </w:rPr>
        <w:t>3</w:t>
      </w:r>
      <w:r w:rsidRPr="00063834">
        <w:rPr>
          <w:rFonts w:ascii="Arial" w:hAnsi="Arial" w:cs="Arial"/>
          <w:sz w:val="18"/>
          <w:szCs w:val="18"/>
        </w:rPr>
        <w:t>raymond.byrne@dkit.ie</w:t>
      </w:r>
    </w:p>
    <w:p w:rsidR="009A604B" w:rsidRPr="003D1F44" w:rsidRDefault="009A604B" w:rsidP="00631FAF">
      <w:pPr>
        <w:spacing w:after="0" w:line="360" w:lineRule="auto"/>
        <w:jc w:val="both"/>
        <w:rPr>
          <w:rFonts w:ascii="Arial" w:hAnsi="Arial" w:cs="Arial"/>
          <w:sz w:val="4"/>
          <w:szCs w:val="4"/>
        </w:rPr>
      </w:pPr>
    </w:p>
    <w:p w:rsidR="00631FAF" w:rsidRPr="00063834" w:rsidRDefault="005E5A35" w:rsidP="00631FAF">
      <w:pPr>
        <w:spacing w:after="0" w:line="360" w:lineRule="auto"/>
        <w:jc w:val="both"/>
        <w:rPr>
          <w:rFonts w:ascii="Arial" w:hAnsi="Arial" w:cs="Arial"/>
          <w:sz w:val="18"/>
          <w:szCs w:val="18"/>
        </w:rPr>
      </w:pPr>
      <w:proofErr w:type="spellStart"/>
      <w:r w:rsidRPr="00063834">
        <w:rPr>
          <w:rFonts w:ascii="Arial" w:hAnsi="Arial" w:cs="Arial"/>
          <w:sz w:val="18"/>
          <w:szCs w:val="18"/>
          <w:vertAlign w:val="superscript"/>
        </w:rPr>
        <w:t>b</w:t>
      </w:r>
      <w:r w:rsidR="00063834">
        <w:rPr>
          <w:rFonts w:ascii="Arial" w:hAnsi="Arial" w:cs="Arial"/>
          <w:sz w:val="18"/>
          <w:szCs w:val="18"/>
        </w:rPr>
        <w:t>Centre</w:t>
      </w:r>
      <w:proofErr w:type="spellEnd"/>
      <w:r w:rsidR="00063834">
        <w:rPr>
          <w:rFonts w:ascii="Arial" w:hAnsi="Arial" w:cs="Arial"/>
          <w:sz w:val="18"/>
          <w:szCs w:val="18"/>
        </w:rPr>
        <w:t xml:space="preserve"> for Sustainable Technologies, School of </w:t>
      </w:r>
      <w:r w:rsidR="003D1F44">
        <w:rPr>
          <w:rFonts w:ascii="Arial" w:hAnsi="Arial" w:cs="Arial"/>
          <w:sz w:val="18"/>
          <w:szCs w:val="18"/>
        </w:rPr>
        <w:t xml:space="preserve">Built Environment, </w:t>
      </w:r>
      <w:r w:rsidRPr="00063834">
        <w:rPr>
          <w:rFonts w:ascii="Arial" w:hAnsi="Arial" w:cs="Arial"/>
          <w:sz w:val="18"/>
          <w:szCs w:val="18"/>
        </w:rPr>
        <w:t>Ulster</w:t>
      </w:r>
      <w:r w:rsidR="003D1F44">
        <w:rPr>
          <w:rFonts w:ascii="Arial" w:hAnsi="Arial" w:cs="Arial"/>
          <w:sz w:val="18"/>
          <w:szCs w:val="18"/>
        </w:rPr>
        <w:t xml:space="preserve"> University</w:t>
      </w:r>
      <w:r w:rsidRPr="00063834">
        <w:rPr>
          <w:rFonts w:ascii="Arial" w:hAnsi="Arial" w:cs="Arial"/>
          <w:sz w:val="18"/>
          <w:szCs w:val="18"/>
        </w:rPr>
        <w:t>, Belfast, Northern Ire</w:t>
      </w:r>
      <w:r w:rsidR="00063834">
        <w:rPr>
          <w:rFonts w:ascii="Arial" w:hAnsi="Arial" w:cs="Arial"/>
          <w:sz w:val="18"/>
          <w:szCs w:val="18"/>
        </w:rPr>
        <w:t xml:space="preserve">land, </w:t>
      </w:r>
      <w:r w:rsidRPr="00063834">
        <w:rPr>
          <w:rFonts w:ascii="Arial" w:hAnsi="Arial" w:cs="Arial"/>
          <w:sz w:val="18"/>
          <w:szCs w:val="18"/>
        </w:rPr>
        <w:t>UK</w:t>
      </w:r>
    </w:p>
    <w:p w:rsidR="005E5A35" w:rsidRPr="00063834" w:rsidRDefault="005E5A35" w:rsidP="00631FAF">
      <w:pPr>
        <w:spacing w:after="0" w:line="360" w:lineRule="auto"/>
        <w:jc w:val="both"/>
        <w:rPr>
          <w:rFonts w:ascii="Arial" w:hAnsi="Arial" w:cs="Arial"/>
          <w:sz w:val="18"/>
          <w:szCs w:val="18"/>
        </w:rPr>
      </w:pPr>
      <w:r w:rsidRPr="00063834">
        <w:rPr>
          <w:rFonts w:ascii="Arial" w:hAnsi="Arial" w:cs="Arial"/>
          <w:sz w:val="18"/>
          <w:szCs w:val="18"/>
          <w:vertAlign w:val="superscript"/>
        </w:rPr>
        <w:t>4</w:t>
      </w:r>
      <w:r w:rsidRPr="00063834">
        <w:rPr>
          <w:rFonts w:ascii="Arial" w:hAnsi="Arial" w:cs="Arial"/>
          <w:sz w:val="18"/>
          <w:szCs w:val="18"/>
        </w:rPr>
        <w:t>nj.hewitt@ulster.ac.uk</w:t>
      </w:r>
    </w:p>
    <w:p w:rsidR="005E5A35" w:rsidRPr="00631FAF" w:rsidRDefault="005E5A35" w:rsidP="00631FAF">
      <w:pPr>
        <w:spacing w:after="0" w:line="360" w:lineRule="auto"/>
        <w:jc w:val="both"/>
        <w:rPr>
          <w:rFonts w:ascii="Arial" w:hAnsi="Arial" w:cs="Arial"/>
        </w:rPr>
      </w:pPr>
    </w:p>
    <w:p w:rsidR="00063834" w:rsidRDefault="0038238C" w:rsidP="00631FAF">
      <w:pPr>
        <w:spacing w:after="0" w:line="360" w:lineRule="auto"/>
        <w:jc w:val="both"/>
        <w:rPr>
          <w:rFonts w:ascii="Arial" w:hAnsi="Arial" w:cs="Arial"/>
        </w:rPr>
      </w:pPr>
      <w:r>
        <w:rPr>
          <w:rFonts w:ascii="Arial" w:hAnsi="Arial" w:cs="Arial"/>
        </w:rPr>
        <w:t>Declaration</w:t>
      </w:r>
      <w:r w:rsidR="00063834">
        <w:rPr>
          <w:rFonts w:ascii="Arial" w:hAnsi="Arial" w:cs="Arial"/>
        </w:rPr>
        <w:t xml:space="preserve"> of interest</w:t>
      </w:r>
    </w:p>
    <w:p w:rsidR="0038238C" w:rsidRPr="0038238C" w:rsidRDefault="0038238C" w:rsidP="0038238C">
      <w:pPr>
        <w:spacing w:after="0" w:line="360" w:lineRule="auto"/>
        <w:jc w:val="both"/>
        <w:rPr>
          <w:rFonts w:ascii="Arial" w:hAnsi="Arial" w:cs="Arial"/>
          <w:sz w:val="20"/>
          <w:szCs w:val="20"/>
        </w:rPr>
      </w:pPr>
      <w:r w:rsidRPr="0038238C">
        <w:rPr>
          <w:rFonts w:ascii="Arial" w:hAnsi="Arial" w:cs="Arial"/>
          <w:sz w:val="20"/>
          <w:szCs w:val="20"/>
        </w:rPr>
        <w:t>This study was conducted in part by employees of Dundalk Institute of Technology</w:t>
      </w:r>
      <w:r w:rsidR="00063834">
        <w:rPr>
          <w:rFonts w:ascii="Arial" w:hAnsi="Arial" w:cs="Arial"/>
          <w:sz w:val="20"/>
          <w:szCs w:val="20"/>
        </w:rPr>
        <w:t xml:space="preserve"> with the</w:t>
      </w:r>
      <w:r w:rsidRPr="0038238C">
        <w:rPr>
          <w:rFonts w:ascii="Arial" w:hAnsi="Arial" w:cs="Arial"/>
          <w:sz w:val="20"/>
          <w:szCs w:val="20"/>
        </w:rPr>
        <w:t xml:space="preserve"> support of the INTERREG VA SPIRE2 project. This project is supported by the European Union’s INTERREG VA Programme, managed by the Spec</w:t>
      </w:r>
      <w:r>
        <w:rPr>
          <w:rFonts w:ascii="Arial" w:hAnsi="Arial" w:cs="Arial"/>
          <w:sz w:val="20"/>
          <w:szCs w:val="20"/>
        </w:rPr>
        <w:t>ial EU Programmes Body (SEUPB).</w:t>
      </w:r>
    </w:p>
    <w:p w:rsidR="0042744F" w:rsidRDefault="0042744F" w:rsidP="00631FAF">
      <w:pPr>
        <w:spacing w:after="0" w:line="360" w:lineRule="auto"/>
        <w:jc w:val="both"/>
        <w:rPr>
          <w:rFonts w:ascii="Arial" w:hAnsi="Arial" w:cs="Arial"/>
        </w:rPr>
      </w:pPr>
    </w:p>
    <w:p w:rsidR="00063834" w:rsidRDefault="00063834" w:rsidP="00631FAF">
      <w:pPr>
        <w:spacing w:after="0" w:line="360" w:lineRule="auto"/>
        <w:jc w:val="both"/>
        <w:rPr>
          <w:rFonts w:ascii="Arial" w:hAnsi="Arial" w:cs="Arial"/>
        </w:rPr>
      </w:pPr>
    </w:p>
    <w:p w:rsidR="00BD29DC" w:rsidRDefault="00713D46" w:rsidP="00631FAF">
      <w:pPr>
        <w:spacing w:after="0" w:line="360" w:lineRule="auto"/>
        <w:jc w:val="both"/>
        <w:rPr>
          <w:rFonts w:ascii="Arial" w:hAnsi="Arial" w:cs="Arial"/>
        </w:rPr>
      </w:pPr>
      <w:r w:rsidRPr="00631FAF">
        <w:rPr>
          <w:rFonts w:ascii="Arial" w:hAnsi="Arial" w:cs="Arial"/>
        </w:rPr>
        <w:t>Abstract</w:t>
      </w:r>
    </w:p>
    <w:p w:rsidR="00063834" w:rsidRPr="00631FAF" w:rsidRDefault="00063834" w:rsidP="00631FAF">
      <w:pPr>
        <w:spacing w:after="0" w:line="360" w:lineRule="auto"/>
        <w:jc w:val="both"/>
        <w:rPr>
          <w:rFonts w:ascii="Arial" w:hAnsi="Arial" w:cs="Arial"/>
        </w:rPr>
      </w:pPr>
    </w:p>
    <w:p w:rsidR="0009321E" w:rsidRDefault="00832614" w:rsidP="00631FAF">
      <w:pPr>
        <w:spacing w:after="0" w:line="360" w:lineRule="auto"/>
        <w:jc w:val="both"/>
        <w:rPr>
          <w:rFonts w:ascii="Arial" w:hAnsi="Arial" w:cs="Arial"/>
        </w:rPr>
      </w:pPr>
      <w:r w:rsidRPr="00631FAF">
        <w:rPr>
          <w:rFonts w:ascii="Arial" w:hAnsi="Arial" w:cs="Arial"/>
        </w:rPr>
        <w:t>Dundalk Institute of Technology (DkIT</w:t>
      </w:r>
      <w:r w:rsidRPr="00832614">
        <w:rPr>
          <w:rFonts w:ascii="Arial" w:hAnsi="Arial" w:cs="Arial"/>
        </w:rPr>
        <w:t>) is a third-level college in the east of Ireland with approximately 5</w:t>
      </w:r>
      <w:r w:rsidR="00EA6EC5">
        <w:rPr>
          <w:rFonts w:ascii="Arial" w:hAnsi="Arial" w:cs="Arial"/>
        </w:rPr>
        <w:t>,</w:t>
      </w:r>
      <w:r w:rsidRPr="00832614">
        <w:rPr>
          <w:rFonts w:ascii="Arial" w:hAnsi="Arial" w:cs="Arial"/>
        </w:rPr>
        <w:t xml:space="preserve">000 registered students. The college is an autoproducer with an 850-kW wind turbine installed on campus. In this study, the </w:t>
      </w:r>
      <w:r w:rsidR="00A87412">
        <w:rPr>
          <w:rFonts w:ascii="Arial" w:hAnsi="Arial" w:cs="Arial"/>
        </w:rPr>
        <w:t xml:space="preserve">half-hourly </w:t>
      </w:r>
      <w:r w:rsidRPr="00832614">
        <w:rPr>
          <w:rFonts w:ascii="Arial" w:hAnsi="Arial" w:cs="Arial"/>
        </w:rPr>
        <w:t xml:space="preserve">electricity usage of DkIT over the 2017/18 academic year was measured and the benefit of the wind turbine was </w:t>
      </w:r>
      <w:r>
        <w:rPr>
          <w:rFonts w:ascii="Arial" w:hAnsi="Arial" w:cs="Arial"/>
        </w:rPr>
        <w:t>assessed</w:t>
      </w:r>
      <w:r w:rsidRPr="00832614">
        <w:rPr>
          <w:rFonts w:ascii="Arial" w:hAnsi="Arial" w:cs="Arial"/>
        </w:rPr>
        <w:t xml:space="preserve"> in terms of energy, cost and carbon savings.</w:t>
      </w:r>
      <w:r w:rsidR="00836432">
        <w:rPr>
          <w:rFonts w:ascii="Arial" w:hAnsi="Arial" w:cs="Arial"/>
        </w:rPr>
        <w:t xml:space="preserve"> In the period studied</w:t>
      </w:r>
      <w:r w:rsidR="00CE68AB">
        <w:rPr>
          <w:rFonts w:ascii="Arial" w:hAnsi="Arial" w:cs="Arial"/>
        </w:rPr>
        <w:t>, the college imported</w:t>
      </w:r>
      <w:r>
        <w:rPr>
          <w:rFonts w:ascii="Arial" w:hAnsi="Arial" w:cs="Arial"/>
        </w:rPr>
        <w:t xml:space="preserve"> electricity at fixed time-of-use (TOU) rates, although an alternative billing approach that was analysed is </w:t>
      </w:r>
      <w:r w:rsidR="000644F1">
        <w:rPr>
          <w:rFonts w:ascii="Arial" w:hAnsi="Arial" w:cs="Arial"/>
        </w:rPr>
        <w:t>half-hourly</w:t>
      </w:r>
      <w:r w:rsidRPr="00832614">
        <w:rPr>
          <w:rFonts w:ascii="Arial" w:hAnsi="Arial" w:cs="Arial"/>
        </w:rPr>
        <w:t xml:space="preserve"> pricing</w:t>
      </w:r>
      <w:r w:rsidR="000644F1">
        <w:rPr>
          <w:rFonts w:ascii="Arial" w:hAnsi="Arial" w:cs="Arial"/>
        </w:rPr>
        <w:t xml:space="preserve"> (HH</w:t>
      </w:r>
      <w:r>
        <w:rPr>
          <w:rFonts w:ascii="Arial" w:hAnsi="Arial" w:cs="Arial"/>
        </w:rPr>
        <w:t>P)</w:t>
      </w:r>
      <w:r w:rsidRPr="00832614">
        <w:rPr>
          <w:rFonts w:ascii="Arial" w:hAnsi="Arial" w:cs="Arial"/>
        </w:rPr>
        <w:t xml:space="preserve"> based on the system </w:t>
      </w:r>
      <w:r>
        <w:rPr>
          <w:rFonts w:ascii="Arial" w:hAnsi="Arial" w:cs="Arial"/>
        </w:rPr>
        <w:t xml:space="preserve">marginal price (SMP). </w:t>
      </w:r>
      <w:r w:rsidR="00CE68AB">
        <w:rPr>
          <w:rFonts w:ascii="Arial" w:hAnsi="Arial" w:cs="Arial"/>
        </w:rPr>
        <w:t xml:space="preserve">Furthermore, after a sizing study, the operation of a </w:t>
      </w:r>
      <w:r w:rsidR="00EA6EC5">
        <w:rPr>
          <w:rFonts w:ascii="Arial" w:hAnsi="Arial" w:cs="Arial"/>
        </w:rPr>
        <w:t>modular 777-kW, 1,</w:t>
      </w:r>
      <w:r w:rsidRPr="00832614">
        <w:rPr>
          <w:rFonts w:ascii="Arial" w:hAnsi="Arial" w:cs="Arial"/>
        </w:rPr>
        <w:t xml:space="preserve">554-kWh battery to be used for time-shifting was </w:t>
      </w:r>
      <w:r w:rsidR="000644F1">
        <w:rPr>
          <w:rFonts w:ascii="Arial" w:hAnsi="Arial" w:cs="Arial"/>
        </w:rPr>
        <w:t>modelled</w:t>
      </w:r>
      <w:r w:rsidRPr="00832614">
        <w:rPr>
          <w:rFonts w:ascii="Arial" w:hAnsi="Arial" w:cs="Arial"/>
        </w:rPr>
        <w:t>.</w:t>
      </w:r>
      <w:r w:rsidR="00520E68">
        <w:rPr>
          <w:rFonts w:ascii="Arial" w:hAnsi="Arial" w:cs="Arial"/>
        </w:rPr>
        <w:t xml:space="preserve"> Over the year, the wind</w:t>
      </w:r>
      <w:r w:rsidR="00520E68" w:rsidRPr="00520E68">
        <w:rPr>
          <w:rFonts w:ascii="Arial" w:hAnsi="Arial" w:cs="Arial"/>
        </w:rPr>
        <w:t xml:space="preserve"> </w:t>
      </w:r>
      <w:r w:rsidR="00520E68">
        <w:rPr>
          <w:rFonts w:ascii="Arial" w:hAnsi="Arial" w:cs="Arial"/>
        </w:rPr>
        <w:t xml:space="preserve">turbine was found to reduce the college’s required import by a net amount of 1,057 MWh (29.0%), while also creating 261 MWh of export. This decreased the net electricity costs by €83,107 (21.0%), and </w:t>
      </w:r>
      <w:r w:rsidR="0009321E">
        <w:rPr>
          <w:rFonts w:ascii="Arial" w:hAnsi="Arial" w:cs="Arial"/>
        </w:rPr>
        <w:t xml:space="preserve">the </w:t>
      </w:r>
      <w:r w:rsidR="00520E68">
        <w:rPr>
          <w:rFonts w:ascii="Arial" w:hAnsi="Arial" w:cs="Arial"/>
        </w:rPr>
        <w:t>net carbon emissions</w:t>
      </w:r>
      <w:r w:rsidR="00CE68AB">
        <w:rPr>
          <w:rFonts w:ascii="Arial" w:hAnsi="Arial" w:cs="Arial"/>
        </w:rPr>
        <w:t xml:space="preserve"> by 445 t (31.0%). S</w:t>
      </w:r>
      <w:r w:rsidR="000644F1">
        <w:rPr>
          <w:rFonts w:ascii="Arial" w:hAnsi="Arial" w:cs="Arial"/>
        </w:rPr>
        <w:t>witching to HH</w:t>
      </w:r>
      <w:r w:rsidR="00520E68">
        <w:rPr>
          <w:rFonts w:ascii="Arial" w:hAnsi="Arial" w:cs="Arial"/>
        </w:rPr>
        <w:t xml:space="preserve">P would have provided further </w:t>
      </w:r>
      <w:r w:rsidR="00A87412">
        <w:rPr>
          <w:rFonts w:ascii="Arial" w:hAnsi="Arial" w:cs="Arial"/>
        </w:rPr>
        <w:t xml:space="preserve">estimated </w:t>
      </w:r>
      <w:r w:rsidR="00520E68">
        <w:rPr>
          <w:rFonts w:ascii="Arial" w:hAnsi="Arial" w:cs="Arial"/>
        </w:rPr>
        <w:t>savings of €110,385 (35.4%).</w:t>
      </w:r>
      <w:r w:rsidR="000644F1">
        <w:rPr>
          <w:rFonts w:ascii="Arial" w:hAnsi="Arial" w:cs="Arial"/>
        </w:rPr>
        <w:t xml:space="preserve"> The modelled </w:t>
      </w:r>
      <w:r w:rsidR="00A87412">
        <w:rPr>
          <w:rFonts w:ascii="Arial" w:hAnsi="Arial" w:cs="Arial"/>
        </w:rPr>
        <w:t xml:space="preserve">time-shifting </w:t>
      </w:r>
      <w:r w:rsidR="0009321E">
        <w:rPr>
          <w:rFonts w:ascii="Arial" w:hAnsi="Arial" w:cs="Arial"/>
        </w:rPr>
        <w:t>of costs</w:t>
      </w:r>
      <w:r w:rsidR="00A87412">
        <w:rPr>
          <w:rFonts w:ascii="Arial" w:hAnsi="Arial" w:cs="Arial"/>
        </w:rPr>
        <w:t xml:space="preserve"> </w:t>
      </w:r>
      <w:r w:rsidR="000644F1">
        <w:rPr>
          <w:rFonts w:ascii="Arial" w:hAnsi="Arial" w:cs="Arial"/>
        </w:rPr>
        <w:t xml:space="preserve">using the battery </w:t>
      </w:r>
      <w:r w:rsidR="00A87412">
        <w:rPr>
          <w:rFonts w:ascii="Arial" w:hAnsi="Arial" w:cs="Arial"/>
        </w:rPr>
        <w:t>would</w:t>
      </w:r>
      <w:r w:rsidR="00520E68">
        <w:rPr>
          <w:rFonts w:ascii="Arial" w:hAnsi="Arial" w:cs="Arial"/>
        </w:rPr>
        <w:t xml:space="preserve"> have</w:t>
      </w:r>
      <w:r w:rsidR="00EA6EC5">
        <w:rPr>
          <w:rFonts w:ascii="Arial" w:hAnsi="Arial" w:cs="Arial"/>
        </w:rPr>
        <w:t xml:space="preserve"> generated an estimated €22,506</w:t>
      </w:r>
      <w:r w:rsidR="00F06351">
        <w:rPr>
          <w:rFonts w:ascii="Arial" w:hAnsi="Arial" w:cs="Arial"/>
        </w:rPr>
        <w:t xml:space="preserve"> for the year</w:t>
      </w:r>
      <w:r w:rsidR="00EA6EC5">
        <w:rPr>
          <w:rFonts w:ascii="Arial" w:hAnsi="Arial" w:cs="Arial"/>
        </w:rPr>
        <w:t>, although w</w:t>
      </w:r>
      <w:r w:rsidR="00520E68">
        <w:rPr>
          <w:rFonts w:ascii="Arial" w:hAnsi="Arial" w:cs="Arial"/>
        </w:rPr>
        <w:t xml:space="preserve">ith an expected lifespan of 15 years and estimated </w:t>
      </w:r>
      <w:r w:rsidR="00EA6EC5">
        <w:rPr>
          <w:rFonts w:ascii="Arial" w:hAnsi="Arial" w:cs="Arial"/>
        </w:rPr>
        <w:t>lifetime costs of €928,019,</w:t>
      </w:r>
      <w:r w:rsidR="00520E68">
        <w:rPr>
          <w:rFonts w:ascii="Arial" w:hAnsi="Arial" w:cs="Arial"/>
        </w:rPr>
        <w:t xml:space="preserve"> this is far from </w:t>
      </w:r>
      <w:r w:rsidR="0009321E">
        <w:rPr>
          <w:rFonts w:ascii="Arial" w:hAnsi="Arial" w:cs="Arial"/>
        </w:rPr>
        <w:t xml:space="preserve">economically </w:t>
      </w:r>
      <w:r w:rsidR="00520E68">
        <w:rPr>
          <w:rFonts w:ascii="Arial" w:hAnsi="Arial" w:cs="Arial"/>
        </w:rPr>
        <w:t xml:space="preserve">viable. Additionally, operating the battery </w:t>
      </w:r>
      <w:r w:rsidR="00A87412">
        <w:rPr>
          <w:rFonts w:ascii="Arial" w:hAnsi="Arial" w:cs="Arial"/>
        </w:rPr>
        <w:t xml:space="preserve">in this way </w:t>
      </w:r>
      <w:r w:rsidR="00520E68">
        <w:rPr>
          <w:rFonts w:ascii="Arial" w:hAnsi="Arial" w:cs="Arial"/>
        </w:rPr>
        <w:t>was found to increase the college’s net carbon emissions</w:t>
      </w:r>
      <w:r w:rsidR="00A87412">
        <w:rPr>
          <w:rFonts w:ascii="Arial" w:hAnsi="Arial" w:cs="Arial"/>
        </w:rPr>
        <w:t xml:space="preserve"> slightly</w:t>
      </w:r>
      <w:r w:rsidR="00520E68">
        <w:rPr>
          <w:rFonts w:ascii="Arial" w:hAnsi="Arial" w:cs="Arial"/>
        </w:rPr>
        <w:t>.</w:t>
      </w:r>
      <w:r w:rsidR="00A87412">
        <w:rPr>
          <w:rFonts w:ascii="Arial" w:hAnsi="Arial" w:cs="Arial"/>
        </w:rPr>
        <w:t xml:space="preserve"> On the other hand, reserving the battery for use in the </w:t>
      </w:r>
      <w:r w:rsidR="0009321E">
        <w:rPr>
          <w:rFonts w:ascii="Arial" w:hAnsi="Arial" w:cs="Arial"/>
        </w:rPr>
        <w:t xml:space="preserve">Irish </w:t>
      </w:r>
      <w:r w:rsidR="00A87412">
        <w:rPr>
          <w:rFonts w:ascii="Arial" w:hAnsi="Arial" w:cs="Arial"/>
        </w:rPr>
        <w:t xml:space="preserve">grid-response markets </w:t>
      </w:r>
      <w:r w:rsidR="009551C2">
        <w:rPr>
          <w:rFonts w:ascii="Arial" w:hAnsi="Arial" w:cs="Arial"/>
        </w:rPr>
        <w:t>appears to</w:t>
      </w:r>
      <w:r w:rsidR="00AE4D20">
        <w:rPr>
          <w:rFonts w:ascii="Arial" w:hAnsi="Arial" w:cs="Arial"/>
        </w:rPr>
        <w:t xml:space="preserve"> be a </w:t>
      </w:r>
      <w:r w:rsidR="000644F1">
        <w:rPr>
          <w:rFonts w:ascii="Arial" w:hAnsi="Arial" w:cs="Arial"/>
        </w:rPr>
        <w:t>more economically favourable option</w:t>
      </w:r>
      <w:r w:rsidR="00D574DA">
        <w:rPr>
          <w:rFonts w:ascii="Arial" w:hAnsi="Arial" w:cs="Arial"/>
        </w:rPr>
        <w:t>.</w:t>
      </w:r>
    </w:p>
    <w:p w:rsidR="00631FAF" w:rsidRDefault="00631FAF" w:rsidP="00631FAF">
      <w:pPr>
        <w:spacing w:after="0" w:line="360" w:lineRule="auto"/>
        <w:jc w:val="both"/>
        <w:rPr>
          <w:rFonts w:ascii="Arial" w:hAnsi="Arial" w:cs="Arial"/>
        </w:rPr>
      </w:pPr>
    </w:p>
    <w:p w:rsidR="00A7314A" w:rsidRDefault="00A7314A" w:rsidP="005F1B8F">
      <w:pPr>
        <w:spacing w:after="0" w:line="360" w:lineRule="auto"/>
        <w:jc w:val="both"/>
        <w:rPr>
          <w:rFonts w:ascii="Arial" w:hAnsi="Arial" w:cs="Arial"/>
        </w:rPr>
      </w:pPr>
      <w:r>
        <w:rPr>
          <w:rFonts w:ascii="Arial" w:hAnsi="Arial" w:cs="Arial"/>
        </w:rPr>
        <w:lastRenderedPageBreak/>
        <w:t>Keywords</w:t>
      </w:r>
    </w:p>
    <w:p w:rsidR="00631FAF" w:rsidRDefault="00A7314A" w:rsidP="005F1B8F">
      <w:pPr>
        <w:spacing w:after="0" w:line="360" w:lineRule="auto"/>
        <w:jc w:val="both"/>
        <w:rPr>
          <w:rFonts w:ascii="Arial" w:hAnsi="Arial" w:cs="Arial"/>
        </w:rPr>
      </w:pPr>
      <w:r>
        <w:rPr>
          <w:rFonts w:ascii="Arial" w:hAnsi="Arial" w:cs="Arial"/>
        </w:rPr>
        <w:t>A</w:t>
      </w:r>
      <w:r w:rsidR="00DF1426">
        <w:rPr>
          <w:rFonts w:ascii="Arial" w:hAnsi="Arial" w:cs="Arial"/>
        </w:rPr>
        <w:t>utoproduction, electricity billing, electricity storage, time-shifting, economics, carbon emissions</w:t>
      </w:r>
    </w:p>
    <w:p w:rsidR="00113E33" w:rsidRDefault="00113E33" w:rsidP="005F1B8F">
      <w:pPr>
        <w:spacing w:after="0" w:line="360" w:lineRule="auto"/>
        <w:jc w:val="both"/>
        <w:rPr>
          <w:rFonts w:ascii="Arial" w:hAnsi="Arial" w:cs="Arial"/>
        </w:rPr>
      </w:pPr>
    </w:p>
    <w:p w:rsidR="00063834" w:rsidRDefault="00063834" w:rsidP="005F1B8F">
      <w:pPr>
        <w:spacing w:after="0" w:line="360" w:lineRule="auto"/>
        <w:jc w:val="both"/>
        <w:rPr>
          <w:rFonts w:ascii="Arial" w:hAnsi="Arial" w:cs="Arial"/>
        </w:rPr>
      </w:pPr>
    </w:p>
    <w:p w:rsidR="00063834" w:rsidRDefault="00113E33" w:rsidP="005F1B8F">
      <w:pPr>
        <w:spacing w:after="0" w:line="360" w:lineRule="auto"/>
        <w:jc w:val="both"/>
        <w:rPr>
          <w:rFonts w:ascii="Arial" w:hAnsi="Arial" w:cs="Arial"/>
        </w:rPr>
      </w:pPr>
      <w:r>
        <w:rPr>
          <w:rFonts w:ascii="Arial" w:hAnsi="Arial" w:cs="Arial"/>
        </w:rPr>
        <w:t>Abbreviations</w:t>
      </w:r>
    </w:p>
    <w:p w:rsidR="00113E33" w:rsidRDefault="00113E33" w:rsidP="005F1B8F">
      <w:pPr>
        <w:spacing w:after="0" w:line="360" w:lineRule="auto"/>
        <w:jc w:val="both"/>
        <w:rPr>
          <w:rFonts w:ascii="Arial" w:hAnsi="Arial" w:cs="Arial"/>
        </w:rPr>
      </w:pPr>
      <w:r>
        <w:rPr>
          <w:rFonts w:ascii="Arial" w:hAnsi="Arial" w:cs="Arial"/>
        </w:rPr>
        <w:t>DkIT</w:t>
      </w:r>
      <w:r>
        <w:rPr>
          <w:rFonts w:ascii="Arial" w:hAnsi="Arial" w:cs="Arial"/>
        </w:rPr>
        <w:tab/>
      </w:r>
      <w:r w:rsidRPr="00113E33">
        <w:rPr>
          <w:rFonts w:ascii="Arial" w:hAnsi="Arial" w:cs="Arial"/>
        </w:rPr>
        <w:t>Dundalk Institute of Technology</w:t>
      </w:r>
    </w:p>
    <w:p w:rsidR="00113E33" w:rsidRDefault="00113E33" w:rsidP="005F1B8F">
      <w:pPr>
        <w:spacing w:after="0" w:line="360" w:lineRule="auto"/>
        <w:jc w:val="both"/>
        <w:rPr>
          <w:rFonts w:ascii="Arial" w:hAnsi="Arial" w:cs="Arial"/>
        </w:rPr>
      </w:pPr>
      <w:r>
        <w:rPr>
          <w:rFonts w:ascii="Arial" w:hAnsi="Arial" w:cs="Arial"/>
        </w:rPr>
        <w:t>ESBN</w:t>
      </w:r>
      <w:r>
        <w:rPr>
          <w:rFonts w:ascii="Arial" w:hAnsi="Arial" w:cs="Arial"/>
        </w:rPr>
        <w:tab/>
        <w:t>Electricity Supply Board Networks</w:t>
      </w:r>
    </w:p>
    <w:p w:rsidR="00836432" w:rsidRDefault="00836432" w:rsidP="005F1B8F">
      <w:pPr>
        <w:spacing w:after="0" w:line="360" w:lineRule="auto"/>
        <w:jc w:val="both"/>
        <w:rPr>
          <w:rFonts w:ascii="Arial" w:hAnsi="Arial" w:cs="Arial"/>
        </w:rPr>
      </w:pPr>
      <w:r>
        <w:rPr>
          <w:rFonts w:ascii="Arial" w:hAnsi="Arial" w:cs="Arial"/>
        </w:rPr>
        <w:t>HHP</w:t>
      </w:r>
      <w:r>
        <w:rPr>
          <w:rFonts w:ascii="Arial" w:hAnsi="Arial" w:cs="Arial"/>
        </w:rPr>
        <w:tab/>
        <w:t>half-hourly pricing</w:t>
      </w:r>
    </w:p>
    <w:p w:rsidR="00113E33" w:rsidRDefault="00113E33" w:rsidP="005F1B8F">
      <w:pPr>
        <w:spacing w:after="0" w:line="360" w:lineRule="auto"/>
        <w:jc w:val="both"/>
        <w:rPr>
          <w:rFonts w:ascii="Arial" w:hAnsi="Arial" w:cs="Arial"/>
        </w:rPr>
      </w:pPr>
      <w:r>
        <w:rPr>
          <w:rFonts w:ascii="Arial" w:hAnsi="Arial" w:cs="Arial"/>
        </w:rPr>
        <w:t>MEC</w:t>
      </w:r>
      <w:r>
        <w:rPr>
          <w:rFonts w:ascii="Arial" w:hAnsi="Arial" w:cs="Arial"/>
        </w:rPr>
        <w:tab/>
        <w:t>maximum export capacity</w:t>
      </w:r>
    </w:p>
    <w:p w:rsidR="00113E33" w:rsidRDefault="00113E33" w:rsidP="005F1B8F">
      <w:pPr>
        <w:spacing w:after="0" w:line="360" w:lineRule="auto"/>
        <w:jc w:val="both"/>
        <w:rPr>
          <w:rFonts w:ascii="Arial" w:hAnsi="Arial" w:cs="Arial"/>
        </w:rPr>
      </w:pPr>
      <w:r>
        <w:rPr>
          <w:rFonts w:ascii="Arial" w:hAnsi="Arial" w:cs="Arial"/>
        </w:rPr>
        <w:t>MIC</w:t>
      </w:r>
      <w:r>
        <w:rPr>
          <w:rFonts w:ascii="Arial" w:hAnsi="Arial" w:cs="Arial"/>
        </w:rPr>
        <w:tab/>
        <w:t>maximum import capacity</w:t>
      </w:r>
    </w:p>
    <w:p w:rsidR="009A604B" w:rsidRDefault="00113E33" w:rsidP="005F1B8F">
      <w:pPr>
        <w:spacing w:after="0" w:line="360" w:lineRule="auto"/>
        <w:jc w:val="both"/>
        <w:rPr>
          <w:rFonts w:ascii="Arial" w:hAnsi="Arial" w:cs="Arial"/>
        </w:rPr>
      </w:pPr>
      <w:r>
        <w:rPr>
          <w:rFonts w:ascii="Arial" w:hAnsi="Arial" w:cs="Arial"/>
        </w:rPr>
        <w:t>SMP</w:t>
      </w:r>
      <w:r>
        <w:rPr>
          <w:rFonts w:ascii="Arial" w:hAnsi="Arial" w:cs="Arial"/>
        </w:rPr>
        <w:tab/>
        <w:t>system marginal price</w:t>
      </w:r>
    </w:p>
    <w:p w:rsidR="00113E33" w:rsidRDefault="00113E33" w:rsidP="005F1B8F">
      <w:pPr>
        <w:spacing w:after="0" w:line="360" w:lineRule="auto"/>
        <w:jc w:val="both"/>
        <w:rPr>
          <w:rFonts w:ascii="Arial" w:hAnsi="Arial" w:cs="Arial"/>
        </w:rPr>
      </w:pPr>
      <w:r>
        <w:rPr>
          <w:rFonts w:ascii="Arial" w:hAnsi="Arial" w:cs="Arial"/>
        </w:rPr>
        <w:t>TOU</w:t>
      </w:r>
      <w:r>
        <w:rPr>
          <w:rFonts w:ascii="Arial" w:hAnsi="Arial" w:cs="Arial"/>
        </w:rPr>
        <w:tab/>
        <w:t>time of use</w:t>
      </w:r>
    </w:p>
    <w:p w:rsidR="009A604B" w:rsidRDefault="009A604B" w:rsidP="005F1B8F">
      <w:pPr>
        <w:spacing w:after="0" w:line="360" w:lineRule="auto"/>
        <w:jc w:val="both"/>
        <w:rPr>
          <w:rFonts w:ascii="Arial" w:hAnsi="Arial" w:cs="Arial"/>
        </w:rPr>
      </w:pPr>
    </w:p>
    <w:p w:rsidR="00F92988" w:rsidRDefault="00F92988"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3D1F44" w:rsidRDefault="003D1F44"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063834" w:rsidRDefault="00063834" w:rsidP="005F1B8F">
      <w:pPr>
        <w:spacing w:after="0" w:line="360" w:lineRule="auto"/>
        <w:jc w:val="both"/>
        <w:rPr>
          <w:rFonts w:ascii="Arial" w:hAnsi="Arial" w:cs="Arial"/>
        </w:rPr>
      </w:pPr>
    </w:p>
    <w:p w:rsidR="00063834" w:rsidRDefault="00063834"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1721EE" w:rsidRDefault="001721EE" w:rsidP="005F1B8F">
      <w:pPr>
        <w:spacing w:after="0" w:line="360" w:lineRule="auto"/>
        <w:jc w:val="both"/>
        <w:rPr>
          <w:rFonts w:ascii="Arial" w:hAnsi="Arial" w:cs="Arial"/>
        </w:rPr>
      </w:pPr>
    </w:p>
    <w:p w:rsidR="009A604B" w:rsidRDefault="009A604B"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lastRenderedPageBreak/>
        <w:t>1. Introduction</w:t>
      </w:r>
    </w:p>
    <w:p w:rsidR="005F1B8F" w:rsidRDefault="005F1B8F" w:rsidP="005F1B8F">
      <w:pPr>
        <w:spacing w:after="0" w:line="360" w:lineRule="auto"/>
        <w:jc w:val="both"/>
        <w:rPr>
          <w:rFonts w:ascii="Arial" w:hAnsi="Arial" w:cs="Arial"/>
        </w:rPr>
      </w:pPr>
    </w:p>
    <w:p w:rsidR="00DF1426" w:rsidRDefault="00DF1426" w:rsidP="005F1B8F">
      <w:pPr>
        <w:spacing w:after="0" w:line="360" w:lineRule="auto"/>
        <w:jc w:val="both"/>
        <w:rPr>
          <w:rFonts w:ascii="Arial" w:hAnsi="Arial" w:cs="Arial"/>
        </w:rPr>
      </w:pPr>
      <w:r>
        <w:rPr>
          <w:rFonts w:ascii="Arial" w:hAnsi="Arial" w:cs="Arial"/>
        </w:rPr>
        <w:t>1.1 Background</w:t>
      </w:r>
    </w:p>
    <w:p w:rsidR="005F1B8F" w:rsidRDefault="005F1B8F" w:rsidP="005F1B8F">
      <w:pPr>
        <w:spacing w:after="0" w:line="360" w:lineRule="auto"/>
        <w:jc w:val="both"/>
        <w:rPr>
          <w:rFonts w:ascii="Arial" w:hAnsi="Arial" w:cs="Arial"/>
        </w:rPr>
      </w:pPr>
      <w:r>
        <w:rPr>
          <w:rFonts w:ascii="Arial" w:hAnsi="Arial" w:cs="Arial"/>
        </w:rPr>
        <w:t>For all types of electricity consumer, reducing both the cost and carbon impact of one’s electricity usage is a challenge worth addressing. The most straightforward ways of achieving this are to reduce consumption (either through behavioural changes or by improving the efficiency of the loads), or, in the case of economic savings specifically, to switch to a more favourable price plan. Electricity can be b</w:t>
      </w:r>
      <w:r w:rsidR="001657A7">
        <w:rPr>
          <w:rFonts w:ascii="Arial" w:hAnsi="Arial" w:cs="Arial"/>
        </w:rPr>
        <w:t>illed in a multitude of ways</w:t>
      </w:r>
      <w:r>
        <w:rPr>
          <w:rFonts w:ascii="Arial" w:hAnsi="Arial" w:cs="Arial"/>
        </w:rPr>
        <w:t xml:space="preserve"> </w:t>
      </w:r>
      <w:r w:rsidRPr="00DA53C4">
        <w:rPr>
          <w:rFonts w:ascii="Arial" w:hAnsi="Arial" w:cs="Arial"/>
          <w:color w:val="0070C0"/>
        </w:rPr>
        <w:t>[1-3]</w:t>
      </w:r>
      <w:r>
        <w:rPr>
          <w:rFonts w:ascii="Arial" w:hAnsi="Arial" w:cs="Arial"/>
        </w:rPr>
        <w:t xml:space="preserve">. This includes fixed unit rates agreed with the supplier, which can depend on the time of day/week/year, and real-time unit </w:t>
      </w:r>
      <w:r w:rsidR="0009321E">
        <w:rPr>
          <w:rFonts w:ascii="Arial" w:hAnsi="Arial" w:cs="Arial"/>
        </w:rPr>
        <w:t>rates dependent on the SMP</w:t>
      </w:r>
      <w:r>
        <w:rPr>
          <w:rFonts w:ascii="Arial" w:hAnsi="Arial" w:cs="Arial"/>
        </w:rPr>
        <w:t xml:space="preserve">, i.e. the price that national generator units receive for providing the electricity. While fixed rates offer more certainty and less risk for consumers </w:t>
      </w:r>
      <w:r w:rsidRPr="00DA53C4">
        <w:rPr>
          <w:rFonts w:ascii="Arial" w:hAnsi="Arial" w:cs="Arial"/>
          <w:color w:val="0070C0"/>
        </w:rPr>
        <w:t>[3,4]</w:t>
      </w:r>
      <w:r>
        <w:rPr>
          <w:rFonts w:ascii="Arial" w:hAnsi="Arial" w:cs="Arial"/>
        </w:rPr>
        <w:t xml:space="preserve">, some studies have indicated that switching to </w:t>
      </w:r>
      <w:r w:rsidR="001657A7">
        <w:rPr>
          <w:rFonts w:ascii="Arial" w:hAnsi="Arial" w:cs="Arial"/>
        </w:rPr>
        <w:t>billing at</w:t>
      </w:r>
      <w:r w:rsidR="00836432">
        <w:rPr>
          <w:rFonts w:ascii="Arial" w:hAnsi="Arial" w:cs="Arial"/>
        </w:rPr>
        <w:t xml:space="preserve"> the market price</w:t>
      </w:r>
      <w:r>
        <w:rPr>
          <w:rFonts w:ascii="Arial" w:hAnsi="Arial" w:cs="Arial"/>
        </w:rPr>
        <w:t xml:space="preserve"> can lead to substantial economic savings on final bills </w:t>
      </w:r>
      <w:r w:rsidRPr="00DA53C4">
        <w:rPr>
          <w:rFonts w:ascii="Arial" w:hAnsi="Arial" w:cs="Arial"/>
          <w:color w:val="0070C0"/>
        </w:rPr>
        <w:t>[5-8]</w:t>
      </w:r>
      <w:r>
        <w:rPr>
          <w:rFonts w:ascii="Arial" w:hAnsi="Arial" w:cs="Arial"/>
        </w:rPr>
        <w:t xml:space="preserve">. These, however, have mainly focused on residential consumers in only a small number of countries. The benefit of switching for </w:t>
      </w:r>
      <w:r w:rsidR="0020757A">
        <w:rPr>
          <w:rFonts w:ascii="Arial" w:hAnsi="Arial" w:cs="Arial"/>
        </w:rPr>
        <w:t>other types of consumer</w:t>
      </w:r>
      <w:r>
        <w:rPr>
          <w:rFonts w:ascii="Arial" w:hAnsi="Arial" w:cs="Arial"/>
        </w:rPr>
        <w:t xml:space="preserve"> and in additional markets therefore warrants further assessment.</w:t>
      </w:r>
    </w:p>
    <w:p w:rsidR="005F1B8F" w:rsidRDefault="005F1B8F" w:rsidP="005F1B8F">
      <w:pPr>
        <w:spacing w:after="0" w:line="360" w:lineRule="auto"/>
        <w:ind w:firstLine="720"/>
        <w:jc w:val="both"/>
        <w:rPr>
          <w:rFonts w:ascii="Arial" w:hAnsi="Arial" w:cs="Arial"/>
        </w:rPr>
      </w:pPr>
      <w:r>
        <w:rPr>
          <w:rFonts w:ascii="Arial" w:hAnsi="Arial" w:cs="Arial"/>
        </w:rPr>
        <w:t xml:space="preserve">Besides these changes, another approach to reduce one’s electricity costs and carbon impact is </w:t>
      </w:r>
      <w:r w:rsidR="001657A7">
        <w:rPr>
          <w:rFonts w:ascii="Arial" w:hAnsi="Arial" w:cs="Arial"/>
        </w:rPr>
        <w:t xml:space="preserve">through </w:t>
      </w:r>
      <w:r>
        <w:rPr>
          <w:rFonts w:ascii="Arial" w:hAnsi="Arial" w:cs="Arial"/>
        </w:rPr>
        <w:t>autoproduction. By operating on-site generators</w:t>
      </w:r>
      <w:r w:rsidR="0020757A">
        <w:rPr>
          <w:rFonts w:ascii="Arial" w:hAnsi="Arial" w:cs="Arial"/>
        </w:rPr>
        <w:t xml:space="preserve"> behind the meter</w:t>
      </w:r>
      <w:r>
        <w:rPr>
          <w:rFonts w:ascii="Arial" w:hAnsi="Arial" w:cs="Arial"/>
        </w:rPr>
        <w:t>, consumers can reduce their requirement to import electricity from the grid while potentially allowing any surplus energy generated to be sold. Depending on the capital and operation costs of the generator, and on the import and export unit prices be</w:t>
      </w:r>
      <w:r w:rsidR="001657A7">
        <w:rPr>
          <w:rFonts w:ascii="Arial" w:hAnsi="Arial" w:cs="Arial"/>
        </w:rPr>
        <w:t>ing offered, this can be a via</w:t>
      </w:r>
      <w:r>
        <w:rPr>
          <w:rFonts w:ascii="Arial" w:hAnsi="Arial" w:cs="Arial"/>
        </w:rPr>
        <w:t xml:space="preserve">ble investment in many cases. Over the three-year period 2015-2017, fossil fuels provided 73.0% of the electricity consumed in Ireland </w:t>
      </w:r>
      <w:r w:rsidRPr="00DA53C4">
        <w:rPr>
          <w:rFonts w:ascii="Arial" w:hAnsi="Arial" w:cs="Arial"/>
          <w:color w:val="0070C0"/>
        </w:rPr>
        <w:t>[9]</w:t>
      </w:r>
      <w:r>
        <w:rPr>
          <w:rFonts w:ascii="Arial" w:hAnsi="Arial" w:cs="Arial"/>
        </w:rPr>
        <w:t>, resulting in an average electrical carbon intensity of 460.6 gCO</w:t>
      </w:r>
      <w:r w:rsidRPr="000E227E">
        <w:rPr>
          <w:rFonts w:ascii="Arial" w:hAnsi="Arial" w:cs="Arial"/>
          <w:vertAlign w:val="subscript"/>
        </w:rPr>
        <w:t>2</w:t>
      </w:r>
      <w:r>
        <w:rPr>
          <w:rFonts w:ascii="Arial" w:hAnsi="Arial" w:cs="Arial"/>
        </w:rPr>
        <w:t xml:space="preserve">/kWh </w:t>
      </w:r>
      <w:r w:rsidRPr="00DA53C4">
        <w:rPr>
          <w:rFonts w:ascii="Arial" w:hAnsi="Arial" w:cs="Arial"/>
          <w:color w:val="0070C0"/>
        </w:rPr>
        <w:t>[9,10]</w:t>
      </w:r>
      <w:r>
        <w:rPr>
          <w:rFonts w:ascii="Arial" w:hAnsi="Arial" w:cs="Arial"/>
        </w:rPr>
        <w:t>. If non-fossil-fuel on-site generators such as wind turbines or PV systems are installed, this can have the additional benefit of reducing consumers’ carbon impact by reducing the demand on national generators and</w:t>
      </w:r>
      <w:r w:rsidRPr="004E53E1">
        <w:rPr>
          <w:rFonts w:ascii="Arial" w:hAnsi="Arial" w:cs="Arial"/>
        </w:rPr>
        <w:t xml:space="preserve"> </w:t>
      </w:r>
      <w:r>
        <w:rPr>
          <w:rFonts w:ascii="Arial" w:hAnsi="Arial" w:cs="Arial"/>
        </w:rPr>
        <w:t>potentially supplying the grid with any surplus zero-carbon energy. Accurately assessing the impact that various autoproduction technologies have is therefore very important for making informed decisions on future installations and refurbishments.</w:t>
      </w:r>
    </w:p>
    <w:p w:rsidR="005F1B8F" w:rsidRDefault="005F1B8F" w:rsidP="00D74EE8">
      <w:pPr>
        <w:spacing w:after="0" w:line="360" w:lineRule="auto"/>
        <w:ind w:firstLine="720"/>
        <w:jc w:val="both"/>
        <w:rPr>
          <w:rFonts w:ascii="Arial" w:hAnsi="Arial" w:cs="Arial"/>
        </w:rPr>
      </w:pPr>
      <w:r>
        <w:rPr>
          <w:rFonts w:ascii="Arial" w:hAnsi="Arial" w:cs="Arial"/>
        </w:rPr>
        <w:t xml:space="preserve">The other important technological approach for consumers to reduce electricity costs and carbon emissions is the use of on-site electricity storage. A plethora of electricity storage technologies exist, each with their respective </w:t>
      </w:r>
      <w:r w:rsidR="0020757A">
        <w:rPr>
          <w:rFonts w:ascii="Arial" w:hAnsi="Arial" w:cs="Arial"/>
        </w:rPr>
        <w:t>strengths and weaknesses</w:t>
      </w:r>
      <w:r>
        <w:rPr>
          <w:rFonts w:ascii="Arial" w:hAnsi="Arial" w:cs="Arial"/>
        </w:rPr>
        <w:t xml:space="preserve"> </w:t>
      </w:r>
      <w:r w:rsidRPr="00FA6D58">
        <w:rPr>
          <w:rFonts w:ascii="Arial" w:hAnsi="Arial" w:cs="Arial"/>
          <w:color w:val="0070C0"/>
        </w:rPr>
        <w:t>[11-14]</w:t>
      </w:r>
      <w:r>
        <w:rPr>
          <w:rFonts w:ascii="Arial" w:hAnsi="Arial" w:cs="Arial"/>
        </w:rPr>
        <w:t xml:space="preserve">. Depending on the size and the desired outcome, storage technologies can be used </w:t>
      </w:r>
      <w:r w:rsidR="0009321E">
        <w:rPr>
          <w:rFonts w:ascii="Arial" w:hAnsi="Arial" w:cs="Arial"/>
        </w:rPr>
        <w:t>for many purpose</w:t>
      </w:r>
      <w:r w:rsidR="001657A7">
        <w:rPr>
          <w:rFonts w:ascii="Arial" w:hAnsi="Arial" w:cs="Arial"/>
        </w:rPr>
        <w:t xml:space="preserve">s </w:t>
      </w:r>
      <w:r w:rsidRPr="00FA6D58">
        <w:rPr>
          <w:rFonts w:ascii="Arial" w:hAnsi="Arial" w:cs="Arial"/>
          <w:color w:val="0070C0"/>
        </w:rPr>
        <w:t>[15-19]</w:t>
      </w:r>
      <w:r>
        <w:rPr>
          <w:rFonts w:ascii="Arial" w:hAnsi="Arial" w:cs="Arial"/>
        </w:rPr>
        <w:t>. One of the simplest applications of on-site electricity storage is time-shifting</w:t>
      </w:r>
      <w:r w:rsidR="001657A7">
        <w:rPr>
          <w:rFonts w:ascii="Arial" w:hAnsi="Arial" w:cs="Arial"/>
        </w:rPr>
        <w:t xml:space="preserve"> (also referred to as arbitrage),</w:t>
      </w:r>
      <w:r>
        <w:rPr>
          <w:rFonts w:ascii="Arial" w:hAnsi="Arial" w:cs="Arial"/>
        </w:rPr>
        <w:t xml:space="preserve"> whereby the device is charged at times of low import prices, low carbon intensity, or surplus autoproduction, and discharged at more expensive or carbon-intensive times to reduce the consumer’s net costs or carbon emissions. Another common application is peak-lopping, whereby the device is discharged during times of high electricity </w:t>
      </w:r>
      <w:r>
        <w:rPr>
          <w:rFonts w:ascii="Arial" w:hAnsi="Arial" w:cs="Arial"/>
        </w:rPr>
        <w:lastRenderedPageBreak/>
        <w:t>demand</w:t>
      </w:r>
      <w:r w:rsidR="003631C2">
        <w:rPr>
          <w:rFonts w:ascii="Arial" w:hAnsi="Arial" w:cs="Arial"/>
        </w:rPr>
        <w:t xml:space="preserve"> on site</w:t>
      </w:r>
      <w:r>
        <w:rPr>
          <w:rFonts w:ascii="Arial" w:hAnsi="Arial" w:cs="Arial"/>
        </w:rPr>
        <w:t>, as this can reduce any costs associated with consumers’ maximum allowa</w:t>
      </w:r>
      <w:r w:rsidR="00D74EE8">
        <w:rPr>
          <w:rFonts w:ascii="Arial" w:hAnsi="Arial" w:cs="Arial"/>
        </w:rPr>
        <w:t xml:space="preserve">ble and observed import powers. For high-power fast-response devices, </w:t>
      </w:r>
      <w:r>
        <w:rPr>
          <w:rFonts w:ascii="Arial" w:hAnsi="Arial" w:cs="Arial"/>
        </w:rPr>
        <w:t xml:space="preserve">other applications include </w:t>
      </w:r>
      <w:r w:rsidR="0020757A">
        <w:rPr>
          <w:rFonts w:ascii="Arial" w:hAnsi="Arial" w:cs="Arial"/>
        </w:rPr>
        <w:t>grid-support services</w:t>
      </w:r>
      <w:r>
        <w:rPr>
          <w:rFonts w:ascii="Arial" w:hAnsi="Arial" w:cs="Arial"/>
        </w:rPr>
        <w:t>, whereby the grid operator pays to be able to take control of the device to ensure adequate supply of power on the grid or to make necessary corrections to the grid frequency. As it is desirable for consumers to reduce their carbon emissions as well as their costs, this study focuses on the application of time-shifting, as this can theoretically be used for either purpose.</w:t>
      </w:r>
    </w:p>
    <w:p w:rsidR="00DF1426" w:rsidRDefault="00DF1426" w:rsidP="001032EB">
      <w:pPr>
        <w:spacing w:after="0" w:line="360" w:lineRule="auto"/>
        <w:jc w:val="both"/>
        <w:rPr>
          <w:rFonts w:ascii="Arial" w:hAnsi="Arial" w:cs="Arial"/>
        </w:rPr>
      </w:pPr>
    </w:p>
    <w:p w:rsidR="00DF1426" w:rsidRDefault="00DF1426" w:rsidP="00DF1426">
      <w:pPr>
        <w:spacing w:after="0" w:line="360" w:lineRule="auto"/>
        <w:jc w:val="both"/>
        <w:rPr>
          <w:rFonts w:ascii="Arial" w:hAnsi="Arial" w:cs="Arial"/>
        </w:rPr>
      </w:pPr>
      <w:r>
        <w:rPr>
          <w:rFonts w:ascii="Arial" w:hAnsi="Arial" w:cs="Arial"/>
        </w:rPr>
        <w:t>1.2</w:t>
      </w:r>
      <w:r w:rsidR="001F1AA1">
        <w:rPr>
          <w:rFonts w:ascii="Arial" w:hAnsi="Arial" w:cs="Arial"/>
        </w:rPr>
        <w:t xml:space="preserve"> Study overview</w:t>
      </w:r>
    </w:p>
    <w:p w:rsidR="00DF1426" w:rsidRDefault="006742AA" w:rsidP="00DF1426">
      <w:pPr>
        <w:spacing w:after="0" w:line="360" w:lineRule="auto"/>
        <w:jc w:val="both"/>
        <w:rPr>
          <w:rFonts w:ascii="Arial" w:hAnsi="Arial" w:cs="Arial"/>
        </w:rPr>
      </w:pPr>
      <w:proofErr w:type="spellStart"/>
      <w:r>
        <w:rPr>
          <w:rFonts w:ascii="Arial" w:hAnsi="Arial" w:cs="Arial"/>
        </w:rPr>
        <w:t>DkIT</w:t>
      </w:r>
      <w:proofErr w:type="spellEnd"/>
      <w:r w:rsidR="00DF1426">
        <w:rPr>
          <w:rFonts w:ascii="Arial" w:hAnsi="Arial" w:cs="Arial"/>
        </w:rPr>
        <w:t xml:space="preserve"> is a third level college in the east of Ireland with approximately 5,000 registered students. The college is already an autoproducer, with a Vestas V52 850-kW wind turbine in operation since 2005. The main campus, which is the focus in this study, is connected to the grid via a 10-kV power line, stepped down on site as needed. The college’s maximum import capacity (MIC) agreed with the electricity supplier is set at 1,322 kW, while the maximum export capacity (MEC) is set at 500 kW. For this study, the electricity usage of DkIT over the 2017/18 academic year (Sep to Aug) was measured and analysed. The benefit of the wind turbine over this period was assessed in terms of energy, cost and carbon savings. Furthermore, the value of switching the college to </w:t>
      </w:r>
      <w:r w:rsidR="00836432">
        <w:rPr>
          <w:rFonts w:ascii="Arial" w:hAnsi="Arial" w:cs="Arial"/>
        </w:rPr>
        <w:t>HH</w:t>
      </w:r>
      <w:r w:rsidR="00DF1426">
        <w:rPr>
          <w:rFonts w:ascii="Arial" w:hAnsi="Arial" w:cs="Arial"/>
        </w:rPr>
        <w:t>P was examined. Lastly, the potential impact of installing on-site electricity storage for time-shifting was investigated.</w:t>
      </w:r>
    </w:p>
    <w:p w:rsidR="00DF1426" w:rsidRDefault="00DF1426" w:rsidP="00D74EE8">
      <w:pPr>
        <w:spacing w:after="0" w:line="360" w:lineRule="auto"/>
        <w:ind w:firstLine="720"/>
        <w:jc w:val="both"/>
        <w:rPr>
          <w:rFonts w:ascii="Arial" w:hAnsi="Arial" w:cs="Arial"/>
        </w:rPr>
      </w:pP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6742AA" w:rsidRDefault="006742AA" w:rsidP="005F1B8F">
      <w:pPr>
        <w:spacing w:after="0" w:line="360" w:lineRule="auto"/>
        <w:jc w:val="both"/>
        <w:rPr>
          <w:rFonts w:ascii="Arial" w:hAnsi="Arial" w:cs="Arial"/>
        </w:rPr>
      </w:pPr>
    </w:p>
    <w:p w:rsidR="00DF1426" w:rsidRDefault="00DF1426" w:rsidP="005F1B8F">
      <w:pPr>
        <w:spacing w:after="0" w:line="360" w:lineRule="auto"/>
        <w:jc w:val="both"/>
        <w:rPr>
          <w:rFonts w:ascii="Arial" w:hAnsi="Arial" w:cs="Arial"/>
        </w:rPr>
      </w:pPr>
    </w:p>
    <w:p w:rsidR="00631FAF" w:rsidRDefault="00631FAF" w:rsidP="005F1B8F">
      <w:pPr>
        <w:spacing w:after="0" w:line="360" w:lineRule="auto"/>
        <w:jc w:val="both"/>
        <w:rPr>
          <w:rFonts w:ascii="Arial" w:hAnsi="Arial" w:cs="Arial"/>
        </w:rPr>
      </w:pPr>
    </w:p>
    <w:p w:rsidR="00B4146D" w:rsidRDefault="00B4146D" w:rsidP="005F1B8F">
      <w:pPr>
        <w:spacing w:after="0" w:line="360" w:lineRule="auto"/>
        <w:jc w:val="both"/>
        <w:rPr>
          <w:rFonts w:ascii="Arial" w:hAnsi="Arial" w:cs="Arial"/>
        </w:rPr>
      </w:pPr>
    </w:p>
    <w:p w:rsidR="009A604B" w:rsidRDefault="009A604B"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lastRenderedPageBreak/>
        <w:t xml:space="preserve">2. </w:t>
      </w:r>
      <w:r w:rsidR="00D15605">
        <w:rPr>
          <w:rFonts w:ascii="Arial" w:hAnsi="Arial" w:cs="Arial"/>
        </w:rPr>
        <w:t>Data and m</w:t>
      </w:r>
      <w:r>
        <w:rPr>
          <w:rFonts w:ascii="Arial" w:hAnsi="Arial" w:cs="Arial"/>
        </w:rPr>
        <w:t>ethods</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t>2.</w:t>
      </w:r>
      <w:r w:rsidR="00DF1426">
        <w:rPr>
          <w:rFonts w:ascii="Arial" w:hAnsi="Arial" w:cs="Arial"/>
        </w:rPr>
        <w:t>1</w:t>
      </w:r>
      <w:r>
        <w:rPr>
          <w:rFonts w:ascii="Arial" w:hAnsi="Arial" w:cs="Arial"/>
        </w:rPr>
        <w:t xml:space="preserve"> Electricity metering</w:t>
      </w:r>
    </w:p>
    <w:p w:rsidR="005F1B8F" w:rsidRDefault="005F1B8F" w:rsidP="005F1B8F">
      <w:pPr>
        <w:spacing w:after="0" w:line="360" w:lineRule="auto"/>
        <w:jc w:val="both"/>
        <w:rPr>
          <w:rFonts w:ascii="Arial" w:hAnsi="Arial" w:cs="Arial"/>
        </w:rPr>
      </w:pPr>
      <w:r>
        <w:rPr>
          <w:rFonts w:ascii="Arial" w:hAnsi="Arial" w:cs="Arial"/>
        </w:rPr>
        <w:t xml:space="preserve">The electricity imported and exported through the college’s main incomer is officially metered </w:t>
      </w:r>
      <w:r w:rsidR="00D74EE8">
        <w:rPr>
          <w:rFonts w:ascii="Arial" w:hAnsi="Arial" w:cs="Arial"/>
        </w:rPr>
        <w:t xml:space="preserve">by the Electricity Supply Board Networks </w:t>
      </w:r>
      <w:r>
        <w:rPr>
          <w:rFonts w:ascii="Arial" w:hAnsi="Arial" w:cs="Arial"/>
        </w:rPr>
        <w:t>(ESB</w:t>
      </w:r>
      <w:r w:rsidR="00D74EE8">
        <w:rPr>
          <w:rFonts w:ascii="Arial" w:hAnsi="Arial" w:cs="Arial"/>
        </w:rPr>
        <w:t>N</w:t>
      </w:r>
      <w:r>
        <w:rPr>
          <w:rFonts w:ascii="Arial" w:hAnsi="Arial" w:cs="Arial"/>
        </w:rPr>
        <w:t xml:space="preserve">), with the data available as either 15- or 30-min average import and export powers. In addition to this, the college operates two Schneider Electric ION7600 electricity meters (henceforth referred to as “ionmeters”) on campus, which are programmed to record </w:t>
      </w:r>
      <w:r w:rsidR="00D74EE8">
        <w:rPr>
          <w:rFonts w:ascii="Arial" w:hAnsi="Arial" w:cs="Arial"/>
        </w:rPr>
        <w:t xml:space="preserve">bidirectional </w:t>
      </w:r>
      <w:r w:rsidR="00705BFF">
        <w:rPr>
          <w:rFonts w:ascii="Arial" w:hAnsi="Arial" w:cs="Arial"/>
        </w:rPr>
        <w:t xml:space="preserve">cumulative </w:t>
      </w:r>
      <w:r w:rsidR="00D74EE8">
        <w:rPr>
          <w:rFonts w:ascii="Arial" w:hAnsi="Arial" w:cs="Arial"/>
        </w:rPr>
        <w:t>energy flows at a 1-min resolution</w:t>
      </w:r>
      <w:r>
        <w:rPr>
          <w:rFonts w:ascii="Arial" w:hAnsi="Arial" w:cs="Arial"/>
        </w:rPr>
        <w:t>. These are located on the college’s 10-kV main incomer (consumer-side of the ESB</w:t>
      </w:r>
      <w:r w:rsidR="00D74EE8">
        <w:rPr>
          <w:rFonts w:ascii="Arial" w:hAnsi="Arial" w:cs="Arial"/>
        </w:rPr>
        <w:t>N</w:t>
      </w:r>
      <w:r>
        <w:rPr>
          <w:rFonts w:ascii="Arial" w:hAnsi="Arial" w:cs="Arial"/>
        </w:rPr>
        <w:t xml:space="preserve"> meter) and on the 10-kV line from the main income</w:t>
      </w:r>
      <w:r w:rsidR="006A138E">
        <w:rPr>
          <w:rFonts w:ascii="Arial" w:hAnsi="Arial" w:cs="Arial"/>
        </w:rPr>
        <w:t xml:space="preserve">r to the turbine, respectively. </w:t>
      </w:r>
      <w:r>
        <w:rPr>
          <w:rFonts w:ascii="Arial" w:hAnsi="Arial" w:cs="Arial"/>
        </w:rPr>
        <w:t>For this study, each set of electricity meter data was aggregated into 30-min energy totals, with any data gaps of 1 h or less interpolated</w:t>
      </w:r>
      <w:r w:rsidR="005E46D0">
        <w:rPr>
          <w:rFonts w:ascii="Arial" w:hAnsi="Arial" w:cs="Arial"/>
        </w:rPr>
        <w:t xml:space="preserve"> using a piecewise cubic Hermitian spline</w:t>
      </w:r>
      <w:r w:rsidR="00705BFF">
        <w:rPr>
          <w:rFonts w:ascii="Arial" w:hAnsi="Arial" w:cs="Arial"/>
        </w:rPr>
        <w:t xml:space="preserve">. </w:t>
      </w:r>
      <w:r w:rsidR="005E46D0">
        <w:rPr>
          <w:rFonts w:ascii="Arial" w:hAnsi="Arial" w:cs="Arial"/>
        </w:rPr>
        <w:t>This</w:t>
      </w:r>
      <w:r w:rsidR="006A138E">
        <w:rPr>
          <w:rFonts w:ascii="Arial" w:hAnsi="Arial" w:cs="Arial"/>
        </w:rPr>
        <w:t xml:space="preserve"> interpolation </w:t>
      </w:r>
      <w:r w:rsidR="005E46D0">
        <w:rPr>
          <w:rFonts w:ascii="Arial" w:hAnsi="Arial" w:cs="Arial"/>
        </w:rPr>
        <w:t xml:space="preserve">method </w:t>
      </w:r>
      <w:r w:rsidR="006A138E">
        <w:rPr>
          <w:rFonts w:ascii="Arial" w:hAnsi="Arial" w:cs="Arial"/>
        </w:rPr>
        <w:t xml:space="preserve">was </w:t>
      </w:r>
      <w:r w:rsidR="005E46D0">
        <w:rPr>
          <w:rFonts w:ascii="Arial" w:hAnsi="Arial" w:cs="Arial"/>
        </w:rPr>
        <w:t>chosen so as to provide</w:t>
      </w:r>
      <w:r w:rsidR="00705BFF">
        <w:rPr>
          <w:rFonts w:ascii="Arial" w:hAnsi="Arial" w:cs="Arial"/>
        </w:rPr>
        <w:t xml:space="preserve"> accurate </w:t>
      </w:r>
      <w:r w:rsidR="006A138E">
        <w:rPr>
          <w:rFonts w:ascii="Arial" w:hAnsi="Arial" w:cs="Arial"/>
        </w:rPr>
        <w:t>estimates</w:t>
      </w:r>
      <w:r w:rsidR="005E46D0">
        <w:rPr>
          <w:rFonts w:ascii="Arial" w:hAnsi="Arial" w:cs="Arial"/>
        </w:rPr>
        <w:t xml:space="preserve"> while ensuring only positive changes to</w:t>
      </w:r>
      <w:r w:rsidR="006A138E">
        <w:rPr>
          <w:rFonts w:ascii="Arial" w:hAnsi="Arial" w:cs="Arial"/>
        </w:rPr>
        <w:t xml:space="preserve"> the cumulative recordings. </w:t>
      </w:r>
      <w:r>
        <w:rPr>
          <w:rFonts w:ascii="Arial" w:hAnsi="Arial" w:cs="Arial"/>
        </w:rPr>
        <w:t>While the ESB</w:t>
      </w:r>
      <w:r w:rsidR="00D74EE8">
        <w:rPr>
          <w:rFonts w:ascii="Arial" w:hAnsi="Arial" w:cs="Arial"/>
        </w:rPr>
        <w:t>N</w:t>
      </w:r>
      <w:r>
        <w:rPr>
          <w:rFonts w:ascii="Arial" w:hAnsi="Arial" w:cs="Arial"/>
        </w:rPr>
        <w:t>-metered data were virtually gap-free, the main-incomer and turbine ionmeter records had post-interpolation availabilities of just 81.2% and 79.9%, respectively, over the study year.</w:t>
      </w:r>
    </w:p>
    <w:p w:rsidR="005F1B8F" w:rsidRDefault="005F1B8F" w:rsidP="005F1B8F">
      <w:pPr>
        <w:spacing w:after="0" w:line="360" w:lineRule="auto"/>
        <w:jc w:val="both"/>
        <w:rPr>
          <w:rFonts w:ascii="Arial" w:hAnsi="Arial" w:cs="Arial"/>
        </w:rPr>
      </w:pPr>
    </w:p>
    <w:p w:rsidR="005F1B8F" w:rsidRDefault="00DF1426" w:rsidP="005F1B8F">
      <w:pPr>
        <w:spacing w:after="0" w:line="360" w:lineRule="auto"/>
        <w:jc w:val="both"/>
        <w:rPr>
          <w:rFonts w:ascii="Arial" w:hAnsi="Arial" w:cs="Arial"/>
        </w:rPr>
      </w:pPr>
      <w:r>
        <w:rPr>
          <w:rFonts w:ascii="Arial" w:hAnsi="Arial" w:cs="Arial"/>
        </w:rPr>
        <w:t>2.2</w:t>
      </w:r>
      <w:r w:rsidR="005F1B8F">
        <w:rPr>
          <w:rFonts w:ascii="Arial" w:hAnsi="Arial" w:cs="Arial"/>
        </w:rPr>
        <w:t xml:space="preserve"> Estimating electricity consumption</w:t>
      </w:r>
    </w:p>
    <w:p w:rsidR="005F1B8F" w:rsidRDefault="005F1B8F" w:rsidP="005F1B8F">
      <w:pPr>
        <w:spacing w:after="0" w:line="360" w:lineRule="auto"/>
        <w:jc w:val="both"/>
        <w:rPr>
          <w:rFonts w:ascii="Arial" w:hAnsi="Arial" w:cs="Arial"/>
        </w:rPr>
      </w:pPr>
      <w:r>
        <w:rPr>
          <w:rFonts w:ascii="Arial" w:hAnsi="Arial" w:cs="Arial"/>
        </w:rPr>
        <w:t>Using the metered data, the college’s electricity consumption within a given half-hour time interval can be estimated as:</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sidRPr="0076494B">
        <w:rPr>
          <w:rFonts w:ascii="Arial" w:hAnsi="Arial" w:cs="Arial"/>
          <w:i/>
        </w:rPr>
        <w:t>C</w:t>
      </w:r>
      <w:r w:rsidRPr="00FE3B65">
        <w:rPr>
          <w:rFonts w:ascii="Arial" w:hAnsi="Arial" w:cs="Arial"/>
          <w:vertAlign w:val="subscript"/>
        </w:rPr>
        <w:t>IT</w:t>
      </w:r>
      <w:r>
        <w:rPr>
          <w:rFonts w:ascii="Arial" w:hAnsi="Arial" w:cs="Arial"/>
        </w:rPr>
        <w:t xml:space="preserve"> = </w:t>
      </w:r>
      <w:r w:rsidRPr="0076494B">
        <w:rPr>
          <w:rFonts w:ascii="Arial" w:hAnsi="Arial" w:cs="Arial"/>
          <w:i/>
        </w:rPr>
        <w:t>I</w:t>
      </w:r>
      <w:r>
        <w:rPr>
          <w:rFonts w:ascii="Arial" w:hAnsi="Arial" w:cs="Arial"/>
        </w:rPr>
        <w:t xml:space="preserve"> + </w:t>
      </w:r>
      <w:r w:rsidRPr="0076494B">
        <w:rPr>
          <w:rFonts w:ascii="Arial" w:hAnsi="Arial" w:cs="Arial"/>
          <w:i/>
        </w:rPr>
        <w:t>W</w:t>
      </w:r>
      <w:r w:rsidRPr="00702804">
        <w:rPr>
          <w:rFonts w:ascii="Arial" w:hAnsi="Arial" w:cs="Arial"/>
          <w:vertAlign w:val="superscript"/>
        </w:rPr>
        <w:t>+</w:t>
      </w:r>
      <w:r>
        <w:rPr>
          <w:rFonts w:ascii="Arial" w:hAnsi="Arial" w:cs="Arial"/>
        </w:rPr>
        <w:t xml:space="preserve"> – </w:t>
      </w:r>
      <w:r w:rsidRPr="0076494B">
        <w:rPr>
          <w:rFonts w:ascii="Arial" w:hAnsi="Arial" w:cs="Arial"/>
          <w:i/>
        </w:rPr>
        <w:t>E</w:t>
      </w:r>
      <w:r>
        <w:rPr>
          <w:rFonts w:ascii="Arial" w:hAnsi="Arial" w:cs="Arial"/>
        </w:rPr>
        <w:t>,</w:t>
      </w:r>
      <w:r>
        <w:rPr>
          <w:rFonts w:ascii="Arial" w:hAnsi="Arial" w:cs="Arial"/>
        </w:rPr>
        <w:tab/>
        <w:t>(1)</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t xml:space="preserve">where </w:t>
      </w:r>
      <w:r w:rsidRPr="0076494B">
        <w:rPr>
          <w:rFonts w:ascii="Arial" w:hAnsi="Arial" w:cs="Arial"/>
          <w:i/>
        </w:rPr>
        <w:t>C</w:t>
      </w:r>
      <w:r w:rsidRPr="00FE3B65">
        <w:rPr>
          <w:rFonts w:ascii="Arial" w:hAnsi="Arial" w:cs="Arial"/>
          <w:vertAlign w:val="subscript"/>
        </w:rPr>
        <w:t>IT</w:t>
      </w:r>
      <w:r w:rsidR="00D15605">
        <w:rPr>
          <w:rFonts w:ascii="Arial" w:hAnsi="Arial" w:cs="Arial"/>
        </w:rPr>
        <w:t xml:space="preserve"> [kWh]</w:t>
      </w:r>
      <w:r>
        <w:rPr>
          <w:rFonts w:ascii="Arial" w:hAnsi="Arial" w:cs="Arial"/>
        </w:rPr>
        <w:t xml:space="preserve"> is the energy consumed (including the small amount consumed by the wind turbine itself), </w:t>
      </w:r>
      <w:r w:rsidRPr="00D85B4A">
        <w:rPr>
          <w:rFonts w:ascii="Arial" w:hAnsi="Arial" w:cs="Arial"/>
          <w:i/>
        </w:rPr>
        <w:t>I</w:t>
      </w:r>
      <w:r w:rsidR="00BC2A68">
        <w:rPr>
          <w:rFonts w:ascii="Arial" w:hAnsi="Arial" w:cs="Arial"/>
        </w:rPr>
        <w:t xml:space="preserve"> [kWh]</w:t>
      </w:r>
      <w:r>
        <w:rPr>
          <w:rFonts w:ascii="Arial" w:hAnsi="Arial" w:cs="Arial"/>
        </w:rPr>
        <w:t xml:space="preserve"> is the energy imported from the grid, </w:t>
      </w:r>
      <w:r w:rsidRPr="00D85B4A">
        <w:rPr>
          <w:rFonts w:ascii="Arial" w:hAnsi="Arial" w:cs="Arial"/>
          <w:i/>
        </w:rPr>
        <w:t>W</w:t>
      </w:r>
      <w:r w:rsidRPr="00702804">
        <w:rPr>
          <w:rFonts w:ascii="Arial" w:hAnsi="Arial" w:cs="Arial"/>
          <w:vertAlign w:val="superscript"/>
        </w:rPr>
        <w:t>+</w:t>
      </w:r>
      <w:r w:rsidR="00BC2A68">
        <w:rPr>
          <w:rFonts w:ascii="Arial" w:hAnsi="Arial" w:cs="Arial"/>
        </w:rPr>
        <w:t xml:space="preserve"> [kWh]</w:t>
      </w:r>
      <w:r>
        <w:rPr>
          <w:rFonts w:ascii="Arial" w:hAnsi="Arial" w:cs="Arial"/>
        </w:rPr>
        <w:t xml:space="preserve"> is the energy generated by the turbine (positive component only), and </w:t>
      </w:r>
      <w:r w:rsidRPr="00D85B4A">
        <w:rPr>
          <w:rFonts w:ascii="Arial" w:hAnsi="Arial" w:cs="Arial"/>
          <w:i/>
        </w:rPr>
        <w:t>E</w:t>
      </w:r>
      <w:r w:rsidR="00BC2A68">
        <w:rPr>
          <w:rFonts w:ascii="Arial" w:hAnsi="Arial" w:cs="Arial"/>
        </w:rPr>
        <w:t xml:space="preserve"> [kWh]</w:t>
      </w:r>
      <w:r>
        <w:rPr>
          <w:rFonts w:ascii="Arial" w:hAnsi="Arial" w:cs="Arial"/>
        </w:rPr>
        <w:t xml:space="preserve"> is the energy exported to the grid. Alternatively, if we consider a scenario where the turbine is removed, the college’s estimated electricity consumption then becomes:</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sidRPr="008D7DF1">
        <w:rPr>
          <w:rFonts w:ascii="Arial" w:hAnsi="Arial" w:cs="Arial"/>
          <w:i/>
        </w:rPr>
        <w:t>C</w:t>
      </w:r>
      <w:r w:rsidRPr="00FE3B65">
        <w:rPr>
          <w:rFonts w:ascii="Arial" w:hAnsi="Arial" w:cs="Arial"/>
          <w:vertAlign w:val="subscript"/>
        </w:rPr>
        <w:t>ET</w:t>
      </w:r>
      <w:r>
        <w:rPr>
          <w:rFonts w:ascii="Arial" w:hAnsi="Arial" w:cs="Arial"/>
        </w:rPr>
        <w:t xml:space="preserve"> = </w:t>
      </w:r>
      <w:r w:rsidRPr="008D7DF1">
        <w:rPr>
          <w:rFonts w:ascii="Arial" w:hAnsi="Arial" w:cs="Arial"/>
          <w:i/>
        </w:rPr>
        <w:t>C</w:t>
      </w:r>
      <w:r w:rsidRPr="00FE3B65">
        <w:rPr>
          <w:rFonts w:ascii="Arial" w:hAnsi="Arial" w:cs="Arial"/>
          <w:vertAlign w:val="subscript"/>
        </w:rPr>
        <w:t>IT</w:t>
      </w:r>
      <w:r>
        <w:rPr>
          <w:rFonts w:ascii="Arial" w:hAnsi="Arial" w:cs="Arial"/>
        </w:rPr>
        <w:t xml:space="preserve"> – </w:t>
      </w:r>
      <w:r w:rsidRPr="008D7DF1">
        <w:rPr>
          <w:rFonts w:ascii="Arial" w:hAnsi="Arial" w:cs="Arial"/>
          <w:i/>
        </w:rPr>
        <w:t>W</w:t>
      </w:r>
      <w:r w:rsidRPr="00702804">
        <w:rPr>
          <w:rFonts w:ascii="Arial" w:hAnsi="Arial" w:cs="Arial"/>
          <w:vertAlign w:val="superscript"/>
        </w:rPr>
        <w:t>–</w:t>
      </w:r>
      <w:r>
        <w:rPr>
          <w:rFonts w:ascii="Arial" w:hAnsi="Arial" w:cs="Arial"/>
        </w:rPr>
        <w:t>,</w:t>
      </w:r>
      <w:r>
        <w:rPr>
          <w:rFonts w:ascii="Arial" w:hAnsi="Arial" w:cs="Arial"/>
        </w:rPr>
        <w:tab/>
        <w:t>(2)</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t xml:space="preserve">where </w:t>
      </w:r>
      <w:r w:rsidRPr="008D7DF1">
        <w:rPr>
          <w:rFonts w:ascii="Arial" w:hAnsi="Arial" w:cs="Arial"/>
          <w:i/>
        </w:rPr>
        <w:t>C</w:t>
      </w:r>
      <w:r w:rsidRPr="00FE3B65">
        <w:rPr>
          <w:rFonts w:ascii="Arial" w:hAnsi="Arial" w:cs="Arial"/>
          <w:vertAlign w:val="subscript"/>
        </w:rPr>
        <w:t>ET</w:t>
      </w:r>
      <w:r w:rsidR="00BC2A68">
        <w:rPr>
          <w:rFonts w:ascii="Arial" w:hAnsi="Arial" w:cs="Arial"/>
        </w:rPr>
        <w:t xml:space="preserve"> [kWh]</w:t>
      </w:r>
      <w:r>
        <w:rPr>
          <w:rFonts w:ascii="Arial" w:hAnsi="Arial" w:cs="Arial"/>
        </w:rPr>
        <w:t xml:space="preserve"> is the energ</w:t>
      </w:r>
      <w:r w:rsidR="00BC2A68">
        <w:rPr>
          <w:rFonts w:ascii="Arial" w:hAnsi="Arial" w:cs="Arial"/>
        </w:rPr>
        <w:t xml:space="preserve">y that would be consumed with no </w:t>
      </w:r>
      <w:r>
        <w:rPr>
          <w:rFonts w:ascii="Arial" w:hAnsi="Arial" w:cs="Arial"/>
        </w:rPr>
        <w:t xml:space="preserve">turbine, and </w:t>
      </w:r>
      <w:r w:rsidRPr="008D7DF1">
        <w:rPr>
          <w:rFonts w:ascii="Arial" w:hAnsi="Arial" w:cs="Arial"/>
          <w:i/>
        </w:rPr>
        <w:t>W</w:t>
      </w:r>
      <w:r w:rsidRPr="00702804">
        <w:rPr>
          <w:rFonts w:ascii="Arial" w:hAnsi="Arial" w:cs="Arial"/>
          <w:vertAlign w:val="superscript"/>
        </w:rPr>
        <w:t>–</w:t>
      </w:r>
      <w:r w:rsidR="00BC2A68">
        <w:rPr>
          <w:rFonts w:ascii="Arial" w:hAnsi="Arial" w:cs="Arial"/>
        </w:rPr>
        <w:t xml:space="preserve"> [kWh]</w:t>
      </w:r>
      <w:r>
        <w:rPr>
          <w:rFonts w:ascii="Arial" w:hAnsi="Arial" w:cs="Arial"/>
        </w:rPr>
        <w:t xml:space="preserve"> is the energy that the turbine itself </w:t>
      </w:r>
      <w:r w:rsidR="006A138E">
        <w:rPr>
          <w:rFonts w:ascii="Arial" w:hAnsi="Arial" w:cs="Arial"/>
        </w:rPr>
        <w:t>was observed to consume</w:t>
      </w:r>
      <w:r>
        <w:rPr>
          <w:rFonts w:ascii="Arial" w:hAnsi="Arial" w:cs="Arial"/>
        </w:rPr>
        <w:t xml:space="preserve"> in reality. Without the turbine, all of this consumption would need to be imported, with no</w:t>
      </w:r>
      <w:r w:rsidR="003631C2">
        <w:rPr>
          <w:rFonts w:ascii="Arial" w:hAnsi="Arial" w:cs="Arial"/>
        </w:rPr>
        <w:t xml:space="preserve"> immediate</w:t>
      </w:r>
      <w:r>
        <w:rPr>
          <w:rFonts w:ascii="Arial" w:hAnsi="Arial" w:cs="Arial"/>
        </w:rPr>
        <w:t xml:space="preserve"> source of export. While </w:t>
      </w:r>
      <w:r w:rsidRPr="00964D15">
        <w:rPr>
          <w:rFonts w:ascii="Arial" w:hAnsi="Arial" w:cs="Arial"/>
          <w:i/>
        </w:rPr>
        <w:t>W</w:t>
      </w:r>
      <w:r w:rsidRPr="00702804">
        <w:rPr>
          <w:rFonts w:ascii="Arial" w:hAnsi="Arial" w:cs="Arial"/>
          <w:vertAlign w:val="superscript"/>
        </w:rPr>
        <w:t>+</w:t>
      </w:r>
      <w:r>
        <w:rPr>
          <w:rFonts w:ascii="Arial" w:hAnsi="Arial" w:cs="Arial"/>
        </w:rPr>
        <w:t xml:space="preserve"> and </w:t>
      </w:r>
      <w:r w:rsidRPr="008D7DF1">
        <w:rPr>
          <w:rFonts w:ascii="Arial" w:hAnsi="Arial" w:cs="Arial"/>
          <w:i/>
        </w:rPr>
        <w:t>W</w:t>
      </w:r>
      <w:r w:rsidRPr="00702804">
        <w:rPr>
          <w:rFonts w:ascii="Arial" w:hAnsi="Arial" w:cs="Arial"/>
          <w:vertAlign w:val="superscript"/>
        </w:rPr>
        <w:t>–</w:t>
      </w:r>
      <w:r>
        <w:rPr>
          <w:rFonts w:ascii="Arial" w:hAnsi="Arial" w:cs="Arial"/>
        </w:rPr>
        <w:t xml:space="preserve"> can only be measured using the turbine ionmeter, </w:t>
      </w:r>
      <w:r w:rsidRPr="00964D15">
        <w:rPr>
          <w:rFonts w:ascii="Arial" w:hAnsi="Arial" w:cs="Arial"/>
          <w:i/>
        </w:rPr>
        <w:t>I</w:t>
      </w:r>
      <w:r>
        <w:rPr>
          <w:rFonts w:ascii="Arial" w:hAnsi="Arial" w:cs="Arial"/>
        </w:rPr>
        <w:t xml:space="preserve"> and </w:t>
      </w:r>
      <w:r w:rsidRPr="00964D15">
        <w:rPr>
          <w:rFonts w:ascii="Arial" w:hAnsi="Arial" w:cs="Arial"/>
          <w:i/>
        </w:rPr>
        <w:t>E</w:t>
      </w:r>
      <w:r>
        <w:rPr>
          <w:rFonts w:ascii="Arial" w:hAnsi="Arial" w:cs="Arial"/>
        </w:rPr>
        <w:t xml:space="preserve"> can be measured using the main-incomer ionmeter and the ESB</w:t>
      </w:r>
      <w:r w:rsidR="00D74EE8">
        <w:rPr>
          <w:rFonts w:ascii="Arial" w:hAnsi="Arial" w:cs="Arial"/>
        </w:rPr>
        <w:t>N</w:t>
      </w:r>
      <w:r>
        <w:rPr>
          <w:rFonts w:ascii="Arial" w:hAnsi="Arial" w:cs="Arial"/>
        </w:rPr>
        <w:t xml:space="preserve">’s meter. </w:t>
      </w:r>
      <w:r w:rsidR="00BC2A68">
        <w:rPr>
          <w:rFonts w:ascii="Arial" w:hAnsi="Arial" w:cs="Arial"/>
        </w:rPr>
        <w:t>In cases where</w:t>
      </w:r>
      <w:r>
        <w:rPr>
          <w:rFonts w:ascii="Arial" w:hAnsi="Arial" w:cs="Arial"/>
        </w:rPr>
        <w:t xml:space="preserve"> both sets of data are available, </w:t>
      </w:r>
      <w:r>
        <w:rPr>
          <w:rFonts w:ascii="Arial" w:hAnsi="Arial" w:cs="Arial"/>
        </w:rPr>
        <w:lastRenderedPageBreak/>
        <w:t>the consumption was estimated using the ESB</w:t>
      </w:r>
      <w:r w:rsidR="00D74EE8">
        <w:rPr>
          <w:rFonts w:ascii="Arial" w:hAnsi="Arial" w:cs="Arial"/>
        </w:rPr>
        <w:t>N</w:t>
      </w:r>
      <w:r>
        <w:rPr>
          <w:rFonts w:ascii="Arial" w:hAnsi="Arial" w:cs="Arial"/>
        </w:rPr>
        <w:t xml:space="preserve"> data, as their meter is assumed to be more accurate than the ionmeter.</w:t>
      </w:r>
    </w:p>
    <w:p w:rsidR="00424526" w:rsidRDefault="005F1B8F" w:rsidP="00F24E32">
      <w:pPr>
        <w:spacing w:after="0" w:line="360" w:lineRule="auto"/>
        <w:ind w:firstLine="720"/>
        <w:jc w:val="both"/>
        <w:rPr>
          <w:rFonts w:ascii="Arial" w:hAnsi="Arial" w:cs="Arial"/>
        </w:rPr>
      </w:pPr>
      <w:r>
        <w:rPr>
          <w:rFonts w:ascii="Arial" w:hAnsi="Arial" w:cs="Arial"/>
        </w:rPr>
        <w:t>Because of the aforementioned data gaps in the turbine ionmeter record, only 79.9% of the half-hourly consumption for the 2017/18 academic year could be estimated directly. For the remaining 20.1%, the consumption values instead had to be taken from similar times</w:t>
      </w:r>
      <w:r w:rsidR="00167CFF">
        <w:rPr>
          <w:rFonts w:ascii="Arial" w:hAnsi="Arial" w:cs="Arial"/>
        </w:rPr>
        <w:t xml:space="preserve"> recorded</w:t>
      </w:r>
      <w:r>
        <w:rPr>
          <w:rFonts w:ascii="Arial" w:hAnsi="Arial" w:cs="Arial"/>
        </w:rPr>
        <w:t xml:space="preserve"> within the previous three years. </w:t>
      </w:r>
      <w:r w:rsidR="00424526">
        <w:rPr>
          <w:rFonts w:ascii="Arial" w:hAnsi="Arial" w:cs="Arial"/>
        </w:rPr>
        <w:t>These</w:t>
      </w:r>
      <w:r>
        <w:rPr>
          <w:rFonts w:ascii="Arial" w:hAnsi="Arial" w:cs="Arial"/>
        </w:rPr>
        <w:t xml:space="preserve"> were defined as comprising the same half-hour of the day, on the same day of the week, having the same assignment of “regular day” or “holiday”, and with as similar a day of the year as possible (out by seven days at most). This substitution approach was assumed to be reasonably accurate, as there has not been any substantial growth or decline in DkIT in terms of buildings or number of students over this period.</w:t>
      </w:r>
      <w:r w:rsidR="006A138E">
        <w:rPr>
          <w:rFonts w:ascii="Arial" w:hAnsi="Arial" w:cs="Arial"/>
        </w:rPr>
        <w:t xml:space="preserve"> To </w:t>
      </w:r>
      <w:r w:rsidR="00424526">
        <w:rPr>
          <w:rFonts w:ascii="Arial" w:hAnsi="Arial" w:cs="Arial"/>
        </w:rPr>
        <w:t>validate</w:t>
      </w:r>
      <w:r w:rsidR="006A138E">
        <w:rPr>
          <w:rFonts w:ascii="Arial" w:hAnsi="Arial" w:cs="Arial"/>
        </w:rPr>
        <w:t xml:space="preserve"> this</w:t>
      </w:r>
      <w:r w:rsidR="00424526">
        <w:rPr>
          <w:rFonts w:ascii="Arial" w:hAnsi="Arial" w:cs="Arial"/>
        </w:rPr>
        <w:t>, a reference month outside of the study year was selected whose</w:t>
      </w:r>
      <w:r w:rsidR="009551C2">
        <w:rPr>
          <w:rFonts w:ascii="Arial" w:hAnsi="Arial" w:cs="Arial"/>
        </w:rPr>
        <w:t xml:space="preserve"> complete</w:t>
      </w:r>
      <w:r w:rsidR="00424526">
        <w:rPr>
          <w:rFonts w:ascii="Arial" w:hAnsi="Arial" w:cs="Arial"/>
        </w:rPr>
        <w:t xml:space="preserve"> half-hourly consumption could be estimated without any substitution required. The consumption in this month was then re-estimated purely by substitution and the two records were compared. The</w:t>
      </w:r>
      <w:r w:rsidR="009551C2">
        <w:rPr>
          <w:rFonts w:ascii="Arial" w:hAnsi="Arial" w:cs="Arial"/>
        </w:rPr>
        <w:t xml:space="preserve"> month</w:t>
      </w:r>
      <w:r w:rsidR="00424526">
        <w:rPr>
          <w:rFonts w:ascii="Arial" w:hAnsi="Arial" w:cs="Arial"/>
        </w:rPr>
        <w:t xml:space="preserve"> </w:t>
      </w:r>
      <w:r w:rsidR="009551C2">
        <w:rPr>
          <w:rFonts w:ascii="Arial" w:hAnsi="Arial" w:cs="Arial"/>
        </w:rPr>
        <w:t xml:space="preserve">selected </w:t>
      </w:r>
      <w:r w:rsidR="00424526">
        <w:rPr>
          <w:rFonts w:ascii="Arial" w:hAnsi="Arial" w:cs="Arial"/>
        </w:rPr>
        <w:t>was November 2018. During this month the turbine ionmeter was, in fact, unable to record any data, although a mechanical issue meant that the turbine itself had to remain in idle mode for th</w:t>
      </w:r>
      <w:r w:rsidR="009A0727">
        <w:rPr>
          <w:rFonts w:ascii="Arial" w:hAnsi="Arial" w:cs="Arial"/>
        </w:rPr>
        <w:t>is entire period. T</w:t>
      </w:r>
      <w:r w:rsidR="00424526">
        <w:rPr>
          <w:rFonts w:ascii="Arial" w:hAnsi="Arial" w:cs="Arial"/>
        </w:rPr>
        <w:t xml:space="preserve">he turbine </w:t>
      </w:r>
      <w:r w:rsidR="009A0727">
        <w:rPr>
          <w:rFonts w:ascii="Arial" w:hAnsi="Arial" w:cs="Arial"/>
        </w:rPr>
        <w:t xml:space="preserve">therefore </w:t>
      </w:r>
      <w:r w:rsidR="00424526">
        <w:rPr>
          <w:rFonts w:ascii="Arial" w:hAnsi="Arial" w:cs="Arial"/>
        </w:rPr>
        <w:t>still consumed a small amount of elec</w:t>
      </w:r>
      <w:r w:rsidR="009A0727">
        <w:rPr>
          <w:rFonts w:ascii="Arial" w:hAnsi="Arial" w:cs="Arial"/>
        </w:rPr>
        <w:t>tricity, but generated nothing. As a result, t</w:t>
      </w:r>
      <w:r w:rsidR="00424526">
        <w:rPr>
          <w:rFonts w:ascii="Arial" w:hAnsi="Arial" w:cs="Arial"/>
        </w:rPr>
        <w:t xml:space="preserve">he half-hourly import recorded by the ESBN </w:t>
      </w:r>
      <w:r w:rsidR="009A0727">
        <w:rPr>
          <w:rFonts w:ascii="Arial" w:hAnsi="Arial" w:cs="Arial"/>
        </w:rPr>
        <w:t xml:space="preserve">over this month </w:t>
      </w:r>
      <w:r w:rsidR="00424526">
        <w:rPr>
          <w:rFonts w:ascii="Arial" w:hAnsi="Arial" w:cs="Arial"/>
        </w:rPr>
        <w:t>represented the college’s consumption directly. The comparison of the two consumption records yielded an R</w:t>
      </w:r>
      <w:r w:rsidR="00424526" w:rsidRPr="001419DE">
        <w:rPr>
          <w:rFonts w:ascii="Arial" w:hAnsi="Arial" w:cs="Arial"/>
          <w:vertAlign w:val="superscript"/>
        </w:rPr>
        <w:t>2</w:t>
      </w:r>
      <w:r w:rsidR="00424526">
        <w:rPr>
          <w:rFonts w:ascii="Arial" w:hAnsi="Arial" w:cs="Arial"/>
        </w:rPr>
        <w:t xml:space="preserve"> of 0.983 and a root mean square error of 21.2 kWh per half-hour, with the substituted total of 370,490 kWh just 1.0% off the measured total of 374,386 kWh. This similarity indicates that the substitution m</w:t>
      </w:r>
      <w:r w:rsidR="003631C2">
        <w:rPr>
          <w:rFonts w:ascii="Arial" w:hAnsi="Arial" w:cs="Arial"/>
        </w:rPr>
        <w:t xml:space="preserve">ethod is indeed suitable for </w:t>
      </w:r>
      <w:r w:rsidR="00424526">
        <w:rPr>
          <w:rFonts w:ascii="Arial" w:hAnsi="Arial" w:cs="Arial"/>
        </w:rPr>
        <w:t xml:space="preserve">filling the </w:t>
      </w:r>
      <w:r w:rsidR="003631C2">
        <w:rPr>
          <w:rFonts w:ascii="Arial" w:hAnsi="Arial" w:cs="Arial"/>
        </w:rPr>
        <w:t xml:space="preserve">missing values in the </w:t>
      </w:r>
      <w:r w:rsidR="00424526">
        <w:rPr>
          <w:rFonts w:ascii="Arial" w:hAnsi="Arial" w:cs="Arial"/>
        </w:rPr>
        <w:t>college’s consumption record.</w:t>
      </w:r>
    </w:p>
    <w:p w:rsidR="005F1B8F" w:rsidRDefault="005F1B8F" w:rsidP="005F1B8F">
      <w:pPr>
        <w:spacing w:after="0" w:line="360" w:lineRule="auto"/>
        <w:jc w:val="both"/>
        <w:rPr>
          <w:rFonts w:ascii="Arial" w:hAnsi="Arial" w:cs="Arial"/>
        </w:rPr>
      </w:pPr>
    </w:p>
    <w:p w:rsidR="005F1B8F" w:rsidRDefault="00DF1426" w:rsidP="005F1B8F">
      <w:pPr>
        <w:spacing w:after="0" w:line="360" w:lineRule="auto"/>
        <w:jc w:val="both"/>
        <w:rPr>
          <w:rFonts w:ascii="Arial" w:hAnsi="Arial" w:cs="Arial"/>
        </w:rPr>
      </w:pPr>
      <w:r>
        <w:rPr>
          <w:rFonts w:ascii="Arial" w:hAnsi="Arial" w:cs="Arial"/>
        </w:rPr>
        <w:t>2.3</w:t>
      </w:r>
      <w:r w:rsidR="005F1B8F">
        <w:rPr>
          <w:rFonts w:ascii="Arial" w:hAnsi="Arial" w:cs="Arial"/>
        </w:rPr>
        <w:t xml:space="preserve"> National grid data</w:t>
      </w:r>
    </w:p>
    <w:p w:rsidR="005F1B8F" w:rsidRDefault="005F1B8F" w:rsidP="005F1B8F">
      <w:pPr>
        <w:spacing w:after="0" w:line="360" w:lineRule="auto"/>
        <w:jc w:val="both"/>
        <w:rPr>
          <w:rFonts w:ascii="Arial" w:hAnsi="Arial" w:cs="Arial"/>
        </w:rPr>
      </w:pPr>
      <w:r>
        <w:rPr>
          <w:rFonts w:ascii="Arial" w:hAnsi="Arial" w:cs="Arial"/>
        </w:rPr>
        <w:t xml:space="preserve">Several records related to the Irish electricity grid can be found on EirGrid’s Smart Grid Dashboard </w:t>
      </w:r>
      <w:r w:rsidRPr="003F7ADD">
        <w:rPr>
          <w:rFonts w:ascii="Arial" w:hAnsi="Arial" w:cs="Arial"/>
          <w:color w:val="0070C0"/>
        </w:rPr>
        <w:t>[</w:t>
      </w:r>
      <w:r>
        <w:rPr>
          <w:rFonts w:ascii="Arial" w:hAnsi="Arial" w:cs="Arial"/>
          <w:color w:val="0070C0"/>
        </w:rPr>
        <w:t>20</w:t>
      </w:r>
      <w:r w:rsidRPr="003F7ADD">
        <w:rPr>
          <w:rFonts w:ascii="Arial" w:hAnsi="Arial" w:cs="Arial"/>
          <w:color w:val="0070C0"/>
        </w:rPr>
        <w:t>]</w:t>
      </w:r>
      <w:r>
        <w:rPr>
          <w:rFonts w:ascii="Arial" w:hAnsi="Arial" w:cs="Arial"/>
        </w:rPr>
        <w:t xml:space="preserve">. From here, the half-hourly SMP, as well as the 15-min national electrical carbon intensity, total system generation, and system wind generation were obtained for this study. Of these, only the carbon-intensity record contained </w:t>
      </w:r>
      <w:r w:rsidR="00A17F1F">
        <w:rPr>
          <w:rFonts w:ascii="Arial" w:hAnsi="Arial" w:cs="Arial"/>
        </w:rPr>
        <w:t>missing values</w:t>
      </w:r>
      <w:r>
        <w:rPr>
          <w:rFonts w:ascii="Arial" w:hAnsi="Arial" w:cs="Arial"/>
        </w:rPr>
        <w:t xml:space="preserve"> within the study year. As with the metered data, the records were agg</w:t>
      </w:r>
      <w:r w:rsidR="00C64B89">
        <w:rPr>
          <w:rFonts w:ascii="Arial" w:hAnsi="Arial" w:cs="Arial"/>
        </w:rPr>
        <w:t xml:space="preserve">regated into 30-min resolutions, with </w:t>
      </w:r>
      <w:r>
        <w:rPr>
          <w:rFonts w:ascii="Arial" w:hAnsi="Arial" w:cs="Arial"/>
        </w:rPr>
        <w:t>any gaps of 1 h or less interpolated</w:t>
      </w:r>
      <w:r w:rsidR="00F24E32">
        <w:rPr>
          <w:rFonts w:ascii="Arial" w:hAnsi="Arial" w:cs="Arial"/>
        </w:rPr>
        <w:t xml:space="preserve"> as before</w:t>
      </w:r>
      <w:r>
        <w:rPr>
          <w:rFonts w:ascii="Arial" w:hAnsi="Arial" w:cs="Arial"/>
        </w:rPr>
        <w:t>. The resulting carbon intensity, however, still comprised 17.1% missing values. Unlike with DkIT’s electricity consumption, it was not possible to</w:t>
      </w:r>
      <w:r w:rsidR="00A17F1F">
        <w:rPr>
          <w:rFonts w:ascii="Arial" w:hAnsi="Arial" w:cs="Arial"/>
        </w:rPr>
        <w:t xml:space="preserve"> estimate the</w:t>
      </w:r>
      <w:r w:rsidR="0061242F">
        <w:rPr>
          <w:rFonts w:ascii="Arial" w:hAnsi="Arial" w:cs="Arial"/>
        </w:rPr>
        <w:t>se</w:t>
      </w:r>
      <w:r w:rsidR="006B3B5F">
        <w:rPr>
          <w:rFonts w:ascii="Arial" w:hAnsi="Arial" w:cs="Arial"/>
        </w:rPr>
        <w:t xml:space="preserve"> </w:t>
      </w:r>
      <w:r w:rsidR="009B5AC1">
        <w:rPr>
          <w:rFonts w:ascii="Arial" w:hAnsi="Arial" w:cs="Arial"/>
        </w:rPr>
        <w:t>values</w:t>
      </w:r>
      <w:r>
        <w:rPr>
          <w:rFonts w:ascii="Arial" w:hAnsi="Arial" w:cs="Arial"/>
        </w:rPr>
        <w:t xml:space="preserve"> </w:t>
      </w:r>
      <w:r w:rsidR="00C64B89">
        <w:rPr>
          <w:rFonts w:ascii="Arial" w:hAnsi="Arial" w:cs="Arial"/>
        </w:rPr>
        <w:t xml:space="preserve">simply </w:t>
      </w:r>
      <w:r>
        <w:rPr>
          <w:rFonts w:ascii="Arial" w:hAnsi="Arial" w:cs="Arial"/>
        </w:rPr>
        <w:t>by substituting from similar times of day and year, since carbon intensity is primarily dependent on the concurrent fuel mix, especially the wind penetration. This, in turn, can vary substantially from hour to hour with varying wind resource, as well as over longer timescales as the national demand and the selection of na</w:t>
      </w:r>
      <w:r w:rsidR="00464263">
        <w:rPr>
          <w:rFonts w:ascii="Arial" w:hAnsi="Arial" w:cs="Arial"/>
        </w:rPr>
        <w:t>tional generator units evolves.</w:t>
      </w:r>
      <w:r w:rsidR="00714DC4">
        <w:rPr>
          <w:rFonts w:ascii="Arial" w:hAnsi="Arial" w:cs="Arial"/>
        </w:rPr>
        <w:t xml:space="preserve"> </w:t>
      </w:r>
      <w:r w:rsidR="00AC3AB1">
        <w:rPr>
          <w:rFonts w:ascii="Arial" w:hAnsi="Arial" w:cs="Arial"/>
        </w:rPr>
        <w:t xml:space="preserve">For </w:t>
      </w:r>
      <w:r w:rsidR="006B3B5F">
        <w:rPr>
          <w:rFonts w:ascii="Arial" w:hAnsi="Arial" w:cs="Arial"/>
        </w:rPr>
        <w:t xml:space="preserve">estimating the missing values in the </w:t>
      </w:r>
      <w:r w:rsidR="00C64B89">
        <w:rPr>
          <w:rFonts w:ascii="Arial" w:hAnsi="Arial" w:cs="Arial"/>
        </w:rPr>
        <w:t>carbon-intensity record</w:t>
      </w:r>
      <w:r w:rsidR="003C4D9D">
        <w:rPr>
          <w:rFonts w:ascii="Arial" w:hAnsi="Arial" w:cs="Arial"/>
        </w:rPr>
        <w:t xml:space="preserve">, it was therefore important to </w:t>
      </w:r>
      <w:r w:rsidR="00C64B89">
        <w:rPr>
          <w:rFonts w:ascii="Arial" w:hAnsi="Arial" w:cs="Arial"/>
        </w:rPr>
        <w:t>use</w:t>
      </w:r>
      <w:r w:rsidR="003C4D9D">
        <w:rPr>
          <w:rFonts w:ascii="Arial" w:hAnsi="Arial" w:cs="Arial"/>
        </w:rPr>
        <w:t xml:space="preserve"> </w:t>
      </w:r>
      <w:r w:rsidR="004F05D6">
        <w:rPr>
          <w:rFonts w:ascii="Arial" w:hAnsi="Arial" w:cs="Arial"/>
        </w:rPr>
        <w:t>recent</w:t>
      </w:r>
      <w:r w:rsidR="00714DC4">
        <w:rPr>
          <w:rFonts w:ascii="Arial" w:hAnsi="Arial" w:cs="Arial"/>
        </w:rPr>
        <w:t xml:space="preserve"> </w:t>
      </w:r>
      <w:r w:rsidR="004F05D6">
        <w:rPr>
          <w:rFonts w:ascii="Arial" w:hAnsi="Arial" w:cs="Arial"/>
        </w:rPr>
        <w:t>observations</w:t>
      </w:r>
      <w:r w:rsidR="00714DC4">
        <w:rPr>
          <w:rFonts w:ascii="Arial" w:hAnsi="Arial" w:cs="Arial"/>
        </w:rPr>
        <w:t xml:space="preserve"> </w:t>
      </w:r>
      <w:r w:rsidR="003C4D9D">
        <w:rPr>
          <w:rFonts w:ascii="Arial" w:hAnsi="Arial" w:cs="Arial"/>
        </w:rPr>
        <w:t>from times with</w:t>
      </w:r>
      <w:r w:rsidR="00714DC4">
        <w:rPr>
          <w:rFonts w:ascii="Arial" w:hAnsi="Arial" w:cs="Arial"/>
        </w:rPr>
        <w:t xml:space="preserve"> similar grid conditions</w:t>
      </w:r>
      <w:r w:rsidR="003C4D9D">
        <w:rPr>
          <w:rFonts w:ascii="Arial" w:hAnsi="Arial" w:cs="Arial"/>
        </w:rPr>
        <w:t>.</w:t>
      </w:r>
      <w:r w:rsidR="008B308B">
        <w:rPr>
          <w:rFonts w:ascii="Arial" w:hAnsi="Arial" w:cs="Arial"/>
        </w:rPr>
        <w:t xml:space="preserve"> The</w:t>
      </w:r>
      <w:r w:rsidR="004F05D6">
        <w:rPr>
          <w:rFonts w:ascii="Arial" w:hAnsi="Arial" w:cs="Arial"/>
        </w:rPr>
        <w:t xml:space="preserve"> </w:t>
      </w:r>
      <w:r w:rsidR="004F05D6">
        <w:rPr>
          <w:rFonts w:ascii="Arial" w:hAnsi="Arial" w:cs="Arial"/>
        </w:rPr>
        <w:lastRenderedPageBreak/>
        <w:t>approach</w:t>
      </w:r>
      <w:r w:rsidR="008B308B">
        <w:rPr>
          <w:rFonts w:ascii="Arial" w:hAnsi="Arial" w:cs="Arial"/>
        </w:rPr>
        <w:t xml:space="preserve"> implemented</w:t>
      </w:r>
      <w:r w:rsidR="004F05D6">
        <w:rPr>
          <w:rFonts w:ascii="Arial" w:hAnsi="Arial" w:cs="Arial"/>
        </w:rPr>
        <w:t xml:space="preserve"> was thus to </w:t>
      </w:r>
      <w:r w:rsidR="00C64B89">
        <w:rPr>
          <w:rFonts w:ascii="Arial" w:hAnsi="Arial" w:cs="Arial"/>
        </w:rPr>
        <w:t>take</w:t>
      </w:r>
      <w:r w:rsidR="004F05D6">
        <w:rPr>
          <w:rFonts w:ascii="Arial" w:hAnsi="Arial" w:cs="Arial"/>
        </w:rPr>
        <w:t xml:space="preserve"> the </w:t>
      </w:r>
      <w:r w:rsidR="00AC3AB1">
        <w:rPr>
          <w:rFonts w:ascii="Arial" w:hAnsi="Arial" w:cs="Arial"/>
        </w:rPr>
        <w:t xml:space="preserve">median </w:t>
      </w:r>
      <w:r w:rsidR="004F05D6">
        <w:rPr>
          <w:rFonts w:ascii="Arial" w:hAnsi="Arial" w:cs="Arial"/>
        </w:rPr>
        <w:t>observed value</w:t>
      </w:r>
      <w:r w:rsidR="00AC3AB1">
        <w:rPr>
          <w:rFonts w:ascii="Arial" w:hAnsi="Arial" w:cs="Arial"/>
        </w:rPr>
        <w:t xml:space="preserve"> within 90 days, 2.5% wind penetration, and 500 MW system generation, as this was found to provide reasonably accurate estimates in a separate test sample.</w:t>
      </w:r>
      <w:r>
        <w:rPr>
          <w:rFonts w:ascii="Arial" w:hAnsi="Arial" w:cs="Arial"/>
        </w:rPr>
        <w:t xml:space="preserve"> Over the study year, the </w:t>
      </w:r>
      <w:r w:rsidR="006B3B5F">
        <w:rPr>
          <w:rFonts w:ascii="Arial" w:hAnsi="Arial" w:cs="Arial"/>
        </w:rPr>
        <w:t>resulting</w:t>
      </w:r>
      <w:r>
        <w:rPr>
          <w:rFonts w:ascii="Arial" w:hAnsi="Arial" w:cs="Arial"/>
        </w:rPr>
        <w:t xml:space="preserve"> carbon-intensity record ranged from 202.5 gCO</w:t>
      </w:r>
      <w:r w:rsidRPr="00587D9E">
        <w:rPr>
          <w:rFonts w:ascii="Arial" w:hAnsi="Arial" w:cs="Arial"/>
          <w:vertAlign w:val="subscript"/>
        </w:rPr>
        <w:t>2</w:t>
      </w:r>
      <w:r>
        <w:rPr>
          <w:rFonts w:ascii="Arial" w:hAnsi="Arial" w:cs="Arial"/>
        </w:rPr>
        <w:t>/kWh to 651.0 gCO</w:t>
      </w:r>
      <w:r w:rsidRPr="00587D9E">
        <w:rPr>
          <w:rFonts w:ascii="Arial" w:hAnsi="Arial" w:cs="Arial"/>
          <w:vertAlign w:val="subscript"/>
        </w:rPr>
        <w:t>2</w:t>
      </w:r>
      <w:r>
        <w:rPr>
          <w:rFonts w:ascii="Arial" w:hAnsi="Arial" w:cs="Arial"/>
        </w:rPr>
        <w:t>/kWh, with an average of 394.2 gCO</w:t>
      </w:r>
      <w:r w:rsidRPr="00587D9E">
        <w:rPr>
          <w:rFonts w:ascii="Arial" w:hAnsi="Arial" w:cs="Arial"/>
          <w:vertAlign w:val="subscript"/>
        </w:rPr>
        <w:t>2</w:t>
      </w:r>
      <w:r>
        <w:rPr>
          <w:rFonts w:ascii="Arial" w:hAnsi="Arial" w:cs="Arial"/>
        </w:rPr>
        <w:t>/kWh.</w:t>
      </w:r>
    </w:p>
    <w:p w:rsidR="00A45683" w:rsidRDefault="00A45683" w:rsidP="005F1B8F">
      <w:pPr>
        <w:spacing w:after="0" w:line="360" w:lineRule="auto"/>
        <w:jc w:val="both"/>
        <w:rPr>
          <w:rFonts w:ascii="Arial" w:hAnsi="Arial" w:cs="Arial"/>
        </w:rPr>
      </w:pPr>
    </w:p>
    <w:tbl>
      <w:tblPr>
        <w:tblStyle w:val="TableGrid"/>
        <w:tblW w:w="7286" w:type="dxa"/>
        <w:jc w:val="center"/>
        <w:tblLook w:val="04A0" w:firstRow="1" w:lastRow="0" w:firstColumn="1" w:lastColumn="0" w:noHBand="0" w:noVBand="1"/>
      </w:tblPr>
      <w:tblGrid>
        <w:gridCol w:w="3964"/>
        <w:gridCol w:w="3322"/>
      </w:tblGrid>
      <w:tr w:rsidR="00A45683" w:rsidTr="00EA36CD">
        <w:trPr>
          <w:jc w:val="center"/>
        </w:trPr>
        <w:tc>
          <w:tcPr>
            <w:tcW w:w="3964"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rsidR="00A45683" w:rsidRPr="008A60DC" w:rsidRDefault="008A60DC" w:rsidP="008A60DC">
            <w:pPr>
              <w:spacing w:line="360" w:lineRule="auto"/>
              <w:jc w:val="center"/>
              <w:rPr>
                <w:rFonts w:ascii="Arial" w:hAnsi="Arial" w:cs="Arial"/>
                <w:b/>
                <w:sz w:val="20"/>
                <w:szCs w:val="20"/>
              </w:rPr>
            </w:pPr>
            <w:r w:rsidRPr="008A60DC">
              <w:rPr>
                <w:rFonts w:ascii="Arial" w:hAnsi="Arial" w:cs="Arial"/>
                <w:b/>
                <w:sz w:val="20"/>
                <w:szCs w:val="20"/>
              </w:rPr>
              <w:t>Time-of-use category</w:t>
            </w:r>
          </w:p>
        </w:tc>
        <w:tc>
          <w:tcPr>
            <w:tcW w:w="332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rsidR="00A45683" w:rsidRPr="008A60DC" w:rsidRDefault="00EA36CD" w:rsidP="00CE219E">
            <w:pPr>
              <w:spacing w:line="360" w:lineRule="auto"/>
              <w:jc w:val="center"/>
              <w:rPr>
                <w:rFonts w:ascii="Arial" w:hAnsi="Arial" w:cs="Arial"/>
                <w:b/>
                <w:sz w:val="20"/>
                <w:szCs w:val="20"/>
              </w:rPr>
            </w:pPr>
            <w:r>
              <w:rPr>
                <w:rFonts w:ascii="Arial" w:hAnsi="Arial" w:cs="Arial"/>
                <w:b/>
                <w:sz w:val="20"/>
                <w:szCs w:val="20"/>
              </w:rPr>
              <w:t>Average u</w:t>
            </w:r>
            <w:r w:rsidR="00CE219E">
              <w:rPr>
                <w:rFonts w:ascii="Arial" w:hAnsi="Arial" w:cs="Arial"/>
                <w:b/>
                <w:sz w:val="20"/>
                <w:szCs w:val="20"/>
              </w:rPr>
              <w:t>nit price</w:t>
            </w:r>
            <w:r w:rsidR="008A60DC" w:rsidRPr="008A60DC">
              <w:rPr>
                <w:rFonts w:ascii="Arial" w:hAnsi="Arial" w:cs="Arial"/>
                <w:b/>
                <w:sz w:val="20"/>
                <w:szCs w:val="20"/>
              </w:rPr>
              <w:t xml:space="preserve"> [€/kWh]</w:t>
            </w:r>
          </w:p>
        </w:tc>
      </w:tr>
      <w:tr w:rsidR="00A45683" w:rsidTr="00EA36CD">
        <w:trPr>
          <w:jc w:val="center"/>
        </w:trPr>
        <w:tc>
          <w:tcPr>
            <w:tcW w:w="3964" w:type="dxa"/>
            <w:tcBorders>
              <w:top w:val="single" w:sz="12" w:space="0" w:color="auto"/>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summer weekday daytime</w:t>
            </w:r>
          </w:p>
        </w:tc>
        <w:tc>
          <w:tcPr>
            <w:tcW w:w="3322" w:type="dxa"/>
            <w:tcBorders>
              <w:top w:val="single" w:sz="12" w:space="0" w:color="auto"/>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0.0934</w:t>
            </w:r>
          </w:p>
        </w:tc>
      </w:tr>
      <w:tr w:rsidR="00A45683" w:rsidTr="00EA36CD">
        <w:trPr>
          <w:jc w:val="center"/>
        </w:trPr>
        <w:tc>
          <w:tcPr>
            <w:tcW w:w="3964"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summer weekend daytime</w:t>
            </w:r>
          </w:p>
        </w:tc>
        <w:tc>
          <w:tcPr>
            <w:tcW w:w="3322"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0.0800</w:t>
            </w:r>
          </w:p>
        </w:tc>
      </w:tr>
      <w:tr w:rsidR="00A45683" w:rsidTr="00EA36CD">
        <w:trPr>
          <w:jc w:val="center"/>
        </w:trPr>
        <w:tc>
          <w:tcPr>
            <w:tcW w:w="3964"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 xml:space="preserve">summer </w:t>
            </w:r>
            <w:proofErr w:type="spellStart"/>
            <w:r w:rsidRPr="008A60DC">
              <w:rPr>
                <w:rFonts w:ascii="Arial" w:hAnsi="Arial" w:cs="Arial"/>
                <w:sz w:val="20"/>
                <w:szCs w:val="20"/>
              </w:rPr>
              <w:t>nighttime</w:t>
            </w:r>
            <w:proofErr w:type="spellEnd"/>
          </w:p>
        </w:tc>
        <w:tc>
          <w:tcPr>
            <w:tcW w:w="3322" w:type="dxa"/>
            <w:tcBorders>
              <w:left w:val="single" w:sz="4" w:space="0" w:color="FFFFFF" w:themeColor="background1"/>
              <w:right w:val="single" w:sz="4" w:space="0" w:color="FFFFFF" w:themeColor="background1"/>
            </w:tcBorders>
          </w:tcPr>
          <w:p w:rsidR="008A60DC"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0.0508</w:t>
            </w:r>
          </w:p>
        </w:tc>
      </w:tr>
      <w:tr w:rsidR="00A45683" w:rsidTr="00EA36CD">
        <w:trPr>
          <w:jc w:val="center"/>
        </w:trPr>
        <w:tc>
          <w:tcPr>
            <w:tcW w:w="3964"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winter weekday peak daytime</w:t>
            </w:r>
          </w:p>
        </w:tc>
        <w:tc>
          <w:tcPr>
            <w:tcW w:w="3322"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0.1640</w:t>
            </w:r>
          </w:p>
        </w:tc>
      </w:tr>
      <w:tr w:rsidR="00A45683" w:rsidTr="00EA36CD">
        <w:trPr>
          <w:jc w:val="center"/>
        </w:trPr>
        <w:tc>
          <w:tcPr>
            <w:tcW w:w="3964"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winter weekday off-peak daytime</w:t>
            </w:r>
          </w:p>
        </w:tc>
        <w:tc>
          <w:tcPr>
            <w:tcW w:w="3322"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0.0968</w:t>
            </w:r>
          </w:p>
        </w:tc>
      </w:tr>
      <w:tr w:rsidR="00A45683" w:rsidTr="00EA36CD">
        <w:trPr>
          <w:jc w:val="center"/>
        </w:trPr>
        <w:tc>
          <w:tcPr>
            <w:tcW w:w="3964"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winter weekend daytime</w:t>
            </w:r>
          </w:p>
        </w:tc>
        <w:tc>
          <w:tcPr>
            <w:tcW w:w="3322" w:type="dxa"/>
            <w:tcBorders>
              <w:left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0.0937</w:t>
            </w:r>
          </w:p>
        </w:tc>
      </w:tr>
      <w:tr w:rsidR="00A45683" w:rsidTr="00EA36CD">
        <w:trPr>
          <w:jc w:val="center"/>
        </w:trPr>
        <w:tc>
          <w:tcPr>
            <w:tcW w:w="3964" w:type="dxa"/>
            <w:tcBorders>
              <w:left w:val="single" w:sz="4" w:space="0" w:color="FFFFFF" w:themeColor="background1"/>
              <w:bottom w:val="single" w:sz="4" w:space="0" w:color="FFFFFF" w:themeColor="background1"/>
              <w:right w:val="single" w:sz="4" w:space="0" w:color="FFFFFF" w:themeColor="background1"/>
            </w:tcBorders>
          </w:tcPr>
          <w:p w:rsidR="00A45683" w:rsidRPr="008A60DC" w:rsidRDefault="008A60DC" w:rsidP="008A60DC">
            <w:pPr>
              <w:spacing w:line="360" w:lineRule="auto"/>
              <w:jc w:val="center"/>
              <w:rPr>
                <w:rFonts w:ascii="Arial" w:hAnsi="Arial" w:cs="Arial"/>
                <w:sz w:val="20"/>
                <w:szCs w:val="20"/>
              </w:rPr>
            </w:pPr>
            <w:r w:rsidRPr="008A60DC">
              <w:rPr>
                <w:rFonts w:ascii="Arial" w:hAnsi="Arial" w:cs="Arial"/>
                <w:sz w:val="20"/>
                <w:szCs w:val="20"/>
              </w:rPr>
              <w:t xml:space="preserve">winter </w:t>
            </w:r>
            <w:proofErr w:type="spellStart"/>
            <w:r w:rsidRPr="008A60DC">
              <w:rPr>
                <w:rFonts w:ascii="Arial" w:hAnsi="Arial" w:cs="Arial"/>
                <w:sz w:val="20"/>
                <w:szCs w:val="20"/>
              </w:rPr>
              <w:t>nighttime</w:t>
            </w:r>
            <w:proofErr w:type="spellEnd"/>
          </w:p>
        </w:tc>
        <w:tc>
          <w:tcPr>
            <w:tcW w:w="3322" w:type="dxa"/>
            <w:tcBorders>
              <w:left w:val="single" w:sz="4" w:space="0" w:color="FFFFFF" w:themeColor="background1"/>
              <w:bottom w:val="single" w:sz="4" w:space="0" w:color="FFFFFF" w:themeColor="background1"/>
              <w:right w:val="single" w:sz="4" w:space="0" w:color="FFFFFF" w:themeColor="background1"/>
            </w:tcBorders>
          </w:tcPr>
          <w:p w:rsidR="00A45683" w:rsidRPr="008A60DC" w:rsidRDefault="008A60DC" w:rsidP="008A60DC">
            <w:pPr>
              <w:keepNext/>
              <w:spacing w:line="360" w:lineRule="auto"/>
              <w:jc w:val="center"/>
              <w:rPr>
                <w:rFonts w:ascii="Arial" w:hAnsi="Arial" w:cs="Arial"/>
                <w:sz w:val="20"/>
                <w:szCs w:val="20"/>
              </w:rPr>
            </w:pPr>
            <w:r w:rsidRPr="008A60DC">
              <w:rPr>
                <w:rFonts w:ascii="Arial" w:hAnsi="Arial" w:cs="Arial"/>
                <w:sz w:val="20"/>
                <w:szCs w:val="20"/>
              </w:rPr>
              <w:t>0.0521</w:t>
            </w:r>
          </w:p>
        </w:tc>
      </w:tr>
    </w:tbl>
    <w:p w:rsidR="009B5AC1" w:rsidRPr="009B5AC1" w:rsidRDefault="008A60DC" w:rsidP="009B5AC1">
      <w:pPr>
        <w:pStyle w:val="Caption"/>
        <w:jc w:val="center"/>
        <w:rPr>
          <w:rFonts w:ascii="Arial" w:hAnsi="Arial" w:cs="Arial"/>
          <w:i w:val="0"/>
          <w:color w:val="000000" w:themeColor="text1"/>
        </w:rPr>
      </w:pPr>
      <w:r w:rsidRPr="009B5AC1">
        <w:rPr>
          <w:rFonts w:ascii="Arial" w:hAnsi="Arial" w:cs="Arial"/>
          <w:i w:val="0"/>
          <w:color w:val="000000" w:themeColor="text1"/>
        </w:rPr>
        <w:t xml:space="preserve">Table </w:t>
      </w:r>
      <w:r w:rsidR="009B5AC1" w:rsidRPr="009B5AC1">
        <w:rPr>
          <w:rFonts w:ascii="Arial" w:hAnsi="Arial" w:cs="Arial"/>
          <w:i w:val="0"/>
          <w:color w:val="000000" w:themeColor="text1"/>
        </w:rPr>
        <w:t xml:space="preserve">1 Dundalk Institute of Technology’s import time-of-use categories and average </w:t>
      </w:r>
      <w:r w:rsidR="00CE219E">
        <w:rPr>
          <w:rFonts w:ascii="Arial" w:hAnsi="Arial" w:cs="Arial"/>
          <w:i w:val="0"/>
          <w:color w:val="000000" w:themeColor="text1"/>
        </w:rPr>
        <w:t>unit prices</w:t>
      </w:r>
      <w:r w:rsidR="009B5AC1" w:rsidRPr="009B5AC1">
        <w:rPr>
          <w:rFonts w:ascii="Arial" w:hAnsi="Arial" w:cs="Arial"/>
          <w:i w:val="0"/>
          <w:color w:val="000000" w:themeColor="text1"/>
        </w:rPr>
        <w:t xml:space="preserve"> over the study ye</w:t>
      </w:r>
      <w:r w:rsidR="009B5AC1">
        <w:rPr>
          <w:rFonts w:ascii="Arial" w:hAnsi="Arial" w:cs="Arial"/>
          <w:i w:val="0"/>
          <w:color w:val="000000" w:themeColor="text1"/>
        </w:rPr>
        <w:t>ar.</w:t>
      </w:r>
      <w:r w:rsidR="009B5AC1" w:rsidRPr="009B5AC1">
        <w:rPr>
          <w:rFonts w:ascii="Arial" w:hAnsi="Arial" w:cs="Arial"/>
          <w:i w:val="0"/>
          <w:color w:val="000000" w:themeColor="text1"/>
        </w:rPr>
        <w:t xml:space="preserve"> </w:t>
      </w:r>
      <w:r w:rsidR="009B5AC1" w:rsidRPr="009B5AC1">
        <w:rPr>
          <w:rFonts w:ascii="Arial" w:hAnsi="Arial" w:cs="Arial"/>
          <w:i w:val="0"/>
          <w:color w:val="000000" w:themeColor="text1"/>
        </w:rPr>
        <w:t>Here “daytime” is defined as 08:00 to 23:00 UTC, “peak daytime” is defined as 17:00 to 19:00 UTC, and “</w:t>
      </w:r>
      <w:proofErr w:type="spellStart"/>
      <w:r w:rsidR="009B5AC1" w:rsidRPr="009B5AC1">
        <w:rPr>
          <w:rFonts w:ascii="Arial" w:hAnsi="Arial" w:cs="Arial"/>
          <w:i w:val="0"/>
          <w:color w:val="000000" w:themeColor="text1"/>
        </w:rPr>
        <w:t>nighttime</w:t>
      </w:r>
      <w:proofErr w:type="spellEnd"/>
      <w:r w:rsidR="009B5AC1" w:rsidRPr="009B5AC1">
        <w:rPr>
          <w:rFonts w:ascii="Arial" w:hAnsi="Arial" w:cs="Arial"/>
          <w:i w:val="0"/>
          <w:color w:val="000000" w:themeColor="text1"/>
        </w:rPr>
        <w:t>” is defined as 23:00 to 08:00 UTC. “Summer” is defined as March to October, and “winter” is defined as November to February.</w:t>
      </w:r>
      <w:r w:rsidR="009B5AC1">
        <w:rPr>
          <w:rFonts w:ascii="Arial" w:hAnsi="Arial" w:cs="Arial"/>
          <w:i w:val="0"/>
          <w:color w:val="000000" w:themeColor="text1"/>
        </w:rPr>
        <w:br/>
        <w:t>[single-column image]</w:t>
      </w:r>
    </w:p>
    <w:p w:rsidR="009B5AC1" w:rsidRDefault="009B5AC1" w:rsidP="005F1B8F">
      <w:pPr>
        <w:spacing w:after="0" w:line="360" w:lineRule="auto"/>
        <w:jc w:val="both"/>
        <w:rPr>
          <w:rFonts w:ascii="Arial" w:hAnsi="Arial" w:cs="Arial"/>
        </w:rPr>
      </w:pPr>
    </w:p>
    <w:p w:rsidR="009B5AC1" w:rsidRDefault="009B5AC1" w:rsidP="009B5AC1">
      <w:pPr>
        <w:spacing w:after="0" w:line="360" w:lineRule="auto"/>
        <w:jc w:val="both"/>
        <w:rPr>
          <w:rFonts w:ascii="Arial" w:hAnsi="Arial" w:cs="Arial"/>
        </w:rPr>
      </w:pPr>
      <w:r>
        <w:rPr>
          <w:rFonts w:ascii="Arial" w:hAnsi="Arial" w:cs="Arial"/>
        </w:rPr>
        <w:t>2.4 Electricity billing</w:t>
      </w:r>
    </w:p>
    <w:p w:rsidR="005F1B8F" w:rsidRDefault="00C7357F" w:rsidP="005F1B8F">
      <w:pPr>
        <w:spacing w:after="0" w:line="360" w:lineRule="auto"/>
        <w:jc w:val="both"/>
        <w:rPr>
          <w:rFonts w:ascii="Arial" w:hAnsi="Arial" w:cs="Arial"/>
        </w:rPr>
      </w:pPr>
      <w:r>
        <w:rPr>
          <w:rFonts w:ascii="Arial" w:hAnsi="Arial" w:cs="Arial"/>
        </w:rPr>
        <w:t xml:space="preserve">Over the study year, </w:t>
      </w:r>
      <w:proofErr w:type="spellStart"/>
      <w:r>
        <w:rPr>
          <w:rFonts w:ascii="Arial" w:hAnsi="Arial" w:cs="Arial"/>
        </w:rPr>
        <w:t>DkIT’s</w:t>
      </w:r>
      <w:proofErr w:type="spellEnd"/>
      <w:r>
        <w:rPr>
          <w:rFonts w:ascii="Arial" w:hAnsi="Arial" w:cs="Arial"/>
        </w:rPr>
        <w:t xml:space="preserve"> actual billing of electricity imports was based on TOU, wit</w:t>
      </w:r>
      <w:r w:rsidR="009B5AC1">
        <w:rPr>
          <w:rFonts w:ascii="Arial" w:hAnsi="Arial" w:cs="Arial"/>
        </w:rPr>
        <w:t xml:space="preserve">h unit rates and additional </w:t>
      </w:r>
      <w:r>
        <w:rPr>
          <w:rFonts w:ascii="Arial" w:hAnsi="Arial" w:cs="Arial"/>
        </w:rPr>
        <w:t>charges</w:t>
      </w:r>
      <w:r w:rsidR="009B5AC1">
        <w:rPr>
          <w:rFonts w:ascii="Arial" w:hAnsi="Arial" w:cs="Arial"/>
        </w:rPr>
        <w:t xml:space="preserve"> fixed </w:t>
      </w:r>
      <w:r w:rsidR="00223AE4">
        <w:rPr>
          <w:rFonts w:ascii="Arial" w:hAnsi="Arial" w:cs="Arial"/>
        </w:rPr>
        <w:t xml:space="preserve">on a </w:t>
      </w:r>
      <w:r w:rsidR="009B5AC1">
        <w:rPr>
          <w:rFonts w:ascii="Arial" w:hAnsi="Arial" w:cs="Arial"/>
        </w:rPr>
        <w:t>monthly</w:t>
      </w:r>
      <w:r w:rsidR="00223AE4">
        <w:rPr>
          <w:rFonts w:ascii="Arial" w:hAnsi="Arial" w:cs="Arial"/>
        </w:rPr>
        <w:t xml:space="preserve"> basis</w:t>
      </w:r>
      <w:r w:rsidR="009B5AC1">
        <w:rPr>
          <w:rFonts w:ascii="Arial" w:hAnsi="Arial" w:cs="Arial"/>
        </w:rPr>
        <w:t>.</w:t>
      </w:r>
      <w:r w:rsidR="009B5AC1">
        <w:rPr>
          <w:rFonts w:ascii="Arial" w:hAnsi="Arial" w:cs="Arial"/>
        </w:rPr>
        <w:t xml:space="preserve"> The TOU categories and corresponding average unit </w:t>
      </w:r>
      <w:r w:rsidR="00CE219E">
        <w:rPr>
          <w:rFonts w:ascii="Arial" w:hAnsi="Arial" w:cs="Arial"/>
        </w:rPr>
        <w:t>prices</w:t>
      </w:r>
      <w:r w:rsidR="009B5AC1">
        <w:rPr>
          <w:rFonts w:ascii="Arial" w:hAnsi="Arial" w:cs="Arial"/>
        </w:rPr>
        <w:t xml:space="preserve"> over </w:t>
      </w:r>
      <w:r w:rsidR="00223AE4">
        <w:rPr>
          <w:rFonts w:ascii="Arial" w:hAnsi="Arial" w:cs="Arial"/>
        </w:rPr>
        <w:t>the period examined are</w:t>
      </w:r>
      <w:r w:rsidR="009B5AC1">
        <w:rPr>
          <w:rFonts w:ascii="Arial" w:hAnsi="Arial" w:cs="Arial"/>
        </w:rPr>
        <w:t xml:space="preserve"> given in </w:t>
      </w:r>
      <w:r w:rsidR="009B5AC1" w:rsidRPr="009B5AC1">
        <w:rPr>
          <w:rFonts w:ascii="Arial" w:hAnsi="Arial" w:cs="Arial"/>
          <w:color w:val="0070C0"/>
        </w:rPr>
        <w:t>Table 1</w:t>
      </w:r>
      <w:r w:rsidR="009B5AC1">
        <w:rPr>
          <w:rFonts w:ascii="Arial" w:hAnsi="Arial" w:cs="Arial"/>
        </w:rPr>
        <w:t xml:space="preserve">. </w:t>
      </w:r>
      <w:r w:rsidR="00DF184F">
        <w:rPr>
          <w:rFonts w:ascii="Arial" w:hAnsi="Arial" w:cs="Arial"/>
        </w:rPr>
        <w:t>Note that all prices given in this study exclude value added tax (VAT).</w:t>
      </w:r>
      <w:r w:rsidR="005F1B8F">
        <w:rPr>
          <w:rFonts w:ascii="Arial" w:hAnsi="Arial" w:cs="Arial"/>
        </w:rPr>
        <w:t xml:space="preserve"> In addition to these energy charges the bills comprised a standing charge averaging €147 per month, an MIC-dependent capacity charge averaging €2,583 per month, and an MIC-dependent public service obligation (PSO) levy averaging €4,778 per month. One month (April 2018) also included a low power factor surcharge of €11. The final (separately billed) electricity-related charge is the maintenance cost of the wind turbine, which averages €19,019 per year, based on the years 2009 to 2017.</w:t>
      </w:r>
    </w:p>
    <w:p w:rsidR="005F1B8F" w:rsidRDefault="005F1B8F" w:rsidP="005F1B8F">
      <w:pPr>
        <w:spacing w:after="0" w:line="360" w:lineRule="auto"/>
        <w:ind w:firstLine="720"/>
        <w:jc w:val="both"/>
        <w:rPr>
          <w:rFonts w:ascii="Arial" w:hAnsi="Arial" w:cs="Arial"/>
        </w:rPr>
      </w:pPr>
      <w:r>
        <w:rPr>
          <w:rFonts w:ascii="Arial" w:hAnsi="Arial" w:cs="Arial"/>
        </w:rPr>
        <w:t>Whi</w:t>
      </w:r>
      <w:r w:rsidR="00C22551">
        <w:rPr>
          <w:rFonts w:ascii="Arial" w:hAnsi="Arial" w:cs="Arial"/>
        </w:rPr>
        <w:t xml:space="preserve">le the college’s imports are </w:t>
      </w:r>
      <w:r>
        <w:rPr>
          <w:rFonts w:ascii="Arial" w:hAnsi="Arial" w:cs="Arial"/>
        </w:rPr>
        <w:t xml:space="preserve">billed at fixed rates, exports are already billed through </w:t>
      </w:r>
      <w:r w:rsidR="00836432">
        <w:rPr>
          <w:rFonts w:ascii="Arial" w:hAnsi="Arial" w:cs="Arial"/>
        </w:rPr>
        <w:t>HHP</w:t>
      </w:r>
      <w:r>
        <w:rPr>
          <w:rFonts w:ascii="Arial" w:hAnsi="Arial" w:cs="Arial"/>
        </w:rPr>
        <w:t>. Over the study year, the half-hourly credit received for exporting was:</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sidRPr="001E0235">
        <w:rPr>
          <w:rFonts w:ascii="Arial" w:hAnsi="Arial" w:cs="Arial"/>
        </w:rPr>
        <w:t>EC</w:t>
      </w:r>
      <w:r>
        <w:rPr>
          <w:rFonts w:ascii="Arial" w:hAnsi="Arial" w:cs="Arial"/>
        </w:rPr>
        <w:t xml:space="preserve"> = 0.92 * </w:t>
      </w:r>
      <w:r w:rsidRPr="00C9688D">
        <w:rPr>
          <w:rFonts w:ascii="Arial" w:hAnsi="Arial" w:cs="Arial"/>
          <w:i/>
        </w:rPr>
        <w:t>E</w:t>
      </w:r>
      <w:r>
        <w:rPr>
          <w:rFonts w:ascii="Arial" w:hAnsi="Arial" w:cs="Arial"/>
        </w:rPr>
        <w:t xml:space="preserve"> * LAF * (SMP + CP),</w:t>
      </w:r>
      <w:r>
        <w:rPr>
          <w:rFonts w:ascii="Arial" w:hAnsi="Arial" w:cs="Arial"/>
        </w:rPr>
        <w:tab/>
      </w:r>
      <w:r>
        <w:rPr>
          <w:rFonts w:ascii="Arial" w:hAnsi="Arial" w:cs="Arial"/>
        </w:rPr>
        <w:tab/>
        <w:t>(3)</w:t>
      </w:r>
    </w:p>
    <w:p w:rsidR="005F1B8F" w:rsidRDefault="005F1B8F" w:rsidP="005F1B8F">
      <w:pPr>
        <w:spacing w:after="0" w:line="360" w:lineRule="auto"/>
        <w:jc w:val="both"/>
        <w:rPr>
          <w:rFonts w:ascii="Arial" w:hAnsi="Arial" w:cs="Arial"/>
        </w:rPr>
      </w:pPr>
    </w:p>
    <w:p w:rsidR="005F1B8F" w:rsidRDefault="007713D3" w:rsidP="005F1B8F">
      <w:pPr>
        <w:spacing w:after="0" w:line="360" w:lineRule="auto"/>
        <w:jc w:val="both"/>
        <w:rPr>
          <w:rFonts w:ascii="Arial" w:hAnsi="Arial" w:cs="Arial"/>
        </w:rPr>
      </w:pPr>
      <w:r>
        <w:rPr>
          <w:rFonts w:ascii="Arial" w:hAnsi="Arial" w:cs="Arial"/>
        </w:rPr>
        <w:t>where EC [</w:t>
      </w:r>
      <w:r w:rsidR="005F1B8F">
        <w:rPr>
          <w:rFonts w:ascii="Arial" w:hAnsi="Arial" w:cs="Arial"/>
        </w:rPr>
        <w:t>€</w:t>
      </w:r>
      <w:r>
        <w:rPr>
          <w:rFonts w:ascii="Arial" w:hAnsi="Arial" w:cs="Arial"/>
        </w:rPr>
        <w:t>]</w:t>
      </w:r>
      <w:r w:rsidR="005F1B8F">
        <w:rPr>
          <w:rFonts w:ascii="Arial" w:hAnsi="Arial" w:cs="Arial"/>
        </w:rPr>
        <w:t xml:space="preserve"> is the export credit; </w:t>
      </w:r>
      <w:r w:rsidR="005F1B8F" w:rsidRPr="001E0235">
        <w:rPr>
          <w:rFonts w:ascii="Arial" w:hAnsi="Arial" w:cs="Arial"/>
          <w:i/>
        </w:rPr>
        <w:t>E</w:t>
      </w:r>
      <w:r>
        <w:rPr>
          <w:rFonts w:ascii="Arial" w:hAnsi="Arial" w:cs="Arial"/>
        </w:rPr>
        <w:t xml:space="preserve"> [kWh]</w:t>
      </w:r>
      <w:r w:rsidR="005F1B8F">
        <w:rPr>
          <w:rFonts w:ascii="Arial" w:hAnsi="Arial" w:cs="Arial"/>
        </w:rPr>
        <w:t xml:space="preserve"> is the energy exported in the half-hour; LAF is the time-dependent distribution loss-adjustment factor set once a year by the ESB</w:t>
      </w:r>
      <w:r w:rsidR="00705BFF">
        <w:rPr>
          <w:rFonts w:ascii="Arial" w:hAnsi="Arial" w:cs="Arial"/>
        </w:rPr>
        <w:t>N</w:t>
      </w:r>
      <w:r w:rsidR="000A2041">
        <w:rPr>
          <w:rFonts w:ascii="Arial" w:hAnsi="Arial" w:cs="Arial"/>
        </w:rPr>
        <w:t>,</w:t>
      </w:r>
      <w:r w:rsidR="005F1B8F">
        <w:rPr>
          <w:rFonts w:ascii="Arial" w:hAnsi="Arial" w:cs="Arial"/>
        </w:rPr>
        <w:t xml:space="preserve"> and pro</w:t>
      </w:r>
      <w:r>
        <w:rPr>
          <w:rFonts w:ascii="Arial" w:hAnsi="Arial" w:cs="Arial"/>
        </w:rPr>
        <w:t xml:space="preserve">vided on the </w:t>
      </w:r>
      <w:r w:rsidR="00A446D1">
        <w:rPr>
          <w:rFonts w:ascii="Arial" w:hAnsi="Arial" w:cs="Arial"/>
        </w:rPr>
        <w:t xml:space="preserve">college’s </w:t>
      </w:r>
      <w:r>
        <w:rPr>
          <w:rFonts w:ascii="Arial" w:hAnsi="Arial" w:cs="Arial"/>
        </w:rPr>
        <w:t>export bills; SMP [</w:t>
      </w:r>
      <w:r w:rsidR="005F1B8F">
        <w:rPr>
          <w:rFonts w:ascii="Arial" w:hAnsi="Arial" w:cs="Arial"/>
        </w:rPr>
        <w:t>€/</w:t>
      </w:r>
      <w:r>
        <w:rPr>
          <w:rFonts w:ascii="Arial" w:hAnsi="Arial" w:cs="Arial"/>
        </w:rPr>
        <w:t>kWh]</w:t>
      </w:r>
      <w:r w:rsidR="005F1B8F">
        <w:rPr>
          <w:rFonts w:ascii="Arial" w:hAnsi="Arial" w:cs="Arial"/>
        </w:rPr>
        <w:t xml:space="preserve"> is the half-hourly system marginal price available from </w:t>
      </w:r>
      <w:r w:rsidR="005F1B8F" w:rsidRPr="000B6FD1">
        <w:rPr>
          <w:rFonts w:ascii="Arial" w:hAnsi="Arial" w:cs="Arial"/>
          <w:color w:val="0070C0"/>
        </w:rPr>
        <w:t>[20]</w:t>
      </w:r>
      <w:r w:rsidR="000A2041">
        <w:rPr>
          <w:rFonts w:ascii="Arial" w:hAnsi="Arial" w:cs="Arial"/>
        </w:rPr>
        <w:t>; and CP [€/kWh]</w:t>
      </w:r>
      <w:r w:rsidR="005F1B8F">
        <w:rPr>
          <w:rFonts w:ascii="Arial" w:hAnsi="Arial" w:cs="Arial"/>
        </w:rPr>
        <w:t xml:space="preserve"> is the half-hourly capacity price, also provided on the export bills. Over the study year, the SMP ranged from</w:t>
      </w:r>
      <w:r w:rsidR="000C1314">
        <w:rPr>
          <w:rFonts w:ascii="Arial" w:hAnsi="Arial" w:cs="Arial"/>
        </w:rPr>
        <w:t xml:space="preserve"> –</w:t>
      </w:r>
      <w:r w:rsidR="005F1B8F">
        <w:rPr>
          <w:rFonts w:ascii="Arial" w:hAnsi="Arial" w:cs="Arial"/>
        </w:rPr>
        <w:t xml:space="preserve">€0.1000 per kWh to €1.0000 per kWh, with a </w:t>
      </w:r>
      <w:r w:rsidR="005F1B8F">
        <w:rPr>
          <w:rFonts w:ascii="Arial" w:hAnsi="Arial" w:cs="Arial"/>
        </w:rPr>
        <w:lastRenderedPageBreak/>
        <w:t>mean of €0.0565 per kWh. Likewise, the capacity price ranged from €0.0000 per kWh to €0.0345 per kWh, with a mean of €0.0141 per kWh.</w:t>
      </w:r>
    </w:p>
    <w:p w:rsidR="005F1B8F" w:rsidRDefault="005F1B8F" w:rsidP="005F1B8F">
      <w:pPr>
        <w:spacing w:after="0" w:line="360" w:lineRule="auto"/>
        <w:ind w:firstLine="720"/>
        <w:jc w:val="both"/>
        <w:rPr>
          <w:rFonts w:ascii="Arial" w:hAnsi="Arial" w:cs="Arial"/>
        </w:rPr>
      </w:pPr>
      <w:r>
        <w:rPr>
          <w:rFonts w:ascii="Arial" w:hAnsi="Arial" w:cs="Arial"/>
        </w:rPr>
        <w:t>To assess the economic benefit of switching from fixed TOU bill</w:t>
      </w:r>
      <w:r w:rsidR="00836432">
        <w:rPr>
          <w:rFonts w:ascii="Arial" w:hAnsi="Arial" w:cs="Arial"/>
        </w:rPr>
        <w:t>ing of imports to full HHP</w:t>
      </w:r>
      <w:r>
        <w:rPr>
          <w:rFonts w:ascii="Arial" w:hAnsi="Arial" w:cs="Arial"/>
        </w:rPr>
        <w:t>, the</w:t>
      </w:r>
      <w:r w:rsidR="008B308B">
        <w:rPr>
          <w:rFonts w:ascii="Arial" w:hAnsi="Arial" w:cs="Arial"/>
        </w:rPr>
        <w:t xml:space="preserve"> </w:t>
      </w:r>
      <w:r w:rsidR="00A446D1">
        <w:rPr>
          <w:rFonts w:ascii="Arial" w:hAnsi="Arial" w:cs="Arial"/>
        </w:rPr>
        <w:t xml:space="preserve">college’s </w:t>
      </w:r>
      <w:r w:rsidR="008B308B">
        <w:rPr>
          <w:rFonts w:ascii="Arial" w:hAnsi="Arial" w:cs="Arial"/>
        </w:rPr>
        <w:t>net</w:t>
      </w:r>
      <w:r>
        <w:rPr>
          <w:rFonts w:ascii="Arial" w:hAnsi="Arial" w:cs="Arial"/>
        </w:rPr>
        <w:t xml:space="preserve"> </w:t>
      </w:r>
      <w:r w:rsidR="00A446D1">
        <w:rPr>
          <w:rFonts w:ascii="Arial" w:hAnsi="Arial" w:cs="Arial"/>
        </w:rPr>
        <w:t>electricity cost for the study year</w:t>
      </w:r>
      <w:r>
        <w:rPr>
          <w:rFonts w:ascii="Arial" w:hAnsi="Arial" w:cs="Arial"/>
        </w:rPr>
        <w:t xml:space="preserve"> under each tariff structure </w:t>
      </w:r>
      <w:r w:rsidR="00A446D1">
        <w:rPr>
          <w:rFonts w:ascii="Arial" w:hAnsi="Arial" w:cs="Arial"/>
        </w:rPr>
        <w:t>was</w:t>
      </w:r>
      <w:r>
        <w:rPr>
          <w:rFonts w:ascii="Arial" w:hAnsi="Arial" w:cs="Arial"/>
        </w:rPr>
        <w:t xml:space="preserve"> considered, using the measured or estimated half-hourly usage profiles with and without the turbine present. As with </w:t>
      </w:r>
      <w:r w:rsidRPr="000B6FD1">
        <w:rPr>
          <w:rFonts w:ascii="Arial" w:hAnsi="Arial" w:cs="Arial"/>
          <w:color w:val="0070C0"/>
        </w:rPr>
        <w:t>[8]</w:t>
      </w:r>
      <w:r>
        <w:rPr>
          <w:rFonts w:ascii="Arial" w:hAnsi="Arial" w:cs="Arial"/>
        </w:rPr>
        <w:t>, we assumed no change in consumption pattern related to this switch. The half-</w:t>
      </w:r>
      <w:r w:rsidR="00836432">
        <w:rPr>
          <w:rFonts w:ascii="Arial" w:hAnsi="Arial" w:cs="Arial"/>
        </w:rPr>
        <w:t>hourly price of imports under HH</w:t>
      </w:r>
      <w:r>
        <w:rPr>
          <w:rFonts w:ascii="Arial" w:hAnsi="Arial" w:cs="Arial"/>
        </w:rPr>
        <w:t>P was set as:</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t xml:space="preserve">IP = </w:t>
      </w:r>
      <w:r w:rsidRPr="00C9688D">
        <w:rPr>
          <w:rFonts w:ascii="Arial" w:hAnsi="Arial" w:cs="Arial"/>
          <w:i/>
        </w:rPr>
        <w:t>I</w:t>
      </w:r>
      <w:r>
        <w:rPr>
          <w:rFonts w:ascii="Arial" w:hAnsi="Arial" w:cs="Arial"/>
        </w:rPr>
        <w:t xml:space="preserve"> * (SMP + CP),</w:t>
      </w:r>
      <w:r>
        <w:rPr>
          <w:rFonts w:ascii="Arial" w:hAnsi="Arial" w:cs="Arial"/>
        </w:rPr>
        <w:tab/>
      </w:r>
      <w:r>
        <w:rPr>
          <w:rFonts w:ascii="Arial" w:hAnsi="Arial" w:cs="Arial"/>
        </w:rPr>
        <w:tab/>
        <w:t>(4)</w:t>
      </w:r>
    </w:p>
    <w:p w:rsidR="005F1B8F" w:rsidRDefault="005F1B8F" w:rsidP="005F1B8F">
      <w:pPr>
        <w:spacing w:after="0" w:line="360" w:lineRule="auto"/>
        <w:jc w:val="both"/>
        <w:rPr>
          <w:rFonts w:ascii="Arial" w:hAnsi="Arial" w:cs="Arial"/>
        </w:rPr>
      </w:pPr>
    </w:p>
    <w:p w:rsidR="005F1B8F" w:rsidRDefault="005F1B8F" w:rsidP="005F1B8F">
      <w:pPr>
        <w:spacing w:after="0" w:line="360" w:lineRule="auto"/>
        <w:jc w:val="both"/>
        <w:rPr>
          <w:rFonts w:ascii="Arial" w:hAnsi="Arial" w:cs="Arial"/>
        </w:rPr>
      </w:pPr>
      <w:r>
        <w:rPr>
          <w:rFonts w:ascii="Arial" w:hAnsi="Arial" w:cs="Arial"/>
        </w:rPr>
        <w:t>where IP</w:t>
      </w:r>
      <w:r w:rsidR="000A2041">
        <w:rPr>
          <w:rFonts w:ascii="Arial" w:hAnsi="Arial" w:cs="Arial"/>
        </w:rPr>
        <w:t xml:space="preserve"> [€]</w:t>
      </w:r>
      <w:r w:rsidR="00C01992">
        <w:rPr>
          <w:rFonts w:ascii="Arial" w:hAnsi="Arial" w:cs="Arial"/>
        </w:rPr>
        <w:t xml:space="preserve"> is the import price,</w:t>
      </w:r>
      <w:r>
        <w:rPr>
          <w:rFonts w:ascii="Arial" w:hAnsi="Arial" w:cs="Arial"/>
        </w:rPr>
        <w:t xml:space="preserve"> </w:t>
      </w:r>
      <w:r w:rsidRPr="00C9688D">
        <w:rPr>
          <w:rFonts w:ascii="Arial" w:hAnsi="Arial" w:cs="Arial"/>
          <w:i/>
        </w:rPr>
        <w:t>I</w:t>
      </w:r>
      <w:r w:rsidR="000A2041">
        <w:rPr>
          <w:rFonts w:ascii="Arial" w:hAnsi="Arial" w:cs="Arial"/>
        </w:rPr>
        <w:t xml:space="preserve"> [kWh]</w:t>
      </w:r>
      <w:r>
        <w:rPr>
          <w:rFonts w:ascii="Arial" w:hAnsi="Arial" w:cs="Arial"/>
        </w:rPr>
        <w:t xml:space="preserve"> is the energy imported in the half-hour</w:t>
      </w:r>
      <w:r w:rsidR="00C01992">
        <w:rPr>
          <w:rFonts w:ascii="Arial" w:hAnsi="Arial" w:cs="Arial"/>
        </w:rPr>
        <w:t>, and SMP and CP are the system marginal price and the capacity price, as above</w:t>
      </w:r>
      <w:r>
        <w:rPr>
          <w:rFonts w:ascii="Arial" w:hAnsi="Arial" w:cs="Arial"/>
        </w:rPr>
        <w:t>. No add</w:t>
      </w:r>
      <w:r w:rsidR="00836432">
        <w:rPr>
          <w:rFonts w:ascii="Arial" w:hAnsi="Arial" w:cs="Arial"/>
        </w:rPr>
        <w:t>itional charges were assumed. HH</w:t>
      </w:r>
      <w:r>
        <w:rPr>
          <w:rFonts w:ascii="Arial" w:hAnsi="Arial" w:cs="Arial"/>
        </w:rPr>
        <w:t>P thus represents a purely energy-dependent tariff structure.</w:t>
      </w:r>
    </w:p>
    <w:p w:rsidR="005F1B8F" w:rsidRDefault="005F1B8F" w:rsidP="005F1B8F">
      <w:pPr>
        <w:spacing w:after="0" w:line="360" w:lineRule="auto"/>
        <w:jc w:val="both"/>
        <w:rPr>
          <w:rFonts w:ascii="Arial" w:hAnsi="Arial" w:cs="Arial"/>
        </w:rPr>
      </w:pPr>
    </w:p>
    <w:p w:rsidR="005F1B8F" w:rsidRDefault="00DF1426" w:rsidP="005F1B8F">
      <w:pPr>
        <w:spacing w:after="0" w:line="360" w:lineRule="auto"/>
        <w:jc w:val="both"/>
        <w:rPr>
          <w:rFonts w:ascii="Arial" w:hAnsi="Arial" w:cs="Arial"/>
        </w:rPr>
      </w:pPr>
      <w:r>
        <w:rPr>
          <w:rFonts w:ascii="Arial" w:hAnsi="Arial" w:cs="Arial"/>
        </w:rPr>
        <w:t>2.5</w:t>
      </w:r>
      <w:r w:rsidR="005F1B8F">
        <w:rPr>
          <w:rFonts w:ascii="Arial" w:hAnsi="Arial" w:cs="Arial"/>
        </w:rPr>
        <w:t xml:space="preserve"> Electrical carbon impact</w:t>
      </w:r>
    </w:p>
    <w:p w:rsidR="005F1B8F" w:rsidRDefault="005F1B8F" w:rsidP="005F1B8F">
      <w:pPr>
        <w:spacing w:after="0" w:line="360" w:lineRule="auto"/>
        <w:jc w:val="both"/>
        <w:rPr>
          <w:rFonts w:ascii="Arial" w:hAnsi="Arial" w:cs="Arial"/>
        </w:rPr>
      </w:pPr>
      <w:r>
        <w:rPr>
          <w:rFonts w:ascii="Arial" w:hAnsi="Arial" w:cs="Arial"/>
        </w:rPr>
        <w:t>For each scenario of having or not having a wind turbine, DkIT’s electrical CO</w:t>
      </w:r>
      <w:r w:rsidRPr="00080C90">
        <w:rPr>
          <w:rFonts w:ascii="Arial" w:hAnsi="Arial" w:cs="Arial"/>
          <w:vertAlign w:val="subscript"/>
        </w:rPr>
        <w:t>2</w:t>
      </w:r>
      <w:r>
        <w:rPr>
          <w:rFonts w:ascii="Arial" w:hAnsi="Arial" w:cs="Arial"/>
        </w:rPr>
        <w:t xml:space="preserve"> emissions were estimated by multiplying the half-hourly record of carbon intensity by the given set of imports. Similarly, the </w:t>
      </w:r>
      <w:r w:rsidR="00C84217">
        <w:rPr>
          <w:rFonts w:ascii="Arial" w:hAnsi="Arial" w:cs="Arial"/>
        </w:rPr>
        <w:t>half-hourly grid emissions prevent</w:t>
      </w:r>
      <w:r>
        <w:rPr>
          <w:rFonts w:ascii="Arial" w:hAnsi="Arial" w:cs="Arial"/>
        </w:rPr>
        <w:t>ed through exporting were estimated as the product of the half-hourly carbon in</w:t>
      </w:r>
      <w:r w:rsidR="008B308B">
        <w:rPr>
          <w:rFonts w:ascii="Arial" w:hAnsi="Arial" w:cs="Arial"/>
        </w:rPr>
        <w:t>tensity and the given exports. E</w:t>
      </w:r>
      <w:r>
        <w:rPr>
          <w:rFonts w:ascii="Arial" w:hAnsi="Arial" w:cs="Arial"/>
        </w:rPr>
        <w:t xml:space="preserve">lectricity </w:t>
      </w:r>
      <w:r w:rsidR="008B308B">
        <w:rPr>
          <w:rFonts w:ascii="Arial" w:hAnsi="Arial" w:cs="Arial"/>
        </w:rPr>
        <w:t>generation with</w:t>
      </w:r>
      <w:r>
        <w:rPr>
          <w:rFonts w:ascii="Arial" w:hAnsi="Arial" w:cs="Arial"/>
        </w:rPr>
        <w:t xml:space="preserve"> the wind turbine was assumed to have zero emissions. The net electrical carbon impact of the college is thus given as the sum of the emissions caused by impor</w:t>
      </w:r>
      <w:r w:rsidR="00C84217">
        <w:rPr>
          <w:rFonts w:ascii="Arial" w:hAnsi="Arial" w:cs="Arial"/>
        </w:rPr>
        <w:t>t</w:t>
      </w:r>
      <w:r w:rsidR="00CE68AB">
        <w:rPr>
          <w:rFonts w:ascii="Arial" w:hAnsi="Arial" w:cs="Arial"/>
        </w:rPr>
        <w:t>ing minus the emissions offset</w:t>
      </w:r>
      <w:r>
        <w:rPr>
          <w:rFonts w:ascii="Arial" w:hAnsi="Arial" w:cs="Arial"/>
        </w:rPr>
        <w:t xml:space="preserve"> by exporting.</w:t>
      </w:r>
    </w:p>
    <w:p w:rsidR="005F1B8F" w:rsidRDefault="005F1B8F" w:rsidP="005F1B8F">
      <w:pPr>
        <w:spacing w:after="0" w:line="360" w:lineRule="auto"/>
        <w:jc w:val="both"/>
        <w:rPr>
          <w:rFonts w:ascii="Arial" w:hAnsi="Arial" w:cs="Arial"/>
        </w:rPr>
      </w:pPr>
    </w:p>
    <w:p w:rsidR="005F1B8F" w:rsidRDefault="00DF1426" w:rsidP="005F1B8F">
      <w:pPr>
        <w:spacing w:after="0" w:line="360" w:lineRule="auto"/>
        <w:jc w:val="both"/>
        <w:rPr>
          <w:rFonts w:ascii="Arial" w:hAnsi="Arial" w:cs="Arial"/>
        </w:rPr>
      </w:pPr>
      <w:r>
        <w:rPr>
          <w:rFonts w:ascii="Arial" w:hAnsi="Arial" w:cs="Arial"/>
        </w:rPr>
        <w:t>2.6</w:t>
      </w:r>
      <w:r w:rsidR="005F1B8F">
        <w:rPr>
          <w:rFonts w:ascii="Arial" w:hAnsi="Arial" w:cs="Arial"/>
        </w:rPr>
        <w:t xml:space="preserve"> Electricity storage selection</w:t>
      </w:r>
    </w:p>
    <w:p w:rsidR="004D76AF" w:rsidRDefault="005F1B8F" w:rsidP="005F1B8F">
      <w:pPr>
        <w:spacing w:after="0" w:line="360" w:lineRule="auto"/>
        <w:jc w:val="both"/>
        <w:rPr>
          <w:rFonts w:ascii="Arial" w:hAnsi="Arial" w:cs="Arial"/>
        </w:rPr>
      </w:pPr>
      <w:r>
        <w:rPr>
          <w:rFonts w:ascii="Arial" w:hAnsi="Arial" w:cs="Arial"/>
        </w:rPr>
        <w:t xml:space="preserve">As stated in Section 1, this study, in part, examines the potential benefits of on-site electricity storage to be used for time-shifting. While several studies have proposed storage sizing procedures based </w:t>
      </w:r>
      <w:r w:rsidR="009B5AC1">
        <w:rPr>
          <w:rFonts w:ascii="Arial" w:hAnsi="Arial" w:cs="Arial"/>
        </w:rPr>
        <w:t>on expected costs and revenue</w:t>
      </w:r>
      <w:r>
        <w:rPr>
          <w:rFonts w:ascii="Arial" w:hAnsi="Arial" w:cs="Arial"/>
        </w:rPr>
        <w:t xml:space="preserve"> </w:t>
      </w:r>
      <w:r w:rsidRPr="00271570">
        <w:rPr>
          <w:rFonts w:ascii="Arial" w:hAnsi="Arial" w:cs="Arial"/>
          <w:color w:val="0070C0"/>
        </w:rPr>
        <w:t>[21-23]</w:t>
      </w:r>
      <w:r>
        <w:rPr>
          <w:rFonts w:ascii="Arial" w:hAnsi="Arial" w:cs="Arial"/>
        </w:rPr>
        <w:t>, we sought a more general</w:t>
      </w:r>
      <w:r w:rsidR="00831034">
        <w:rPr>
          <w:rFonts w:ascii="Arial" w:hAnsi="Arial" w:cs="Arial"/>
        </w:rPr>
        <w:t>ly applicable</w:t>
      </w:r>
      <w:r>
        <w:rPr>
          <w:rFonts w:ascii="Arial" w:hAnsi="Arial" w:cs="Arial"/>
        </w:rPr>
        <w:t xml:space="preserve"> approach by sizing based on electricity usage only. The first approach considered was to size the storage such that all export could be eliminated. To do this, the college’s “export events” over the 2017/18 academic year</w:t>
      </w:r>
      <w:r w:rsidR="00A77BB8">
        <w:rPr>
          <w:rFonts w:ascii="Arial" w:hAnsi="Arial" w:cs="Arial"/>
        </w:rPr>
        <w:t xml:space="preserve"> were quantified</w:t>
      </w:r>
      <w:r>
        <w:rPr>
          <w:rFonts w:ascii="Arial" w:hAnsi="Arial" w:cs="Arial"/>
        </w:rPr>
        <w:t>, defined as periods of continuous greater-than-zero half-hourly export. This yielded a total of 571 export events, ranging greatly in magnitude from 0.25 kWh to 18,902 kWh (</w:t>
      </w:r>
      <w:r w:rsidRPr="00960DB7">
        <w:rPr>
          <w:rFonts w:ascii="Arial" w:hAnsi="Arial" w:cs="Arial"/>
          <w:color w:val="0070C0"/>
        </w:rPr>
        <w:t>Fig. 1a</w:t>
      </w:r>
      <w:r>
        <w:rPr>
          <w:rFonts w:ascii="Arial" w:hAnsi="Arial" w:cs="Arial"/>
        </w:rPr>
        <w:t>). Smaller events occurred much more frequently than larger events, with a median size of just 16.5 kW</w:t>
      </w:r>
      <w:r w:rsidR="000C1314">
        <w:rPr>
          <w:rFonts w:ascii="Arial" w:hAnsi="Arial" w:cs="Arial"/>
        </w:rPr>
        <w:t>h, compared to the mean of 456.3</w:t>
      </w:r>
      <w:r>
        <w:rPr>
          <w:rFonts w:ascii="Arial" w:hAnsi="Arial" w:cs="Arial"/>
        </w:rPr>
        <w:t xml:space="preserve"> kWh. As the largest export events are thus outliers, storage of this size would seldom be needed for eliminating export. As a general approach, this method of sizing would therefore be unwise.</w:t>
      </w: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r>
        <w:rPr>
          <w:rFonts w:ascii="Arial" w:hAnsi="Arial" w:cs="Arial"/>
          <w:noProof/>
          <w:lang w:eastAsia="en-IE"/>
        </w:rPr>
        <w:lastRenderedPageBreak/>
        <w:drawing>
          <wp:anchor distT="0" distB="0" distL="114300" distR="114300" simplePos="0" relativeHeight="251679744" behindDoc="1" locked="0" layoutInCell="1" allowOverlap="1" wp14:anchorId="65AFA6A7" wp14:editId="1E993BFF">
            <wp:simplePos x="0" y="0"/>
            <wp:positionH relativeFrom="margin">
              <wp:align>center</wp:align>
            </wp:positionH>
            <wp:positionV relativeFrom="paragraph">
              <wp:posOffset>3599</wp:posOffset>
            </wp:positionV>
            <wp:extent cx="4626000" cy="4788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000" cy="4788000"/>
                    </a:xfrm>
                    <a:prstGeom prst="rect">
                      <a:avLst/>
                    </a:prstGeom>
                    <a:noFill/>
                    <a:ln>
                      <a:noFill/>
                    </a:ln>
                  </pic:spPr>
                </pic:pic>
              </a:graphicData>
            </a:graphic>
          </wp:anchor>
        </w:drawing>
      </w: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p>
    <w:p w:rsidR="0047551B" w:rsidRDefault="0047551B" w:rsidP="005F1B8F">
      <w:pPr>
        <w:spacing w:after="0" w:line="360" w:lineRule="auto"/>
        <w:jc w:val="both"/>
        <w:rPr>
          <w:rFonts w:ascii="Arial" w:hAnsi="Arial" w:cs="Arial"/>
        </w:rPr>
      </w:pPr>
      <w:r>
        <w:rPr>
          <w:noProof/>
          <w:lang w:eastAsia="en-IE"/>
        </w:rPr>
        <mc:AlternateContent>
          <mc:Choice Requires="wps">
            <w:drawing>
              <wp:anchor distT="0" distB="0" distL="114300" distR="114300" simplePos="0" relativeHeight="251681792" behindDoc="1" locked="0" layoutInCell="1" allowOverlap="1" wp14:anchorId="3A1571CD" wp14:editId="63BBA1DB">
                <wp:simplePos x="0" y="0"/>
                <wp:positionH relativeFrom="margin">
                  <wp:align>center</wp:align>
                </wp:positionH>
                <wp:positionV relativeFrom="paragraph">
                  <wp:posOffset>224155</wp:posOffset>
                </wp:positionV>
                <wp:extent cx="4625975" cy="635"/>
                <wp:effectExtent l="0" t="0" r="3175" b="0"/>
                <wp:wrapNone/>
                <wp:docPr id="16" name="Text Box 16"/>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Fig. 1 Distributions examined for sizing Dundalk Institute of Technology’s electricity storage over the study year: a) “export events” (</w:t>
                            </w:r>
                            <w:r w:rsidRPr="00017B48">
                              <w:rPr>
                                <w:rFonts w:ascii="Arial" w:hAnsi="Arial" w:cs="Arial"/>
                                <w:noProof/>
                                <w:color w:val="000000" w:themeColor="text1"/>
                              </w:rPr>
                              <w:t>n</w:t>
                            </w:r>
                            <w:r w:rsidRPr="00017B48">
                              <w:rPr>
                                <w:rFonts w:ascii="Arial" w:hAnsi="Arial" w:cs="Arial"/>
                                <w:i w:val="0"/>
                                <w:noProof/>
                                <w:color w:val="000000" w:themeColor="text1"/>
                              </w:rPr>
                              <w:t>=571); b) daily peak-time (17:00 to 19:00 UTC) electrical energy consumption (</w:t>
                            </w:r>
                            <w:r w:rsidRPr="00017B48">
                              <w:rPr>
                                <w:rFonts w:ascii="Arial" w:hAnsi="Arial" w:cs="Arial"/>
                                <w:noProof/>
                                <w:color w:val="000000" w:themeColor="text1"/>
                              </w:rPr>
                              <w:t>n</w:t>
                            </w:r>
                            <w:r w:rsidRPr="00017B48">
                              <w:rPr>
                                <w:rFonts w:ascii="Arial" w:hAnsi="Arial" w:cs="Arial"/>
                                <w:i w:val="0"/>
                                <w:noProof/>
                                <w:color w:val="000000" w:themeColor="text1"/>
                              </w:rPr>
                              <w:t>=365); and c) half-hourly peak-time power consumption (</w:t>
                            </w:r>
                            <w:r w:rsidRPr="00017B48">
                              <w:rPr>
                                <w:rFonts w:ascii="Arial" w:hAnsi="Arial" w:cs="Arial"/>
                                <w:noProof/>
                                <w:color w:val="000000" w:themeColor="text1"/>
                              </w:rPr>
                              <w:t>n</w:t>
                            </w:r>
                            <w:r w:rsidRPr="00017B48">
                              <w:rPr>
                                <w:rFonts w:ascii="Arial" w:hAnsi="Arial" w:cs="Arial"/>
                                <w:i w:val="0"/>
                                <w:noProof/>
                                <w:color w:val="000000" w:themeColor="text1"/>
                              </w:rPr>
                              <w:t xml:space="preserve">=1460). Observations beyond the plotted range are included in the highest </w:t>
                            </w:r>
                            <w:r w:rsidR="009B5AC1">
                              <w:rPr>
                                <w:rFonts w:ascii="Arial" w:hAnsi="Arial" w:cs="Arial"/>
                                <w:i w:val="0"/>
                                <w:noProof/>
                                <w:color w:val="000000" w:themeColor="text1"/>
                              </w:rPr>
                              <w:t>plotted bar.</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1571CD" id="_x0000_t202" coordsize="21600,21600" o:spt="202" path="m,l,21600r21600,l21600,xe">
                <v:stroke joinstyle="miter"/>
                <v:path gradientshapeok="t" o:connecttype="rect"/>
              </v:shapetype>
              <v:shape id="Text Box 16" o:spid="_x0000_s1026" type="#_x0000_t202" style="position:absolute;left:0;text-align:left;margin-left:0;margin-top:17.65pt;width:364.25pt;height:.05pt;z-index:-2516346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WgLAIAAF8EAAAOAAAAZHJzL2Uyb0RvYy54bWysVMGO2jAQvVfqP1i+lwAtdIsIK8qKqtJq&#10;dyWo9mwch0SyPe7YkNCv79hJ2HbbU9WLGc88P+fNG7O8bY1mZ4W+BpvzyWjMmbISitoec/5tv313&#10;w5kPwhZCg1U5vyjPb1dv3ywbt1BTqEAXChmRWL9oXM6rENwiy7yslBF+BE5ZKpaARgTa4jErUDTE&#10;bnQ2HY/nWQNYOASpvKfsXVfkq8RflkqGx7L0KjCdc/q2kFZM6yGu2WopFkcUrqpl/xniH77CiNrS&#10;pVeqOxEEO2H9B5WpJYKHMowkmAzKspYqaSA1k/ErNbtKOJW0UHO8u7bJ/z9a+XB+QlYX5N2cMysM&#10;ebRXbWCfoWWUov40zi8ItnMEDC3lCTvkPSWj7LZEE39JEKM6dfpy7W5kk5T8MJ/OPn2ccSapNn8/&#10;ixzZy1GHPnxRYFgMco5kXeqoON/70EEHSLzJg66Lba113MTCRiM7C7K5qeqgevLfUNpGrIV4qiOM&#10;mSzq63TEKLSHthd9gOJCmhG6qfFObmu66F748CSQxoRk0uiHR1pKDU3OoY84qwB//C0f8eQeVTlr&#10;aOxy7r+fBCrO9FdLvsYZHQIcgsMQ2JPZAEmc0KNyMoV0AIMewhLBPNOLWMdbqCSspLtyHoZwE7rh&#10;pxcl1XqdQDSJToR7u3MyUg8N3bfPAl1vRyAXH2AYSLF45UqHTb649SlQi5NlsaFdF/s+0xQn0/sX&#10;F5/Jr/uEevlfWP0EAAD//wMAUEsDBBQABgAIAAAAIQB3nTNI3gAAAAYBAAAPAAAAZHJzL2Rvd25y&#10;ZXYueG1sTI/BbsIwEETvSPyDtZV6QcUpCRSlcRBC7aG9oKZcejPxEqfE68h2IP37mlN73JnRzNti&#10;M5qOXdD51pKAx3kCDKm2qqVGwOHz9WENzAdJSnaWUMAPetiU00khc2Wv9IGXKjQslpDPpQAdQp9z&#10;7muNRvq57ZGid7LOyBBP13Dl5DWWm44vkmTFjWwpLmjZ405jfa4GI2Cffe31bDi9vG+z1L0dht3q&#10;u6mEuL8bt8/AAo7hLww3/IgOZWQ62oGUZ52A+EgQkC5TYNF9WqyXwI43IQNeFvw/fvkLAAD//wMA&#10;UEsBAi0AFAAGAAgAAAAhALaDOJL+AAAA4QEAABMAAAAAAAAAAAAAAAAAAAAAAFtDb250ZW50X1R5&#10;cGVzXS54bWxQSwECLQAUAAYACAAAACEAOP0h/9YAAACUAQAACwAAAAAAAAAAAAAAAAAvAQAAX3Jl&#10;bHMvLnJlbHNQSwECLQAUAAYACAAAACEANrOloCwCAABfBAAADgAAAAAAAAAAAAAAAAAuAgAAZHJz&#10;L2Uyb0RvYy54bWxQSwECLQAUAAYACAAAACEAd50zSN4AAAAGAQAADwAAAAAAAAAAAAAAAACGBAAA&#10;ZHJzL2Rvd25yZXYueG1sUEsFBgAAAAAEAAQA8wAAAJEFAAAAAA==&#10;" stroked="f">
                <v:textbox style="mso-fit-shape-to-text:t" inset="0,0,0,0">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Fig. 1 Distributions examined for sizing Dundalk Institute of Technology’s electricity storage over the study year: a) “export events” (</w:t>
                      </w:r>
                      <w:r w:rsidRPr="00017B48">
                        <w:rPr>
                          <w:rFonts w:ascii="Arial" w:hAnsi="Arial" w:cs="Arial"/>
                          <w:noProof/>
                          <w:color w:val="000000" w:themeColor="text1"/>
                        </w:rPr>
                        <w:t>n</w:t>
                      </w:r>
                      <w:r w:rsidRPr="00017B48">
                        <w:rPr>
                          <w:rFonts w:ascii="Arial" w:hAnsi="Arial" w:cs="Arial"/>
                          <w:i w:val="0"/>
                          <w:noProof/>
                          <w:color w:val="000000" w:themeColor="text1"/>
                        </w:rPr>
                        <w:t>=571); b) daily peak-time (17:00 to 19:00 UTC) electrical energy consumption (</w:t>
                      </w:r>
                      <w:r w:rsidRPr="00017B48">
                        <w:rPr>
                          <w:rFonts w:ascii="Arial" w:hAnsi="Arial" w:cs="Arial"/>
                          <w:noProof/>
                          <w:color w:val="000000" w:themeColor="text1"/>
                        </w:rPr>
                        <w:t>n</w:t>
                      </w:r>
                      <w:r w:rsidRPr="00017B48">
                        <w:rPr>
                          <w:rFonts w:ascii="Arial" w:hAnsi="Arial" w:cs="Arial"/>
                          <w:i w:val="0"/>
                          <w:noProof/>
                          <w:color w:val="000000" w:themeColor="text1"/>
                        </w:rPr>
                        <w:t>=365); and c) half-hourly peak-time power consumption (</w:t>
                      </w:r>
                      <w:r w:rsidRPr="00017B48">
                        <w:rPr>
                          <w:rFonts w:ascii="Arial" w:hAnsi="Arial" w:cs="Arial"/>
                          <w:noProof/>
                          <w:color w:val="000000" w:themeColor="text1"/>
                        </w:rPr>
                        <w:t>n</w:t>
                      </w:r>
                      <w:r w:rsidRPr="00017B48">
                        <w:rPr>
                          <w:rFonts w:ascii="Arial" w:hAnsi="Arial" w:cs="Arial"/>
                          <w:i w:val="0"/>
                          <w:noProof/>
                          <w:color w:val="000000" w:themeColor="text1"/>
                        </w:rPr>
                        <w:t xml:space="preserve">=1460). Observations beyond the plotted range are included in the highest </w:t>
                      </w:r>
                      <w:r w:rsidR="009B5AC1">
                        <w:rPr>
                          <w:rFonts w:ascii="Arial" w:hAnsi="Arial" w:cs="Arial"/>
                          <w:i w:val="0"/>
                          <w:noProof/>
                          <w:color w:val="000000" w:themeColor="text1"/>
                        </w:rPr>
                        <w:t>plotted bar.</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w:t>
                      </w:r>
                    </w:p>
                  </w:txbxContent>
                </v:textbox>
                <w10:wrap anchorx="margin"/>
              </v:shape>
            </w:pict>
          </mc:Fallback>
        </mc:AlternateContent>
      </w:r>
    </w:p>
    <w:p w:rsidR="0047551B" w:rsidRDefault="0047551B" w:rsidP="005F1B8F">
      <w:pPr>
        <w:spacing w:after="0" w:line="360" w:lineRule="auto"/>
        <w:jc w:val="both"/>
        <w:rPr>
          <w:rFonts w:ascii="Arial" w:hAnsi="Arial" w:cs="Arial"/>
        </w:rPr>
      </w:pPr>
    </w:p>
    <w:p w:rsidR="0047551B" w:rsidRDefault="0047551B" w:rsidP="0047551B">
      <w:pPr>
        <w:spacing w:after="0" w:line="360" w:lineRule="auto"/>
        <w:jc w:val="both"/>
        <w:rPr>
          <w:rFonts w:ascii="Arial" w:hAnsi="Arial" w:cs="Arial"/>
        </w:rPr>
      </w:pPr>
    </w:p>
    <w:p w:rsidR="0047551B" w:rsidRDefault="0047551B" w:rsidP="0047551B">
      <w:pPr>
        <w:spacing w:after="0" w:line="360" w:lineRule="auto"/>
        <w:jc w:val="both"/>
        <w:rPr>
          <w:rFonts w:ascii="Arial" w:hAnsi="Arial" w:cs="Arial"/>
        </w:rPr>
      </w:pPr>
    </w:p>
    <w:p w:rsidR="0047551B" w:rsidRDefault="0047551B" w:rsidP="0047551B">
      <w:pPr>
        <w:spacing w:after="0" w:line="360" w:lineRule="auto"/>
        <w:jc w:val="both"/>
        <w:rPr>
          <w:rFonts w:ascii="Arial" w:hAnsi="Arial" w:cs="Arial"/>
        </w:rPr>
      </w:pPr>
    </w:p>
    <w:p w:rsidR="004D76AF" w:rsidRDefault="005F1B8F" w:rsidP="0047551B">
      <w:pPr>
        <w:spacing w:after="0" w:line="360" w:lineRule="auto"/>
        <w:jc w:val="both"/>
        <w:rPr>
          <w:rFonts w:ascii="Arial" w:hAnsi="Arial" w:cs="Arial"/>
        </w:rPr>
      </w:pPr>
      <w:r>
        <w:rPr>
          <w:rFonts w:ascii="Arial" w:hAnsi="Arial" w:cs="Arial"/>
        </w:rPr>
        <w:t>The next approach considered was to size the storage such that all of the daily peak</w:t>
      </w:r>
      <w:r w:rsidR="00AD6DAF">
        <w:rPr>
          <w:rFonts w:ascii="Arial" w:hAnsi="Arial" w:cs="Arial"/>
        </w:rPr>
        <w:t>-time</w:t>
      </w:r>
      <w:r>
        <w:rPr>
          <w:rFonts w:ascii="Arial" w:hAnsi="Arial" w:cs="Arial"/>
        </w:rPr>
        <w:t xml:space="preserve"> </w:t>
      </w:r>
      <w:r w:rsidR="00842F46">
        <w:rPr>
          <w:rFonts w:ascii="Arial" w:hAnsi="Arial" w:cs="Arial"/>
        </w:rPr>
        <w:t>(17:00 to 19:00 UTC)</w:t>
      </w:r>
      <w:r w:rsidR="00842F46">
        <w:rPr>
          <w:rFonts w:ascii="Arial" w:hAnsi="Arial" w:cs="Arial"/>
        </w:rPr>
        <w:t xml:space="preserve"> </w:t>
      </w:r>
      <w:r>
        <w:rPr>
          <w:rFonts w:ascii="Arial" w:hAnsi="Arial" w:cs="Arial"/>
        </w:rPr>
        <w:t>electricity consumptio</w:t>
      </w:r>
      <w:r w:rsidR="00842F46">
        <w:rPr>
          <w:rFonts w:ascii="Arial" w:hAnsi="Arial" w:cs="Arial"/>
        </w:rPr>
        <w:t>n</w:t>
      </w:r>
      <w:r>
        <w:rPr>
          <w:rFonts w:ascii="Arial" w:hAnsi="Arial" w:cs="Arial"/>
        </w:rPr>
        <w:t xml:space="preserve"> could be satisfied without any need to import from the grid, since this is </w:t>
      </w:r>
      <w:r w:rsidR="00A77BB8">
        <w:rPr>
          <w:rFonts w:ascii="Arial" w:hAnsi="Arial" w:cs="Arial"/>
        </w:rPr>
        <w:t>overall</w:t>
      </w:r>
      <w:r>
        <w:rPr>
          <w:rFonts w:ascii="Arial" w:hAnsi="Arial" w:cs="Arial"/>
        </w:rPr>
        <w:t xml:space="preserve"> the mo</w:t>
      </w:r>
      <w:r w:rsidR="00831034">
        <w:rPr>
          <w:rFonts w:ascii="Arial" w:hAnsi="Arial" w:cs="Arial"/>
        </w:rPr>
        <w:t>st expensive time of day</w:t>
      </w:r>
      <w:r>
        <w:rPr>
          <w:rFonts w:ascii="Arial" w:hAnsi="Arial" w:cs="Arial"/>
        </w:rPr>
        <w:t xml:space="preserve">. </w:t>
      </w:r>
      <w:r w:rsidRPr="00960DB7">
        <w:rPr>
          <w:rFonts w:ascii="Arial" w:hAnsi="Arial" w:cs="Arial"/>
          <w:color w:val="0070C0"/>
        </w:rPr>
        <w:t>Fig</w:t>
      </w:r>
      <w:r w:rsidR="00FF1CEF" w:rsidRPr="00960DB7">
        <w:rPr>
          <w:rFonts w:ascii="Arial" w:hAnsi="Arial" w:cs="Arial"/>
          <w:color w:val="0070C0"/>
        </w:rPr>
        <w:t>ure</w:t>
      </w:r>
      <w:r w:rsidRPr="00960DB7">
        <w:rPr>
          <w:rFonts w:ascii="Arial" w:hAnsi="Arial" w:cs="Arial"/>
          <w:color w:val="0070C0"/>
        </w:rPr>
        <w:t xml:space="preserve"> 1b</w:t>
      </w:r>
      <w:r>
        <w:rPr>
          <w:rFonts w:ascii="Arial" w:hAnsi="Arial" w:cs="Arial"/>
        </w:rPr>
        <w:t xml:space="preserve"> shows the</w:t>
      </w:r>
      <w:r w:rsidR="00AD6DAF">
        <w:rPr>
          <w:rFonts w:ascii="Arial" w:hAnsi="Arial" w:cs="Arial"/>
        </w:rPr>
        <w:t xml:space="preserve"> distribution of the daily peak-time electrical energy </w:t>
      </w:r>
      <w:r>
        <w:rPr>
          <w:rFonts w:ascii="Arial" w:hAnsi="Arial" w:cs="Arial"/>
        </w:rPr>
        <w:t>totals over the study year. These values ranged from 275</w:t>
      </w:r>
      <w:r w:rsidR="000C1314">
        <w:rPr>
          <w:rFonts w:ascii="Arial" w:hAnsi="Arial" w:cs="Arial"/>
        </w:rPr>
        <w:t>.0</w:t>
      </w:r>
      <w:r>
        <w:rPr>
          <w:rFonts w:ascii="Arial" w:hAnsi="Arial" w:cs="Arial"/>
        </w:rPr>
        <w:t xml:space="preserve"> kWh to 1</w:t>
      </w:r>
      <w:r w:rsidR="000C1314">
        <w:rPr>
          <w:rFonts w:ascii="Arial" w:hAnsi="Arial" w:cs="Arial"/>
        </w:rPr>
        <w:t>,408.5 kWh, with a mean of 694.9</w:t>
      </w:r>
      <w:r>
        <w:rPr>
          <w:rFonts w:ascii="Arial" w:hAnsi="Arial" w:cs="Arial"/>
        </w:rPr>
        <w:t xml:space="preserve"> kWh. As this distribution is </w:t>
      </w:r>
      <w:r w:rsidR="000C1314">
        <w:rPr>
          <w:rFonts w:ascii="Arial" w:hAnsi="Arial" w:cs="Arial"/>
        </w:rPr>
        <w:t>relatively narrow</w:t>
      </w:r>
      <w:r>
        <w:rPr>
          <w:rFonts w:ascii="Arial" w:hAnsi="Arial" w:cs="Arial"/>
        </w:rPr>
        <w:t>, the maximum value of 1</w:t>
      </w:r>
      <w:r w:rsidR="000C1314">
        <w:rPr>
          <w:rFonts w:ascii="Arial" w:hAnsi="Arial" w:cs="Arial"/>
        </w:rPr>
        <w:t>,</w:t>
      </w:r>
      <w:r w:rsidR="00831034">
        <w:rPr>
          <w:rFonts w:ascii="Arial" w:hAnsi="Arial" w:cs="Arial"/>
        </w:rPr>
        <w:t>408.5</w:t>
      </w:r>
      <w:r w:rsidR="00E44A34">
        <w:rPr>
          <w:rFonts w:ascii="Arial" w:hAnsi="Arial" w:cs="Arial"/>
        </w:rPr>
        <w:t xml:space="preserve"> kWh was deemed to be a suitable size </w:t>
      </w:r>
      <w:r>
        <w:rPr>
          <w:rFonts w:ascii="Arial" w:hAnsi="Arial" w:cs="Arial"/>
        </w:rPr>
        <w:t>for the storage capacity.</w:t>
      </w:r>
      <w:r w:rsidR="00223F11">
        <w:rPr>
          <w:rFonts w:ascii="Arial" w:hAnsi="Arial" w:cs="Arial"/>
        </w:rPr>
        <w:t xml:space="preserve"> T</w:t>
      </w:r>
      <w:r>
        <w:rPr>
          <w:rFonts w:ascii="Arial" w:hAnsi="Arial" w:cs="Arial"/>
        </w:rPr>
        <w:t xml:space="preserve">he </w:t>
      </w:r>
      <w:r w:rsidR="00E44A34">
        <w:rPr>
          <w:rFonts w:ascii="Arial" w:hAnsi="Arial" w:cs="Arial"/>
        </w:rPr>
        <w:t xml:space="preserve">corresponding </w:t>
      </w:r>
      <w:r>
        <w:rPr>
          <w:rFonts w:ascii="Arial" w:hAnsi="Arial" w:cs="Arial"/>
        </w:rPr>
        <w:t>distribution o</w:t>
      </w:r>
      <w:r w:rsidR="00831034">
        <w:rPr>
          <w:rFonts w:ascii="Arial" w:hAnsi="Arial" w:cs="Arial"/>
        </w:rPr>
        <w:t xml:space="preserve">f </w:t>
      </w:r>
      <w:r w:rsidR="00A77BB8">
        <w:rPr>
          <w:rFonts w:ascii="Arial" w:hAnsi="Arial" w:cs="Arial"/>
        </w:rPr>
        <w:t xml:space="preserve">the </w:t>
      </w:r>
      <w:r w:rsidR="00842F46">
        <w:rPr>
          <w:rFonts w:ascii="Arial" w:hAnsi="Arial" w:cs="Arial"/>
        </w:rPr>
        <w:t xml:space="preserve">half-hourly </w:t>
      </w:r>
      <w:r w:rsidR="00A446D1">
        <w:rPr>
          <w:rFonts w:ascii="Arial" w:hAnsi="Arial" w:cs="Arial"/>
        </w:rPr>
        <w:t xml:space="preserve">peak-time average </w:t>
      </w:r>
      <w:r w:rsidR="00831034">
        <w:rPr>
          <w:rFonts w:ascii="Arial" w:hAnsi="Arial" w:cs="Arial"/>
        </w:rPr>
        <w:t>consumption</w:t>
      </w:r>
      <w:r w:rsidR="00960DB7">
        <w:rPr>
          <w:rFonts w:ascii="Arial" w:hAnsi="Arial" w:cs="Arial"/>
        </w:rPr>
        <w:t xml:space="preserve"> </w:t>
      </w:r>
      <w:r w:rsidR="00A446D1">
        <w:rPr>
          <w:rFonts w:ascii="Arial" w:hAnsi="Arial" w:cs="Arial"/>
        </w:rPr>
        <w:t>powers</w:t>
      </w:r>
      <w:r>
        <w:rPr>
          <w:rFonts w:ascii="Arial" w:hAnsi="Arial" w:cs="Arial"/>
        </w:rPr>
        <w:t xml:space="preserve"> is shown in </w:t>
      </w:r>
      <w:r w:rsidRPr="00960DB7">
        <w:rPr>
          <w:rFonts w:ascii="Arial" w:hAnsi="Arial" w:cs="Arial"/>
          <w:color w:val="0070C0"/>
        </w:rPr>
        <w:t>Fig. 1c</w:t>
      </w:r>
      <w:r>
        <w:rPr>
          <w:rFonts w:ascii="Arial" w:hAnsi="Arial" w:cs="Arial"/>
        </w:rPr>
        <w:t xml:space="preserve">. This has a similar shape to </w:t>
      </w:r>
      <w:r w:rsidR="00223F11">
        <w:rPr>
          <w:rFonts w:ascii="Arial" w:hAnsi="Arial" w:cs="Arial"/>
        </w:rPr>
        <w:t xml:space="preserve">that of </w:t>
      </w:r>
      <w:r>
        <w:rPr>
          <w:rFonts w:ascii="Arial" w:hAnsi="Arial" w:cs="Arial"/>
        </w:rPr>
        <w:t>the daily peak</w:t>
      </w:r>
      <w:r w:rsidR="00960DB7">
        <w:rPr>
          <w:rFonts w:ascii="Arial" w:hAnsi="Arial" w:cs="Arial"/>
        </w:rPr>
        <w:t>-time</w:t>
      </w:r>
      <w:r>
        <w:rPr>
          <w:rFonts w:ascii="Arial" w:hAnsi="Arial" w:cs="Arial"/>
        </w:rPr>
        <w:t xml:space="preserve"> </w:t>
      </w:r>
      <w:r w:rsidR="00FF3E78">
        <w:rPr>
          <w:rFonts w:ascii="Arial" w:hAnsi="Arial" w:cs="Arial"/>
        </w:rPr>
        <w:t xml:space="preserve">energy </w:t>
      </w:r>
      <w:r>
        <w:rPr>
          <w:rFonts w:ascii="Arial" w:hAnsi="Arial" w:cs="Arial"/>
        </w:rPr>
        <w:t>totals, with a range of 136</w:t>
      </w:r>
      <w:r w:rsidR="000C1314">
        <w:rPr>
          <w:rFonts w:ascii="Arial" w:hAnsi="Arial" w:cs="Arial"/>
        </w:rPr>
        <w:t>.0</w:t>
      </w:r>
      <w:r>
        <w:rPr>
          <w:rFonts w:ascii="Arial" w:hAnsi="Arial" w:cs="Arial"/>
        </w:rPr>
        <w:t xml:space="preserve"> kW to 786</w:t>
      </w:r>
      <w:r w:rsidR="000C1314">
        <w:rPr>
          <w:rFonts w:ascii="Arial" w:hAnsi="Arial" w:cs="Arial"/>
        </w:rPr>
        <w:t>.0</w:t>
      </w:r>
      <w:r>
        <w:rPr>
          <w:rFonts w:ascii="Arial" w:hAnsi="Arial" w:cs="Arial"/>
        </w:rPr>
        <w:t xml:space="preserve"> kW, and a mean of 347.4 kW. As a result, the maximum value of 786</w:t>
      </w:r>
      <w:r w:rsidR="000C1314">
        <w:rPr>
          <w:rFonts w:ascii="Arial" w:hAnsi="Arial" w:cs="Arial"/>
        </w:rPr>
        <w:t>.0</w:t>
      </w:r>
      <w:r w:rsidR="00E44A34">
        <w:rPr>
          <w:rFonts w:ascii="Arial" w:hAnsi="Arial" w:cs="Arial"/>
        </w:rPr>
        <w:t xml:space="preserve"> kW was likewise deemed </w:t>
      </w:r>
      <w:r w:rsidR="00A77BB8">
        <w:rPr>
          <w:rFonts w:ascii="Arial" w:hAnsi="Arial" w:cs="Arial"/>
        </w:rPr>
        <w:t xml:space="preserve">to be a </w:t>
      </w:r>
      <w:r w:rsidR="00E44A34">
        <w:rPr>
          <w:rFonts w:ascii="Arial" w:hAnsi="Arial" w:cs="Arial"/>
        </w:rPr>
        <w:t>suitable</w:t>
      </w:r>
      <w:r>
        <w:rPr>
          <w:rFonts w:ascii="Arial" w:hAnsi="Arial" w:cs="Arial"/>
        </w:rPr>
        <w:t xml:space="preserve"> </w:t>
      </w:r>
      <w:r w:rsidR="009B5AC1">
        <w:rPr>
          <w:rFonts w:ascii="Arial" w:hAnsi="Arial" w:cs="Arial"/>
        </w:rPr>
        <w:t xml:space="preserve">maximum </w:t>
      </w:r>
      <w:r w:rsidR="00A77BB8">
        <w:rPr>
          <w:rFonts w:ascii="Arial" w:hAnsi="Arial" w:cs="Arial"/>
        </w:rPr>
        <w:t>size for</w:t>
      </w:r>
      <w:r w:rsidR="00E44A34">
        <w:rPr>
          <w:rFonts w:ascii="Arial" w:hAnsi="Arial" w:cs="Arial"/>
        </w:rPr>
        <w:t xml:space="preserve"> the </w:t>
      </w:r>
      <w:r>
        <w:rPr>
          <w:rFonts w:ascii="Arial" w:hAnsi="Arial" w:cs="Arial"/>
        </w:rPr>
        <w:t>storage power.</w:t>
      </w:r>
    </w:p>
    <w:p w:rsidR="005F1B8F" w:rsidRDefault="005F1B8F" w:rsidP="0047551B">
      <w:pPr>
        <w:spacing w:after="0" w:line="360" w:lineRule="auto"/>
        <w:ind w:firstLine="720"/>
        <w:jc w:val="both"/>
        <w:rPr>
          <w:rFonts w:ascii="Arial" w:hAnsi="Arial" w:cs="Arial"/>
        </w:rPr>
      </w:pPr>
      <w:r>
        <w:rPr>
          <w:rFonts w:ascii="Arial" w:hAnsi="Arial" w:cs="Arial"/>
        </w:rPr>
        <w:t>Based on this sizing, a commercially available, modular 777-kW</w:t>
      </w:r>
      <w:r w:rsidR="00E44A34">
        <w:rPr>
          <w:rFonts w:ascii="Arial" w:hAnsi="Arial" w:cs="Arial"/>
        </w:rPr>
        <w:t>,</w:t>
      </w:r>
      <w:r>
        <w:rPr>
          <w:rFonts w:ascii="Arial" w:hAnsi="Arial" w:cs="Arial"/>
        </w:rPr>
        <w:t xml:space="preserve"> 1</w:t>
      </w:r>
      <w:r w:rsidR="00B176A2">
        <w:rPr>
          <w:rFonts w:ascii="Arial" w:hAnsi="Arial" w:cs="Arial"/>
        </w:rPr>
        <w:t>,</w:t>
      </w:r>
      <w:r>
        <w:rPr>
          <w:rFonts w:ascii="Arial" w:hAnsi="Arial" w:cs="Arial"/>
        </w:rPr>
        <w:t xml:space="preserve">554-kWh Li-ion battery was </w:t>
      </w:r>
      <w:r w:rsidR="009B5AC1">
        <w:rPr>
          <w:rFonts w:ascii="Arial" w:hAnsi="Arial" w:cs="Arial"/>
        </w:rPr>
        <w:t>modelled</w:t>
      </w:r>
      <w:r>
        <w:rPr>
          <w:rFonts w:ascii="Arial" w:hAnsi="Arial" w:cs="Arial"/>
        </w:rPr>
        <w:t xml:space="preserve"> for this study. This type of battery is characterised by a high degree of </w:t>
      </w:r>
      <w:r>
        <w:rPr>
          <w:rFonts w:ascii="Arial" w:hAnsi="Arial" w:cs="Arial"/>
        </w:rPr>
        <w:lastRenderedPageBreak/>
        <w:t>efficiency and a</w:t>
      </w:r>
      <w:r w:rsidRPr="00112133">
        <w:rPr>
          <w:rFonts w:ascii="Arial" w:hAnsi="Arial" w:cs="Arial"/>
        </w:rPr>
        <w:t xml:space="preserve"> </w:t>
      </w:r>
      <w:r>
        <w:rPr>
          <w:rFonts w:ascii="Arial" w:hAnsi="Arial" w:cs="Arial"/>
        </w:rPr>
        <w:t xml:space="preserve">long lifespan, albeit at a high capital cost </w:t>
      </w:r>
      <w:r w:rsidRPr="00F55D47">
        <w:rPr>
          <w:rFonts w:ascii="Arial" w:hAnsi="Arial" w:cs="Arial"/>
          <w:color w:val="0070C0"/>
        </w:rPr>
        <w:t>[24,25]</w:t>
      </w:r>
      <w:r>
        <w:rPr>
          <w:rFonts w:ascii="Arial" w:hAnsi="Arial" w:cs="Arial"/>
        </w:rPr>
        <w:t xml:space="preserve">. Because of the high cost, some studies have found Li-ion batteries to be uneconomical for consumer-end time-shifting </w:t>
      </w:r>
      <w:r w:rsidRPr="006726D6">
        <w:rPr>
          <w:rFonts w:ascii="Arial" w:hAnsi="Arial" w:cs="Arial"/>
          <w:color w:val="0070C0"/>
        </w:rPr>
        <w:t>[26-28]</w:t>
      </w:r>
      <w:r>
        <w:rPr>
          <w:rFonts w:ascii="Arial" w:hAnsi="Arial" w:cs="Arial"/>
        </w:rPr>
        <w:t xml:space="preserve">. As the price, performance, and lifespan of these batteries is continuously improving </w:t>
      </w:r>
      <w:r w:rsidRPr="00AA2E1C">
        <w:rPr>
          <w:rFonts w:ascii="Arial" w:hAnsi="Arial" w:cs="Arial"/>
          <w:color w:val="0070C0"/>
        </w:rPr>
        <w:t>[29-31]</w:t>
      </w:r>
      <w:r>
        <w:rPr>
          <w:rFonts w:ascii="Arial" w:hAnsi="Arial" w:cs="Arial"/>
        </w:rPr>
        <w:t>, however, new case studies are nevertheless worth analysing. For the specific battery model considered, the manufacturers report a depth of discharge of 100%, and a charging/discharging efficiency of 92.</w:t>
      </w:r>
      <w:r w:rsidR="00831034">
        <w:rPr>
          <w:rFonts w:ascii="Arial" w:hAnsi="Arial" w:cs="Arial"/>
        </w:rPr>
        <w:t>46% (85.5% round trip), which is</w:t>
      </w:r>
      <w:r>
        <w:rPr>
          <w:rFonts w:ascii="Arial" w:hAnsi="Arial" w:cs="Arial"/>
        </w:rPr>
        <w:t xml:space="preserve"> assume</w:t>
      </w:r>
      <w:r w:rsidR="00831034">
        <w:rPr>
          <w:rFonts w:ascii="Arial" w:hAnsi="Arial" w:cs="Arial"/>
        </w:rPr>
        <w:t>d here</w:t>
      </w:r>
      <w:r>
        <w:rPr>
          <w:rFonts w:ascii="Arial" w:hAnsi="Arial" w:cs="Arial"/>
        </w:rPr>
        <w:t xml:space="preserve"> to be constant across all powers. They also recommend a minimum operating power of 100 kW, which is adhered to in this study. Furthermore, </w:t>
      </w:r>
      <w:r w:rsidRPr="00AC74EE">
        <w:rPr>
          <w:rFonts w:ascii="Arial" w:hAnsi="Arial" w:cs="Arial"/>
          <w:color w:val="0070C0"/>
        </w:rPr>
        <w:t>[32]</w:t>
      </w:r>
      <w:r>
        <w:rPr>
          <w:rFonts w:ascii="Arial" w:hAnsi="Arial" w:cs="Arial"/>
        </w:rPr>
        <w:t xml:space="preserve"> reports that the battery comes with a 10-year warranty, but has a 15-year life expectancy. </w:t>
      </w:r>
      <w:r w:rsidR="002A14AD">
        <w:rPr>
          <w:rFonts w:ascii="Arial" w:hAnsi="Arial" w:cs="Arial"/>
        </w:rPr>
        <w:t>In all other respects, the battery</w:t>
      </w:r>
      <w:r w:rsidR="00A446D1">
        <w:rPr>
          <w:rFonts w:ascii="Arial" w:hAnsi="Arial" w:cs="Arial"/>
        </w:rPr>
        <w:t xml:space="preserve"> in this study</w:t>
      </w:r>
      <w:r w:rsidR="002A14AD">
        <w:rPr>
          <w:rFonts w:ascii="Arial" w:hAnsi="Arial" w:cs="Arial"/>
        </w:rPr>
        <w:t xml:space="preserve"> is assumed to have no limitations,</w:t>
      </w:r>
      <w:r>
        <w:rPr>
          <w:rFonts w:ascii="Arial" w:hAnsi="Arial" w:cs="Arial"/>
        </w:rPr>
        <w:t xml:space="preserve"> i.e. </w:t>
      </w:r>
      <w:r w:rsidR="002A14AD">
        <w:rPr>
          <w:rFonts w:ascii="Arial" w:hAnsi="Arial" w:cs="Arial"/>
        </w:rPr>
        <w:t xml:space="preserve">it is assumed to be </w:t>
      </w:r>
      <w:r>
        <w:rPr>
          <w:rFonts w:ascii="Arial" w:hAnsi="Arial" w:cs="Arial"/>
        </w:rPr>
        <w:t xml:space="preserve">free from self-discharge and in-life degradation, with an instantaneous response time and an unlimited ramp rate, and unaffected by external variables such as temperature. While the manufacturer did not provide a quote for the battery, by scaling the </w:t>
      </w:r>
      <w:r w:rsidR="00B4146D">
        <w:rPr>
          <w:rFonts w:ascii="Arial" w:hAnsi="Arial" w:cs="Arial"/>
        </w:rPr>
        <w:t>acquired</w:t>
      </w:r>
      <w:r>
        <w:rPr>
          <w:rFonts w:ascii="Arial" w:hAnsi="Arial" w:cs="Arial"/>
        </w:rPr>
        <w:t xml:space="preserve"> costs of other commercially available models, we have estimated the capital cost to be €705,399. </w:t>
      </w:r>
      <w:r w:rsidR="004B03B8">
        <w:rPr>
          <w:rFonts w:ascii="Arial" w:hAnsi="Arial" w:cs="Arial"/>
        </w:rPr>
        <w:t xml:space="preserve">On top of this, we estimate an installation cost of €11,000, and annual operation and maintenance costs of 2% of the capital investment, as per </w:t>
      </w:r>
      <w:r w:rsidR="004B03B8" w:rsidRPr="00AC74EE">
        <w:rPr>
          <w:rFonts w:ascii="Arial" w:hAnsi="Arial" w:cs="Arial"/>
          <w:color w:val="0070C0"/>
        </w:rPr>
        <w:t>[29]</w:t>
      </w:r>
      <w:r w:rsidR="004B03B8">
        <w:rPr>
          <w:rFonts w:ascii="Arial" w:hAnsi="Arial" w:cs="Arial"/>
        </w:rPr>
        <w:t>, amounting to €14,108 per year or €211,620 over the expected 15 years. The total lifetime costs for the battery are therefore estimated to be €928,019.</w:t>
      </w:r>
    </w:p>
    <w:p w:rsidR="005F1B8F" w:rsidRDefault="005F1B8F" w:rsidP="005F1B8F">
      <w:pPr>
        <w:spacing w:after="0" w:line="360" w:lineRule="auto"/>
        <w:jc w:val="both"/>
        <w:rPr>
          <w:rFonts w:ascii="Arial" w:hAnsi="Arial" w:cs="Arial"/>
        </w:rPr>
      </w:pPr>
    </w:p>
    <w:p w:rsidR="005F1B8F" w:rsidRDefault="00DF1426" w:rsidP="005F1B8F">
      <w:pPr>
        <w:spacing w:after="0" w:line="360" w:lineRule="auto"/>
        <w:jc w:val="both"/>
        <w:rPr>
          <w:rFonts w:ascii="Arial" w:hAnsi="Arial" w:cs="Arial"/>
        </w:rPr>
      </w:pPr>
      <w:r>
        <w:rPr>
          <w:rFonts w:ascii="Arial" w:hAnsi="Arial" w:cs="Arial"/>
        </w:rPr>
        <w:t>2.7</w:t>
      </w:r>
      <w:r w:rsidR="005F1B8F">
        <w:rPr>
          <w:rFonts w:ascii="Arial" w:hAnsi="Arial" w:cs="Arial"/>
        </w:rPr>
        <w:t xml:space="preserve"> Battery usage</w:t>
      </w:r>
    </w:p>
    <w:p w:rsidR="005F1B8F" w:rsidRDefault="009B5AC1" w:rsidP="005F1B8F">
      <w:pPr>
        <w:spacing w:after="0" w:line="360" w:lineRule="auto"/>
        <w:jc w:val="both"/>
        <w:rPr>
          <w:rFonts w:ascii="Arial" w:hAnsi="Arial" w:cs="Arial"/>
        </w:rPr>
      </w:pPr>
      <w:r>
        <w:rPr>
          <w:rFonts w:ascii="Arial" w:hAnsi="Arial" w:cs="Arial"/>
        </w:rPr>
        <w:t>The</w:t>
      </w:r>
      <w:r w:rsidR="005F1B8F">
        <w:rPr>
          <w:rFonts w:ascii="Arial" w:hAnsi="Arial" w:cs="Arial"/>
        </w:rPr>
        <w:t xml:space="preserve"> battery </w:t>
      </w:r>
      <w:r>
        <w:rPr>
          <w:rFonts w:ascii="Arial" w:hAnsi="Arial" w:cs="Arial"/>
        </w:rPr>
        <w:t xml:space="preserve">modelled </w:t>
      </w:r>
      <w:r w:rsidR="005F1B8F">
        <w:rPr>
          <w:rFonts w:ascii="Arial" w:hAnsi="Arial" w:cs="Arial"/>
        </w:rPr>
        <w:t>in this study was primarily operated for maximum potential economic rewards given a cycling limit of on</w:t>
      </w:r>
      <w:r>
        <w:rPr>
          <w:rFonts w:ascii="Arial" w:hAnsi="Arial" w:cs="Arial"/>
        </w:rPr>
        <w:t>c</w:t>
      </w:r>
      <w:r w:rsidR="005F1B8F">
        <w:rPr>
          <w:rFonts w:ascii="Arial" w:hAnsi="Arial" w:cs="Arial"/>
        </w:rPr>
        <w:t xml:space="preserve">e </w:t>
      </w:r>
      <w:r w:rsidR="005F1B8F" w:rsidRPr="00976C39">
        <w:rPr>
          <w:rFonts w:ascii="Arial" w:hAnsi="Arial" w:cs="Arial"/>
        </w:rPr>
        <w:t>per day and without any</w:t>
      </w:r>
      <w:r w:rsidR="005F1B8F">
        <w:rPr>
          <w:rFonts w:ascii="Arial" w:hAnsi="Arial" w:cs="Arial"/>
        </w:rPr>
        <w:t xml:space="preserve"> forecasting of </w:t>
      </w:r>
      <w:r w:rsidR="003B5F41">
        <w:rPr>
          <w:rFonts w:ascii="Arial" w:hAnsi="Arial" w:cs="Arial"/>
        </w:rPr>
        <w:t xml:space="preserve">market </w:t>
      </w:r>
      <w:r w:rsidR="005F1B8F">
        <w:rPr>
          <w:rFonts w:ascii="Arial" w:hAnsi="Arial" w:cs="Arial"/>
        </w:rPr>
        <w:t>prices,</w:t>
      </w:r>
      <w:r w:rsidR="003B5F41">
        <w:rPr>
          <w:rFonts w:ascii="Arial" w:hAnsi="Arial" w:cs="Arial"/>
        </w:rPr>
        <w:t xml:space="preserve"> </w:t>
      </w:r>
      <w:r w:rsidR="00223F11">
        <w:rPr>
          <w:rFonts w:ascii="Arial" w:hAnsi="Arial" w:cs="Arial"/>
        </w:rPr>
        <w:t>wind generation</w:t>
      </w:r>
      <w:r w:rsidR="003B5F41">
        <w:rPr>
          <w:rFonts w:ascii="Arial" w:hAnsi="Arial" w:cs="Arial"/>
        </w:rPr>
        <w:t>, or demand</w:t>
      </w:r>
      <w:r w:rsidR="00B4146D">
        <w:rPr>
          <w:rFonts w:ascii="Arial" w:hAnsi="Arial" w:cs="Arial"/>
        </w:rPr>
        <w:t>. To determine a usage approach that would be consistent over the whole year</w:t>
      </w:r>
      <w:r w:rsidR="005F1B8F">
        <w:rPr>
          <w:rFonts w:ascii="Arial" w:hAnsi="Arial" w:cs="Arial"/>
        </w:rPr>
        <w:t>, the 2017/18 TOU</w:t>
      </w:r>
      <w:r w:rsidR="005F1B8F" w:rsidRPr="00976C39">
        <w:rPr>
          <w:rFonts w:ascii="Arial" w:hAnsi="Arial" w:cs="Arial"/>
        </w:rPr>
        <w:t xml:space="preserve"> import rates were averaged across all days of the week and all times of year. The resulting categories were thus peak daytime (17:00 to 19:00 UTC; averaging €0.1075 per kWh), off-peak daytime (08:00 to 17:00 </w:t>
      </w:r>
      <w:r w:rsidR="003B5F41">
        <w:rPr>
          <w:rFonts w:ascii="Arial" w:hAnsi="Arial" w:cs="Arial"/>
        </w:rPr>
        <w:t xml:space="preserve">UTC </w:t>
      </w:r>
      <w:r w:rsidR="005F1B8F" w:rsidRPr="00976C39">
        <w:rPr>
          <w:rFonts w:ascii="Arial" w:hAnsi="Arial" w:cs="Arial"/>
        </w:rPr>
        <w:t>and 19:00 to 23:00</w:t>
      </w:r>
      <w:r w:rsidR="003B5F41">
        <w:rPr>
          <w:rFonts w:ascii="Arial" w:hAnsi="Arial" w:cs="Arial"/>
        </w:rPr>
        <w:t xml:space="preserve"> UTC</w:t>
      </w:r>
      <w:r w:rsidR="005F1B8F" w:rsidRPr="00976C39">
        <w:rPr>
          <w:rFonts w:ascii="Arial" w:hAnsi="Arial" w:cs="Arial"/>
        </w:rPr>
        <w:t>; averaging €0.0916 per kWh) and nighttime (23:00 to 08:00</w:t>
      </w:r>
      <w:r w:rsidR="003B5F41">
        <w:rPr>
          <w:rFonts w:ascii="Arial" w:hAnsi="Arial" w:cs="Arial"/>
        </w:rPr>
        <w:t xml:space="preserve"> UTC</w:t>
      </w:r>
      <w:r w:rsidR="005F1B8F" w:rsidRPr="00976C39">
        <w:rPr>
          <w:rFonts w:ascii="Arial" w:hAnsi="Arial" w:cs="Arial"/>
        </w:rPr>
        <w:t>; averaging €0.0512 per kWh)</w:t>
      </w:r>
      <w:r w:rsidR="005F1B8F">
        <w:rPr>
          <w:rFonts w:ascii="Arial" w:hAnsi="Arial" w:cs="Arial"/>
        </w:rPr>
        <w:t xml:space="preserve">. These prices are shown in </w:t>
      </w:r>
      <w:r w:rsidR="005F1B8F" w:rsidRPr="0071757B">
        <w:rPr>
          <w:rFonts w:ascii="Arial" w:hAnsi="Arial" w:cs="Arial"/>
          <w:color w:val="0070C0"/>
        </w:rPr>
        <w:t>Fig. 2</w:t>
      </w:r>
      <w:r w:rsidR="005F1B8F" w:rsidRPr="00976C39">
        <w:rPr>
          <w:rFonts w:ascii="Arial" w:hAnsi="Arial" w:cs="Arial"/>
        </w:rPr>
        <w:t xml:space="preserve"> along with the average half-hourly </w:t>
      </w:r>
      <w:r w:rsidR="005F1B8F">
        <w:rPr>
          <w:rFonts w:ascii="Arial" w:hAnsi="Arial" w:cs="Arial"/>
        </w:rPr>
        <w:t xml:space="preserve">export </w:t>
      </w:r>
      <w:r w:rsidR="005F1B8F" w:rsidRPr="00976C39">
        <w:rPr>
          <w:rFonts w:ascii="Arial" w:hAnsi="Arial" w:cs="Arial"/>
        </w:rPr>
        <w:t>unit price</w:t>
      </w:r>
      <w:r w:rsidR="006D4588">
        <w:rPr>
          <w:rFonts w:ascii="Arial" w:hAnsi="Arial" w:cs="Arial"/>
        </w:rPr>
        <w:t xml:space="preserve">s based on </w:t>
      </w:r>
      <w:r w:rsidR="006D4588" w:rsidRPr="0071757B">
        <w:rPr>
          <w:rFonts w:ascii="Arial" w:hAnsi="Arial" w:cs="Arial"/>
          <w:color w:val="0070C0"/>
        </w:rPr>
        <w:t>Eq. 3</w:t>
      </w:r>
      <w:r w:rsidR="005F1B8F" w:rsidRPr="00976C39">
        <w:rPr>
          <w:rFonts w:ascii="Arial" w:hAnsi="Arial" w:cs="Arial"/>
        </w:rPr>
        <w:t>. Charging of the battery was prioritised for times when the average import and export unit p</w:t>
      </w:r>
      <w:r w:rsidR="004B03B8">
        <w:rPr>
          <w:rFonts w:ascii="Arial" w:hAnsi="Arial" w:cs="Arial"/>
        </w:rPr>
        <w:t>rices a</w:t>
      </w:r>
      <w:r w:rsidR="005F1B8F">
        <w:rPr>
          <w:rFonts w:ascii="Arial" w:hAnsi="Arial" w:cs="Arial"/>
        </w:rPr>
        <w:t xml:space="preserve">re lowest, so as to </w:t>
      </w:r>
      <w:r w:rsidR="005F1B8F" w:rsidRPr="00976C39">
        <w:rPr>
          <w:rFonts w:ascii="Arial" w:hAnsi="Arial" w:cs="Arial"/>
        </w:rPr>
        <w:t xml:space="preserve">minimise the cost of charging from the grid (when necessary) and avoid exporting for low gains. Conversely, discharging was prioritised for times when the average import and export unit prices </w:t>
      </w:r>
      <w:r w:rsidR="004B03B8">
        <w:rPr>
          <w:rFonts w:ascii="Arial" w:hAnsi="Arial" w:cs="Arial"/>
        </w:rPr>
        <w:t>a</w:t>
      </w:r>
      <w:r w:rsidR="005F1B8F" w:rsidRPr="00976C39">
        <w:rPr>
          <w:rFonts w:ascii="Arial" w:hAnsi="Arial" w:cs="Arial"/>
        </w:rPr>
        <w:t>re highest so as to avoid expensive import and avail of valuable export.</w:t>
      </w:r>
      <w:r w:rsidR="005F1B8F">
        <w:rPr>
          <w:rFonts w:ascii="Arial" w:hAnsi="Arial" w:cs="Arial"/>
        </w:rPr>
        <w:t xml:space="preserve"> The charging was therefore carried out between 02:30 and 06:30 UTC, with the exact half-hourly amount dependent on the unit prices, the initial state of charge, and the amount of surplus </w:t>
      </w:r>
      <w:r w:rsidR="004B03B8">
        <w:rPr>
          <w:rFonts w:ascii="Arial" w:hAnsi="Arial" w:cs="Arial"/>
        </w:rPr>
        <w:t>wind generation</w:t>
      </w:r>
      <w:r w:rsidR="005F1B8F">
        <w:rPr>
          <w:rFonts w:ascii="Arial" w:hAnsi="Arial" w:cs="Arial"/>
        </w:rPr>
        <w:t xml:space="preserve"> in the half-hour. As this is a low-demand time of day for the college, the associated increase in import from grid-charging never caused the MIC to be reached. Conversely, the discharging of the battery, which was carried out between 17:00 and 23:00</w:t>
      </w:r>
      <w:r w:rsidR="00D51B0B">
        <w:rPr>
          <w:rFonts w:ascii="Arial" w:hAnsi="Arial" w:cs="Arial"/>
        </w:rPr>
        <w:t xml:space="preserve"> UTC</w:t>
      </w:r>
      <w:r w:rsidR="005F1B8F">
        <w:rPr>
          <w:rFonts w:ascii="Arial" w:hAnsi="Arial" w:cs="Arial"/>
        </w:rPr>
        <w:t xml:space="preserve">, frequently had to be curtailed so as not to exceed the MEC. The exact half-hourly </w:t>
      </w:r>
      <w:r w:rsidR="005F1B8F">
        <w:rPr>
          <w:rFonts w:ascii="Arial" w:hAnsi="Arial" w:cs="Arial"/>
        </w:rPr>
        <w:lastRenderedPageBreak/>
        <w:t xml:space="preserve">discharge therefore depended on the unit prices, the initial state of charge, the import demand, and the surplus </w:t>
      </w:r>
      <w:r w:rsidR="00223F11">
        <w:rPr>
          <w:rFonts w:ascii="Arial" w:hAnsi="Arial" w:cs="Arial"/>
        </w:rPr>
        <w:t>wind generation</w:t>
      </w:r>
      <w:r w:rsidR="005F1B8F">
        <w:rPr>
          <w:rFonts w:ascii="Arial" w:hAnsi="Arial" w:cs="Arial"/>
        </w:rPr>
        <w:t xml:space="preserve"> in the half-hour. The battery usage was simulated in this manner for each scenario of having or not having a turbine. The college’s electrical carbon impact and the ec</w:t>
      </w:r>
      <w:r w:rsidR="00836432">
        <w:rPr>
          <w:rFonts w:ascii="Arial" w:hAnsi="Arial" w:cs="Arial"/>
        </w:rPr>
        <w:t>onomic benefit of switching to HH</w:t>
      </w:r>
      <w:r w:rsidR="005F1B8F">
        <w:rPr>
          <w:rFonts w:ascii="Arial" w:hAnsi="Arial" w:cs="Arial"/>
        </w:rPr>
        <w:t xml:space="preserve">P were then reassessed with the </w:t>
      </w:r>
      <w:r w:rsidR="003B5F41">
        <w:rPr>
          <w:rFonts w:ascii="Arial" w:hAnsi="Arial" w:cs="Arial"/>
        </w:rPr>
        <w:t>simulated</w:t>
      </w:r>
      <w:r w:rsidR="005F1B8F">
        <w:rPr>
          <w:rFonts w:ascii="Arial" w:hAnsi="Arial" w:cs="Arial"/>
        </w:rPr>
        <w:t xml:space="preserve"> battery present.</w:t>
      </w: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682816" behindDoc="1" locked="0" layoutInCell="1" allowOverlap="1" wp14:anchorId="5E805CC4" wp14:editId="7D73B78C">
            <wp:simplePos x="0" y="0"/>
            <wp:positionH relativeFrom="margin">
              <wp:align>center</wp:align>
            </wp:positionH>
            <wp:positionV relativeFrom="paragraph">
              <wp:posOffset>48260</wp:posOffset>
            </wp:positionV>
            <wp:extent cx="4626000" cy="30672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6000" cy="3067200"/>
                    </a:xfrm>
                    <a:prstGeom prst="rect">
                      <a:avLst/>
                    </a:prstGeom>
                    <a:noFill/>
                    <a:ln>
                      <a:noFill/>
                    </a:ln>
                  </pic:spPr>
                </pic:pic>
              </a:graphicData>
            </a:graphic>
          </wp:anchor>
        </w:drawing>
      </w: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r>
        <w:rPr>
          <w:noProof/>
          <w:lang w:eastAsia="en-IE"/>
        </w:rPr>
        <mc:AlternateContent>
          <mc:Choice Requires="wps">
            <w:drawing>
              <wp:anchor distT="0" distB="0" distL="114300" distR="114300" simplePos="0" relativeHeight="251684864" behindDoc="1" locked="0" layoutInCell="1" allowOverlap="1" wp14:anchorId="4510B248" wp14:editId="2C9453D7">
                <wp:simplePos x="0" y="0"/>
                <wp:positionH relativeFrom="margin">
                  <wp:align>center</wp:align>
                </wp:positionH>
                <wp:positionV relativeFrom="paragraph">
                  <wp:posOffset>6138</wp:posOffset>
                </wp:positionV>
                <wp:extent cx="4625975" cy="63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 xml:space="preserve">Fig. 2 Average daily profile of the half-hourly electricity import and export unit prices for Dundalk Institute of Technology over the 2017/18 academic year </w:t>
                            </w:r>
                            <w:r w:rsidR="009B5AC1">
                              <w:rPr>
                                <w:rFonts w:ascii="Arial" w:hAnsi="Arial" w:cs="Arial"/>
                                <w:i w:val="0"/>
                                <w:noProof/>
                                <w:color w:val="000000" w:themeColor="text1"/>
                              </w:rPr>
                              <w:t>(Sep to Aug).</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 requires colour in 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10B248" id="Text Box 1" o:spid="_x0000_s1027" type="#_x0000_t202" style="position:absolute;left:0;text-align:left;margin-left:0;margin-top:.5pt;width:364.25pt;height:.05pt;z-index:-2516316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kyLQIAAGQEAAAOAAAAZHJzL2Uyb0RvYy54bWysVMGO2jAQvVfqP1i+lwAtdIsIK8qKqtJq&#10;dyWo9mwch0SyPe7YkNCv79hJ2HbbU9WLmcw8j/3eG7O8bY1mZ4W+BpvzyWjMmbISitoec/5tv313&#10;w5kPwhZCg1U5vyjPb1dv3ywbt1BTqEAXChk1sX7RuJxXIbhFlnlZKSP8CJyyVCwBjQj0icesQNFQ&#10;d6Oz6Xg8zxrAwiFI5T1l77oiX6X+ZalkeCxLrwLTOae7hbRiWg9xzVZLsTiicFUt+2uIf7iFEbWl&#10;Q6+t7kQQ7IT1H61MLRE8lGEkwWRQlrVUiQOxmYxfsdlVwqnEhcTx7iqT/39t5cP5CVldkHecWWHI&#10;or1qA/sMLZtEdRrnFwTaOYKFltIR2ec9JSPptkQTf4kOozrpfLlqG5tJSn6YT2efPs44k1Sbv5/F&#10;HtnLVoc+fFFgWAxyjmRc0lOc733ooAMknuRB18W21jp+xMJGIzsLMrmp6qD65r+htI1YC3FX1zBm&#10;ssiv4xGj0B7aXo2e4wGKC1FH6EbHO7mt6bx74cOTQJoVYkvzHx5pKTU0OYc+4qwC/PG3fMSThVTl&#10;rKHZy7n/fhKoONNfLZkbB3UIcAgOQ2BPZgPElAyj26SQNmDQQ1gimGd6Fut4CpWElXRWzsMQbkL3&#10;AuhZSbVeJxCNoxPh3u6cjK0HXffts0DXuxLIzAcYplIsXpnTYZM9bn0KpHRyLuraqdjLTaOcvO+f&#10;XXwrv34n1Mufw+onAAAA//8DAFBLAwQUAAYACAAAACEAbhsIVtwAAAAEAQAADwAAAGRycy9kb3du&#10;cmV2LnhtbEyPMU/DMBCFdyT+g3VILIg6LaWt0jhVVcEAS0XowubG1zgQnyPbacO/55hgOr17p3ff&#10;Kzaj68QZQ2w9KZhOMhBItTctNQoO78/3KxAxaTK684QKvjHCpry+KnRu/IXe8FylRnAIxVwrsCn1&#10;uZSxtuh0nPgeib2TD04nlqGRJugLh7tOzrJsIZ1uiT9Y3ePOYv1VDU7Bfv6xt3fD6el1O38IL4dh&#10;t/hsKqVub8btGkTCMf0dwy8+o0PJTEc/kImiU8BFEm95sLmcrR5BHFlPQZaF/A9f/gAAAP//AwBQ&#10;SwECLQAUAAYACAAAACEAtoM4kv4AAADhAQAAEwAAAAAAAAAAAAAAAAAAAAAAW0NvbnRlbnRfVHlw&#10;ZXNdLnhtbFBLAQItABQABgAIAAAAIQA4/SH/1gAAAJQBAAALAAAAAAAAAAAAAAAAAC8BAABfcmVs&#10;cy8ucmVsc1BLAQItABQABgAIAAAAIQBe3DkyLQIAAGQEAAAOAAAAAAAAAAAAAAAAAC4CAABkcnMv&#10;ZTJvRG9jLnhtbFBLAQItABQABgAIAAAAIQBuGwhW3AAAAAQBAAAPAAAAAAAAAAAAAAAAAIcEAABk&#10;cnMvZG93bnJldi54bWxQSwUGAAAAAAQABADzAAAAkAUAAAAA&#10;" stroked="f">
                <v:textbox style="mso-fit-shape-to-text:t" inset="0,0,0,0">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 xml:space="preserve">Fig. 2 Average daily profile of the half-hourly electricity import and export unit prices for Dundalk Institute of Technology over the 2017/18 academic year </w:t>
                      </w:r>
                      <w:r w:rsidR="009B5AC1">
                        <w:rPr>
                          <w:rFonts w:ascii="Arial" w:hAnsi="Arial" w:cs="Arial"/>
                          <w:i w:val="0"/>
                          <w:noProof/>
                          <w:color w:val="000000" w:themeColor="text1"/>
                        </w:rPr>
                        <w:t>(Sep to Aug).</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 requires colour in print]</w:t>
                      </w:r>
                    </w:p>
                  </w:txbxContent>
                </v:textbox>
                <w10:wrap anchorx="margin"/>
              </v:shape>
            </w:pict>
          </mc:Fallback>
        </mc:AlternateContent>
      </w: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5F1B8F">
      <w:pPr>
        <w:spacing w:after="0" w:line="360" w:lineRule="auto"/>
        <w:jc w:val="both"/>
        <w:rPr>
          <w:rFonts w:ascii="Arial" w:hAnsi="Arial" w:cs="Arial"/>
        </w:rPr>
      </w:pPr>
    </w:p>
    <w:p w:rsidR="00017B48" w:rsidRDefault="00017B48" w:rsidP="00A87412">
      <w:pPr>
        <w:spacing w:line="360" w:lineRule="auto"/>
        <w:jc w:val="both"/>
        <w:rPr>
          <w:rFonts w:ascii="Arial" w:hAnsi="Arial" w:cs="Arial"/>
        </w:rPr>
      </w:pPr>
    </w:p>
    <w:p w:rsidR="0047551B" w:rsidRDefault="0047551B" w:rsidP="00A87412">
      <w:pPr>
        <w:spacing w:line="360" w:lineRule="auto"/>
        <w:jc w:val="both"/>
        <w:rPr>
          <w:rFonts w:ascii="Arial" w:hAnsi="Arial" w:cs="Arial"/>
        </w:rPr>
      </w:pPr>
    </w:p>
    <w:p w:rsidR="00267EBA" w:rsidRDefault="00267EBA" w:rsidP="00A87412">
      <w:pPr>
        <w:spacing w:line="360" w:lineRule="auto"/>
        <w:jc w:val="both"/>
        <w:rPr>
          <w:rFonts w:ascii="Arial" w:hAnsi="Arial" w:cs="Arial"/>
        </w:rPr>
      </w:pPr>
    </w:p>
    <w:p w:rsidR="00267EBA" w:rsidRDefault="00267EBA" w:rsidP="00A87412">
      <w:pPr>
        <w:spacing w:line="360" w:lineRule="auto"/>
        <w:jc w:val="both"/>
        <w:rPr>
          <w:rFonts w:ascii="Arial" w:hAnsi="Arial" w:cs="Arial"/>
        </w:rPr>
      </w:pPr>
    </w:p>
    <w:p w:rsidR="00267EBA" w:rsidRDefault="00267EBA" w:rsidP="00A87412">
      <w:pPr>
        <w:spacing w:line="360" w:lineRule="auto"/>
        <w:jc w:val="both"/>
        <w:rPr>
          <w:rFonts w:ascii="Arial" w:hAnsi="Arial" w:cs="Arial"/>
        </w:rPr>
      </w:pPr>
    </w:p>
    <w:p w:rsidR="00017B48" w:rsidRDefault="00017B48" w:rsidP="00A87412">
      <w:pPr>
        <w:spacing w:line="360" w:lineRule="auto"/>
        <w:jc w:val="both"/>
        <w:rPr>
          <w:rFonts w:ascii="Arial" w:hAnsi="Arial" w:cs="Arial"/>
        </w:rPr>
      </w:pPr>
    </w:p>
    <w:p w:rsidR="0047551B" w:rsidRDefault="0047551B" w:rsidP="00A87412">
      <w:pPr>
        <w:spacing w:line="360" w:lineRule="auto"/>
        <w:jc w:val="both"/>
        <w:rPr>
          <w:rFonts w:ascii="Arial" w:hAnsi="Arial" w:cs="Arial"/>
        </w:rPr>
      </w:pPr>
    </w:p>
    <w:p w:rsidR="00267EBA" w:rsidRDefault="00267EBA" w:rsidP="00A87412">
      <w:pPr>
        <w:spacing w:line="360" w:lineRule="auto"/>
        <w:jc w:val="both"/>
        <w:rPr>
          <w:rFonts w:ascii="Arial" w:hAnsi="Arial" w:cs="Arial"/>
        </w:rPr>
      </w:pPr>
    </w:p>
    <w:p w:rsidR="00631FAF" w:rsidRDefault="00631FAF" w:rsidP="00A87412">
      <w:pPr>
        <w:spacing w:line="360" w:lineRule="auto"/>
        <w:jc w:val="both"/>
        <w:rPr>
          <w:rFonts w:ascii="Arial" w:hAnsi="Arial" w:cs="Arial"/>
        </w:rPr>
      </w:pPr>
    </w:p>
    <w:p w:rsidR="00631FAF" w:rsidRDefault="00631FAF" w:rsidP="00631FAF">
      <w:pPr>
        <w:spacing w:after="0" w:line="360" w:lineRule="auto"/>
        <w:jc w:val="both"/>
        <w:rPr>
          <w:rFonts w:ascii="Arial" w:hAnsi="Arial" w:cs="Arial"/>
        </w:rPr>
      </w:pPr>
      <w:r>
        <w:rPr>
          <w:rFonts w:ascii="Arial" w:hAnsi="Arial" w:cs="Arial"/>
        </w:rPr>
        <w:lastRenderedPageBreak/>
        <w:t>3. Results and discussion</w:t>
      </w:r>
    </w:p>
    <w:p w:rsidR="00631FAF" w:rsidRDefault="00631FAF" w:rsidP="00631FAF">
      <w:pPr>
        <w:spacing w:after="0" w:line="360" w:lineRule="auto"/>
        <w:jc w:val="both"/>
        <w:rPr>
          <w:rFonts w:ascii="Arial" w:hAnsi="Arial" w:cs="Arial"/>
        </w:rPr>
      </w:pPr>
    </w:p>
    <w:p w:rsidR="00631FAF" w:rsidRDefault="008821DA" w:rsidP="00631FAF">
      <w:pPr>
        <w:spacing w:after="0" w:line="360" w:lineRule="auto"/>
        <w:jc w:val="both"/>
        <w:rPr>
          <w:rFonts w:ascii="Arial" w:hAnsi="Arial" w:cs="Arial"/>
        </w:rPr>
      </w:pPr>
      <w:r>
        <w:rPr>
          <w:rFonts w:ascii="Arial" w:hAnsi="Arial" w:cs="Arial"/>
        </w:rPr>
        <w:t>3.1</w:t>
      </w:r>
      <w:r w:rsidR="00631FAF">
        <w:rPr>
          <w:rFonts w:ascii="Arial" w:hAnsi="Arial" w:cs="Arial"/>
        </w:rPr>
        <w:t xml:space="preserve"> Energy impact of </w:t>
      </w:r>
      <w:r w:rsidR="00322BFB">
        <w:rPr>
          <w:rFonts w:ascii="Arial" w:hAnsi="Arial" w:cs="Arial"/>
        </w:rPr>
        <w:t xml:space="preserve">the </w:t>
      </w:r>
      <w:r w:rsidR="00631FAF">
        <w:rPr>
          <w:rFonts w:ascii="Arial" w:hAnsi="Arial" w:cs="Arial"/>
        </w:rPr>
        <w:t>wind turbine</w:t>
      </w:r>
    </w:p>
    <w:p w:rsidR="00631FAF" w:rsidRDefault="00631FAF" w:rsidP="00631FAF">
      <w:pPr>
        <w:spacing w:after="0" w:line="360" w:lineRule="auto"/>
        <w:jc w:val="both"/>
        <w:rPr>
          <w:rFonts w:ascii="Arial" w:hAnsi="Arial" w:cs="Arial"/>
        </w:rPr>
      </w:pPr>
      <w:r>
        <w:rPr>
          <w:rFonts w:ascii="Arial" w:hAnsi="Arial" w:cs="Arial"/>
        </w:rPr>
        <w:t xml:space="preserve">The college’s monthly electricity consumption, import, </w:t>
      </w:r>
      <w:r w:rsidR="008821DA">
        <w:rPr>
          <w:rFonts w:ascii="Arial" w:hAnsi="Arial" w:cs="Arial"/>
        </w:rPr>
        <w:t>wind generation</w:t>
      </w:r>
      <w:r>
        <w:rPr>
          <w:rFonts w:ascii="Arial" w:hAnsi="Arial" w:cs="Arial"/>
        </w:rPr>
        <w:t xml:space="preserve">, and export over the 2017/18 academic year are shown in </w:t>
      </w:r>
      <w:r w:rsidRPr="00520A1C">
        <w:rPr>
          <w:rFonts w:ascii="Arial" w:hAnsi="Arial" w:cs="Arial"/>
          <w:color w:val="0070C0"/>
        </w:rPr>
        <w:t>Fig. 3</w:t>
      </w:r>
      <w:r>
        <w:rPr>
          <w:rFonts w:ascii="Arial" w:hAnsi="Arial" w:cs="Arial"/>
        </w:rPr>
        <w:t>. Consumption, which totalled 3,660 MWh for the year, was generally high during term time (September to May) and low over the summer holidays (June to A</w:t>
      </w:r>
      <w:r w:rsidR="008821DA">
        <w:rPr>
          <w:rFonts w:ascii="Arial" w:hAnsi="Arial" w:cs="Arial"/>
        </w:rPr>
        <w:t>ugust). Generation</w:t>
      </w:r>
      <w:r>
        <w:rPr>
          <w:rFonts w:ascii="Arial" w:hAnsi="Arial" w:cs="Arial"/>
        </w:rPr>
        <w:t xml:space="preserve"> followed a broadly similar pattern, totalling 1,327 MWh. Of this, 1,067 MWh (80.4%) was consumed, reducing the required import to 2,593 MWh, with the remaining 261 MWh exported. Over the study year, the turbine itself consumed a total of 10 MWh. If the turbine were removed, the overall consumption (all of which would</w:t>
      </w:r>
      <w:r w:rsidR="00D616D4">
        <w:rPr>
          <w:rFonts w:ascii="Arial" w:hAnsi="Arial" w:cs="Arial"/>
        </w:rPr>
        <w:t xml:space="preserve"> </w:t>
      </w:r>
      <w:r>
        <w:rPr>
          <w:rFonts w:ascii="Arial" w:hAnsi="Arial" w:cs="Arial"/>
        </w:rPr>
        <w:t xml:space="preserve">have to be imported) would therefore decrease to 3,650 MWh. The turbine’s net energy impact </w:t>
      </w:r>
      <w:r w:rsidR="00D616D4">
        <w:rPr>
          <w:rFonts w:ascii="Arial" w:hAnsi="Arial" w:cs="Arial"/>
        </w:rPr>
        <w:t>over the study year</w:t>
      </w:r>
      <w:r>
        <w:rPr>
          <w:rFonts w:ascii="Arial" w:hAnsi="Arial" w:cs="Arial"/>
        </w:rPr>
        <w:t xml:space="preserve"> was therefore a 29.0% reduction in required import from 3,650 MWh to 2593 MWh, with 261 MWh of export created.</w:t>
      </w: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685888" behindDoc="1" locked="0" layoutInCell="1" allowOverlap="1" wp14:anchorId="661ADF5F" wp14:editId="2FF82DCF">
            <wp:simplePos x="0" y="0"/>
            <wp:positionH relativeFrom="margin">
              <wp:align>center</wp:align>
            </wp:positionH>
            <wp:positionV relativeFrom="paragraph">
              <wp:posOffset>80434</wp:posOffset>
            </wp:positionV>
            <wp:extent cx="4626000" cy="30672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6000" cy="3067200"/>
                    </a:xfrm>
                    <a:prstGeom prst="rect">
                      <a:avLst/>
                    </a:prstGeom>
                    <a:noFill/>
                    <a:ln>
                      <a:noFill/>
                    </a:ln>
                  </pic:spPr>
                </pic:pic>
              </a:graphicData>
            </a:graphic>
          </wp:anchor>
        </w:drawing>
      </w: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r>
        <w:rPr>
          <w:noProof/>
          <w:lang w:eastAsia="en-IE"/>
        </w:rPr>
        <mc:AlternateContent>
          <mc:Choice Requires="wps">
            <w:drawing>
              <wp:anchor distT="0" distB="0" distL="114300" distR="114300" simplePos="0" relativeHeight="251687936" behindDoc="1" locked="0" layoutInCell="1" allowOverlap="1" wp14:anchorId="42E5BEA7" wp14:editId="02CFF619">
                <wp:simplePos x="0" y="0"/>
                <wp:positionH relativeFrom="margin">
                  <wp:align>center</wp:align>
                </wp:positionH>
                <wp:positionV relativeFrom="paragraph">
                  <wp:posOffset>25082</wp:posOffset>
                </wp:positionV>
                <wp:extent cx="4625975" cy="635"/>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 xml:space="preserve">Fig. 3 Monthly electricity consumption, import, wind generation, and export for Dundalk Institute of Technology over the 2017/18 </w:t>
                            </w:r>
                            <w:r w:rsidR="009B5AC1">
                              <w:rPr>
                                <w:rFonts w:ascii="Arial" w:hAnsi="Arial" w:cs="Arial"/>
                                <w:i w:val="0"/>
                                <w:noProof/>
                                <w:color w:val="000000" w:themeColor="text1"/>
                              </w:rPr>
                              <w:t>academic year.</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 requires colour in 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E5BEA7" id="Text Box 19" o:spid="_x0000_s1028" type="#_x0000_t202" style="position:absolute;left:0;text-align:left;margin-left:0;margin-top:1.95pt;width:364.25pt;height:.05pt;z-index:-2516285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eALwIAAGYEAAAOAAAAZHJzL2Uyb0RvYy54bWysVMFu2zAMvQ/YPwi6L06yJVuDOEWWIsOA&#10;oi2QDD0rshwLkEWNUmJnXz9KttOt22nYRaZIitJ7j/Tytq0NOyv0GmzOJ6MxZ8pKKLQ95vzbfvvu&#10;E2c+CFsIA1bl/KI8v129fbNs3EJNoQJTKGRUxPpF43JeheAWWeZlpWrhR+CUpWAJWItAWzxmBYqG&#10;qtcmm47H86wBLByCVN6T964L8lWqX5ZKhsey9Cowk3N6W0grpvUQ12y1FIsjCldp2T9D/MMraqEt&#10;XXotdSeCYCfUf5SqtUTwUIaRhDqDstRSJQyEZjJ+hWZXCacSFiLHuytN/v+VlQ/nJ2S6IO1uOLOi&#10;Jo32qg3sM7SMXMRP4/yC0naOEkNLfsod/J6cEXZbYh2/BIhRnJi+XNmN1SQ5P8yns5uPM84kxebv&#10;Z7FG9nLUoQ9fFNQsGjlHki4xKs73PnSpQ0q8yYPRxVYbEzcxsDHIzoJkbiodVF/8tyxjY66FeKor&#10;GD1ZxNfhiFZoD23iYzpgPEBxIegIXfN4J7ea7rsXPjwJpG4htDQB4ZGW0kCTc+gtzirAH3/zx3wS&#10;kaKcNdR9OfffTwIVZ+arJXljqw4GDsZhMOyp3gAhndBsOZlMOoDBDGaJUD/TYKzjLRQSVtJdOQ+D&#10;uQndDNBgSbVepyRqSCfCvd05GUsPvO7bZ4GuVyWQmA8w9KVYvBKny03yuPUpENNJuchrx2JPNzVz&#10;0r4fvDgtv+5T1svvYfUTAAD//wMAUEsDBBQABgAIAAAAIQCPUite3QAAAAQBAAAPAAAAZHJzL2Rv&#10;d25yZXYueG1sTI8xT8MwFIR3JP6D9ZBYEHVoQ1tCXqqqgoEuFWkXNjd+jQPxcxQ7bfj3mAnG053u&#10;vstXo23FmXrfOEZ4mCQgiCunG64RDvvX+yUIHxRr1TomhG/ysCqur3KVaXfhdzqXoRaxhH2mEEwI&#10;XSalrwxZ5SeuI47eyfVWhSj7WupeXWK5beU0SebSqobjglEdbQxVX+VgEXbpx87cDaeX7Tqd9W+H&#10;YTP/rEvE25tx/Qwi0Bj+wvCLH9GhiExHN7D2okWIRwLC7AlENBfT5SOII0KagCxy+R+++AEAAP//&#10;AwBQSwECLQAUAAYACAAAACEAtoM4kv4AAADhAQAAEwAAAAAAAAAAAAAAAAAAAAAAW0NvbnRlbnRf&#10;VHlwZXNdLnhtbFBLAQItABQABgAIAAAAIQA4/SH/1gAAAJQBAAALAAAAAAAAAAAAAAAAAC8BAABf&#10;cmVscy8ucmVsc1BLAQItABQABgAIAAAAIQDZqveALwIAAGYEAAAOAAAAAAAAAAAAAAAAAC4CAABk&#10;cnMvZTJvRG9jLnhtbFBLAQItABQABgAIAAAAIQCPUite3QAAAAQBAAAPAAAAAAAAAAAAAAAAAIkE&#10;AABkcnMvZG93bnJldi54bWxQSwUGAAAAAAQABADzAAAAkwUAAAAA&#10;" stroked="f">
                <v:textbox style="mso-fit-shape-to-text:t" inset="0,0,0,0">
                  <w:txbxContent>
                    <w:p w:rsidR="00017B48" w:rsidRPr="00017B48" w:rsidRDefault="00017B48" w:rsidP="00017B48">
                      <w:pPr>
                        <w:pStyle w:val="Caption"/>
                        <w:jc w:val="center"/>
                        <w:rPr>
                          <w:rFonts w:ascii="Arial" w:hAnsi="Arial" w:cs="Arial"/>
                          <w:i w:val="0"/>
                          <w:noProof/>
                          <w:color w:val="000000" w:themeColor="text1"/>
                        </w:rPr>
                      </w:pPr>
                      <w:r w:rsidRPr="00017B48">
                        <w:rPr>
                          <w:rFonts w:ascii="Arial" w:hAnsi="Arial" w:cs="Arial"/>
                          <w:i w:val="0"/>
                          <w:noProof/>
                          <w:color w:val="000000" w:themeColor="text1"/>
                        </w:rPr>
                        <w:t xml:space="preserve">Fig. 3 Monthly electricity consumption, import, wind generation, and export for Dundalk Institute of Technology over the 2017/18 </w:t>
                      </w:r>
                      <w:r w:rsidR="009B5AC1">
                        <w:rPr>
                          <w:rFonts w:ascii="Arial" w:hAnsi="Arial" w:cs="Arial"/>
                          <w:i w:val="0"/>
                          <w:noProof/>
                          <w:color w:val="000000" w:themeColor="text1"/>
                        </w:rPr>
                        <w:t>academic year.</w:t>
                      </w:r>
                      <w:r w:rsidR="009B5AC1">
                        <w:rPr>
                          <w:rFonts w:ascii="Arial" w:hAnsi="Arial" w:cs="Arial"/>
                          <w:i w:val="0"/>
                          <w:noProof/>
                          <w:color w:val="000000" w:themeColor="text1"/>
                        </w:rPr>
                        <w:br/>
                        <w:t>[single-column image</w:t>
                      </w:r>
                      <w:r w:rsidRPr="00017B48">
                        <w:rPr>
                          <w:rFonts w:ascii="Arial" w:hAnsi="Arial" w:cs="Arial"/>
                          <w:i w:val="0"/>
                          <w:noProof/>
                          <w:color w:val="000000" w:themeColor="text1"/>
                        </w:rPr>
                        <w:t>; requires colour in print]</w:t>
                      </w:r>
                    </w:p>
                  </w:txbxContent>
                </v:textbox>
                <w10:wrap anchorx="margin"/>
              </v:shape>
            </w:pict>
          </mc:Fallback>
        </mc:AlternateContent>
      </w:r>
    </w:p>
    <w:p w:rsidR="00E92B96" w:rsidRDefault="00E92B96" w:rsidP="00631FAF">
      <w:pPr>
        <w:spacing w:after="0" w:line="360" w:lineRule="auto"/>
        <w:jc w:val="both"/>
        <w:rPr>
          <w:rFonts w:ascii="Arial" w:hAnsi="Arial" w:cs="Arial"/>
        </w:rPr>
      </w:pPr>
    </w:p>
    <w:p w:rsidR="00017B48" w:rsidRDefault="00017B48" w:rsidP="00631FAF">
      <w:pPr>
        <w:spacing w:after="0" w:line="360" w:lineRule="auto"/>
        <w:jc w:val="both"/>
        <w:rPr>
          <w:rFonts w:ascii="Arial" w:hAnsi="Arial" w:cs="Arial"/>
        </w:rPr>
      </w:pPr>
    </w:p>
    <w:p w:rsidR="002715A8" w:rsidRDefault="002715A8" w:rsidP="00631FAF">
      <w:pPr>
        <w:spacing w:after="0" w:line="360" w:lineRule="auto"/>
        <w:jc w:val="both"/>
        <w:rPr>
          <w:rFonts w:ascii="Arial" w:hAnsi="Arial" w:cs="Arial"/>
        </w:rPr>
      </w:pPr>
    </w:p>
    <w:p w:rsidR="00631FAF" w:rsidRDefault="008821DA" w:rsidP="00631FAF">
      <w:pPr>
        <w:spacing w:after="0" w:line="360" w:lineRule="auto"/>
        <w:jc w:val="both"/>
        <w:rPr>
          <w:rFonts w:ascii="Arial" w:hAnsi="Arial" w:cs="Arial"/>
        </w:rPr>
      </w:pPr>
      <w:r>
        <w:rPr>
          <w:rFonts w:ascii="Arial" w:hAnsi="Arial" w:cs="Arial"/>
        </w:rPr>
        <w:t>3.2</w:t>
      </w:r>
      <w:r w:rsidR="00631FAF">
        <w:rPr>
          <w:rFonts w:ascii="Arial" w:hAnsi="Arial" w:cs="Arial"/>
        </w:rPr>
        <w:t xml:space="preserve"> Carbon impact of </w:t>
      </w:r>
      <w:r w:rsidR="00322BFB">
        <w:rPr>
          <w:rFonts w:ascii="Arial" w:hAnsi="Arial" w:cs="Arial"/>
        </w:rPr>
        <w:t xml:space="preserve">the </w:t>
      </w:r>
      <w:r w:rsidR="00631FAF">
        <w:rPr>
          <w:rFonts w:ascii="Arial" w:hAnsi="Arial" w:cs="Arial"/>
        </w:rPr>
        <w:t>wind turbine</w:t>
      </w:r>
    </w:p>
    <w:p w:rsidR="00631FAF" w:rsidRDefault="006F0742" w:rsidP="00631FAF">
      <w:pPr>
        <w:spacing w:after="0" w:line="360" w:lineRule="auto"/>
        <w:jc w:val="both"/>
        <w:rPr>
          <w:rFonts w:ascii="Arial" w:hAnsi="Arial" w:cs="Arial"/>
        </w:rPr>
      </w:pPr>
      <w:r>
        <w:rPr>
          <w:rFonts w:ascii="Arial" w:hAnsi="Arial" w:cs="Arial"/>
        </w:rPr>
        <w:t>As per Section 2.5</w:t>
      </w:r>
      <w:r w:rsidR="00631FAF">
        <w:rPr>
          <w:rFonts w:ascii="Arial" w:hAnsi="Arial" w:cs="Arial"/>
        </w:rPr>
        <w:t>, DkIT’s net electrical CO</w:t>
      </w:r>
      <w:r w:rsidR="00631FAF" w:rsidRPr="00317024">
        <w:rPr>
          <w:rFonts w:ascii="Arial" w:hAnsi="Arial" w:cs="Arial"/>
          <w:vertAlign w:val="subscript"/>
        </w:rPr>
        <w:t>2</w:t>
      </w:r>
      <w:r w:rsidR="00631FAF">
        <w:rPr>
          <w:rFonts w:ascii="Arial" w:hAnsi="Arial" w:cs="Arial"/>
        </w:rPr>
        <w:t xml:space="preserve"> emissions were estimated for the study year with and without the turbine present. This amounted to 990 t and 1,435 t, respectively, indicating that the turbine reduced the college’s electrical carbon impact in that year by 445 t (31.0%).</w:t>
      </w:r>
    </w:p>
    <w:p w:rsidR="00631FAF" w:rsidRDefault="00631FAF" w:rsidP="00631FAF">
      <w:pPr>
        <w:spacing w:after="0" w:line="360" w:lineRule="auto"/>
        <w:ind w:firstLine="720"/>
        <w:jc w:val="both"/>
        <w:rPr>
          <w:rFonts w:ascii="Arial" w:hAnsi="Arial" w:cs="Arial"/>
        </w:rPr>
      </w:pPr>
      <w:r>
        <w:rPr>
          <w:rFonts w:ascii="Arial" w:hAnsi="Arial" w:cs="Arial"/>
        </w:rPr>
        <w:t xml:space="preserve">Rather than using dynamic carbon intensities, some studies such as </w:t>
      </w:r>
      <w:r w:rsidRPr="00537CC2">
        <w:rPr>
          <w:rFonts w:ascii="Arial" w:hAnsi="Arial" w:cs="Arial"/>
          <w:color w:val="0070C0"/>
        </w:rPr>
        <w:t>[33</w:t>
      </w:r>
      <w:r>
        <w:rPr>
          <w:rFonts w:ascii="Arial" w:hAnsi="Arial" w:cs="Arial"/>
          <w:color w:val="0070C0"/>
        </w:rPr>
        <w:t>,34</w:t>
      </w:r>
      <w:r w:rsidRPr="00537CC2">
        <w:rPr>
          <w:rFonts w:ascii="Arial" w:hAnsi="Arial" w:cs="Arial"/>
          <w:color w:val="0070C0"/>
        </w:rPr>
        <w:t>]</w:t>
      </w:r>
      <w:r>
        <w:rPr>
          <w:rFonts w:ascii="Arial" w:hAnsi="Arial" w:cs="Arial"/>
        </w:rPr>
        <w:t xml:space="preserve"> have estimated consumers’ carbon impact using the average intensity over a year or more. If DkIT’s </w:t>
      </w:r>
      <w:r>
        <w:rPr>
          <w:rFonts w:ascii="Arial" w:hAnsi="Arial" w:cs="Arial"/>
        </w:rPr>
        <w:lastRenderedPageBreak/>
        <w:t>net emissions for the 2017/18 academic year were simply estimated using the average intensity over this period (394.2 gCO</w:t>
      </w:r>
      <w:r w:rsidRPr="004136AF">
        <w:rPr>
          <w:rFonts w:ascii="Arial" w:hAnsi="Arial" w:cs="Arial"/>
          <w:vertAlign w:val="subscript"/>
        </w:rPr>
        <w:t>2</w:t>
      </w:r>
      <w:r>
        <w:rPr>
          <w:rFonts w:ascii="Arial" w:hAnsi="Arial" w:cs="Arial"/>
        </w:rPr>
        <w:t xml:space="preserve">/kWh), this would yield a result of 920 t – 7.1% less than the 990 t estimated using the half-hourly intensities. Averaging the carbon intensity over long periods can </w:t>
      </w:r>
      <w:r w:rsidR="004638EB">
        <w:rPr>
          <w:rFonts w:ascii="Arial" w:hAnsi="Arial" w:cs="Arial"/>
        </w:rPr>
        <w:t>thus</w:t>
      </w:r>
      <w:r>
        <w:rPr>
          <w:rFonts w:ascii="Arial" w:hAnsi="Arial" w:cs="Arial"/>
        </w:rPr>
        <w:t xml:space="preserve"> lead to </w:t>
      </w:r>
      <w:r w:rsidR="009B5AC1">
        <w:rPr>
          <w:rFonts w:ascii="Arial" w:hAnsi="Arial" w:cs="Arial"/>
        </w:rPr>
        <w:t>discrepancy</w:t>
      </w:r>
      <w:r>
        <w:rPr>
          <w:rFonts w:ascii="Arial" w:hAnsi="Arial" w:cs="Arial"/>
        </w:rPr>
        <w:t xml:space="preserve"> in estimating e</w:t>
      </w:r>
      <w:r w:rsidR="009B5AC1">
        <w:rPr>
          <w:rFonts w:ascii="Arial" w:hAnsi="Arial" w:cs="Arial"/>
        </w:rPr>
        <w:t>missions</w:t>
      </w:r>
      <w:r w:rsidR="00DF2A12">
        <w:rPr>
          <w:rFonts w:ascii="Arial" w:hAnsi="Arial" w:cs="Arial"/>
        </w:rPr>
        <w:t xml:space="preserve">. </w:t>
      </w:r>
      <w:r w:rsidR="00544C30">
        <w:rPr>
          <w:rFonts w:ascii="Arial" w:hAnsi="Arial" w:cs="Arial"/>
        </w:rPr>
        <w:t>On this basis we would suggest using the highest-resolution data available.</w:t>
      </w: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701248" behindDoc="0" locked="0" layoutInCell="1" allowOverlap="1" wp14:anchorId="06B7694A" wp14:editId="454EDD60">
            <wp:simplePos x="0" y="0"/>
            <wp:positionH relativeFrom="margin">
              <wp:align>center</wp:align>
            </wp:positionH>
            <wp:positionV relativeFrom="paragraph">
              <wp:posOffset>50377</wp:posOffset>
            </wp:positionV>
            <wp:extent cx="4626000" cy="306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000" cy="3067200"/>
                    </a:xfrm>
                    <a:prstGeom prst="rect">
                      <a:avLst/>
                    </a:prstGeom>
                    <a:noFill/>
                    <a:ln>
                      <a:noFill/>
                    </a:ln>
                  </pic:spPr>
                </pic:pic>
              </a:graphicData>
            </a:graphic>
          </wp:anchor>
        </w:drawing>
      </w: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r>
        <w:rPr>
          <w:noProof/>
        </w:rPr>
        <mc:AlternateContent>
          <mc:Choice Requires="wps">
            <w:drawing>
              <wp:anchor distT="0" distB="0" distL="114300" distR="114300" simplePos="0" relativeHeight="251703296" behindDoc="0" locked="0" layoutInCell="1" allowOverlap="1" wp14:anchorId="6E04F7A2" wp14:editId="4F9CF611">
                <wp:simplePos x="0" y="0"/>
                <wp:positionH relativeFrom="margin">
                  <wp:align>center</wp:align>
                </wp:positionH>
                <wp:positionV relativeFrom="paragraph">
                  <wp:posOffset>228177</wp:posOffset>
                </wp:positionV>
                <wp:extent cx="4625975" cy="635"/>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DE272D" w:rsidRPr="00DE272D" w:rsidRDefault="00DE272D" w:rsidP="00DE272D">
                            <w:pPr>
                              <w:pStyle w:val="Caption"/>
                              <w:jc w:val="center"/>
                              <w:rPr>
                                <w:rFonts w:ascii="Arial" w:hAnsi="Arial" w:cs="Arial"/>
                                <w:i w:val="0"/>
                                <w:noProof/>
                                <w:color w:val="000000" w:themeColor="text1"/>
                              </w:rPr>
                            </w:pPr>
                            <w:r w:rsidRPr="0097760C">
                              <w:rPr>
                                <w:rFonts w:ascii="Arial" w:hAnsi="Arial" w:cs="Arial"/>
                                <w:i w:val="0"/>
                                <w:color w:val="000000" w:themeColor="text1"/>
                              </w:rPr>
                              <w:t>Fig. 4 Monthly net electricity costs for Dundalk Institute of Technology over the 2017/18 academic year for various scenarios: “T” indicates the pres</w:t>
                            </w:r>
                            <w:r>
                              <w:rPr>
                                <w:rFonts w:ascii="Arial" w:hAnsi="Arial" w:cs="Arial"/>
                                <w:i w:val="0"/>
                                <w:color w:val="000000" w:themeColor="text1"/>
                              </w:rPr>
                              <w:t>ence of the wind turbine, and “H</w:t>
                            </w:r>
                            <w:r w:rsidRPr="0097760C">
                              <w:rPr>
                                <w:rFonts w:ascii="Arial" w:hAnsi="Arial" w:cs="Arial"/>
                                <w:i w:val="0"/>
                                <w:color w:val="000000" w:themeColor="text1"/>
                              </w:rPr>
                              <w:t xml:space="preserve">” indicates that the college has switched to </w:t>
                            </w:r>
                            <w:r>
                              <w:rPr>
                                <w:rFonts w:ascii="Arial" w:hAnsi="Arial" w:cs="Arial"/>
                                <w:i w:val="0"/>
                                <w:color w:val="000000" w:themeColor="text1"/>
                              </w:rPr>
                              <w:t>half-hourly</w:t>
                            </w:r>
                            <w:r>
                              <w:rPr>
                                <w:rFonts w:ascii="Arial" w:hAnsi="Arial" w:cs="Arial"/>
                                <w:i w:val="0"/>
                                <w:color w:val="000000" w:themeColor="text1"/>
                              </w:rPr>
                              <w:t xml:space="preserve"> billing.</w:t>
                            </w:r>
                            <w:r>
                              <w:rPr>
                                <w:rFonts w:ascii="Arial" w:hAnsi="Arial" w:cs="Arial"/>
                                <w:i w:val="0"/>
                                <w:color w:val="000000" w:themeColor="text1"/>
                              </w:rPr>
                              <w:br/>
                              <w:t>[single-column image</w:t>
                            </w:r>
                            <w:r w:rsidRPr="0097760C">
                              <w:rPr>
                                <w:rFonts w:ascii="Arial" w:hAnsi="Arial" w:cs="Arial"/>
                                <w:i w:val="0"/>
                                <w:color w:val="000000" w:themeColor="text1"/>
                              </w:rPr>
                              <w:t>; requires colour in 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04F7A2" id="Text Box 3" o:spid="_x0000_s1029" type="#_x0000_t202" style="position:absolute;left:0;text-align:left;margin-left:0;margin-top:17.95pt;width:364.25pt;height:.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oILgIAAGQEAAAOAAAAZHJzL2Uyb0RvYy54bWysVE2P2yAQvVfqf0DcG+ejSVsrzirNKlWl&#10;aHelpNozwThGAoYCiZ3++g7Yzrbbnqpe8DAzDLz3Zry8a7UiF+G8BFPQyWhMiTAcSmlOBf122L77&#10;SIkPzJRMgREFvQpP71Zv3ywbm4sp1KBK4QgWMT5vbEHrEGyeZZ7XQjM/AisMBitwmgXculNWOtZg&#10;da2y6Xi8yBpwpXXAhffove+CdJXqV5Xg4bGqvAhEFRTfFtLq0nqMa7ZasvzkmK0l75/B/uEVmkmD&#10;l95K3bPAyNnJP0ppyR14qMKIg86gqiQXCQOimYxfodnXzIqEBcnx9kaT/39l+cPlyRFZFnRGiWEa&#10;JTqINpDP0JJZZKexPsekvcW00KIbVR78Hp0RdFs5Hb8Ih2Aceb7euI3FODrfL6bzTx/mlHCMLWbz&#10;WCN7OWqdD18EaBKNgjoULvHJLjsfutQhJd7kQclyK5WKmxjYKEcuDEVuahlEX/y3LGViroF4qisY&#10;PVnE1+GIVmiPbc9Gj/0I5RWhO+hax1u+lXjfjvnwxBz2CqLF/g+PuFQKmoJCb1FSg/vxN3/MRwkx&#10;SkmDvVdQ//3MnKBEfTUobmzUwXCDcRwMc9YbQKQTnCzLk4kHXFCDWTnQzzgW63gLhpjheFdBw2Bu&#10;QjcBOFZcrNcpCdvRsrAze8tj6YHXQ/vMnO1VCSjmAwxdyfJX4nS5SR67PgdkOikXee1Y7OnGVk7a&#10;92MXZ+XXfcp6+TmsfgIAAP//AwBQSwMEFAAGAAgAAAAhABrDwo/fAAAABgEAAA8AAABkcnMvZG93&#10;bnJldi54bWxMj81OwzAQhO9IvIO1SFwQdehPWkKcqqrgAJeK0EtvbryNA/E6ip02vD3LCY47M5r5&#10;Nl+PrhVn7EPjScHDJAGBVHnTUK1g//FyvwIRoiajW0+o4BsDrIvrq1xnxl/oHc9lrAWXUMi0Ahtj&#10;l0kZKotOh4nvkNg7+d7pyGdfS9PrC5e7Vk6TJJVON8QLVne4tVh9lYNTsJsfdvZuOD2/beaz/nU/&#10;bNPPulTq9mbcPIGIOMa/MPziMzoUzHT0A5kgWgX8SFQwWzyCYHc5XS1AHFlIE5BFLv/jFz8AAAD/&#10;/wMAUEsBAi0AFAAGAAgAAAAhALaDOJL+AAAA4QEAABMAAAAAAAAAAAAAAAAAAAAAAFtDb250ZW50&#10;X1R5cGVzXS54bWxQSwECLQAUAAYACAAAACEAOP0h/9YAAACUAQAACwAAAAAAAAAAAAAAAAAvAQAA&#10;X3JlbHMvLnJlbHNQSwECLQAUAAYACAAAACEAOBIKCC4CAABkBAAADgAAAAAAAAAAAAAAAAAuAgAA&#10;ZHJzL2Uyb0RvYy54bWxQSwECLQAUAAYACAAAACEAGsPCj98AAAAGAQAADwAAAAAAAAAAAAAAAACI&#10;BAAAZHJzL2Rvd25yZXYueG1sUEsFBgAAAAAEAAQA8wAAAJQFAAAAAA==&#10;" stroked="f">
                <v:textbox style="mso-fit-shape-to-text:t" inset="0,0,0,0">
                  <w:txbxContent>
                    <w:p w:rsidR="00DE272D" w:rsidRPr="00DE272D" w:rsidRDefault="00DE272D" w:rsidP="00DE272D">
                      <w:pPr>
                        <w:pStyle w:val="Caption"/>
                        <w:jc w:val="center"/>
                        <w:rPr>
                          <w:rFonts w:ascii="Arial" w:hAnsi="Arial" w:cs="Arial"/>
                          <w:i w:val="0"/>
                          <w:noProof/>
                          <w:color w:val="000000" w:themeColor="text1"/>
                        </w:rPr>
                      </w:pPr>
                      <w:r w:rsidRPr="0097760C">
                        <w:rPr>
                          <w:rFonts w:ascii="Arial" w:hAnsi="Arial" w:cs="Arial"/>
                          <w:i w:val="0"/>
                          <w:color w:val="000000" w:themeColor="text1"/>
                        </w:rPr>
                        <w:t>Fig. 4 Monthly net electricity costs for Dundalk Institute of Technology over the 2017/18 academic year for various scenarios: “T” indicates the pres</w:t>
                      </w:r>
                      <w:r>
                        <w:rPr>
                          <w:rFonts w:ascii="Arial" w:hAnsi="Arial" w:cs="Arial"/>
                          <w:i w:val="0"/>
                          <w:color w:val="000000" w:themeColor="text1"/>
                        </w:rPr>
                        <w:t>ence of the wind turbine, and “H</w:t>
                      </w:r>
                      <w:r w:rsidRPr="0097760C">
                        <w:rPr>
                          <w:rFonts w:ascii="Arial" w:hAnsi="Arial" w:cs="Arial"/>
                          <w:i w:val="0"/>
                          <w:color w:val="000000" w:themeColor="text1"/>
                        </w:rPr>
                        <w:t xml:space="preserve">” indicates that the college has switched to </w:t>
                      </w:r>
                      <w:r>
                        <w:rPr>
                          <w:rFonts w:ascii="Arial" w:hAnsi="Arial" w:cs="Arial"/>
                          <w:i w:val="0"/>
                          <w:color w:val="000000" w:themeColor="text1"/>
                        </w:rPr>
                        <w:t>half-hourly</w:t>
                      </w:r>
                      <w:r>
                        <w:rPr>
                          <w:rFonts w:ascii="Arial" w:hAnsi="Arial" w:cs="Arial"/>
                          <w:i w:val="0"/>
                          <w:color w:val="000000" w:themeColor="text1"/>
                        </w:rPr>
                        <w:t xml:space="preserve"> billing.</w:t>
                      </w:r>
                      <w:r>
                        <w:rPr>
                          <w:rFonts w:ascii="Arial" w:hAnsi="Arial" w:cs="Arial"/>
                          <w:i w:val="0"/>
                          <w:color w:val="000000" w:themeColor="text1"/>
                        </w:rPr>
                        <w:br/>
                        <w:t>[single-column image</w:t>
                      </w:r>
                      <w:r w:rsidRPr="0097760C">
                        <w:rPr>
                          <w:rFonts w:ascii="Arial" w:hAnsi="Arial" w:cs="Arial"/>
                          <w:i w:val="0"/>
                          <w:color w:val="000000" w:themeColor="text1"/>
                        </w:rPr>
                        <w:t>; requires colour in print]</w:t>
                      </w:r>
                    </w:p>
                  </w:txbxContent>
                </v:textbox>
                <w10:wrap anchorx="margin"/>
              </v:shape>
            </w:pict>
          </mc:Fallback>
        </mc:AlternateContent>
      </w: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DE272D">
      <w:pPr>
        <w:spacing w:after="0" w:line="360" w:lineRule="auto"/>
        <w:jc w:val="both"/>
        <w:rPr>
          <w:rFonts w:ascii="Arial" w:hAnsi="Arial" w:cs="Arial"/>
        </w:rPr>
      </w:pPr>
    </w:p>
    <w:p w:rsidR="00DE272D" w:rsidRDefault="00DE272D" w:rsidP="00631FAF">
      <w:pPr>
        <w:spacing w:after="0" w:line="360" w:lineRule="auto"/>
        <w:jc w:val="both"/>
        <w:rPr>
          <w:rFonts w:ascii="Arial" w:hAnsi="Arial" w:cs="Arial"/>
        </w:rPr>
      </w:pPr>
    </w:p>
    <w:p w:rsidR="00631FAF" w:rsidRDefault="00631FAF" w:rsidP="00631FAF">
      <w:pPr>
        <w:spacing w:after="0" w:line="360" w:lineRule="auto"/>
        <w:jc w:val="both"/>
        <w:rPr>
          <w:rFonts w:ascii="Arial" w:hAnsi="Arial" w:cs="Arial"/>
        </w:rPr>
      </w:pPr>
      <w:r>
        <w:rPr>
          <w:rFonts w:ascii="Arial" w:hAnsi="Arial" w:cs="Arial"/>
        </w:rPr>
        <w:t>3.</w:t>
      </w:r>
      <w:r w:rsidR="008821DA">
        <w:rPr>
          <w:rFonts w:ascii="Arial" w:hAnsi="Arial" w:cs="Arial"/>
        </w:rPr>
        <w:t>3</w:t>
      </w:r>
      <w:r>
        <w:rPr>
          <w:rFonts w:ascii="Arial" w:hAnsi="Arial" w:cs="Arial"/>
        </w:rPr>
        <w:t xml:space="preserve"> Economic impact of</w:t>
      </w:r>
      <w:r w:rsidR="00322BFB">
        <w:rPr>
          <w:rFonts w:ascii="Arial" w:hAnsi="Arial" w:cs="Arial"/>
        </w:rPr>
        <w:t xml:space="preserve"> the</w:t>
      </w:r>
      <w:r w:rsidR="00836432">
        <w:rPr>
          <w:rFonts w:ascii="Arial" w:hAnsi="Arial" w:cs="Arial"/>
        </w:rPr>
        <w:t xml:space="preserve"> wind turbine and HH</w:t>
      </w:r>
      <w:r>
        <w:rPr>
          <w:rFonts w:ascii="Arial" w:hAnsi="Arial" w:cs="Arial"/>
        </w:rPr>
        <w:t>P</w:t>
      </w:r>
    </w:p>
    <w:p w:rsidR="008821DA" w:rsidRDefault="00631FAF" w:rsidP="00631FAF">
      <w:pPr>
        <w:spacing w:after="0" w:line="360" w:lineRule="auto"/>
        <w:jc w:val="both"/>
        <w:rPr>
          <w:rFonts w:ascii="Arial" w:hAnsi="Arial" w:cs="Arial"/>
        </w:rPr>
      </w:pPr>
      <w:r>
        <w:rPr>
          <w:rFonts w:ascii="Arial" w:hAnsi="Arial" w:cs="Arial"/>
        </w:rPr>
        <w:t xml:space="preserve">DkIT’s estimated monthly net electricity costs over the study year are displayed in </w:t>
      </w:r>
      <w:r w:rsidRPr="00520A1C">
        <w:rPr>
          <w:rFonts w:ascii="Arial" w:hAnsi="Arial" w:cs="Arial"/>
          <w:color w:val="0070C0"/>
        </w:rPr>
        <w:t>Fig. 4</w:t>
      </w:r>
      <w:r>
        <w:rPr>
          <w:rFonts w:ascii="Arial" w:hAnsi="Arial" w:cs="Arial"/>
        </w:rPr>
        <w:t xml:space="preserve"> for each scenario of having or not having a wind turbine a</w:t>
      </w:r>
      <w:r w:rsidR="004638EB">
        <w:rPr>
          <w:rFonts w:ascii="Arial" w:hAnsi="Arial" w:cs="Arial"/>
        </w:rPr>
        <w:t xml:space="preserve">nd being on fixed TOU or </w:t>
      </w:r>
      <w:r w:rsidR="000527AF">
        <w:rPr>
          <w:rFonts w:ascii="Arial" w:hAnsi="Arial" w:cs="Arial"/>
        </w:rPr>
        <w:t>half-hourly</w:t>
      </w:r>
      <w:r>
        <w:rPr>
          <w:rFonts w:ascii="Arial" w:hAnsi="Arial" w:cs="Arial"/>
        </w:rPr>
        <w:t xml:space="preserve"> billing. For the baseline scenario of having a turbine and paying fixed TOU rates, the monthly net costs display a similar pattern to the import energies in </w:t>
      </w:r>
      <w:r w:rsidRPr="00520A1C">
        <w:rPr>
          <w:rFonts w:ascii="Arial" w:hAnsi="Arial" w:cs="Arial"/>
          <w:color w:val="0070C0"/>
        </w:rPr>
        <w:t>Fig. 3</w:t>
      </w:r>
      <w:r>
        <w:rPr>
          <w:rFonts w:ascii="Arial" w:hAnsi="Arial" w:cs="Arial"/>
        </w:rPr>
        <w:t xml:space="preserve">, totalling €311,956 for the year. Removing the turbine increases the total to €395,063, with the pattern again resembling the would-be imports, in this case the overall consumption. The net amount saved by the turbine over they study year is therefore estimated to be €83,107 or 21.0% of the no-turbine total. With the </w:t>
      </w:r>
      <w:r w:rsidR="001657A7">
        <w:rPr>
          <w:rFonts w:ascii="Arial" w:hAnsi="Arial" w:cs="Arial"/>
        </w:rPr>
        <w:t>turbine in place, switching to HH</w:t>
      </w:r>
      <w:r>
        <w:rPr>
          <w:rFonts w:ascii="Arial" w:hAnsi="Arial" w:cs="Arial"/>
        </w:rPr>
        <w:t>P further reduces the net cost in every month, yielding a yearly total of just €201,571. Making this switch would therefore provide a saving of €110,385 or 35.4%. Finally, if both the turbine is remov</w:t>
      </w:r>
      <w:r w:rsidR="001657A7">
        <w:rPr>
          <w:rFonts w:ascii="Arial" w:hAnsi="Arial" w:cs="Arial"/>
        </w:rPr>
        <w:t>ed and the college switches to HH</w:t>
      </w:r>
      <w:r>
        <w:rPr>
          <w:rFonts w:ascii="Arial" w:hAnsi="Arial" w:cs="Arial"/>
        </w:rPr>
        <w:t>P, the net costs decrease relative to the baseline in all months except March 2018, bringing the yearly total to €268,319, thus representing</w:t>
      </w:r>
      <w:r w:rsidRPr="00F66EE7">
        <w:rPr>
          <w:rFonts w:ascii="Arial" w:hAnsi="Arial" w:cs="Arial"/>
        </w:rPr>
        <w:t xml:space="preserve"> </w:t>
      </w:r>
      <w:r>
        <w:rPr>
          <w:rFonts w:ascii="Arial" w:hAnsi="Arial" w:cs="Arial"/>
        </w:rPr>
        <w:t>a saving of €43,637 or 14.0%. These results indicate that operating the turbine and – to an even</w:t>
      </w:r>
      <w:r w:rsidR="001657A7">
        <w:rPr>
          <w:rFonts w:ascii="Arial" w:hAnsi="Arial" w:cs="Arial"/>
        </w:rPr>
        <w:t xml:space="preserve"> greater extent – switching to HH</w:t>
      </w:r>
      <w:r>
        <w:rPr>
          <w:rFonts w:ascii="Arial" w:hAnsi="Arial" w:cs="Arial"/>
        </w:rPr>
        <w:t xml:space="preserve">P each </w:t>
      </w:r>
      <w:r>
        <w:rPr>
          <w:rFonts w:ascii="Arial" w:hAnsi="Arial" w:cs="Arial"/>
        </w:rPr>
        <w:lastRenderedPageBreak/>
        <w:t>offer substantial economic savings for the college, regardless of the initial set-up.</w:t>
      </w:r>
      <w:r w:rsidR="001657A7">
        <w:rPr>
          <w:rFonts w:ascii="Arial" w:hAnsi="Arial" w:cs="Arial"/>
        </w:rPr>
        <w:t xml:space="preserve"> Making the switch to HH</w:t>
      </w:r>
      <w:r w:rsidR="00322BFB">
        <w:rPr>
          <w:rFonts w:ascii="Arial" w:hAnsi="Arial" w:cs="Arial"/>
        </w:rPr>
        <w:t>P would therefore be</w:t>
      </w:r>
      <w:r w:rsidR="000527AF">
        <w:rPr>
          <w:rFonts w:ascii="Arial" w:hAnsi="Arial" w:cs="Arial"/>
        </w:rPr>
        <w:t xml:space="preserve"> strongly advisable for </w:t>
      </w:r>
      <w:proofErr w:type="spellStart"/>
      <w:r w:rsidR="000527AF">
        <w:rPr>
          <w:rFonts w:ascii="Arial" w:hAnsi="Arial" w:cs="Arial"/>
        </w:rPr>
        <w:t>DkIT</w:t>
      </w:r>
      <w:proofErr w:type="spellEnd"/>
      <w:r w:rsidR="000527AF">
        <w:rPr>
          <w:rFonts w:ascii="Arial" w:hAnsi="Arial" w:cs="Arial"/>
        </w:rPr>
        <w:t>.</w:t>
      </w:r>
    </w:p>
    <w:p w:rsidR="00631FAF" w:rsidRDefault="00631FAF" w:rsidP="00631FAF">
      <w:pPr>
        <w:spacing w:after="0" w:line="360" w:lineRule="auto"/>
        <w:jc w:val="both"/>
        <w:rPr>
          <w:rFonts w:ascii="Arial" w:hAnsi="Arial" w:cs="Arial"/>
        </w:rPr>
      </w:pPr>
    </w:p>
    <w:p w:rsidR="00631FAF" w:rsidRDefault="008821DA" w:rsidP="00631FAF">
      <w:pPr>
        <w:tabs>
          <w:tab w:val="left" w:pos="2304"/>
        </w:tabs>
        <w:spacing w:after="0" w:line="360" w:lineRule="auto"/>
        <w:jc w:val="both"/>
        <w:rPr>
          <w:rFonts w:ascii="Arial" w:hAnsi="Arial" w:cs="Arial"/>
        </w:rPr>
      </w:pPr>
      <w:r>
        <w:rPr>
          <w:rFonts w:ascii="Arial" w:hAnsi="Arial" w:cs="Arial"/>
        </w:rPr>
        <w:t>3.4</w:t>
      </w:r>
      <w:r w:rsidR="00631FAF">
        <w:rPr>
          <w:rFonts w:ascii="Arial" w:hAnsi="Arial" w:cs="Arial"/>
        </w:rPr>
        <w:t xml:space="preserve"> Battery performance</w:t>
      </w:r>
      <w:r w:rsidR="006A159A">
        <w:rPr>
          <w:rFonts w:ascii="Arial" w:hAnsi="Arial" w:cs="Arial"/>
        </w:rPr>
        <w:t xml:space="preserve"> and energy impact</w:t>
      </w:r>
    </w:p>
    <w:p w:rsidR="000D5147" w:rsidRDefault="00631FAF" w:rsidP="000D5147">
      <w:pPr>
        <w:spacing w:after="0" w:line="360" w:lineRule="auto"/>
        <w:jc w:val="both"/>
        <w:rPr>
          <w:rFonts w:ascii="Arial" w:hAnsi="Arial" w:cs="Arial"/>
        </w:rPr>
      </w:pPr>
      <w:r>
        <w:rPr>
          <w:rFonts w:ascii="Arial" w:hAnsi="Arial" w:cs="Arial"/>
        </w:rPr>
        <w:t xml:space="preserve">The </w:t>
      </w:r>
      <w:r w:rsidR="000527AF">
        <w:rPr>
          <w:rFonts w:ascii="Arial" w:hAnsi="Arial" w:cs="Arial"/>
        </w:rPr>
        <w:t>battery</w:t>
      </w:r>
      <w:r w:rsidR="006A159A">
        <w:rPr>
          <w:rFonts w:ascii="Arial" w:hAnsi="Arial" w:cs="Arial"/>
        </w:rPr>
        <w:t xml:space="preserve"> selected in Section 2.6</w:t>
      </w:r>
      <w:r>
        <w:rPr>
          <w:rFonts w:ascii="Arial" w:hAnsi="Arial" w:cs="Arial"/>
        </w:rPr>
        <w:t xml:space="preserve"> was then </w:t>
      </w:r>
      <w:r w:rsidR="000527AF">
        <w:rPr>
          <w:rFonts w:ascii="Arial" w:hAnsi="Arial" w:cs="Arial"/>
        </w:rPr>
        <w:t>modelled</w:t>
      </w:r>
      <w:r w:rsidR="006A159A">
        <w:rPr>
          <w:rFonts w:ascii="Arial" w:hAnsi="Arial" w:cs="Arial"/>
        </w:rPr>
        <w:t xml:space="preserve"> as described in Section 2.7</w:t>
      </w:r>
      <w:r>
        <w:rPr>
          <w:rFonts w:ascii="Arial" w:hAnsi="Arial" w:cs="Arial"/>
        </w:rPr>
        <w:t xml:space="preserve">. The battery’s half-hourly state of charge over study year with and without the turbine </w:t>
      </w:r>
      <w:r w:rsidR="00322BFB">
        <w:rPr>
          <w:rFonts w:ascii="Arial" w:hAnsi="Arial" w:cs="Arial"/>
        </w:rPr>
        <w:t xml:space="preserve">present </w:t>
      </w:r>
      <w:r>
        <w:rPr>
          <w:rFonts w:ascii="Arial" w:hAnsi="Arial" w:cs="Arial"/>
        </w:rPr>
        <w:t xml:space="preserve">is illustrated in </w:t>
      </w:r>
      <w:r w:rsidRPr="00B92FE2">
        <w:rPr>
          <w:rFonts w:ascii="Arial" w:hAnsi="Arial" w:cs="Arial"/>
          <w:color w:val="0070C0"/>
        </w:rPr>
        <w:t>Fig. 5</w:t>
      </w:r>
      <w:r>
        <w:rPr>
          <w:rFonts w:ascii="Arial" w:hAnsi="Arial" w:cs="Arial"/>
        </w:rPr>
        <w:t>. In the no-turbine scenario (</w:t>
      </w:r>
      <w:r w:rsidRPr="00B92FE2">
        <w:rPr>
          <w:rFonts w:ascii="Arial" w:hAnsi="Arial" w:cs="Arial"/>
          <w:color w:val="0070C0"/>
        </w:rPr>
        <w:t>Fig. 5a</w:t>
      </w:r>
      <w:r>
        <w:rPr>
          <w:rFonts w:ascii="Arial" w:hAnsi="Arial" w:cs="Arial"/>
        </w:rPr>
        <w:t>), the battery c</w:t>
      </w:r>
      <w:r w:rsidR="004F13B2">
        <w:rPr>
          <w:rFonts w:ascii="Arial" w:hAnsi="Arial" w:cs="Arial"/>
        </w:rPr>
        <w:t>ompletes</w:t>
      </w:r>
      <w:r>
        <w:rPr>
          <w:rFonts w:ascii="Arial" w:hAnsi="Arial" w:cs="Arial"/>
        </w:rPr>
        <w:t xml:space="preserve"> the intended one full cycle per day, charging (by import only) between 04:00 and 06:30 UTC and discharging between 17:00 and 19:30 UTC. The total throughput for the year </w:t>
      </w:r>
      <w:r w:rsidR="004F13B2">
        <w:rPr>
          <w:rFonts w:ascii="Arial" w:hAnsi="Arial" w:cs="Arial"/>
        </w:rPr>
        <w:t>is</w:t>
      </w:r>
      <w:r w:rsidR="00AD30AF">
        <w:rPr>
          <w:rFonts w:ascii="Arial" w:hAnsi="Arial" w:cs="Arial"/>
        </w:rPr>
        <w:t xml:space="preserve"> thus 567,210 kWh, of which 50.8</w:t>
      </w:r>
      <w:r>
        <w:rPr>
          <w:rFonts w:ascii="Arial" w:hAnsi="Arial" w:cs="Arial"/>
        </w:rPr>
        <w:t xml:space="preserve">% </w:t>
      </w:r>
      <w:r w:rsidR="004F13B2">
        <w:rPr>
          <w:rFonts w:ascii="Arial" w:hAnsi="Arial" w:cs="Arial"/>
        </w:rPr>
        <w:t>is</w:t>
      </w:r>
      <w:r>
        <w:rPr>
          <w:rFonts w:ascii="Arial" w:hAnsi="Arial" w:cs="Arial"/>
        </w:rPr>
        <w:t xml:space="preserve"> discharged to reduce import, with th</w:t>
      </w:r>
      <w:r w:rsidR="00AD30AF">
        <w:rPr>
          <w:rFonts w:ascii="Arial" w:hAnsi="Arial" w:cs="Arial"/>
        </w:rPr>
        <w:t>e remaining 49.2</w:t>
      </w:r>
      <w:r>
        <w:rPr>
          <w:rFonts w:ascii="Arial" w:hAnsi="Arial" w:cs="Arial"/>
        </w:rPr>
        <w:t>% discharged to create export.</w:t>
      </w:r>
      <w:r w:rsidR="00685BCD">
        <w:rPr>
          <w:rFonts w:ascii="Arial" w:hAnsi="Arial" w:cs="Arial"/>
        </w:rPr>
        <w:t xml:space="preserve"> The</w:t>
      </w:r>
      <w:r w:rsidR="00545B3E">
        <w:rPr>
          <w:rFonts w:ascii="Arial" w:hAnsi="Arial" w:cs="Arial"/>
        </w:rPr>
        <w:t xml:space="preserve"> college’s </w:t>
      </w:r>
      <w:r w:rsidR="00685BCD">
        <w:rPr>
          <w:rFonts w:ascii="Arial" w:hAnsi="Arial" w:cs="Arial"/>
        </w:rPr>
        <w:t xml:space="preserve">overall </w:t>
      </w:r>
      <w:r w:rsidR="00545B3E">
        <w:rPr>
          <w:rFonts w:ascii="Arial" w:hAnsi="Arial" w:cs="Arial"/>
        </w:rPr>
        <w:t xml:space="preserve">consumption for this scenario amounts to 3,739 MWh, with 3,997 MWh </w:t>
      </w:r>
      <w:r w:rsidR="0094731E">
        <w:rPr>
          <w:rFonts w:ascii="Arial" w:hAnsi="Arial" w:cs="Arial"/>
        </w:rPr>
        <w:t xml:space="preserve">of </w:t>
      </w:r>
      <w:r w:rsidR="00545B3E">
        <w:rPr>
          <w:rFonts w:ascii="Arial" w:hAnsi="Arial" w:cs="Arial"/>
        </w:rPr>
        <w:t xml:space="preserve">import and 258 MWh </w:t>
      </w:r>
      <w:r w:rsidR="0094731E">
        <w:rPr>
          <w:rFonts w:ascii="Arial" w:hAnsi="Arial" w:cs="Arial"/>
        </w:rPr>
        <w:t xml:space="preserve">of </w:t>
      </w:r>
      <w:r w:rsidR="00545B3E">
        <w:rPr>
          <w:rFonts w:ascii="Arial" w:hAnsi="Arial" w:cs="Arial"/>
        </w:rPr>
        <w:t>export.</w:t>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692032" behindDoc="1" locked="0" layoutInCell="1" allowOverlap="1" wp14:anchorId="7A41D212" wp14:editId="4A2507E8">
            <wp:simplePos x="0" y="0"/>
            <wp:positionH relativeFrom="margin">
              <wp:align>center</wp:align>
            </wp:positionH>
            <wp:positionV relativeFrom="paragraph">
              <wp:posOffset>6985</wp:posOffset>
            </wp:positionV>
            <wp:extent cx="4625975" cy="307022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975" cy="3070225"/>
                    </a:xfrm>
                    <a:prstGeom prst="rect">
                      <a:avLst/>
                    </a:prstGeom>
                    <a:noFill/>
                    <a:ln>
                      <a:noFill/>
                    </a:ln>
                  </pic:spPr>
                </pic:pic>
              </a:graphicData>
            </a:graphic>
          </wp:anchor>
        </w:drawing>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r>
        <w:rPr>
          <w:noProof/>
          <w:lang w:eastAsia="en-IE"/>
        </w:rPr>
        <mc:AlternateContent>
          <mc:Choice Requires="wps">
            <w:drawing>
              <wp:anchor distT="0" distB="0" distL="114300" distR="114300" simplePos="0" relativeHeight="251694080" behindDoc="1" locked="0" layoutInCell="1" allowOverlap="1" wp14:anchorId="55DE69F6" wp14:editId="5093EDD0">
                <wp:simplePos x="0" y="0"/>
                <wp:positionH relativeFrom="margin">
                  <wp:align>center</wp:align>
                </wp:positionH>
                <wp:positionV relativeFrom="paragraph">
                  <wp:posOffset>196215</wp:posOffset>
                </wp:positionV>
                <wp:extent cx="4625975" cy="635"/>
                <wp:effectExtent l="0" t="0" r="3175" b="0"/>
                <wp:wrapNone/>
                <wp:docPr id="23" name="Text Box 23"/>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3D7F20" w:rsidRPr="003D7F20" w:rsidRDefault="003D7F20" w:rsidP="003D7F20">
                            <w:pPr>
                              <w:pStyle w:val="Caption"/>
                              <w:jc w:val="center"/>
                              <w:rPr>
                                <w:rFonts w:ascii="Arial" w:hAnsi="Arial" w:cs="Arial"/>
                                <w:i w:val="0"/>
                                <w:noProof/>
                                <w:color w:val="000000" w:themeColor="text1"/>
                              </w:rPr>
                            </w:pPr>
                            <w:r w:rsidRPr="003D7F20">
                              <w:rPr>
                                <w:rFonts w:ascii="Arial" w:hAnsi="Arial" w:cs="Arial"/>
                                <w:i w:val="0"/>
                                <w:color w:val="000000" w:themeColor="text1"/>
                              </w:rPr>
                              <w:t>Fig. 5 Simulated half-hourly state of charge of the battery over the stu</w:t>
                            </w:r>
                            <w:r w:rsidR="000527AF">
                              <w:rPr>
                                <w:rFonts w:ascii="Arial" w:hAnsi="Arial" w:cs="Arial"/>
                                <w:i w:val="0"/>
                                <w:color w:val="000000" w:themeColor="text1"/>
                              </w:rPr>
                              <w:t>dy year</w:t>
                            </w:r>
                            <w:r w:rsidRPr="003D7F20">
                              <w:rPr>
                                <w:rFonts w:ascii="Arial" w:hAnsi="Arial" w:cs="Arial"/>
                                <w:i w:val="0"/>
                                <w:color w:val="000000" w:themeColor="text1"/>
                              </w:rPr>
                              <w:t xml:space="preserve"> with the wind turbine absent (a) an</w:t>
                            </w:r>
                            <w:r w:rsidR="009B5AC1">
                              <w:rPr>
                                <w:rFonts w:ascii="Arial" w:hAnsi="Arial" w:cs="Arial"/>
                                <w:i w:val="0"/>
                                <w:color w:val="000000" w:themeColor="text1"/>
                              </w:rPr>
                              <w:t>d present (b).</w:t>
                            </w:r>
                            <w:r w:rsidR="009B5AC1">
                              <w:rPr>
                                <w:rFonts w:ascii="Arial" w:hAnsi="Arial" w:cs="Arial"/>
                                <w:i w:val="0"/>
                                <w:color w:val="000000" w:themeColor="text1"/>
                              </w:rPr>
                              <w:br/>
                              <w:t>[single-column image</w:t>
                            </w:r>
                            <w:r w:rsidRPr="003D7F20">
                              <w:rPr>
                                <w:rFonts w:ascii="Arial" w:hAnsi="Arial" w:cs="Arial"/>
                                <w:i w:val="0"/>
                                <w:color w:val="000000" w:themeColor="text1"/>
                              </w:rPr>
                              <w:t>; requires colour in 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DE69F6" id="Text Box 23" o:spid="_x0000_s1030" type="#_x0000_t202" style="position:absolute;left:0;text-align:left;margin-left:0;margin-top:15.45pt;width:364.25pt;height:.05pt;z-index:-2516224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60MAIAAGYEAAAOAAAAZHJzL2Uyb0RvYy54bWysVFFv2yAQfp+0/4B4X5ykTdZZcaosVaZJ&#10;UVspmfpMMI6RgGNAYme/fge2063b07QXfNwdB9/33Xlx32pFzsJ5Caagk9GYEmE4lNIcC/ptv/lw&#10;R4kPzJRMgREFvQhP75fv3y0am4sp1KBK4QgWMT5vbEHrEGyeZZ7XQjM/AisMBitwmgXcumNWOtZg&#10;da2y6Xg8zxpwpXXAhffofeiCdJnqV5Xg4amqvAhEFRTfFtLq0nqIa7ZcsPzomK0l75/B/uEVmkmD&#10;l15LPbDAyMnJP0ppyR14qMKIg86gqiQXCQOimYzfoNnVzIqEBcnx9kqT/39l+eP52RFZFnR6Q4lh&#10;GjXaizaQz9ASdCE/jfU5pu0sJoYW/ajz4PfojLDbyun4RUAE48j05cpurMbReTufzj59nFHCMTa/&#10;mcUa2etR63z4IkCTaBTUoXSJUXbe+tClDinxJg9KlhupVNzEwFo5cmYoc1PLIPriv2UpE3MNxFNd&#10;wejJIr4OR7RCe2gTH7cDxgOUF4TuoGseb/lG4n1b5sMzc9gtiBYnIDzhUiloCgq9RUkN7sff/DEf&#10;RcQoJQ12X0H99xNzghL11aC8sVUHww3GYTDMSa8BkU5wtixPJh5wQQ1m5UC/4GCs4i0YYobjXQUN&#10;g7kO3QzgYHGxWqUkbEjLwtbsLI+lB1737QtztlcloJiPMPQly9+I0+UmeezqFJDppFzktWOxpxub&#10;OWnfD16cll/3Kev197D8CQAA//8DAFBLAwQUAAYACAAAACEAKSQlgN4AAAAGAQAADwAAAGRycy9k&#10;b3ducmV2LnhtbEyPzU7DMBCE70i8g7VIXBC1+0MpIU5VVXCAS0XohZsbb+NAvI5ipw1vz3KC486M&#10;Zr7N16NvxQn72ATSMJ0oEEhVsA3VGvbvz7crEDEZsqYNhBq+McK6uLzITWbDmd7wVKZacAnFzGhw&#10;KXWZlLFy6E2chA6JvWPovUl89rW0vTlzuW/lTKml9KYhXnCmw63D6qscvIbd4mPnbobj0+tmMe9f&#10;9sN2+VmXWl9fjZtHEAnH9BeGX3xGh4KZDmEgG0WrgR9JGubqAQS797PVHYgDC1MFssjlf/ziBwAA&#10;//8DAFBLAQItABQABgAIAAAAIQC2gziS/gAAAOEBAAATAAAAAAAAAAAAAAAAAAAAAABbQ29udGVu&#10;dF9UeXBlc10ueG1sUEsBAi0AFAAGAAgAAAAhADj9If/WAAAAlAEAAAsAAAAAAAAAAAAAAAAALwEA&#10;AF9yZWxzLy5yZWxzUEsBAi0AFAAGAAgAAAAhAHAvrrQwAgAAZgQAAA4AAAAAAAAAAAAAAAAALgIA&#10;AGRycy9lMm9Eb2MueG1sUEsBAi0AFAAGAAgAAAAhACkkJYDeAAAABgEAAA8AAAAAAAAAAAAAAAAA&#10;igQAAGRycy9kb3ducmV2LnhtbFBLBQYAAAAABAAEAPMAAACVBQAAAAA=&#10;" stroked="f">
                <v:textbox style="mso-fit-shape-to-text:t" inset="0,0,0,0">
                  <w:txbxContent>
                    <w:p w:rsidR="003D7F20" w:rsidRPr="003D7F20" w:rsidRDefault="003D7F20" w:rsidP="003D7F20">
                      <w:pPr>
                        <w:pStyle w:val="Caption"/>
                        <w:jc w:val="center"/>
                        <w:rPr>
                          <w:rFonts w:ascii="Arial" w:hAnsi="Arial" w:cs="Arial"/>
                          <w:i w:val="0"/>
                          <w:noProof/>
                          <w:color w:val="000000" w:themeColor="text1"/>
                        </w:rPr>
                      </w:pPr>
                      <w:r w:rsidRPr="003D7F20">
                        <w:rPr>
                          <w:rFonts w:ascii="Arial" w:hAnsi="Arial" w:cs="Arial"/>
                          <w:i w:val="0"/>
                          <w:color w:val="000000" w:themeColor="text1"/>
                        </w:rPr>
                        <w:t>Fig. 5 Simulated half-hourly state of charge of the battery over the stu</w:t>
                      </w:r>
                      <w:r w:rsidR="000527AF">
                        <w:rPr>
                          <w:rFonts w:ascii="Arial" w:hAnsi="Arial" w:cs="Arial"/>
                          <w:i w:val="0"/>
                          <w:color w:val="000000" w:themeColor="text1"/>
                        </w:rPr>
                        <w:t>dy year</w:t>
                      </w:r>
                      <w:r w:rsidRPr="003D7F20">
                        <w:rPr>
                          <w:rFonts w:ascii="Arial" w:hAnsi="Arial" w:cs="Arial"/>
                          <w:i w:val="0"/>
                          <w:color w:val="000000" w:themeColor="text1"/>
                        </w:rPr>
                        <w:t xml:space="preserve"> with the wind turbine absent (a) an</w:t>
                      </w:r>
                      <w:r w:rsidR="009B5AC1">
                        <w:rPr>
                          <w:rFonts w:ascii="Arial" w:hAnsi="Arial" w:cs="Arial"/>
                          <w:i w:val="0"/>
                          <w:color w:val="000000" w:themeColor="text1"/>
                        </w:rPr>
                        <w:t>d present (b).</w:t>
                      </w:r>
                      <w:r w:rsidR="009B5AC1">
                        <w:rPr>
                          <w:rFonts w:ascii="Arial" w:hAnsi="Arial" w:cs="Arial"/>
                          <w:i w:val="0"/>
                          <w:color w:val="000000" w:themeColor="text1"/>
                        </w:rPr>
                        <w:br/>
                        <w:t>[single-column image</w:t>
                      </w:r>
                      <w:r w:rsidRPr="003D7F20">
                        <w:rPr>
                          <w:rFonts w:ascii="Arial" w:hAnsi="Arial" w:cs="Arial"/>
                          <w:i w:val="0"/>
                          <w:color w:val="000000" w:themeColor="text1"/>
                        </w:rPr>
                        <w:t>; requires colour in print]</w:t>
                      </w:r>
                    </w:p>
                  </w:txbxContent>
                </v:textbox>
                <w10:wrap anchorx="margin"/>
              </v:shape>
            </w:pict>
          </mc:Fallback>
        </mc:AlternateContent>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545B3E" w:rsidRDefault="00631FAF" w:rsidP="000D5147">
      <w:pPr>
        <w:spacing w:after="0" w:line="360" w:lineRule="auto"/>
        <w:jc w:val="both"/>
        <w:rPr>
          <w:rFonts w:ascii="Arial" w:hAnsi="Arial" w:cs="Arial"/>
        </w:rPr>
      </w:pPr>
      <w:r>
        <w:rPr>
          <w:rFonts w:ascii="Arial" w:hAnsi="Arial" w:cs="Arial"/>
        </w:rPr>
        <w:t>With the turbine present (</w:t>
      </w:r>
      <w:r w:rsidRPr="00B92FE2">
        <w:rPr>
          <w:rFonts w:ascii="Arial" w:hAnsi="Arial" w:cs="Arial"/>
          <w:color w:val="0070C0"/>
        </w:rPr>
        <w:t>Fig. 5b</w:t>
      </w:r>
      <w:r>
        <w:rPr>
          <w:rFonts w:ascii="Arial" w:hAnsi="Arial" w:cs="Arial"/>
        </w:rPr>
        <w:t xml:space="preserve">), the rate of discharge </w:t>
      </w:r>
      <w:r w:rsidR="004F13B2">
        <w:rPr>
          <w:rFonts w:ascii="Arial" w:hAnsi="Arial" w:cs="Arial"/>
        </w:rPr>
        <w:t>is</w:t>
      </w:r>
      <w:r>
        <w:rPr>
          <w:rFonts w:ascii="Arial" w:hAnsi="Arial" w:cs="Arial"/>
        </w:rPr>
        <w:t xml:space="preserve"> generally reduced, as much of the import demand </w:t>
      </w:r>
      <w:r w:rsidR="004F13B2">
        <w:rPr>
          <w:rFonts w:ascii="Arial" w:hAnsi="Arial" w:cs="Arial"/>
        </w:rPr>
        <w:t>is</w:t>
      </w:r>
      <w:r>
        <w:rPr>
          <w:rFonts w:ascii="Arial" w:hAnsi="Arial" w:cs="Arial"/>
        </w:rPr>
        <w:t xml:space="preserve"> already satisfied by </w:t>
      </w:r>
      <w:r w:rsidR="00685BCD">
        <w:rPr>
          <w:rFonts w:ascii="Arial" w:hAnsi="Arial" w:cs="Arial"/>
        </w:rPr>
        <w:t>wind generation</w:t>
      </w:r>
      <w:r>
        <w:rPr>
          <w:rFonts w:ascii="Arial" w:hAnsi="Arial" w:cs="Arial"/>
        </w:rPr>
        <w:t xml:space="preserve">, and less export </w:t>
      </w:r>
      <w:r w:rsidR="004F13B2">
        <w:rPr>
          <w:rFonts w:ascii="Arial" w:hAnsi="Arial" w:cs="Arial"/>
        </w:rPr>
        <w:t>can</w:t>
      </w:r>
      <w:r>
        <w:rPr>
          <w:rFonts w:ascii="Arial" w:hAnsi="Arial" w:cs="Arial"/>
        </w:rPr>
        <w:t xml:space="preserve"> be added before reaching the MEC. As a result, the battery generally </w:t>
      </w:r>
      <w:r w:rsidR="004F13B2">
        <w:rPr>
          <w:rFonts w:ascii="Arial" w:hAnsi="Arial" w:cs="Arial"/>
        </w:rPr>
        <w:t>takes</w:t>
      </w:r>
      <w:r>
        <w:rPr>
          <w:rFonts w:ascii="Arial" w:hAnsi="Arial" w:cs="Arial"/>
        </w:rPr>
        <w:t xml:space="preserve"> longer to discharge, failing to do so fully on a total of 39 days. In thes</w:t>
      </w:r>
      <w:r w:rsidR="004F13B2">
        <w:rPr>
          <w:rFonts w:ascii="Arial" w:hAnsi="Arial" w:cs="Arial"/>
        </w:rPr>
        <w:t>e cases, whatever charge remains</w:t>
      </w:r>
      <w:r>
        <w:rPr>
          <w:rFonts w:ascii="Arial" w:hAnsi="Arial" w:cs="Arial"/>
        </w:rPr>
        <w:t xml:space="preserve"> in the</w:t>
      </w:r>
      <w:r w:rsidR="004F13B2">
        <w:rPr>
          <w:rFonts w:ascii="Arial" w:hAnsi="Arial" w:cs="Arial"/>
        </w:rPr>
        <w:t xml:space="preserve"> battery at the end of the day i</w:t>
      </w:r>
      <w:r>
        <w:rPr>
          <w:rFonts w:ascii="Arial" w:hAnsi="Arial" w:cs="Arial"/>
        </w:rPr>
        <w:t>s simply carried forward into the next. Because of these failures to discharge fully, the</w:t>
      </w:r>
      <w:r w:rsidR="004F13B2">
        <w:rPr>
          <w:rFonts w:ascii="Arial" w:hAnsi="Arial" w:cs="Arial"/>
        </w:rPr>
        <w:t xml:space="preserve"> total throughput for the year i</w:t>
      </w:r>
      <w:r>
        <w:rPr>
          <w:rFonts w:ascii="Arial" w:hAnsi="Arial" w:cs="Arial"/>
        </w:rPr>
        <w:t xml:space="preserve">s reduced by 2.9% </w:t>
      </w:r>
      <w:r w:rsidR="00AD30AF">
        <w:rPr>
          <w:rFonts w:ascii="Arial" w:hAnsi="Arial" w:cs="Arial"/>
        </w:rPr>
        <w:t>to 550,558 kWh. Of this, 36.4</w:t>
      </w:r>
      <w:r w:rsidR="004F13B2">
        <w:rPr>
          <w:rFonts w:ascii="Arial" w:hAnsi="Arial" w:cs="Arial"/>
        </w:rPr>
        <w:t>% i</w:t>
      </w:r>
      <w:r>
        <w:rPr>
          <w:rFonts w:ascii="Arial" w:hAnsi="Arial" w:cs="Arial"/>
        </w:rPr>
        <w:t>s discharged to redu</w:t>
      </w:r>
      <w:r w:rsidR="00AD30AF">
        <w:rPr>
          <w:rFonts w:ascii="Arial" w:hAnsi="Arial" w:cs="Arial"/>
        </w:rPr>
        <w:t>ce import, with the remaining 63.6</w:t>
      </w:r>
      <w:r>
        <w:rPr>
          <w:rFonts w:ascii="Arial" w:hAnsi="Arial" w:cs="Arial"/>
        </w:rPr>
        <w:t xml:space="preserve">% discharged </w:t>
      </w:r>
      <w:r w:rsidR="004F13B2">
        <w:rPr>
          <w:rFonts w:ascii="Arial" w:hAnsi="Arial" w:cs="Arial"/>
        </w:rPr>
        <w:t>to increase export. When there i</w:t>
      </w:r>
      <w:r>
        <w:rPr>
          <w:rFonts w:ascii="Arial" w:hAnsi="Arial" w:cs="Arial"/>
        </w:rPr>
        <w:t xml:space="preserve">s surplus </w:t>
      </w:r>
      <w:r w:rsidR="00685BCD">
        <w:rPr>
          <w:rFonts w:ascii="Arial" w:hAnsi="Arial" w:cs="Arial"/>
        </w:rPr>
        <w:t>wind generation</w:t>
      </w:r>
      <w:r w:rsidR="004F13B2">
        <w:rPr>
          <w:rFonts w:ascii="Arial" w:hAnsi="Arial" w:cs="Arial"/>
        </w:rPr>
        <w:t>, charging of the battery can</w:t>
      </w:r>
      <w:r>
        <w:rPr>
          <w:rFonts w:ascii="Arial" w:hAnsi="Arial" w:cs="Arial"/>
        </w:rPr>
        <w:t xml:space="preserve"> begin as early as 02:30 UTC, </w:t>
      </w:r>
      <w:r>
        <w:rPr>
          <w:rFonts w:ascii="Arial" w:hAnsi="Arial" w:cs="Arial"/>
        </w:rPr>
        <w:lastRenderedPageBreak/>
        <w:t>a</w:t>
      </w:r>
      <w:r w:rsidR="004F13B2">
        <w:rPr>
          <w:rFonts w:ascii="Arial" w:hAnsi="Arial" w:cs="Arial"/>
        </w:rPr>
        <w:t>lthough grid-charging never begins</w:t>
      </w:r>
      <w:r>
        <w:rPr>
          <w:rFonts w:ascii="Arial" w:hAnsi="Arial" w:cs="Arial"/>
        </w:rPr>
        <w:t xml:space="preserve"> before 04:00 UTC, as in the no-turbine case. Overall, </w:t>
      </w:r>
      <w:r w:rsidR="004F13B2">
        <w:rPr>
          <w:rFonts w:ascii="Arial" w:hAnsi="Arial" w:cs="Arial"/>
        </w:rPr>
        <w:t>just 7.4% of the total charge comes</w:t>
      </w:r>
      <w:r>
        <w:rPr>
          <w:rFonts w:ascii="Arial" w:hAnsi="Arial" w:cs="Arial"/>
        </w:rPr>
        <w:t xml:space="preserve"> from surplus </w:t>
      </w:r>
      <w:r w:rsidR="00685BCD">
        <w:rPr>
          <w:rFonts w:ascii="Arial" w:hAnsi="Arial" w:cs="Arial"/>
        </w:rPr>
        <w:t>generation</w:t>
      </w:r>
      <w:r>
        <w:rPr>
          <w:rFonts w:ascii="Arial" w:hAnsi="Arial" w:cs="Arial"/>
        </w:rPr>
        <w:t>, with the grid supplying the remaining 92.6%.</w:t>
      </w:r>
      <w:r w:rsidR="006A159A">
        <w:rPr>
          <w:rFonts w:ascii="Arial" w:hAnsi="Arial" w:cs="Arial"/>
        </w:rPr>
        <w:t xml:space="preserve"> </w:t>
      </w:r>
      <w:r w:rsidR="00545B3E">
        <w:rPr>
          <w:rFonts w:ascii="Arial" w:hAnsi="Arial" w:cs="Arial"/>
        </w:rPr>
        <w:t>The yearly consumption for this scenario amounts to 3,746 MWh, with 2,959 MWh</w:t>
      </w:r>
      <w:r w:rsidR="0094731E">
        <w:rPr>
          <w:rFonts w:ascii="Arial" w:hAnsi="Arial" w:cs="Arial"/>
        </w:rPr>
        <w:t xml:space="preserve"> of</w:t>
      </w:r>
      <w:r w:rsidR="00545B3E">
        <w:rPr>
          <w:rFonts w:ascii="Arial" w:hAnsi="Arial" w:cs="Arial"/>
        </w:rPr>
        <w:t xml:space="preserve"> import and 540 MWh </w:t>
      </w:r>
      <w:r w:rsidR="0094731E">
        <w:rPr>
          <w:rFonts w:ascii="Arial" w:hAnsi="Arial" w:cs="Arial"/>
        </w:rPr>
        <w:t xml:space="preserve">of </w:t>
      </w:r>
      <w:r w:rsidR="00545B3E">
        <w:rPr>
          <w:rFonts w:ascii="Arial" w:hAnsi="Arial" w:cs="Arial"/>
        </w:rPr>
        <w:t>export.</w:t>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695104" behindDoc="1" locked="0" layoutInCell="1" allowOverlap="1" wp14:anchorId="0DF62F54" wp14:editId="38826862">
            <wp:simplePos x="0" y="0"/>
            <wp:positionH relativeFrom="margin">
              <wp:align>center</wp:align>
            </wp:positionH>
            <wp:positionV relativeFrom="paragraph">
              <wp:posOffset>14605</wp:posOffset>
            </wp:positionV>
            <wp:extent cx="4626000" cy="3060000"/>
            <wp:effectExtent l="0" t="0" r="3175"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6000" cy="3060000"/>
                    </a:xfrm>
                    <a:prstGeom prst="rect">
                      <a:avLst/>
                    </a:prstGeom>
                    <a:noFill/>
                    <a:ln>
                      <a:noFill/>
                    </a:ln>
                  </pic:spPr>
                </pic:pic>
              </a:graphicData>
            </a:graphic>
          </wp:anchor>
        </w:drawing>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r>
        <w:rPr>
          <w:noProof/>
          <w:lang w:eastAsia="en-IE"/>
        </w:rPr>
        <mc:AlternateContent>
          <mc:Choice Requires="wps">
            <w:drawing>
              <wp:anchor distT="0" distB="0" distL="114300" distR="114300" simplePos="0" relativeHeight="251697152" behindDoc="1" locked="0" layoutInCell="1" allowOverlap="1" wp14:anchorId="07F8B7D4" wp14:editId="6BB0E4BA">
                <wp:simplePos x="0" y="0"/>
                <wp:positionH relativeFrom="margin">
                  <wp:align>center</wp:align>
                </wp:positionH>
                <wp:positionV relativeFrom="paragraph">
                  <wp:posOffset>193675</wp:posOffset>
                </wp:positionV>
                <wp:extent cx="4625975" cy="635"/>
                <wp:effectExtent l="0" t="0" r="3175" b="0"/>
                <wp:wrapNone/>
                <wp:docPr id="25" name="Text Box 25"/>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3D7F20" w:rsidRPr="003D7F20" w:rsidRDefault="003D7F20" w:rsidP="003D7F20">
                            <w:pPr>
                              <w:pStyle w:val="Caption"/>
                              <w:jc w:val="center"/>
                              <w:rPr>
                                <w:rFonts w:ascii="Arial" w:hAnsi="Arial" w:cs="Arial"/>
                                <w:i w:val="0"/>
                                <w:noProof/>
                                <w:color w:val="000000" w:themeColor="text1"/>
                              </w:rPr>
                            </w:pPr>
                            <w:r w:rsidRPr="003D7F20">
                              <w:rPr>
                                <w:rFonts w:ascii="Arial" w:hAnsi="Arial" w:cs="Arial"/>
                                <w:i w:val="0"/>
                                <w:noProof/>
                                <w:color w:val="000000" w:themeColor="text1"/>
                              </w:rPr>
                              <w:t>Fig 6. Average daily profile of the half-hourly electrical carbon intensity in Ireland over th</w:t>
                            </w:r>
                            <w:r w:rsidR="009B5AC1">
                              <w:rPr>
                                <w:rFonts w:ascii="Arial" w:hAnsi="Arial" w:cs="Arial"/>
                                <w:i w:val="0"/>
                                <w:noProof/>
                                <w:color w:val="000000" w:themeColor="text1"/>
                              </w:rPr>
                              <w:t>e study year.</w:t>
                            </w:r>
                            <w:r w:rsidR="009B5AC1">
                              <w:rPr>
                                <w:rFonts w:ascii="Arial" w:hAnsi="Arial" w:cs="Arial"/>
                                <w:i w:val="0"/>
                                <w:noProof/>
                                <w:color w:val="000000" w:themeColor="text1"/>
                              </w:rPr>
                              <w:br/>
                              <w:t>[single-column image</w:t>
                            </w:r>
                            <w:r w:rsidRPr="003D7F20">
                              <w:rPr>
                                <w:rFonts w:ascii="Arial" w:hAnsi="Arial" w:cs="Arial"/>
                                <w:i w:val="0"/>
                                <w:noProof/>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F8B7D4" id="Text Box 25" o:spid="_x0000_s1031" type="#_x0000_t202" style="position:absolute;left:0;text-align:left;margin-left:0;margin-top:15.25pt;width:364.25pt;height:.05pt;z-index:-2516193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opMQIAAGYEAAAOAAAAZHJzL2Uyb0RvYy54bWysVFFv2jAQfp+0/2D5fQTYyjpEqBgV06Sq&#10;rQRTn43jkEiOz7MNSffr99khdOv2NO3FXO7Od/6+747FTddodlLO12RyPhmNOVNGUlGbQ86/7Tbv&#10;rjnzQZhCaDIq58/K85vl2zeL1s7VlCrShXIMRYyftzbnVQh2nmVeVqoRfkRWGQRLco0I+HSHrHCi&#10;RfVGZ9PxeJa15ArrSCrv4b3tg3yZ6pelkuGhLL0KTOccbwvpdOncxzNbLsT84IStanl+hviHVzSi&#10;Nmh6KXUrgmBHV/9RqqmlI09lGElqMirLWqqEAWgm41dotpWwKmEBOd5eaPL/r6y8Pz06Vhc5n15x&#10;ZkQDjXaqC+wzdQwu8NNaP0fa1iIxdPBD58Hv4Yywu9I18ReAGOJg+vnCbqwm4fwwm159+oguErHZ&#10;+1Q7e7lqnQ9fFDUsGjl3kC4xKk53PuAZSB1SYidPui42tdbxIwbW2rGTgMxtVQcVH4gbv2VpE3MN&#10;xVt9OHqyiK/HEa3Q7bvExwX7nopnQHfUD4+3clOj353w4VE4TAvQYgPCA45SU5tzOlucVeR+/M0f&#10;8yEiopy1mL6c++9H4RRn+quBvHFUB8MNxn4wzLFZE5BOsFtWJhMXXNCDWTpqnrAYq9gFIWEkeuU8&#10;DOY69DuAxZJqtUpJGEgrwp3ZWhlLD7zuuifh7FmVADHvaZhLMX8lTp+b5LGrYwDTSbnIa8/imW4M&#10;c5LnvHhxW379Tlkvfw/LnwAAAP//AwBQSwMEFAAGAAgAAAAhAMX9bjDeAAAABgEAAA8AAABkcnMv&#10;ZG93bnJldi54bWxMjzFPwzAQhXck/oN1SCyIOrQlrUKcqqpggKUidOnmxtc4EJ+j2GnDv+c6le3e&#10;vdN73+Wr0bXihH1oPCl4miQgkCpvGqoV7L7eHpcgQtRkdOsJFfxigFVxe5PrzPgzfeKpjLXgEAqZ&#10;VmBj7DIpQ2XR6TDxHRJ7R987HVn2tTS9PnO4a+U0SVLpdEPcYHWHG4vVTzk4Bdv5fmsfhuPrx3o+&#10;6993wyb9rkul7u/G9QuIiGO8HsMFn9GhYKaDH8gE0SrgR6KCWfIMgt3FdMnD4bJIQRa5/I9f/AEA&#10;AP//AwBQSwECLQAUAAYACAAAACEAtoM4kv4AAADhAQAAEwAAAAAAAAAAAAAAAAAAAAAAW0NvbnRl&#10;bnRfVHlwZXNdLnhtbFBLAQItABQABgAIAAAAIQA4/SH/1gAAAJQBAAALAAAAAAAAAAAAAAAAAC8B&#10;AABfcmVscy8ucmVsc1BLAQItABQABgAIAAAAIQAKm2opMQIAAGYEAAAOAAAAAAAAAAAAAAAAAC4C&#10;AABkcnMvZTJvRG9jLnhtbFBLAQItABQABgAIAAAAIQDF/W4w3gAAAAYBAAAPAAAAAAAAAAAAAAAA&#10;AIsEAABkcnMvZG93bnJldi54bWxQSwUGAAAAAAQABADzAAAAlgUAAAAA&#10;" stroked="f">
                <v:textbox style="mso-fit-shape-to-text:t" inset="0,0,0,0">
                  <w:txbxContent>
                    <w:p w:rsidR="003D7F20" w:rsidRPr="003D7F20" w:rsidRDefault="003D7F20" w:rsidP="003D7F20">
                      <w:pPr>
                        <w:pStyle w:val="Caption"/>
                        <w:jc w:val="center"/>
                        <w:rPr>
                          <w:rFonts w:ascii="Arial" w:hAnsi="Arial" w:cs="Arial"/>
                          <w:i w:val="0"/>
                          <w:noProof/>
                          <w:color w:val="000000" w:themeColor="text1"/>
                        </w:rPr>
                      </w:pPr>
                      <w:r w:rsidRPr="003D7F20">
                        <w:rPr>
                          <w:rFonts w:ascii="Arial" w:hAnsi="Arial" w:cs="Arial"/>
                          <w:i w:val="0"/>
                          <w:noProof/>
                          <w:color w:val="000000" w:themeColor="text1"/>
                        </w:rPr>
                        <w:t>Fig 6. Average daily profile of the half-hourly electrical carbon intensity in Ireland over th</w:t>
                      </w:r>
                      <w:r w:rsidR="009B5AC1">
                        <w:rPr>
                          <w:rFonts w:ascii="Arial" w:hAnsi="Arial" w:cs="Arial"/>
                          <w:i w:val="0"/>
                          <w:noProof/>
                          <w:color w:val="000000" w:themeColor="text1"/>
                        </w:rPr>
                        <w:t>e study year.</w:t>
                      </w:r>
                      <w:r w:rsidR="009B5AC1">
                        <w:rPr>
                          <w:rFonts w:ascii="Arial" w:hAnsi="Arial" w:cs="Arial"/>
                          <w:i w:val="0"/>
                          <w:noProof/>
                          <w:color w:val="000000" w:themeColor="text1"/>
                        </w:rPr>
                        <w:br/>
                        <w:t>[single-column image</w:t>
                      </w:r>
                      <w:r w:rsidRPr="003D7F20">
                        <w:rPr>
                          <w:rFonts w:ascii="Arial" w:hAnsi="Arial" w:cs="Arial"/>
                          <w:i w:val="0"/>
                          <w:noProof/>
                          <w:color w:val="000000" w:themeColor="text1"/>
                        </w:rPr>
                        <w:t>]</w:t>
                      </w:r>
                    </w:p>
                  </w:txbxContent>
                </v:textbox>
                <w10:wrap anchorx="margin"/>
              </v:shape>
            </w:pict>
          </mc:Fallback>
        </mc:AlternateContent>
      </w:r>
    </w:p>
    <w:p w:rsidR="003D7F20" w:rsidRDefault="003D7F20" w:rsidP="000D5147">
      <w:pPr>
        <w:spacing w:after="0" w:line="360" w:lineRule="auto"/>
        <w:jc w:val="both"/>
        <w:rPr>
          <w:rFonts w:ascii="Arial" w:hAnsi="Arial" w:cs="Arial"/>
        </w:rPr>
      </w:pPr>
    </w:p>
    <w:p w:rsidR="003D7F20" w:rsidRDefault="003D7F20" w:rsidP="000D5147">
      <w:pPr>
        <w:spacing w:after="0" w:line="360" w:lineRule="auto"/>
        <w:jc w:val="both"/>
        <w:rPr>
          <w:rFonts w:ascii="Arial" w:hAnsi="Arial" w:cs="Arial"/>
        </w:rPr>
      </w:pPr>
    </w:p>
    <w:p w:rsidR="003D7F20" w:rsidRDefault="003D7F20" w:rsidP="00545B3E">
      <w:pPr>
        <w:spacing w:after="0" w:line="360" w:lineRule="auto"/>
        <w:jc w:val="both"/>
        <w:rPr>
          <w:rFonts w:ascii="Arial" w:hAnsi="Arial" w:cs="Arial"/>
        </w:rPr>
      </w:pPr>
    </w:p>
    <w:p w:rsidR="00631FAF" w:rsidRDefault="008821DA" w:rsidP="00545B3E">
      <w:pPr>
        <w:spacing w:after="0" w:line="360" w:lineRule="auto"/>
        <w:jc w:val="both"/>
        <w:rPr>
          <w:rFonts w:ascii="Arial" w:hAnsi="Arial" w:cs="Arial"/>
        </w:rPr>
      </w:pPr>
      <w:r>
        <w:rPr>
          <w:rFonts w:ascii="Arial" w:hAnsi="Arial" w:cs="Arial"/>
        </w:rPr>
        <w:t>3.5</w:t>
      </w:r>
      <w:r w:rsidR="00631FAF">
        <w:rPr>
          <w:rFonts w:ascii="Arial" w:hAnsi="Arial" w:cs="Arial"/>
        </w:rPr>
        <w:t xml:space="preserve"> Carbon impact of </w:t>
      </w:r>
      <w:r w:rsidR="00322BFB">
        <w:rPr>
          <w:rFonts w:ascii="Arial" w:hAnsi="Arial" w:cs="Arial"/>
        </w:rPr>
        <w:t xml:space="preserve">the </w:t>
      </w:r>
      <w:r w:rsidR="00631FAF">
        <w:rPr>
          <w:rFonts w:ascii="Arial" w:hAnsi="Arial" w:cs="Arial"/>
        </w:rPr>
        <w:t>battery</w:t>
      </w:r>
    </w:p>
    <w:p w:rsidR="00631FAF" w:rsidRDefault="00631FAF" w:rsidP="009B5AC1">
      <w:pPr>
        <w:spacing w:after="0" w:line="360" w:lineRule="auto"/>
        <w:jc w:val="both"/>
        <w:rPr>
          <w:rFonts w:ascii="Arial" w:hAnsi="Arial" w:cs="Arial"/>
        </w:rPr>
      </w:pPr>
      <w:r>
        <w:rPr>
          <w:rFonts w:ascii="Arial" w:hAnsi="Arial" w:cs="Arial"/>
        </w:rPr>
        <w:t xml:space="preserve">With the turbine present, </w:t>
      </w:r>
      <w:r w:rsidR="009B5AC1">
        <w:rPr>
          <w:rFonts w:ascii="Arial" w:hAnsi="Arial" w:cs="Arial"/>
        </w:rPr>
        <w:t>modelling the battery operation f</w:t>
      </w:r>
      <w:r>
        <w:rPr>
          <w:rFonts w:ascii="Arial" w:hAnsi="Arial" w:cs="Arial"/>
        </w:rPr>
        <w:t>or the maximum potential economic results was unexpectedly found to raise DkIT’s net CO</w:t>
      </w:r>
      <w:r w:rsidRPr="00405CEB">
        <w:rPr>
          <w:rFonts w:ascii="Arial" w:hAnsi="Arial" w:cs="Arial"/>
          <w:vertAlign w:val="subscript"/>
        </w:rPr>
        <w:t>2</w:t>
      </w:r>
      <w:r>
        <w:rPr>
          <w:rFonts w:ascii="Arial" w:hAnsi="Arial" w:cs="Arial"/>
        </w:rPr>
        <w:t xml:space="preserve"> emissions for the study year slightly,</w:t>
      </w:r>
      <w:r w:rsidRPr="00D4253F">
        <w:rPr>
          <w:rFonts w:ascii="Arial" w:hAnsi="Arial" w:cs="Arial"/>
        </w:rPr>
        <w:t xml:space="preserve"> </w:t>
      </w:r>
      <w:r>
        <w:rPr>
          <w:rFonts w:ascii="Arial" w:hAnsi="Arial" w:cs="Arial"/>
        </w:rPr>
        <w:t>from 990 t to 1</w:t>
      </w:r>
      <w:r w:rsidR="004F13B2">
        <w:rPr>
          <w:rFonts w:ascii="Arial" w:hAnsi="Arial" w:cs="Arial"/>
        </w:rPr>
        <w:t>,</w:t>
      </w:r>
      <w:r>
        <w:rPr>
          <w:rFonts w:ascii="Arial" w:hAnsi="Arial" w:cs="Arial"/>
        </w:rPr>
        <w:t>026 t – an increase of 36 t or 3.6%.  Similarly, with the turbine removed, operating the battery was found to raise emissions from 1</w:t>
      </w:r>
      <w:r w:rsidR="004F13B2">
        <w:rPr>
          <w:rFonts w:ascii="Arial" w:hAnsi="Arial" w:cs="Arial"/>
        </w:rPr>
        <w:t>,</w:t>
      </w:r>
      <w:r>
        <w:rPr>
          <w:rFonts w:ascii="Arial" w:hAnsi="Arial" w:cs="Arial"/>
        </w:rPr>
        <w:t>435 t to 1</w:t>
      </w:r>
      <w:r w:rsidR="004F13B2">
        <w:rPr>
          <w:rFonts w:ascii="Arial" w:hAnsi="Arial" w:cs="Arial"/>
        </w:rPr>
        <w:t>,</w:t>
      </w:r>
      <w:r>
        <w:rPr>
          <w:rFonts w:ascii="Arial" w:hAnsi="Arial" w:cs="Arial"/>
        </w:rPr>
        <w:t xml:space="preserve">472 t – an increase of 37 t or 2.6%. These increases were found to arise primarily from the inefficiency of the battery, which causes 243.7 kWh to be </w:t>
      </w:r>
      <w:r w:rsidR="009B5AC1">
        <w:rPr>
          <w:rFonts w:ascii="Arial" w:hAnsi="Arial" w:cs="Arial"/>
        </w:rPr>
        <w:t>electrically lost</w:t>
      </w:r>
      <w:r>
        <w:rPr>
          <w:rFonts w:ascii="Arial" w:hAnsi="Arial" w:cs="Arial"/>
        </w:rPr>
        <w:t xml:space="preserve"> in each </w:t>
      </w:r>
      <w:r w:rsidR="00FD32D1">
        <w:rPr>
          <w:rFonts w:ascii="Arial" w:hAnsi="Arial" w:cs="Arial"/>
        </w:rPr>
        <w:t xml:space="preserve">full </w:t>
      </w:r>
      <w:r>
        <w:rPr>
          <w:rFonts w:ascii="Arial" w:hAnsi="Arial" w:cs="Arial"/>
        </w:rPr>
        <w:t xml:space="preserve">cycle. This accounted for an increase of 33 t with the turbine present and 35 t with the turbine absent. To explain the remaining difference, </w:t>
      </w:r>
      <w:r w:rsidRPr="00B92FE2">
        <w:rPr>
          <w:rFonts w:ascii="Arial" w:hAnsi="Arial" w:cs="Arial"/>
          <w:color w:val="0070C0"/>
        </w:rPr>
        <w:t>Fig. 6</w:t>
      </w:r>
      <w:r>
        <w:rPr>
          <w:rFonts w:ascii="Arial" w:hAnsi="Arial" w:cs="Arial"/>
        </w:rPr>
        <w:t xml:space="preserve"> shows the average daily profile of carbon intensity in Ireland over the study year. From this, the intensity over the grid-charging times of 04:00 to 06:30 UTC is generally slightly higher than over the discharging times of 17:00 to 23:00</w:t>
      </w:r>
      <w:r w:rsidR="00322BFB">
        <w:rPr>
          <w:rFonts w:ascii="Arial" w:hAnsi="Arial" w:cs="Arial"/>
        </w:rPr>
        <w:t xml:space="preserve"> UTC</w:t>
      </w:r>
      <w:r>
        <w:rPr>
          <w:rFonts w:ascii="Arial" w:hAnsi="Arial" w:cs="Arial"/>
        </w:rPr>
        <w:t xml:space="preserve">. Therefore, even with a perfectly efficient battery, time-shifting for the maximum potential economic outcome would nevertheless add to the college’s carbon impact unless a substantial amount of the charge can be </w:t>
      </w:r>
      <w:proofErr w:type="spellStart"/>
      <w:r>
        <w:rPr>
          <w:rFonts w:ascii="Arial" w:hAnsi="Arial" w:cs="Arial"/>
        </w:rPr>
        <w:t>autoproduced</w:t>
      </w:r>
      <w:proofErr w:type="spellEnd"/>
      <w:r>
        <w:rPr>
          <w:rFonts w:ascii="Arial" w:hAnsi="Arial" w:cs="Arial"/>
        </w:rPr>
        <w:t>.</w:t>
      </w:r>
    </w:p>
    <w:p w:rsidR="0047551B" w:rsidRDefault="0047551B" w:rsidP="009B5AC1">
      <w:pPr>
        <w:spacing w:after="0" w:line="360" w:lineRule="auto"/>
        <w:jc w:val="both"/>
        <w:rPr>
          <w:rFonts w:ascii="Arial" w:hAnsi="Arial" w:cs="Arial"/>
        </w:rPr>
      </w:pPr>
    </w:p>
    <w:p w:rsidR="0047551B" w:rsidRDefault="0047551B" w:rsidP="009B5AC1">
      <w:pPr>
        <w:spacing w:after="0" w:line="360" w:lineRule="auto"/>
        <w:jc w:val="both"/>
        <w:rPr>
          <w:rFonts w:ascii="Arial" w:hAnsi="Arial" w:cs="Arial"/>
        </w:rPr>
      </w:pPr>
    </w:p>
    <w:p w:rsidR="0047551B" w:rsidRDefault="0047551B" w:rsidP="0047551B">
      <w:pPr>
        <w:spacing w:after="0" w:line="360" w:lineRule="auto"/>
        <w:jc w:val="both"/>
        <w:rPr>
          <w:rFonts w:ascii="Arial" w:hAnsi="Arial" w:cs="Arial"/>
        </w:rPr>
      </w:pPr>
      <w:r>
        <w:rPr>
          <w:rFonts w:ascii="Arial" w:hAnsi="Arial" w:cs="Arial"/>
        </w:rPr>
        <w:lastRenderedPageBreak/>
        <w:t>3.6 Economic impact of the battery</w:t>
      </w:r>
    </w:p>
    <w:p w:rsidR="0047551B" w:rsidRDefault="0047551B" w:rsidP="009B5AC1">
      <w:pPr>
        <w:spacing w:after="0" w:line="360" w:lineRule="auto"/>
        <w:jc w:val="both"/>
        <w:rPr>
          <w:rFonts w:ascii="Arial" w:hAnsi="Arial" w:cs="Arial"/>
        </w:rPr>
      </w:pPr>
      <w:proofErr w:type="spellStart"/>
      <w:r>
        <w:rPr>
          <w:rFonts w:ascii="Arial" w:hAnsi="Arial" w:cs="Arial"/>
        </w:rPr>
        <w:t>DkIT’s</w:t>
      </w:r>
      <w:proofErr w:type="spellEnd"/>
      <w:r>
        <w:rPr>
          <w:rFonts w:ascii="Arial" w:hAnsi="Arial" w:cs="Arial"/>
        </w:rPr>
        <w:t xml:space="preserve"> net electricity cost for the study year under each of the analysed scenarios is shown in </w:t>
      </w:r>
      <w:r w:rsidRPr="007801C1">
        <w:rPr>
          <w:rFonts w:ascii="Arial" w:hAnsi="Arial" w:cs="Arial"/>
          <w:color w:val="0070C0"/>
        </w:rPr>
        <w:t>Fig. 7</w:t>
      </w:r>
      <w:r>
        <w:rPr>
          <w:rFonts w:ascii="Arial" w:hAnsi="Arial" w:cs="Arial"/>
        </w:rPr>
        <w:t xml:space="preserve">. As there is some uncertainty in the capital and maintenance costs of the battery, these have been excluded from the plotted totals. For the baseline scenario of having a turbine and paying fixed TOU rates, introducing the battery reduces the net electricity cost from €311,956 to €289,450 – saving €22,506 or 7.2%. While this saving is sufficient to cover the battery’s estimated yearly operation and maintenance costs, multiplying it by the 15-year life expectancy gives a lifetime revenue of €337,590, equating to just 36.4% of the estimated lifetime costs of €928,019. For the other scenarios, introducing the battery offers similar results. From a starting point of having fixed TOU billing and no turbine, the net costs decrease from €395,063 to €370,751, saving €24,311. Alternatively, with the college on HHP, operating the battery decreases the net costs from €201,571 to €178,654 with the turbine present, saving €22,917, or from €268,319 to €244,440 with the turbine removed, saving €23,879. The specific battery model and usage considered is therefore far from economically viable for </w:t>
      </w:r>
      <w:proofErr w:type="spellStart"/>
      <w:r>
        <w:rPr>
          <w:rFonts w:ascii="Arial" w:hAnsi="Arial" w:cs="Arial"/>
        </w:rPr>
        <w:t>DkIT</w:t>
      </w:r>
      <w:proofErr w:type="spellEnd"/>
      <w:r>
        <w:rPr>
          <w:rFonts w:ascii="Arial" w:hAnsi="Arial" w:cs="Arial"/>
        </w:rPr>
        <w:t xml:space="preserve"> for any of the analysed scenarios. For a full summary of the college’s electricity usage, costs, and carbon impact for each scenario over the study year see </w:t>
      </w:r>
      <w:r w:rsidRPr="008530FC">
        <w:rPr>
          <w:rFonts w:ascii="Arial" w:hAnsi="Arial" w:cs="Arial"/>
          <w:color w:val="0070C0"/>
        </w:rPr>
        <w:t xml:space="preserve">Table </w:t>
      </w:r>
      <w:r>
        <w:rPr>
          <w:rFonts w:ascii="Arial" w:hAnsi="Arial" w:cs="Arial"/>
          <w:color w:val="0070C0"/>
        </w:rPr>
        <w:t>2</w:t>
      </w:r>
      <w:r>
        <w:rPr>
          <w:rFonts w:ascii="Arial" w:hAnsi="Arial" w:cs="Arial"/>
        </w:rPr>
        <w:t>.</w:t>
      </w: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r>
        <w:rPr>
          <w:rFonts w:ascii="Arial" w:hAnsi="Arial" w:cs="Arial"/>
          <w:noProof/>
          <w:lang w:eastAsia="en-IE"/>
        </w:rPr>
        <w:drawing>
          <wp:anchor distT="0" distB="0" distL="114300" distR="114300" simplePos="0" relativeHeight="251704320" behindDoc="0" locked="0" layoutInCell="1" allowOverlap="1" wp14:anchorId="74AB13D1" wp14:editId="6224287E">
            <wp:simplePos x="0" y="0"/>
            <wp:positionH relativeFrom="margin">
              <wp:posOffset>551180</wp:posOffset>
            </wp:positionH>
            <wp:positionV relativeFrom="paragraph">
              <wp:posOffset>9737</wp:posOffset>
            </wp:positionV>
            <wp:extent cx="4626000" cy="3078000"/>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6000" cy="3078000"/>
                    </a:xfrm>
                    <a:prstGeom prst="rect">
                      <a:avLst/>
                    </a:prstGeom>
                    <a:noFill/>
                    <a:ln>
                      <a:noFill/>
                    </a:ln>
                  </pic:spPr>
                </pic:pic>
              </a:graphicData>
            </a:graphic>
          </wp:anchor>
        </w:drawing>
      </w: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r>
        <w:rPr>
          <w:noProof/>
        </w:rPr>
        <mc:AlternateContent>
          <mc:Choice Requires="wps">
            <w:drawing>
              <wp:anchor distT="0" distB="0" distL="114300" distR="114300" simplePos="0" relativeHeight="251706368" behindDoc="0" locked="0" layoutInCell="1" allowOverlap="1" wp14:anchorId="70A5B2A8" wp14:editId="1FC3C913">
                <wp:simplePos x="0" y="0"/>
                <wp:positionH relativeFrom="margin">
                  <wp:posOffset>551180</wp:posOffset>
                </wp:positionH>
                <wp:positionV relativeFrom="paragraph">
                  <wp:posOffset>198822</wp:posOffset>
                </wp:positionV>
                <wp:extent cx="4625975" cy="635"/>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625975" cy="635"/>
                        </a:xfrm>
                        <a:prstGeom prst="rect">
                          <a:avLst/>
                        </a:prstGeom>
                        <a:solidFill>
                          <a:prstClr val="white"/>
                        </a:solidFill>
                        <a:ln>
                          <a:noFill/>
                        </a:ln>
                      </wps:spPr>
                      <wps:txbx>
                        <w:txbxContent>
                          <w:p w:rsidR="00DE272D" w:rsidRPr="00DE272D" w:rsidRDefault="00DE272D" w:rsidP="00DE272D">
                            <w:pPr>
                              <w:pStyle w:val="Caption"/>
                              <w:jc w:val="center"/>
                              <w:rPr>
                                <w:rFonts w:ascii="Arial" w:hAnsi="Arial" w:cs="Arial"/>
                                <w:i w:val="0"/>
                                <w:noProof/>
                                <w:color w:val="000000" w:themeColor="text1"/>
                              </w:rPr>
                            </w:pPr>
                            <w:r>
                              <w:rPr>
                                <w:rFonts w:ascii="Arial" w:hAnsi="Arial" w:cs="Arial"/>
                                <w:i w:val="0"/>
                                <w:noProof/>
                                <w:color w:val="000000" w:themeColor="text1"/>
                              </w:rPr>
                              <w:t>Fig. 7 Net electricity cost</w:t>
                            </w:r>
                            <w:r w:rsidRPr="003D7F20">
                              <w:rPr>
                                <w:rFonts w:ascii="Arial" w:hAnsi="Arial" w:cs="Arial"/>
                                <w:i w:val="0"/>
                                <w:noProof/>
                                <w:color w:val="000000" w:themeColor="text1"/>
                              </w:rPr>
                              <w:t xml:space="preserve"> for Dundalk Institute of Technology for the 2017/18 academic year (Sep to Aug) for each scenario investigated: “T” indicates the </w:t>
                            </w:r>
                            <w:r>
                              <w:rPr>
                                <w:rFonts w:ascii="Arial" w:hAnsi="Arial" w:cs="Arial"/>
                                <w:i w:val="0"/>
                                <w:noProof/>
                                <w:color w:val="000000" w:themeColor="text1"/>
                              </w:rPr>
                              <w:t>presence of the wind turbine, “H</w:t>
                            </w:r>
                            <w:r w:rsidRPr="003D7F20">
                              <w:rPr>
                                <w:rFonts w:ascii="Arial" w:hAnsi="Arial" w:cs="Arial"/>
                                <w:i w:val="0"/>
                                <w:noProof/>
                                <w:color w:val="000000" w:themeColor="text1"/>
                              </w:rPr>
                              <w:t>” indicates th</w:t>
                            </w:r>
                            <w:r>
                              <w:rPr>
                                <w:rFonts w:ascii="Arial" w:hAnsi="Arial" w:cs="Arial"/>
                                <w:i w:val="0"/>
                                <w:noProof/>
                                <w:color w:val="000000" w:themeColor="text1"/>
                              </w:rPr>
                              <w:t>at the college has switched to half-hourly</w:t>
                            </w:r>
                            <w:r w:rsidRPr="003D7F20">
                              <w:rPr>
                                <w:rFonts w:ascii="Arial" w:hAnsi="Arial" w:cs="Arial"/>
                                <w:i w:val="0"/>
                                <w:noProof/>
                                <w:color w:val="000000" w:themeColor="text1"/>
                              </w:rPr>
                              <w:t xml:space="preserve"> billing, and “B” indicates the presence of the battery for time-shifting (with capital and maintenance costs excluded).</w:t>
                            </w:r>
                            <w:r w:rsidRPr="003D7F20">
                              <w:rPr>
                                <w:rFonts w:ascii="Arial" w:hAnsi="Arial" w:cs="Arial"/>
                                <w:i w:val="0"/>
                                <w:noProof/>
                                <w:color w:val="000000" w:themeColor="text1"/>
                              </w:rPr>
                              <w:br/>
                              <w:t>[single-</w:t>
                            </w:r>
                            <w:r>
                              <w:rPr>
                                <w:rFonts w:ascii="Arial" w:hAnsi="Arial" w:cs="Arial"/>
                                <w:i w:val="0"/>
                                <w:noProof/>
                                <w:color w:val="000000" w:themeColor="text1"/>
                              </w:rPr>
                              <w:t>column image</w:t>
                            </w:r>
                            <w:r>
                              <w:rPr>
                                <w:rFonts w:ascii="Arial" w:hAnsi="Arial" w:cs="Arial"/>
                                <w:i w:val="0"/>
                                <w:noProof/>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A5B2A8" id="Text Box 5" o:spid="_x0000_s1032" type="#_x0000_t202" style="position:absolute;left:0;text-align:left;margin-left:43.4pt;margin-top:15.65pt;width:364.25pt;height:.0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MpMAIAAGQEAAAOAAAAZHJzL2Uyb0RvYy54bWysVFGP2jAMfp+0/xDlfRTYYLeKcmKcmCad&#10;7k6C6Z5DmtJKSZw5gZb9+jkp5bbbnqa9BNd27HzfZ7O47YxmJ4W+AVvwyWjMmbISysYeCv5tt3l3&#10;w5kPwpZCg1UFPyvPb5dv3yxal6sp1KBLhYyKWJ+3ruB1CC7PMi9rZYQfgVOWghWgEYE+8ZCVKFqq&#10;bnQ2HY/nWQtYOgSpvCfvXR/ky1S/qpQMj1XlVWC64PS2kE5M5z6e2XIh8gMKVzfy8gzxD68worHU&#10;9FrqTgTBjtj8Uco0EsFDFUYSTAZV1UiVMBCayfgVmm0tnEpYiBzvrjT5/1dWPpyekDVlwWecWWFI&#10;op3qAvsMHZtFdlrnc0raOkoLHblJ5cHvyRlBdxWa+EtwGMWJ5/OV21hMkvPDfDr79JGaSIrN36fa&#10;2ctVhz58UWBYNAqOJFziU5zufaBnUOqQEjt50E25abSOHzGw1shOgkRu6yao+EC68VuWtjHXQrzV&#10;h6Mni/h6HNEK3b5LbMwHjHsozwQdoR8d7+SmoX73wocngTQrhJbmPzzSUWloCw4Xi7Ma8Mff/DGf&#10;JKQoZy3NXsH996NAxZn+akncOKiDgYOxHwx7NGsgpBPaLCeTSRcw6MGsEMwzrcUqdqGQsJJ6FTwM&#10;5jr0G0BrJdVqlZJoHJ0I93brZCw98LrrngW6iyqBxHyAYSpF/kqcPjfJ41bHQEwn5SKvPYsXummU&#10;kzyXtYu78ut3ynr5c1j+BAAA//8DAFBLAwQUAAYACAAAACEA4O1QYd8AAAAIAQAADwAAAGRycy9k&#10;b3ducmV2LnhtbEyPMU/DMBCFdyT+g3VILIg6ISGKQpyqqmCApSJ0YXPjaxyI7ch22vDvuU6w3bt3&#10;eu+7er2YkZ3Qh8FZAekqAYa2c2qwvYD9x8t9CSxEaZUcnUUBPxhg3Vxf1bJS7mzf8dTGnlGIDZUU&#10;oGOcKs5Dp9HIsHITWvKOzhsZSfqeKy/PFG5G/pAkBTdysNSg5YRbjd13OxsBu/xzp+/m4/PbJs/8&#10;637eFl99K8TtzbJ5AhZxiX/HcMEndGiI6eBmqwIbBZQFkUcBWZoBI79MH2k4XBY58Kbm/x9ofgEA&#10;AP//AwBQSwECLQAUAAYACAAAACEAtoM4kv4AAADhAQAAEwAAAAAAAAAAAAAAAAAAAAAAW0NvbnRl&#10;bnRfVHlwZXNdLnhtbFBLAQItABQABgAIAAAAIQA4/SH/1gAAAJQBAAALAAAAAAAAAAAAAAAAAC8B&#10;AABfcmVscy8ucmVsc1BLAQItABQABgAIAAAAIQARqDMpMAIAAGQEAAAOAAAAAAAAAAAAAAAAAC4C&#10;AABkcnMvZTJvRG9jLnhtbFBLAQItABQABgAIAAAAIQDg7VBh3wAAAAgBAAAPAAAAAAAAAAAAAAAA&#10;AIoEAABkcnMvZG93bnJldi54bWxQSwUGAAAAAAQABADzAAAAlgUAAAAA&#10;" stroked="f">
                <v:textbox style="mso-fit-shape-to-text:t" inset="0,0,0,0">
                  <w:txbxContent>
                    <w:p w:rsidR="00DE272D" w:rsidRPr="00DE272D" w:rsidRDefault="00DE272D" w:rsidP="00DE272D">
                      <w:pPr>
                        <w:pStyle w:val="Caption"/>
                        <w:jc w:val="center"/>
                        <w:rPr>
                          <w:rFonts w:ascii="Arial" w:hAnsi="Arial" w:cs="Arial"/>
                          <w:i w:val="0"/>
                          <w:noProof/>
                          <w:color w:val="000000" w:themeColor="text1"/>
                        </w:rPr>
                      </w:pPr>
                      <w:r>
                        <w:rPr>
                          <w:rFonts w:ascii="Arial" w:hAnsi="Arial" w:cs="Arial"/>
                          <w:i w:val="0"/>
                          <w:noProof/>
                          <w:color w:val="000000" w:themeColor="text1"/>
                        </w:rPr>
                        <w:t>Fig. 7 Net electricity cost</w:t>
                      </w:r>
                      <w:r w:rsidRPr="003D7F20">
                        <w:rPr>
                          <w:rFonts w:ascii="Arial" w:hAnsi="Arial" w:cs="Arial"/>
                          <w:i w:val="0"/>
                          <w:noProof/>
                          <w:color w:val="000000" w:themeColor="text1"/>
                        </w:rPr>
                        <w:t xml:space="preserve"> for Dundalk Institute of Technology for the 2017/18 academic year (Sep to Aug) for each scenario investigated: “T” indicates the </w:t>
                      </w:r>
                      <w:r>
                        <w:rPr>
                          <w:rFonts w:ascii="Arial" w:hAnsi="Arial" w:cs="Arial"/>
                          <w:i w:val="0"/>
                          <w:noProof/>
                          <w:color w:val="000000" w:themeColor="text1"/>
                        </w:rPr>
                        <w:t>presence of the wind turbine, “H</w:t>
                      </w:r>
                      <w:r w:rsidRPr="003D7F20">
                        <w:rPr>
                          <w:rFonts w:ascii="Arial" w:hAnsi="Arial" w:cs="Arial"/>
                          <w:i w:val="0"/>
                          <w:noProof/>
                          <w:color w:val="000000" w:themeColor="text1"/>
                        </w:rPr>
                        <w:t>” indicates th</w:t>
                      </w:r>
                      <w:r>
                        <w:rPr>
                          <w:rFonts w:ascii="Arial" w:hAnsi="Arial" w:cs="Arial"/>
                          <w:i w:val="0"/>
                          <w:noProof/>
                          <w:color w:val="000000" w:themeColor="text1"/>
                        </w:rPr>
                        <w:t>at the college has switched to half-hourly</w:t>
                      </w:r>
                      <w:r w:rsidRPr="003D7F20">
                        <w:rPr>
                          <w:rFonts w:ascii="Arial" w:hAnsi="Arial" w:cs="Arial"/>
                          <w:i w:val="0"/>
                          <w:noProof/>
                          <w:color w:val="000000" w:themeColor="text1"/>
                        </w:rPr>
                        <w:t xml:space="preserve"> billing, and “B” indicates the presence of the battery for time-shifting (with capital and maintenance costs excluded).</w:t>
                      </w:r>
                      <w:r w:rsidRPr="003D7F20">
                        <w:rPr>
                          <w:rFonts w:ascii="Arial" w:hAnsi="Arial" w:cs="Arial"/>
                          <w:i w:val="0"/>
                          <w:noProof/>
                          <w:color w:val="000000" w:themeColor="text1"/>
                        </w:rPr>
                        <w:br/>
                        <w:t>[single-</w:t>
                      </w:r>
                      <w:r>
                        <w:rPr>
                          <w:rFonts w:ascii="Arial" w:hAnsi="Arial" w:cs="Arial"/>
                          <w:i w:val="0"/>
                          <w:noProof/>
                          <w:color w:val="000000" w:themeColor="text1"/>
                        </w:rPr>
                        <w:t>column image</w:t>
                      </w:r>
                      <w:r>
                        <w:rPr>
                          <w:rFonts w:ascii="Arial" w:hAnsi="Arial" w:cs="Arial"/>
                          <w:i w:val="0"/>
                          <w:noProof/>
                          <w:color w:val="000000" w:themeColor="text1"/>
                        </w:rPr>
                        <w:t>]</w:t>
                      </w:r>
                    </w:p>
                  </w:txbxContent>
                </v:textbox>
                <w10:wrap anchorx="margin"/>
              </v:shape>
            </w:pict>
          </mc:Fallback>
        </mc:AlternateContent>
      </w: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DE272D" w:rsidRDefault="00DE272D" w:rsidP="009B5AC1">
      <w:pPr>
        <w:spacing w:after="0" w:line="360" w:lineRule="auto"/>
        <w:jc w:val="both"/>
        <w:rPr>
          <w:rFonts w:ascii="Arial" w:hAnsi="Arial" w:cs="Arial"/>
        </w:rPr>
      </w:pPr>
    </w:p>
    <w:p w:rsidR="0047551B" w:rsidRDefault="0047551B" w:rsidP="00293844">
      <w:pPr>
        <w:spacing w:after="0" w:line="360" w:lineRule="auto"/>
        <w:jc w:val="both"/>
        <w:rPr>
          <w:rFonts w:ascii="Arial" w:hAnsi="Arial" w:cs="Arial"/>
        </w:rPr>
      </w:pPr>
    </w:p>
    <w:p w:rsidR="0047551B" w:rsidRDefault="0047551B" w:rsidP="00293844">
      <w:pPr>
        <w:spacing w:after="0" w:line="360" w:lineRule="auto"/>
        <w:jc w:val="both"/>
        <w:rPr>
          <w:rFonts w:ascii="Arial" w:hAnsi="Arial" w:cs="Arial"/>
        </w:rPr>
      </w:pPr>
      <w:r>
        <w:rPr>
          <w:rFonts w:ascii="Arial" w:hAnsi="Arial" w:cs="Arial"/>
        </w:rPr>
        <w:t xml:space="preserve">Despite the battery’s poor economic results described above, there are a number of changes that could be made to increase its revenue. Firstly, by forecasting the market prices, wind generation, and demand on campus, the charging and discharging times on a given day could </w:t>
      </w:r>
      <w:r>
        <w:rPr>
          <w:rFonts w:ascii="Arial" w:hAnsi="Arial" w:cs="Arial"/>
        </w:rPr>
        <w:lastRenderedPageBreak/>
        <w:t xml:space="preserve">be adjusted to increase the effectiveness of time-shifting, particularly in the case of HHP. In terms of the impact this might have, </w:t>
      </w:r>
      <w:r w:rsidRPr="00336081">
        <w:rPr>
          <w:rFonts w:ascii="Arial" w:hAnsi="Arial" w:cs="Arial"/>
          <w:color w:val="0070C0"/>
        </w:rPr>
        <w:t>[35]</w:t>
      </w:r>
      <w:r>
        <w:rPr>
          <w:rFonts w:ascii="Arial" w:hAnsi="Arial" w:cs="Arial"/>
        </w:rPr>
        <w:t xml:space="preserve"> estimated that arbitrage in the real-time UK market provides 75% to 88% of the potential earnings (assuming storage efficiencies of 80% and 100%, respectively) when no foresight is considered. On this basis, forecasting might increase the revenue here somewhat, although it alone would not be sufficient to make the battery economically viable. A more promising way to increase revenue would be to consider applications other than time-shifting. If the given battery were reserved for the various grid-support markets offered in Ireland </w:t>
      </w:r>
      <w:r w:rsidRPr="00B440F2">
        <w:rPr>
          <w:rFonts w:ascii="Arial" w:hAnsi="Arial" w:cs="Arial"/>
          <w:color w:val="0070C0"/>
        </w:rPr>
        <w:t>[18,36]</w:t>
      </w:r>
      <w:r>
        <w:rPr>
          <w:rFonts w:ascii="Arial" w:hAnsi="Arial" w:cs="Arial"/>
        </w:rPr>
        <w:t xml:space="preserve">, it is estimated that it would generate up to €102,952 annually </w:t>
      </w:r>
      <w:r w:rsidRPr="000D2FE3">
        <w:rPr>
          <w:rFonts w:ascii="Arial" w:hAnsi="Arial" w:cs="Arial"/>
          <w:color w:val="0070C0"/>
        </w:rPr>
        <w:t>[37</w:t>
      </w:r>
      <w:r w:rsidR="003D48A2">
        <w:rPr>
          <w:rFonts w:ascii="Arial" w:hAnsi="Arial" w:cs="Arial"/>
          <w:color w:val="0070C0"/>
        </w:rPr>
        <w:t>-39</w:t>
      </w:r>
      <w:r w:rsidRPr="000D2FE3">
        <w:rPr>
          <w:rFonts w:ascii="Arial" w:hAnsi="Arial" w:cs="Arial"/>
          <w:color w:val="0070C0"/>
        </w:rPr>
        <w:t>]</w:t>
      </w:r>
      <w:r>
        <w:rPr>
          <w:rFonts w:ascii="Arial" w:hAnsi="Arial" w:cs="Arial"/>
        </w:rPr>
        <w:t>. With this revenue, the lifetime costs would be covered in just over 9 years, generating a lifetime profit of €616,261. On this basis, the battery would, in fact, be a worthwhile investment for the college. Further research into acquiring a battery for this purpose is therefore warranted.</w:t>
      </w:r>
    </w:p>
    <w:p w:rsidR="00293844" w:rsidRDefault="00631FAF" w:rsidP="00293844">
      <w:pPr>
        <w:spacing w:after="0" w:line="360" w:lineRule="auto"/>
        <w:jc w:val="both"/>
        <w:rPr>
          <w:rFonts w:ascii="Arial" w:hAnsi="Arial" w:cs="Arial"/>
        </w:rPr>
      </w:pPr>
      <w:r>
        <w:rPr>
          <w:rFonts w:ascii="Arial" w:hAnsi="Arial" w:cs="Arial"/>
        </w:rPr>
        <w:t xml:space="preserve"> </w:t>
      </w:r>
    </w:p>
    <w:tbl>
      <w:tblPr>
        <w:tblStyle w:val="TableGrid"/>
        <w:tblW w:w="9639" w:type="dxa"/>
        <w:jc w:val="center"/>
        <w:tblLook w:val="04A0" w:firstRow="1" w:lastRow="0" w:firstColumn="1" w:lastColumn="0" w:noHBand="0" w:noVBand="1"/>
      </w:tblPr>
      <w:tblGrid>
        <w:gridCol w:w="711"/>
        <w:gridCol w:w="1568"/>
        <w:gridCol w:w="920"/>
        <w:gridCol w:w="920"/>
        <w:gridCol w:w="920"/>
        <w:gridCol w:w="920"/>
        <w:gridCol w:w="920"/>
        <w:gridCol w:w="920"/>
        <w:gridCol w:w="920"/>
        <w:gridCol w:w="920"/>
      </w:tblGrid>
      <w:tr w:rsidR="00293844" w:rsidTr="00770595">
        <w:trPr>
          <w:trHeight w:val="454"/>
          <w:jc w:val="center"/>
        </w:trPr>
        <w:tc>
          <w:tcPr>
            <w:tcW w:w="0" w:type="auto"/>
            <w:gridSpan w:val="2"/>
            <w:vMerge w:val="restart"/>
            <w:tcBorders>
              <w:top w:val="single" w:sz="12" w:space="0" w:color="FFFFFF" w:themeColor="background1"/>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p>
        </w:tc>
        <w:tc>
          <w:tcPr>
            <w:tcW w:w="0" w:type="auto"/>
            <w:gridSpan w:val="8"/>
            <w:tcBorders>
              <w:top w:val="single" w:sz="12" w:space="0" w:color="FFFFFF" w:themeColor="background1"/>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Scenario</w:t>
            </w:r>
          </w:p>
        </w:tc>
      </w:tr>
      <w:tr w:rsidR="00293844" w:rsidTr="00770595">
        <w:trPr>
          <w:trHeight w:val="340"/>
          <w:jc w:val="center"/>
        </w:trPr>
        <w:tc>
          <w:tcPr>
            <w:tcW w:w="0" w:type="auto"/>
            <w:gridSpan w:val="2"/>
            <w:vMerge/>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B</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T</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BT</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Pr>
                <w:rFonts w:ascii="Arial" w:hAnsi="Arial" w:cs="Arial"/>
                <w:b/>
                <w:sz w:val="20"/>
                <w:szCs w:val="20"/>
              </w:rPr>
              <w:t>H</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B</w:t>
            </w:r>
            <w:r>
              <w:rPr>
                <w:rFonts w:ascii="Arial" w:hAnsi="Arial" w:cs="Arial"/>
                <w:b/>
                <w:sz w:val="20"/>
                <w:szCs w:val="20"/>
              </w:rPr>
              <w:t>H</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T</w:t>
            </w:r>
            <w:r>
              <w:rPr>
                <w:rFonts w:ascii="Arial" w:hAnsi="Arial" w:cs="Arial"/>
                <w:b/>
                <w:sz w:val="20"/>
                <w:szCs w:val="20"/>
              </w:rPr>
              <w:t>H</w:t>
            </w:r>
          </w:p>
        </w:tc>
        <w:tc>
          <w:tcPr>
            <w:tcW w:w="0" w:type="auto"/>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Pr>
                <w:rFonts w:ascii="Arial" w:hAnsi="Arial" w:cs="Arial"/>
                <w:b/>
                <w:sz w:val="20"/>
                <w:szCs w:val="20"/>
              </w:rPr>
              <w:t>BTH</w:t>
            </w:r>
          </w:p>
        </w:tc>
      </w:tr>
      <w:tr w:rsidR="00293844" w:rsidTr="00770595">
        <w:trPr>
          <w:trHeight w:val="340"/>
          <w:jc w:val="center"/>
        </w:trPr>
        <w:tc>
          <w:tcPr>
            <w:tcW w:w="0" w:type="auto"/>
            <w:vMerge w:val="restart"/>
            <w:tcBorders>
              <w:top w:val="single" w:sz="12" w:space="0" w:color="auto"/>
              <w:left w:val="single" w:sz="12" w:space="0" w:color="FFFFFF" w:themeColor="background1"/>
              <w:right w:val="single" w:sz="12" w:space="0" w:color="FFFFFF" w:themeColor="background1"/>
            </w:tcBorders>
            <w:textDirection w:val="btLr"/>
            <w:vAlign w:val="center"/>
          </w:tcPr>
          <w:p w:rsidR="00293844" w:rsidRPr="001B25D6" w:rsidRDefault="00293844" w:rsidP="00770595">
            <w:pPr>
              <w:ind w:left="113" w:right="113"/>
              <w:jc w:val="center"/>
              <w:rPr>
                <w:rFonts w:ascii="Arial" w:hAnsi="Arial" w:cs="Arial"/>
                <w:b/>
                <w:sz w:val="20"/>
                <w:szCs w:val="20"/>
              </w:rPr>
            </w:pPr>
            <w:r w:rsidRPr="001B25D6">
              <w:rPr>
                <w:rFonts w:ascii="Arial" w:hAnsi="Arial" w:cs="Arial"/>
                <w:b/>
                <w:sz w:val="20"/>
                <w:szCs w:val="20"/>
              </w:rPr>
              <w:t>Energy</w:t>
            </w:r>
          </w:p>
          <w:p w:rsidR="00293844" w:rsidRPr="001B25D6" w:rsidRDefault="00293844" w:rsidP="00770595">
            <w:pPr>
              <w:ind w:left="113" w:right="113"/>
              <w:jc w:val="center"/>
              <w:rPr>
                <w:rFonts w:ascii="Arial" w:hAnsi="Arial" w:cs="Arial"/>
                <w:b/>
                <w:sz w:val="20"/>
                <w:szCs w:val="20"/>
              </w:rPr>
            </w:pPr>
            <w:r w:rsidRPr="001B25D6">
              <w:rPr>
                <w:rFonts w:ascii="Arial" w:hAnsi="Arial" w:cs="Arial"/>
                <w:b/>
                <w:sz w:val="20"/>
                <w:szCs w:val="20"/>
              </w:rPr>
              <w:t>[MWh]</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Import</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3650</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3997</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2593</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2959</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3650</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3997</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2593</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2959</w:t>
            </w:r>
          </w:p>
        </w:tc>
      </w:tr>
      <w:tr w:rsidR="00293844" w:rsidTr="00770595">
        <w:trPr>
          <w:trHeight w:val="340"/>
          <w:jc w:val="center"/>
        </w:trPr>
        <w:tc>
          <w:tcPr>
            <w:tcW w:w="0" w:type="auto"/>
            <w:vMerge/>
            <w:tcBorders>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Export</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258</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261</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540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258</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261</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540</w:t>
            </w:r>
          </w:p>
        </w:tc>
      </w:tr>
      <w:tr w:rsidR="00293844" w:rsidTr="00770595">
        <w:trPr>
          <w:trHeight w:val="340"/>
          <w:jc w:val="center"/>
        </w:trPr>
        <w:tc>
          <w:tcPr>
            <w:tcW w:w="0" w:type="auto"/>
            <w:vMerge/>
            <w:tcBorders>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Generation</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1327</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1327</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1327</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1327</w:t>
            </w:r>
          </w:p>
        </w:tc>
      </w:tr>
      <w:tr w:rsidR="00293844" w:rsidTr="00770595">
        <w:trPr>
          <w:trHeight w:val="340"/>
          <w:jc w:val="center"/>
        </w:trPr>
        <w:tc>
          <w:tcPr>
            <w:tcW w:w="0" w:type="auto"/>
            <w:vMerge/>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Consumption</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3650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3739</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3660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3746</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3650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3739</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3660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3746</w:t>
            </w:r>
          </w:p>
        </w:tc>
      </w:tr>
      <w:tr w:rsidR="00293844" w:rsidTr="00770595">
        <w:trPr>
          <w:trHeight w:val="340"/>
          <w:jc w:val="center"/>
        </w:trPr>
        <w:tc>
          <w:tcPr>
            <w:tcW w:w="0" w:type="auto"/>
            <w:vMerge w:val="restart"/>
            <w:tcBorders>
              <w:top w:val="single" w:sz="12" w:space="0" w:color="auto"/>
              <w:left w:val="single" w:sz="12" w:space="0" w:color="FFFFFF" w:themeColor="background1"/>
              <w:right w:val="single" w:sz="12" w:space="0" w:color="FFFFFF" w:themeColor="background1"/>
            </w:tcBorders>
            <w:textDirection w:val="btLr"/>
            <w:vAlign w:val="center"/>
          </w:tcPr>
          <w:p w:rsidR="00293844" w:rsidRPr="001B25D6" w:rsidRDefault="00293844" w:rsidP="00770595">
            <w:pPr>
              <w:ind w:left="113" w:right="113"/>
              <w:jc w:val="center"/>
              <w:rPr>
                <w:rFonts w:ascii="Arial" w:hAnsi="Arial" w:cs="Arial"/>
                <w:b/>
                <w:sz w:val="20"/>
                <w:szCs w:val="20"/>
              </w:rPr>
            </w:pPr>
            <w:r w:rsidRPr="001B25D6">
              <w:rPr>
                <w:rFonts w:ascii="Arial" w:hAnsi="Arial" w:cs="Arial"/>
                <w:b/>
                <w:sz w:val="20"/>
                <w:szCs w:val="20"/>
              </w:rPr>
              <w:t>CO</w:t>
            </w:r>
            <w:r w:rsidRPr="001B25D6">
              <w:rPr>
                <w:rFonts w:ascii="Arial" w:hAnsi="Arial" w:cs="Arial"/>
                <w:b/>
                <w:sz w:val="20"/>
                <w:szCs w:val="20"/>
                <w:vertAlign w:val="subscript"/>
              </w:rPr>
              <w:t>2</w:t>
            </w:r>
          </w:p>
          <w:p w:rsidR="00293844" w:rsidRPr="001B25D6" w:rsidRDefault="00293844" w:rsidP="00770595">
            <w:pPr>
              <w:ind w:left="113" w:right="113"/>
              <w:jc w:val="center"/>
              <w:rPr>
                <w:rFonts w:ascii="Arial" w:hAnsi="Arial" w:cs="Arial"/>
                <w:b/>
                <w:sz w:val="20"/>
                <w:szCs w:val="20"/>
              </w:rPr>
            </w:pPr>
            <w:r w:rsidRPr="001B25D6">
              <w:rPr>
                <w:rFonts w:ascii="Arial" w:hAnsi="Arial" w:cs="Arial"/>
                <w:b/>
                <w:sz w:val="20"/>
                <w:szCs w:val="20"/>
              </w:rPr>
              <w:t>[t]</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Emission</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1435</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1575</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1072</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1219</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1435</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1575</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1072</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1219</w:t>
            </w:r>
          </w:p>
        </w:tc>
      </w:tr>
      <w:tr w:rsidR="00293844" w:rsidTr="00770595">
        <w:trPr>
          <w:trHeight w:val="340"/>
          <w:jc w:val="center"/>
        </w:trPr>
        <w:tc>
          <w:tcPr>
            <w:tcW w:w="0" w:type="auto"/>
            <w:vMerge/>
            <w:tcBorders>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Pr>
                <w:rFonts w:ascii="Arial" w:hAnsi="Arial" w:cs="Arial"/>
                <w:b/>
                <w:sz w:val="20"/>
                <w:szCs w:val="20"/>
              </w:rPr>
              <w:t>Offset</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102</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81</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193</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102</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81</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193</w:t>
            </w:r>
          </w:p>
        </w:tc>
      </w:tr>
      <w:tr w:rsidR="00293844" w:rsidTr="00770595">
        <w:trPr>
          <w:trHeight w:val="340"/>
          <w:jc w:val="center"/>
        </w:trPr>
        <w:tc>
          <w:tcPr>
            <w:tcW w:w="0" w:type="auto"/>
            <w:vMerge/>
            <w:tcBorders>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Net</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1435</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1472</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990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1026</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1435</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1472</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990</w:t>
            </w:r>
          </w:p>
        </w:tc>
        <w:tc>
          <w:tcPr>
            <w:tcW w:w="0" w:type="auto"/>
            <w:tcBorders>
              <w:top w:val="single" w:sz="4" w:space="0" w:color="A6A6A6" w:themeColor="background1" w:themeShade="A6"/>
              <w:left w:val="single" w:sz="12" w:space="0" w:color="FFFFFF" w:themeColor="background1"/>
              <w:bottom w:val="single" w:sz="12" w:space="0" w:color="auto"/>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1026</w:t>
            </w:r>
          </w:p>
        </w:tc>
      </w:tr>
      <w:tr w:rsidR="00293844" w:rsidTr="00770595">
        <w:trPr>
          <w:trHeight w:val="340"/>
          <w:jc w:val="center"/>
        </w:trPr>
        <w:tc>
          <w:tcPr>
            <w:tcW w:w="0" w:type="auto"/>
            <w:vMerge w:val="restart"/>
            <w:tcBorders>
              <w:top w:val="single" w:sz="12" w:space="0" w:color="auto"/>
              <w:left w:val="single" w:sz="12" w:space="0" w:color="FFFFFF" w:themeColor="background1"/>
              <w:right w:val="single" w:sz="12" w:space="0" w:color="FFFFFF" w:themeColor="background1"/>
            </w:tcBorders>
            <w:textDirection w:val="btLr"/>
            <w:vAlign w:val="center"/>
          </w:tcPr>
          <w:p w:rsidR="00293844" w:rsidRPr="001B25D6" w:rsidRDefault="00293844" w:rsidP="00770595">
            <w:pPr>
              <w:ind w:left="113" w:right="113"/>
              <w:jc w:val="center"/>
              <w:rPr>
                <w:rFonts w:ascii="Arial" w:hAnsi="Arial" w:cs="Arial"/>
                <w:b/>
                <w:sz w:val="20"/>
                <w:szCs w:val="20"/>
              </w:rPr>
            </w:pPr>
            <w:r w:rsidRPr="001B25D6">
              <w:rPr>
                <w:rFonts w:ascii="Arial" w:hAnsi="Arial" w:cs="Arial"/>
                <w:b/>
                <w:sz w:val="20"/>
                <w:szCs w:val="20"/>
              </w:rPr>
              <w:t>Costs [€]</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Expenditure</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395063</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395767</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326336</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333321</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268319</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269455</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215951</w:t>
            </w:r>
          </w:p>
        </w:tc>
        <w:tc>
          <w:tcPr>
            <w:tcW w:w="0" w:type="auto"/>
            <w:tcBorders>
              <w:top w:val="single" w:sz="12" w:space="0" w:color="auto"/>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222526</w:t>
            </w:r>
          </w:p>
        </w:tc>
      </w:tr>
      <w:tr w:rsidR="00293844" w:rsidTr="00770595">
        <w:trPr>
          <w:trHeight w:val="340"/>
          <w:jc w:val="center"/>
        </w:trPr>
        <w:tc>
          <w:tcPr>
            <w:tcW w:w="0" w:type="auto"/>
            <w:vMerge/>
            <w:tcBorders>
              <w:left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Revenue</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25016</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14380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43872</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25016</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14380</w:t>
            </w:r>
          </w:p>
        </w:tc>
        <w:tc>
          <w:tcPr>
            <w:tcW w:w="0" w:type="auto"/>
            <w:tc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43872</w:t>
            </w:r>
          </w:p>
        </w:tc>
      </w:tr>
      <w:tr w:rsidR="00293844" w:rsidTr="00770595">
        <w:trPr>
          <w:trHeight w:val="340"/>
          <w:jc w:val="center"/>
        </w:trPr>
        <w:tc>
          <w:tcPr>
            <w:tcW w:w="0" w:type="auto"/>
            <w:vMerge/>
            <w:tcBorders>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Net</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395063</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370751</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b/>
                <w:sz w:val="20"/>
                <w:szCs w:val="20"/>
              </w:rPr>
            </w:pPr>
            <w:r w:rsidRPr="001B25D6">
              <w:rPr>
                <w:rFonts w:ascii="Arial" w:hAnsi="Arial" w:cs="Arial"/>
                <w:b/>
                <w:sz w:val="20"/>
                <w:szCs w:val="20"/>
              </w:rPr>
              <w:t>311956</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289450</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268319</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244440</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jc w:val="center"/>
              <w:rPr>
                <w:rFonts w:ascii="Arial" w:hAnsi="Arial" w:cs="Arial"/>
                <w:sz w:val="20"/>
                <w:szCs w:val="20"/>
              </w:rPr>
            </w:pPr>
            <w:r w:rsidRPr="001B25D6">
              <w:rPr>
                <w:rFonts w:ascii="Arial" w:hAnsi="Arial" w:cs="Arial"/>
                <w:sz w:val="20"/>
                <w:szCs w:val="20"/>
              </w:rPr>
              <w:t>201571</w:t>
            </w:r>
          </w:p>
        </w:tc>
        <w:tc>
          <w:tcPr>
            <w:tcW w:w="0" w:type="auto"/>
            <w:tcBorders>
              <w:top w:val="single" w:sz="4" w:space="0" w:color="A6A6A6" w:themeColor="background1" w:themeShade="A6"/>
              <w:left w:val="single" w:sz="12" w:space="0" w:color="FFFFFF" w:themeColor="background1"/>
              <w:bottom w:val="single" w:sz="12" w:space="0" w:color="FFFFFF" w:themeColor="background1"/>
              <w:right w:val="single" w:sz="12" w:space="0" w:color="FFFFFF" w:themeColor="background1"/>
            </w:tcBorders>
            <w:vAlign w:val="center"/>
          </w:tcPr>
          <w:p w:rsidR="00293844" w:rsidRPr="001B25D6" w:rsidRDefault="00293844" w:rsidP="00770595">
            <w:pPr>
              <w:keepNext/>
              <w:jc w:val="center"/>
              <w:rPr>
                <w:rFonts w:ascii="Arial" w:hAnsi="Arial" w:cs="Arial"/>
                <w:sz w:val="20"/>
                <w:szCs w:val="20"/>
              </w:rPr>
            </w:pPr>
            <w:r w:rsidRPr="001B25D6">
              <w:rPr>
                <w:rFonts w:ascii="Arial" w:hAnsi="Arial" w:cs="Arial"/>
                <w:sz w:val="20"/>
                <w:szCs w:val="20"/>
              </w:rPr>
              <w:t>178654</w:t>
            </w:r>
          </w:p>
        </w:tc>
      </w:tr>
    </w:tbl>
    <w:p w:rsidR="00293844" w:rsidRPr="003D7F20" w:rsidRDefault="00293844" w:rsidP="00293844">
      <w:pPr>
        <w:pStyle w:val="Caption"/>
        <w:jc w:val="center"/>
        <w:rPr>
          <w:rFonts w:ascii="Arial" w:hAnsi="Arial" w:cs="Arial"/>
          <w:i w:val="0"/>
          <w:noProof/>
          <w:color w:val="000000" w:themeColor="text1"/>
        </w:rPr>
      </w:pPr>
      <w:r w:rsidRPr="003D7F20">
        <w:rPr>
          <w:rFonts w:ascii="Arial" w:hAnsi="Arial" w:cs="Arial"/>
          <w:i w:val="0"/>
          <w:color w:val="000000" w:themeColor="text1"/>
        </w:rPr>
        <w:t xml:space="preserve">Table </w:t>
      </w:r>
      <w:r>
        <w:rPr>
          <w:rFonts w:ascii="Arial" w:hAnsi="Arial" w:cs="Arial"/>
          <w:i w:val="0"/>
          <w:color w:val="000000" w:themeColor="text1"/>
        </w:rPr>
        <w:t>2</w:t>
      </w:r>
      <w:r w:rsidRPr="003D7F20">
        <w:rPr>
          <w:rFonts w:ascii="Arial" w:hAnsi="Arial" w:cs="Arial"/>
          <w:i w:val="0"/>
          <w:color w:val="000000" w:themeColor="text1"/>
        </w:rPr>
        <w:t xml:space="preserve"> Summary of Dundalk Institute of Technology’s electrical energy, CO</w:t>
      </w:r>
      <w:r w:rsidRPr="003D7F20">
        <w:rPr>
          <w:rFonts w:ascii="Arial" w:hAnsi="Arial" w:cs="Arial"/>
          <w:i w:val="0"/>
          <w:color w:val="000000" w:themeColor="text1"/>
          <w:vertAlign w:val="subscript"/>
        </w:rPr>
        <w:t>2</w:t>
      </w:r>
      <w:r w:rsidRPr="003D7F20">
        <w:rPr>
          <w:rFonts w:ascii="Arial" w:hAnsi="Arial" w:cs="Arial"/>
          <w:i w:val="0"/>
          <w:color w:val="000000" w:themeColor="text1"/>
        </w:rPr>
        <w:t xml:space="preserve">, and cost totals for the 2017/18 academic year (Sep to Aug) for each scenario investigated: </w:t>
      </w:r>
      <w:r w:rsidRPr="003D7F20">
        <w:rPr>
          <w:rFonts w:ascii="Arial" w:hAnsi="Arial" w:cs="Arial"/>
          <w:i w:val="0"/>
          <w:noProof/>
          <w:color w:val="000000" w:themeColor="text1"/>
        </w:rPr>
        <w:t xml:space="preserve">“T” indicates the </w:t>
      </w:r>
      <w:r>
        <w:rPr>
          <w:rFonts w:ascii="Arial" w:hAnsi="Arial" w:cs="Arial"/>
          <w:i w:val="0"/>
          <w:noProof/>
          <w:color w:val="000000" w:themeColor="text1"/>
        </w:rPr>
        <w:t>presence of the wind turbine, “H</w:t>
      </w:r>
      <w:r w:rsidRPr="003D7F20">
        <w:rPr>
          <w:rFonts w:ascii="Arial" w:hAnsi="Arial" w:cs="Arial"/>
          <w:i w:val="0"/>
          <w:noProof/>
          <w:color w:val="000000" w:themeColor="text1"/>
        </w:rPr>
        <w:t xml:space="preserve">” indicates that the college has switched to </w:t>
      </w:r>
      <w:r>
        <w:rPr>
          <w:rFonts w:ascii="Arial" w:hAnsi="Arial" w:cs="Arial"/>
          <w:i w:val="0"/>
          <w:noProof/>
          <w:color w:val="000000" w:themeColor="text1"/>
        </w:rPr>
        <w:t>half-hourly pricing</w:t>
      </w:r>
      <w:r w:rsidRPr="003D7F20">
        <w:rPr>
          <w:rFonts w:ascii="Arial" w:hAnsi="Arial" w:cs="Arial"/>
          <w:i w:val="0"/>
          <w:noProof/>
          <w:color w:val="000000" w:themeColor="text1"/>
        </w:rPr>
        <w:t>, and “B” indicates the presence of the battery for time-shifting (with capital and maintenan</w:t>
      </w:r>
      <w:r>
        <w:rPr>
          <w:rFonts w:ascii="Arial" w:hAnsi="Arial" w:cs="Arial"/>
          <w:i w:val="0"/>
          <w:noProof/>
          <w:color w:val="000000" w:themeColor="text1"/>
        </w:rPr>
        <w:t>ce costs excluded).</w:t>
      </w:r>
      <w:r>
        <w:rPr>
          <w:rFonts w:ascii="Arial" w:hAnsi="Arial" w:cs="Arial"/>
          <w:i w:val="0"/>
          <w:noProof/>
          <w:color w:val="000000" w:themeColor="text1"/>
        </w:rPr>
        <w:br/>
        <w:t>[2-column image</w:t>
      </w:r>
      <w:r w:rsidRPr="003D7F20">
        <w:rPr>
          <w:rFonts w:ascii="Arial" w:hAnsi="Arial" w:cs="Arial"/>
          <w:i w:val="0"/>
          <w:noProof/>
          <w:color w:val="000000" w:themeColor="text1"/>
        </w:rPr>
        <w:t>]</w:t>
      </w:r>
    </w:p>
    <w:p w:rsidR="002B1466" w:rsidRDefault="002B1466" w:rsidP="0047551B">
      <w:pPr>
        <w:spacing w:after="0" w:line="360" w:lineRule="auto"/>
        <w:jc w:val="both"/>
        <w:rPr>
          <w:rFonts w:ascii="Arial" w:hAnsi="Arial" w:cs="Arial"/>
        </w:rPr>
      </w:pPr>
    </w:p>
    <w:p w:rsidR="002B1466" w:rsidRDefault="002B1466" w:rsidP="002B1466">
      <w:pPr>
        <w:spacing w:after="0" w:line="360" w:lineRule="auto"/>
        <w:ind w:firstLine="720"/>
        <w:jc w:val="both"/>
        <w:rPr>
          <w:rFonts w:ascii="Arial" w:hAnsi="Arial" w:cs="Arial"/>
        </w:rPr>
      </w:pPr>
    </w:p>
    <w:p w:rsidR="002B1466" w:rsidRDefault="002B1466" w:rsidP="00A152A3">
      <w:pPr>
        <w:spacing w:after="0" w:line="360" w:lineRule="auto"/>
        <w:jc w:val="both"/>
        <w:rPr>
          <w:rFonts w:ascii="Arial" w:hAnsi="Arial" w:cs="Arial"/>
        </w:rPr>
      </w:pPr>
    </w:p>
    <w:p w:rsidR="002B1466" w:rsidRDefault="002B1466" w:rsidP="002B1466">
      <w:pPr>
        <w:spacing w:after="0" w:line="360" w:lineRule="auto"/>
        <w:jc w:val="both"/>
        <w:rPr>
          <w:rFonts w:ascii="Arial" w:hAnsi="Arial" w:cs="Arial"/>
        </w:rPr>
      </w:pPr>
    </w:p>
    <w:p w:rsidR="00293844" w:rsidRDefault="00293844" w:rsidP="002B1466">
      <w:pPr>
        <w:spacing w:after="0" w:line="360" w:lineRule="auto"/>
        <w:jc w:val="both"/>
        <w:rPr>
          <w:rFonts w:ascii="Arial" w:hAnsi="Arial" w:cs="Arial"/>
        </w:rPr>
      </w:pPr>
    </w:p>
    <w:p w:rsidR="0047551B" w:rsidRDefault="0047551B" w:rsidP="002B1466">
      <w:pPr>
        <w:spacing w:after="0" w:line="360" w:lineRule="auto"/>
        <w:jc w:val="both"/>
        <w:rPr>
          <w:rFonts w:ascii="Arial" w:hAnsi="Arial" w:cs="Arial"/>
        </w:rPr>
      </w:pPr>
    </w:p>
    <w:p w:rsidR="0047551B" w:rsidRDefault="0047551B" w:rsidP="002B1466">
      <w:pPr>
        <w:spacing w:after="0" w:line="360" w:lineRule="auto"/>
        <w:jc w:val="both"/>
        <w:rPr>
          <w:rFonts w:ascii="Arial" w:hAnsi="Arial" w:cs="Arial"/>
        </w:rPr>
      </w:pPr>
    </w:p>
    <w:p w:rsidR="0047551B" w:rsidRDefault="0047551B" w:rsidP="002B1466">
      <w:pPr>
        <w:spacing w:after="0" w:line="360" w:lineRule="auto"/>
        <w:jc w:val="both"/>
        <w:rPr>
          <w:rFonts w:ascii="Arial" w:hAnsi="Arial" w:cs="Arial"/>
        </w:rPr>
      </w:pPr>
    </w:p>
    <w:p w:rsidR="002B1466" w:rsidRDefault="002B1466" w:rsidP="002B1466">
      <w:pPr>
        <w:spacing w:after="0" w:line="360" w:lineRule="auto"/>
        <w:jc w:val="both"/>
        <w:rPr>
          <w:rFonts w:ascii="Arial" w:hAnsi="Arial" w:cs="Arial"/>
        </w:rPr>
      </w:pPr>
    </w:p>
    <w:p w:rsidR="00631FAF" w:rsidRDefault="009955AF" w:rsidP="00631FAF">
      <w:pPr>
        <w:spacing w:after="0" w:line="360" w:lineRule="auto"/>
        <w:jc w:val="both"/>
        <w:rPr>
          <w:rFonts w:ascii="Arial" w:hAnsi="Arial" w:cs="Arial"/>
        </w:rPr>
      </w:pPr>
      <w:r>
        <w:rPr>
          <w:rFonts w:ascii="Arial" w:hAnsi="Arial" w:cs="Arial"/>
        </w:rPr>
        <w:lastRenderedPageBreak/>
        <w:t xml:space="preserve">4. </w:t>
      </w:r>
      <w:r w:rsidR="00631FAF">
        <w:rPr>
          <w:rFonts w:ascii="Arial" w:hAnsi="Arial" w:cs="Arial"/>
        </w:rPr>
        <w:t>Conclusions</w:t>
      </w:r>
    </w:p>
    <w:p w:rsidR="00631FAF" w:rsidRDefault="00631FAF" w:rsidP="00631FAF">
      <w:pPr>
        <w:spacing w:after="0" w:line="360" w:lineRule="auto"/>
        <w:jc w:val="both"/>
        <w:rPr>
          <w:rFonts w:ascii="Arial" w:hAnsi="Arial" w:cs="Arial"/>
        </w:rPr>
      </w:pPr>
    </w:p>
    <w:p w:rsidR="00631FAF" w:rsidRDefault="00631FAF" w:rsidP="00631FAF">
      <w:pPr>
        <w:spacing w:after="0" w:line="360" w:lineRule="auto"/>
        <w:jc w:val="both"/>
        <w:rPr>
          <w:rFonts w:ascii="Arial" w:hAnsi="Arial" w:cs="Arial"/>
        </w:rPr>
      </w:pPr>
      <w:r>
        <w:rPr>
          <w:rFonts w:ascii="Arial" w:hAnsi="Arial" w:cs="Arial"/>
        </w:rPr>
        <w:t xml:space="preserve">In this study DkIT’s electricity usage, </w:t>
      </w:r>
      <w:r w:rsidR="004767C7">
        <w:rPr>
          <w:rFonts w:ascii="Arial" w:hAnsi="Arial" w:cs="Arial"/>
        </w:rPr>
        <w:t xml:space="preserve">carbon impact, and costs </w:t>
      </w:r>
      <w:r>
        <w:rPr>
          <w:rFonts w:ascii="Arial" w:hAnsi="Arial" w:cs="Arial"/>
        </w:rPr>
        <w:t>over the 2017/18 aca</w:t>
      </w:r>
      <w:r w:rsidR="000D2FE3">
        <w:rPr>
          <w:rFonts w:ascii="Arial" w:hAnsi="Arial" w:cs="Arial"/>
        </w:rPr>
        <w:t>demic year were analysed. T</w:t>
      </w:r>
      <w:r>
        <w:rPr>
          <w:rFonts w:ascii="Arial" w:hAnsi="Arial" w:cs="Arial"/>
        </w:rPr>
        <w:t xml:space="preserve">he college’s half-hourly imports, exports, and </w:t>
      </w:r>
      <w:r w:rsidR="000D2FE3">
        <w:rPr>
          <w:rFonts w:ascii="Arial" w:hAnsi="Arial" w:cs="Arial"/>
        </w:rPr>
        <w:t>wind generation were measured</w:t>
      </w:r>
      <w:r>
        <w:rPr>
          <w:rFonts w:ascii="Arial" w:hAnsi="Arial" w:cs="Arial"/>
        </w:rPr>
        <w:t>,</w:t>
      </w:r>
      <w:r w:rsidR="000D2FE3">
        <w:rPr>
          <w:rFonts w:ascii="Arial" w:hAnsi="Arial" w:cs="Arial"/>
        </w:rPr>
        <w:t xml:space="preserve"> and from this,</w:t>
      </w:r>
      <w:r>
        <w:rPr>
          <w:rFonts w:ascii="Arial" w:hAnsi="Arial" w:cs="Arial"/>
        </w:rPr>
        <w:t xml:space="preserve"> the overall consumption was estimated. </w:t>
      </w:r>
      <w:r w:rsidR="000D2FE3">
        <w:rPr>
          <w:rFonts w:ascii="Arial" w:hAnsi="Arial" w:cs="Arial"/>
        </w:rPr>
        <w:t>By c</w:t>
      </w:r>
      <w:r>
        <w:rPr>
          <w:rFonts w:ascii="Arial" w:hAnsi="Arial" w:cs="Arial"/>
        </w:rPr>
        <w:t>omparing these records</w:t>
      </w:r>
      <w:r w:rsidR="000D2FE3">
        <w:rPr>
          <w:rFonts w:ascii="Arial" w:hAnsi="Arial" w:cs="Arial"/>
        </w:rPr>
        <w:t>, the impact of</w:t>
      </w:r>
      <w:r>
        <w:rPr>
          <w:rFonts w:ascii="Arial" w:hAnsi="Arial" w:cs="Arial"/>
        </w:rPr>
        <w:t xml:space="preserve"> the college’s wind turbine </w:t>
      </w:r>
      <w:r w:rsidR="000D2FE3">
        <w:rPr>
          <w:rFonts w:ascii="Arial" w:hAnsi="Arial" w:cs="Arial"/>
        </w:rPr>
        <w:t xml:space="preserve">was assessed </w:t>
      </w:r>
      <w:r>
        <w:rPr>
          <w:rFonts w:ascii="Arial" w:hAnsi="Arial" w:cs="Arial"/>
        </w:rPr>
        <w:t xml:space="preserve">in terms of energy, cost, and carbon savings. Over the study year, the turbine was found to reduce the college’s required import </w:t>
      </w:r>
      <w:r w:rsidR="004C2527">
        <w:rPr>
          <w:rFonts w:ascii="Arial" w:hAnsi="Arial" w:cs="Arial"/>
        </w:rPr>
        <w:t xml:space="preserve">of electricity </w:t>
      </w:r>
      <w:r>
        <w:rPr>
          <w:rFonts w:ascii="Arial" w:hAnsi="Arial" w:cs="Arial"/>
        </w:rPr>
        <w:t>by a net amount of 1,057 MWh or 29.0%, while also creating</w:t>
      </w:r>
      <w:r w:rsidR="00C22551">
        <w:rPr>
          <w:rFonts w:ascii="Arial" w:hAnsi="Arial" w:cs="Arial"/>
        </w:rPr>
        <w:t xml:space="preserve"> 261 MWh of export. Given the actual</w:t>
      </w:r>
      <w:r>
        <w:rPr>
          <w:rFonts w:ascii="Arial" w:hAnsi="Arial" w:cs="Arial"/>
        </w:rPr>
        <w:t xml:space="preserve"> tariff structure of fixed TOU rates, this dec</w:t>
      </w:r>
      <w:r w:rsidR="003A41FA">
        <w:rPr>
          <w:rFonts w:ascii="Arial" w:hAnsi="Arial" w:cs="Arial"/>
        </w:rPr>
        <w:t>reased the net electricity cost</w:t>
      </w:r>
      <w:r>
        <w:rPr>
          <w:rFonts w:ascii="Arial" w:hAnsi="Arial" w:cs="Arial"/>
        </w:rPr>
        <w:t xml:space="preserve"> by €83,107 or 21.0%, while the net </w:t>
      </w:r>
      <w:r w:rsidR="004A0FBD">
        <w:rPr>
          <w:rFonts w:ascii="Arial" w:hAnsi="Arial" w:cs="Arial"/>
        </w:rPr>
        <w:t>CO</w:t>
      </w:r>
      <w:r w:rsidR="004A0FBD" w:rsidRPr="004A0FBD">
        <w:rPr>
          <w:rFonts w:ascii="Arial" w:hAnsi="Arial" w:cs="Arial"/>
          <w:vertAlign w:val="subscript"/>
        </w:rPr>
        <w:t>2</w:t>
      </w:r>
      <w:r>
        <w:rPr>
          <w:rFonts w:ascii="Arial" w:hAnsi="Arial" w:cs="Arial"/>
        </w:rPr>
        <w:t xml:space="preserve"> emissions were likewise reduced by 445 t or 31.0%. Varying the initial conditions by changing the tariff structure or introducing on-site electricity storage did not alter these results qualitatively. The turbine is therefore </w:t>
      </w:r>
      <w:r w:rsidR="009B5AC1">
        <w:rPr>
          <w:rFonts w:ascii="Arial" w:hAnsi="Arial" w:cs="Arial"/>
        </w:rPr>
        <w:t xml:space="preserve">clearly </w:t>
      </w:r>
      <w:r>
        <w:rPr>
          <w:rFonts w:ascii="Arial" w:hAnsi="Arial" w:cs="Arial"/>
        </w:rPr>
        <w:t>beneficial to the college in each of these respects.</w:t>
      </w:r>
    </w:p>
    <w:p w:rsidR="00631FAF" w:rsidRDefault="00631FAF" w:rsidP="00631FAF">
      <w:pPr>
        <w:spacing w:after="0" w:line="360" w:lineRule="auto"/>
        <w:ind w:firstLine="720"/>
        <w:jc w:val="both"/>
        <w:rPr>
          <w:rFonts w:ascii="Arial" w:hAnsi="Arial" w:cs="Arial"/>
        </w:rPr>
      </w:pPr>
      <w:r>
        <w:rPr>
          <w:rFonts w:ascii="Arial" w:hAnsi="Arial" w:cs="Arial"/>
        </w:rPr>
        <w:t>I</w:t>
      </w:r>
      <w:r w:rsidR="001657A7">
        <w:rPr>
          <w:rFonts w:ascii="Arial" w:hAnsi="Arial" w:cs="Arial"/>
        </w:rPr>
        <w:t>f the college had switched to HH</w:t>
      </w:r>
      <w:r w:rsidR="003A41FA">
        <w:rPr>
          <w:rFonts w:ascii="Arial" w:hAnsi="Arial" w:cs="Arial"/>
        </w:rPr>
        <w:t>P, the net cost</w:t>
      </w:r>
      <w:r>
        <w:rPr>
          <w:rFonts w:ascii="Arial" w:hAnsi="Arial" w:cs="Arial"/>
        </w:rPr>
        <w:t xml:space="preserve"> for the study year would have </w:t>
      </w:r>
      <w:r w:rsidR="004C2527">
        <w:rPr>
          <w:rFonts w:ascii="Arial" w:hAnsi="Arial" w:cs="Arial"/>
        </w:rPr>
        <w:t xml:space="preserve">been </w:t>
      </w:r>
      <w:r>
        <w:rPr>
          <w:rFonts w:ascii="Arial" w:hAnsi="Arial" w:cs="Arial"/>
        </w:rPr>
        <w:t xml:space="preserve">further reduced to €201,571, saving €110,385 or 35.4%. </w:t>
      </w:r>
      <w:r w:rsidR="00734A1B">
        <w:rPr>
          <w:rFonts w:ascii="Arial" w:hAnsi="Arial" w:cs="Arial"/>
        </w:rPr>
        <w:t xml:space="preserve">This represents the single biggest source of economic savings for the college out of </w:t>
      </w:r>
      <w:r w:rsidR="003A41FA">
        <w:rPr>
          <w:rFonts w:ascii="Arial" w:hAnsi="Arial" w:cs="Arial"/>
        </w:rPr>
        <w:t xml:space="preserve">all </w:t>
      </w:r>
      <w:r w:rsidR="00734A1B">
        <w:rPr>
          <w:rFonts w:ascii="Arial" w:hAnsi="Arial" w:cs="Arial"/>
        </w:rPr>
        <w:t>t</w:t>
      </w:r>
      <w:r w:rsidR="003A41FA">
        <w:rPr>
          <w:rFonts w:ascii="Arial" w:hAnsi="Arial" w:cs="Arial"/>
        </w:rPr>
        <w:t>he changes</w:t>
      </w:r>
      <w:r w:rsidR="00734A1B">
        <w:rPr>
          <w:rFonts w:ascii="Arial" w:hAnsi="Arial" w:cs="Arial"/>
        </w:rPr>
        <w:t xml:space="preserve"> investigated.</w:t>
      </w:r>
      <w:r w:rsidR="00DF2A12">
        <w:rPr>
          <w:rFonts w:ascii="Arial" w:hAnsi="Arial" w:cs="Arial"/>
        </w:rPr>
        <w:t xml:space="preserve"> </w:t>
      </w:r>
      <w:r>
        <w:rPr>
          <w:rFonts w:ascii="Arial" w:hAnsi="Arial" w:cs="Arial"/>
        </w:rPr>
        <w:t>Again, this result did not change qualitatively through removing the turbine or introducing on-site stor</w:t>
      </w:r>
      <w:r w:rsidR="001657A7">
        <w:rPr>
          <w:rFonts w:ascii="Arial" w:hAnsi="Arial" w:cs="Arial"/>
        </w:rPr>
        <w:t>age. Making the switch to HH</w:t>
      </w:r>
      <w:r w:rsidR="000D2FE3">
        <w:rPr>
          <w:rFonts w:ascii="Arial" w:hAnsi="Arial" w:cs="Arial"/>
        </w:rPr>
        <w:t>P would</w:t>
      </w:r>
      <w:r>
        <w:rPr>
          <w:rFonts w:ascii="Arial" w:hAnsi="Arial" w:cs="Arial"/>
        </w:rPr>
        <w:t xml:space="preserve"> therefore</w:t>
      </w:r>
      <w:r w:rsidR="000D2FE3">
        <w:rPr>
          <w:rFonts w:ascii="Arial" w:hAnsi="Arial" w:cs="Arial"/>
        </w:rPr>
        <w:t xml:space="preserve"> be </w:t>
      </w:r>
      <w:r w:rsidR="00DF2A12">
        <w:rPr>
          <w:rFonts w:ascii="Arial" w:hAnsi="Arial" w:cs="Arial"/>
        </w:rPr>
        <w:t>a strongly</w:t>
      </w:r>
      <w:r>
        <w:rPr>
          <w:rFonts w:ascii="Arial" w:hAnsi="Arial" w:cs="Arial"/>
        </w:rPr>
        <w:t xml:space="preserve"> advisable course of action for </w:t>
      </w:r>
      <w:proofErr w:type="spellStart"/>
      <w:r w:rsidR="003A41FA">
        <w:rPr>
          <w:rFonts w:ascii="Arial" w:hAnsi="Arial" w:cs="Arial"/>
        </w:rPr>
        <w:t>DkIT</w:t>
      </w:r>
      <w:proofErr w:type="spellEnd"/>
      <w:r>
        <w:rPr>
          <w:rFonts w:ascii="Arial" w:hAnsi="Arial" w:cs="Arial"/>
        </w:rPr>
        <w:t>.</w:t>
      </w:r>
    </w:p>
    <w:p w:rsidR="00631FAF" w:rsidRDefault="00631FAF" w:rsidP="00631FAF">
      <w:pPr>
        <w:spacing w:after="0" w:line="360" w:lineRule="auto"/>
        <w:ind w:firstLine="720"/>
        <w:jc w:val="both"/>
        <w:rPr>
          <w:rFonts w:ascii="Arial" w:hAnsi="Arial" w:cs="Arial"/>
        </w:rPr>
      </w:pPr>
      <w:r>
        <w:rPr>
          <w:rFonts w:ascii="Arial" w:hAnsi="Arial" w:cs="Arial"/>
        </w:rPr>
        <w:t>Lastly, the use of a 777-kW</w:t>
      </w:r>
      <w:r w:rsidR="00B66DB3">
        <w:rPr>
          <w:rFonts w:ascii="Arial" w:hAnsi="Arial" w:cs="Arial"/>
        </w:rPr>
        <w:t>,</w:t>
      </w:r>
      <w:r>
        <w:rPr>
          <w:rFonts w:ascii="Arial" w:hAnsi="Arial" w:cs="Arial"/>
        </w:rPr>
        <w:t xml:space="preserve"> 1</w:t>
      </w:r>
      <w:r w:rsidR="00B176A2">
        <w:rPr>
          <w:rFonts w:ascii="Arial" w:hAnsi="Arial" w:cs="Arial"/>
        </w:rPr>
        <w:t>,</w:t>
      </w:r>
      <w:r>
        <w:rPr>
          <w:rFonts w:ascii="Arial" w:hAnsi="Arial" w:cs="Arial"/>
        </w:rPr>
        <w:t>554-kWh Li-ion battery for time-shifting was simulated. The battery was sized to approximate the largest observed daily peak-time (17:00 to 19:00 UTC) consumption, as this is the most expensive time of day to imp</w:t>
      </w:r>
      <w:r w:rsidR="00C22551">
        <w:rPr>
          <w:rFonts w:ascii="Arial" w:hAnsi="Arial" w:cs="Arial"/>
        </w:rPr>
        <w:t>ort from the grid. For the baseline</w:t>
      </w:r>
      <w:r>
        <w:rPr>
          <w:rFonts w:ascii="Arial" w:hAnsi="Arial" w:cs="Arial"/>
        </w:rPr>
        <w:t xml:space="preserve"> set-up of having a turbine and paying fixed TOU rates, time-shifting </w:t>
      </w:r>
      <w:r w:rsidR="004C2527">
        <w:rPr>
          <w:rFonts w:ascii="Arial" w:hAnsi="Arial" w:cs="Arial"/>
        </w:rPr>
        <w:t xml:space="preserve">of costs </w:t>
      </w:r>
      <w:r>
        <w:rPr>
          <w:rFonts w:ascii="Arial" w:hAnsi="Arial" w:cs="Arial"/>
        </w:rPr>
        <w:t>with the battery would have generated an estimated €22,506 over the study year, equivalent to €337,590 over its expected lifetime. This, however, is far from sufficient to cover the battery’s lifetime costs, estimated as €928,019, making the given battery very mu</w:t>
      </w:r>
      <w:r w:rsidR="004C2527">
        <w:rPr>
          <w:rFonts w:ascii="Arial" w:hAnsi="Arial" w:cs="Arial"/>
        </w:rPr>
        <w:t>ch un</w:t>
      </w:r>
      <w:r>
        <w:rPr>
          <w:rFonts w:ascii="Arial" w:hAnsi="Arial" w:cs="Arial"/>
        </w:rPr>
        <w:t>economically viable for time-shifting. Additionally, time-shifting from an economic point of view was found to add to the co</w:t>
      </w:r>
      <w:r w:rsidR="003A41FA">
        <w:rPr>
          <w:rFonts w:ascii="Arial" w:hAnsi="Arial" w:cs="Arial"/>
        </w:rPr>
        <w:t>llege’s net carbon emissions</w:t>
      </w:r>
      <w:r>
        <w:rPr>
          <w:rFonts w:ascii="Arial" w:hAnsi="Arial" w:cs="Arial"/>
        </w:rPr>
        <w:t xml:space="preserve">. On the other hand, </w:t>
      </w:r>
      <w:r w:rsidR="00B66DB3">
        <w:rPr>
          <w:rFonts w:ascii="Arial" w:hAnsi="Arial" w:cs="Arial"/>
        </w:rPr>
        <w:t>using the battery purely for grid-support services</w:t>
      </w:r>
      <w:r>
        <w:rPr>
          <w:rFonts w:ascii="Arial" w:hAnsi="Arial" w:cs="Arial"/>
        </w:rPr>
        <w:t xml:space="preserve"> would generate an estimated €102,952 annually</w:t>
      </w:r>
      <w:r w:rsidR="000D2FE3">
        <w:rPr>
          <w:rFonts w:ascii="Arial" w:hAnsi="Arial" w:cs="Arial"/>
        </w:rPr>
        <w:t xml:space="preserve"> </w:t>
      </w:r>
      <w:r w:rsidR="000D2FE3" w:rsidRPr="000D2FE3">
        <w:rPr>
          <w:rFonts w:ascii="Arial" w:hAnsi="Arial" w:cs="Arial"/>
          <w:color w:val="0070C0"/>
        </w:rPr>
        <w:t>[37</w:t>
      </w:r>
      <w:r w:rsidR="003D48A2">
        <w:rPr>
          <w:rFonts w:ascii="Arial" w:hAnsi="Arial" w:cs="Arial"/>
          <w:color w:val="0070C0"/>
        </w:rPr>
        <w:t>-39</w:t>
      </w:r>
      <w:r w:rsidR="000D2FE3" w:rsidRPr="000D2FE3">
        <w:rPr>
          <w:rFonts w:ascii="Arial" w:hAnsi="Arial" w:cs="Arial"/>
          <w:color w:val="0070C0"/>
        </w:rPr>
        <w:t>]</w:t>
      </w:r>
      <w:r>
        <w:rPr>
          <w:rFonts w:ascii="Arial" w:hAnsi="Arial" w:cs="Arial"/>
        </w:rPr>
        <w:t>, indicating that the battery would, in that c</w:t>
      </w:r>
      <w:r w:rsidR="003A41FA">
        <w:rPr>
          <w:rFonts w:ascii="Arial" w:hAnsi="Arial" w:cs="Arial"/>
        </w:rPr>
        <w:t>ase, be a worthwhile investment</w:t>
      </w:r>
      <w:r>
        <w:rPr>
          <w:rFonts w:ascii="Arial" w:hAnsi="Arial" w:cs="Arial"/>
        </w:rPr>
        <w:t xml:space="preserve"> for </w:t>
      </w:r>
      <w:proofErr w:type="spellStart"/>
      <w:r>
        <w:rPr>
          <w:rFonts w:ascii="Arial" w:hAnsi="Arial" w:cs="Arial"/>
        </w:rPr>
        <w:t>DkIT</w:t>
      </w:r>
      <w:proofErr w:type="spellEnd"/>
      <w:r>
        <w:rPr>
          <w:rFonts w:ascii="Arial" w:hAnsi="Arial" w:cs="Arial"/>
        </w:rPr>
        <w:t>.</w:t>
      </w:r>
    </w:p>
    <w:p w:rsidR="004767C7" w:rsidRDefault="004767C7" w:rsidP="001E218B">
      <w:pPr>
        <w:spacing w:after="0" w:line="360" w:lineRule="auto"/>
        <w:jc w:val="both"/>
        <w:rPr>
          <w:rFonts w:ascii="Arial" w:hAnsi="Arial" w:cs="Arial"/>
        </w:rPr>
      </w:pPr>
    </w:p>
    <w:p w:rsidR="003A41FA" w:rsidRDefault="003A41FA" w:rsidP="001E218B">
      <w:pPr>
        <w:spacing w:after="0" w:line="360" w:lineRule="auto"/>
        <w:jc w:val="both"/>
        <w:rPr>
          <w:rFonts w:ascii="Arial" w:hAnsi="Arial" w:cs="Arial"/>
        </w:rPr>
      </w:pPr>
    </w:p>
    <w:p w:rsidR="003A41FA" w:rsidRDefault="003A41FA" w:rsidP="001E218B">
      <w:pPr>
        <w:spacing w:after="0" w:line="360" w:lineRule="auto"/>
        <w:jc w:val="both"/>
        <w:rPr>
          <w:rFonts w:ascii="Arial" w:hAnsi="Arial" w:cs="Arial"/>
        </w:rPr>
      </w:pPr>
    </w:p>
    <w:p w:rsidR="00545804" w:rsidRDefault="00545804" w:rsidP="001E218B">
      <w:pPr>
        <w:spacing w:after="0" w:line="360" w:lineRule="auto"/>
        <w:jc w:val="both"/>
        <w:rPr>
          <w:rFonts w:ascii="Arial" w:hAnsi="Arial" w:cs="Arial"/>
        </w:rPr>
      </w:pPr>
    </w:p>
    <w:p w:rsidR="002B1466" w:rsidRDefault="002B1466" w:rsidP="001E218B">
      <w:pPr>
        <w:spacing w:after="0" w:line="360" w:lineRule="auto"/>
        <w:jc w:val="both"/>
        <w:rPr>
          <w:rFonts w:ascii="Arial" w:hAnsi="Arial" w:cs="Arial"/>
        </w:rPr>
      </w:pPr>
    </w:p>
    <w:p w:rsidR="002B1466" w:rsidRDefault="002B1466" w:rsidP="001E218B">
      <w:pPr>
        <w:spacing w:after="0" w:line="360" w:lineRule="auto"/>
        <w:jc w:val="both"/>
        <w:rPr>
          <w:rFonts w:ascii="Arial" w:hAnsi="Arial" w:cs="Arial"/>
        </w:rPr>
      </w:pPr>
    </w:p>
    <w:p w:rsidR="003A41FA" w:rsidRDefault="003A41FA" w:rsidP="001E218B">
      <w:pPr>
        <w:spacing w:after="0" w:line="360" w:lineRule="auto"/>
        <w:jc w:val="both"/>
        <w:rPr>
          <w:rFonts w:ascii="Arial" w:hAnsi="Arial" w:cs="Arial"/>
        </w:rPr>
      </w:pPr>
      <w:bookmarkStart w:id="0" w:name="_GoBack"/>
      <w:bookmarkEnd w:id="0"/>
    </w:p>
    <w:p w:rsidR="002B1466" w:rsidRDefault="002B1466" w:rsidP="001E218B">
      <w:pPr>
        <w:spacing w:after="0" w:line="360" w:lineRule="auto"/>
        <w:jc w:val="both"/>
        <w:rPr>
          <w:rFonts w:ascii="Arial" w:hAnsi="Arial" w:cs="Arial"/>
        </w:rPr>
      </w:pPr>
    </w:p>
    <w:p w:rsidR="001E218B" w:rsidRDefault="00A7314A" w:rsidP="001E218B">
      <w:pPr>
        <w:spacing w:after="0" w:line="360" w:lineRule="auto"/>
        <w:jc w:val="both"/>
        <w:rPr>
          <w:rFonts w:ascii="Arial" w:hAnsi="Arial" w:cs="Arial"/>
        </w:rPr>
      </w:pPr>
      <w:r>
        <w:rPr>
          <w:rFonts w:ascii="Arial" w:hAnsi="Arial" w:cs="Arial"/>
        </w:rPr>
        <w:lastRenderedPageBreak/>
        <w:t>Acknowledgments</w:t>
      </w:r>
    </w:p>
    <w:p w:rsidR="00B66DB3" w:rsidRDefault="00B66DB3" w:rsidP="001E218B">
      <w:pPr>
        <w:spacing w:after="0" w:line="360" w:lineRule="auto"/>
        <w:jc w:val="both"/>
        <w:rPr>
          <w:rFonts w:ascii="Arial" w:hAnsi="Arial" w:cs="Arial"/>
          <w:sz w:val="20"/>
          <w:szCs w:val="20"/>
        </w:rPr>
      </w:pPr>
      <w:r>
        <w:rPr>
          <w:rFonts w:ascii="Arial" w:hAnsi="Arial" w:cs="Arial"/>
          <w:sz w:val="20"/>
          <w:szCs w:val="20"/>
        </w:rPr>
        <w:t>The authors</w:t>
      </w:r>
      <w:r w:rsidRPr="001E218B">
        <w:rPr>
          <w:rFonts w:ascii="Arial" w:hAnsi="Arial" w:cs="Arial"/>
          <w:sz w:val="20"/>
          <w:szCs w:val="20"/>
        </w:rPr>
        <w:t xml:space="preserve"> acknowledge the valuable input from Kris Perry and Michael Jackson of Energy Trading Ireland.</w:t>
      </w:r>
    </w:p>
    <w:p w:rsidR="00B66DB3" w:rsidRPr="00B66DB3" w:rsidRDefault="00B66DB3" w:rsidP="001E218B">
      <w:pPr>
        <w:spacing w:after="0" w:line="360" w:lineRule="auto"/>
        <w:jc w:val="both"/>
        <w:rPr>
          <w:rFonts w:ascii="Arial" w:hAnsi="Arial" w:cs="Arial"/>
          <w:sz w:val="20"/>
          <w:szCs w:val="20"/>
        </w:rPr>
      </w:pPr>
    </w:p>
    <w:p w:rsidR="001E218B" w:rsidRPr="001E218B" w:rsidRDefault="0038238C" w:rsidP="00B66DB3">
      <w:pPr>
        <w:spacing w:after="0" w:line="360" w:lineRule="auto"/>
        <w:jc w:val="both"/>
        <w:rPr>
          <w:rFonts w:ascii="Arial" w:hAnsi="Arial" w:cs="Arial"/>
          <w:sz w:val="20"/>
          <w:szCs w:val="20"/>
        </w:rPr>
      </w:pPr>
      <w:r w:rsidRPr="0038238C">
        <w:rPr>
          <w:rFonts w:ascii="Arial" w:hAnsi="Arial" w:cs="Arial"/>
          <w:sz w:val="20"/>
          <w:szCs w:val="20"/>
        </w:rPr>
        <w:t xml:space="preserve">The views and opinions expressed in this document do not necessarily reflect those of the European Commission or the </w:t>
      </w:r>
      <w:r w:rsidR="009A2009">
        <w:rPr>
          <w:rFonts w:ascii="Arial" w:hAnsi="Arial" w:cs="Arial"/>
          <w:sz w:val="20"/>
          <w:szCs w:val="20"/>
        </w:rPr>
        <w:t>SEUPB</w:t>
      </w:r>
      <w:r w:rsidRPr="0038238C">
        <w:rPr>
          <w:rFonts w:ascii="Arial" w:hAnsi="Arial" w:cs="Arial"/>
          <w:sz w:val="20"/>
          <w:szCs w:val="20"/>
        </w:rPr>
        <w:t>.</w:t>
      </w:r>
    </w:p>
    <w:p w:rsidR="00063834" w:rsidRDefault="00063834" w:rsidP="0038238C">
      <w:pPr>
        <w:spacing w:after="0" w:line="360" w:lineRule="auto"/>
        <w:jc w:val="both"/>
        <w:rPr>
          <w:rFonts w:ascii="Arial" w:hAnsi="Arial" w:cs="Arial"/>
        </w:rPr>
      </w:pPr>
    </w:p>
    <w:p w:rsidR="00631FAF" w:rsidRDefault="00063834" w:rsidP="0038238C">
      <w:pPr>
        <w:spacing w:after="0" w:line="360" w:lineRule="auto"/>
        <w:jc w:val="both"/>
        <w:rPr>
          <w:rFonts w:ascii="Arial" w:hAnsi="Arial" w:cs="Arial"/>
          <w:sz w:val="20"/>
          <w:szCs w:val="20"/>
        </w:rPr>
      </w:pPr>
      <w:r>
        <w:rPr>
          <w:rFonts w:ascii="Arial" w:hAnsi="Arial" w:cs="Arial"/>
          <w:sz w:val="20"/>
          <w:szCs w:val="20"/>
        </w:rPr>
        <w:t xml:space="preserve">Funding: </w:t>
      </w:r>
      <w:r w:rsidR="0038238C" w:rsidRPr="00063834">
        <w:rPr>
          <w:rFonts w:ascii="Arial" w:hAnsi="Arial" w:cs="Arial"/>
          <w:sz w:val="20"/>
          <w:szCs w:val="20"/>
        </w:rPr>
        <w:t xml:space="preserve">This work was supported by the INTERREG VA SPIRE2 project. This project is supported by the European Union’s INTERREG VA Programme, managed by the </w:t>
      </w:r>
      <w:r w:rsidR="009A2009">
        <w:rPr>
          <w:rFonts w:ascii="Arial" w:hAnsi="Arial" w:cs="Arial"/>
          <w:sz w:val="20"/>
          <w:szCs w:val="20"/>
        </w:rPr>
        <w:t>SEUPB</w:t>
      </w:r>
      <w:r w:rsidR="0038238C" w:rsidRPr="00063834">
        <w:rPr>
          <w:rFonts w:ascii="Arial" w:hAnsi="Arial" w:cs="Arial"/>
          <w:sz w:val="20"/>
          <w:szCs w:val="20"/>
        </w:rPr>
        <w:t>.</w:t>
      </w:r>
    </w:p>
    <w:p w:rsidR="002B1466" w:rsidRDefault="002B1466" w:rsidP="0038238C">
      <w:pPr>
        <w:spacing w:after="0" w:line="360" w:lineRule="auto"/>
        <w:jc w:val="both"/>
        <w:rPr>
          <w:rFonts w:ascii="Arial" w:hAnsi="Arial" w:cs="Arial"/>
        </w:rPr>
      </w:pPr>
    </w:p>
    <w:p w:rsidR="002B1466" w:rsidRDefault="002B1466" w:rsidP="0038238C">
      <w:pPr>
        <w:spacing w:after="0" w:line="360" w:lineRule="auto"/>
        <w:jc w:val="both"/>
        <w:rPr>
          <w:rFonts w:ascii="Arial" w:hAnsi="Arial" w:cs="Arial"/>
        </w:rPr>
      </w:pPr>
    </w:p>
    <w:p w:rsidR="00631FAF" w:rsidRPr="00583F6A" w:rsidRDefault="00631FAF" w:rsidP="00631FAF">
      <w:pPr>
        <w:spacing w:after="0" w:line="360" w:lineRule="auto"/>
        <w:rPr>
          <w:rFonts w:ascii="Arial" w:hAnsi="Arial" w:cs="Arial"/>
        </w:rPr>
      </w:pPr>
      <w:r w:rsidRPr="00583F6A">
        <w:rPr>
          <w:rFonts w:ascii="Arial" w:hAnsi="Arial" w:cs="Arial"/>
        </w:rPr>
        <w:t>References</w:t>
      </w:r>
    </w:p>
    <w:p w:rsidR="00631FAF" w:rsidRPr="00583F6A" w:rsidRDefault="00631FAF" w:rsidP="00631FAF">
      <w:pPr>
        <w:spacing w:after="0" w:line="360" w:lineRule="auto"/>
        <w:rPr>
          <w:rFonts w:ascii="Arial" w:hAnsi="Arial" w:cs="Arial"/>
        </w:rPr>
      </w:pPr>
    </w:p>
    <w:p w:rsidR="00631FAF" w:rsidRPr="00583F6A" w:rsidRDefault="00631FAF" w:rsidP="00631FAF">
      <w:pPr>
        <w:spacing w:after="0" w:line="360" w:lineRule="auto"/>
        <w:rPr>
          <w:rFonts w:ascii="Arial" w:hAnsi="Arial" w:cs="Arial"/>
          <w:sz w:val="18"/>
          <w:szCs w:val="18"/>
        </w:rPr>
      </w:pPr>
      <w:r w:rsidRPr="00583F6A">
        <w:rPr>
          <w:rFonts w:ascii="Arial" w:hAnsi="Arial" w:cs="Arial"/>
          <w:sz w:val="18"/>
          <w:szCs w:val="18"/>
        </w:rPr>
        <w:t>[1] Co</w:t>
      </w:r>
      <w:r w:rsidR="00713FFB">
        <w:rPr>
          <w:rFonts w:ascii="Arial" w:hAnsi="Arial" w:cs="Arial"/>
          <w:sz w:val="18"/>
          <w:szCs w:val="18"/>
        </w:rPr>
        <w:t xml:space="preserve">mmission for Energy Regulation. </w:t>
      </w:r>
      <w:r w:rsidRPr="00583F6A">
        <w:rPr>
          <w:rFonts w:ascii="Arial" w:hAnsi="Arial" w:cs="Arial"/>
          <w:sz w:val="18"/>
          <w:szCs w:val="18"/>
        </w:rPr>
        <w:t>Electricity tariff structure review: Alternative tariff structures,</w:t>
      </w:r>
      <w:r w:rsidR="00713FFB">
        <w:rPr>
          <w:rFonts w:ascii="Arial" w:hAnsi="Arial" w:cs="Arial"/>
          <w:sz w:val="18"/>
          <w:szCs w:val="18"/>
        </w:rPr>
        <w:t xml:space="preserve"> </w:t>
      </w:r>
      <w:r w:rsidRPr="00583F6A">
        <w:rPr>
          <w:rFonts w:ascii="Arial" w:hAnsi="Arial" w:cs="Arial"/>
          <w:sz w:val="18"/>
          <w:szCs w:val="18"/>
        </w:rPr>
        <w:t>http://regulationbodyofknowledge.org/wp-content/uploads/2013/03/NERA_E</w:t>
      </w:r>
      <w:r w:rsidR="00713FFB">
        <w:rPr>
          <w:rFonts w:ascii="Arial" w:hAnsi="Arial" w:cs="Arial"/>
          <w:sz w:val="18"/>
          <w:szCs w:val="18"/>
        </w:rPr>
        <w:t>lectricity_Tariff_Structure.pdf;</w:t>
      </w:r>
      <w:r w:rsidRPr="00583F6A">
        <w:rPr>
          <w:rFonts w:ascii="Arial" w:hAnsi="Arial" w:cs="Arial"/>
          <w:sz w:val="18"/>
          <w:szCs w:val="18"/>
        </w:rPr>
        <w:t xml:space="preserve"> 2004 [accessed 26 Feb</w:t>
      </w:r>
      <w:r w:rsidR="00690B49">
        <w:rPr>
          <w:rFonts w:ascii="Arial" w:hAnsi="Arial" w:cs="Arial"/>
          <w:sz w:val="18"/>
          <w:szCs w:val="18"/>
        </w:rPr>
        <w:t>ruary</w:t>
      </w:r>
      <w:r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3A76A8" w:rsidP="00631FAF">
      <w:pPr>
        <w:spacing w:after="0" w:line="360" w:lineRule="auto"/>
        <w:rPr>
          <w:rFonts w:ascii="Arial" w:hAnsi="Arial" w:cs="Arial"/>
          <w:sz w:val="18"/>
          <w:szCs w:val="18"/>
        </w:rPr>
      </w:pPr>
      <w:r>
        <w:rPr>
          <w:rFonts w:ascii="Arial" w:hAnsi="Arial" w:cs="Arial"/>
          <w:sz w:val="18"/>
          <w:szCs w:val="18"/>
        </w:rPr>
        <w:t xml:space="preserve">[2] </w:t>
      </w:r>
      <w:proofErr w:type="spellStart"/>
      <w:r w:rsidR="00631FAF" w:rsidRPr="00583F6A">
        <w:rPr>
          <w:rFonts w:ascii="Arial" w:hAnsi="Arial" w:cs="Arial"/>
          <w:sz w:val="18"/>
          <w:szCs w:val="18"/>
        </w:rPr>
        <w:t>Faruqui</w:t>
      </w:r>
      <w:proofErr w:type="spellEnd"/>
      <w:r>
        <w:rPr>
          <w:rFonts w:ascii="Arial" w:hAnsi="Arial" w:cs="Arial"/>
          <w:sz w:val="18"/>
          <w:szCs w:val="18"/>
        </w:rPr>
        <w:t xml:space="preserve"> A, </w:t>
      </w:r>
      <w:proofErr w:type="spellStart"/>
      <w:r w:rsidR="00631FAF" w:rsidRPr="00583F6A">
        <w:rPr>
          <w:rFonts w:ascii="Arial" w:hAnsi="Arial" w:cs="Arial"/>
          <w:sz w:val="18"/>
          <w:szCs w:val="18"/>
        </w:rPr>
        <w:t>Hledik</w:t>
      </w:r>
      <w:proofErr w:type="spellEnd"/>
      <w:r>
        <w:rPr>
          <w:rFonts w:ascii="Arial" w:hAnsi="Arial" w:cs="Arial"/>
          <w:sz w:val="18"/>
          <w:szCs w:val="18"/>
        </w:rPr>
        <w:t xml:space="preserve"> R, </w:t>
      </w:r>
      <w:proofErr w:type="spellStart"/>
      <w:r w:rsidR="00631FAF" w:rsidRPr="00583F6A">
        <w:rPr>
          <w:rFonts w:ascii="Arial" w:hAnsi="Arial" w:cs="Arial"/>
          <w:sz w:val="18"/>
          <w:szCs w:val="18"/>
        </w:rPr>
        <w:t>Tsoukalis</w:t>
      </w:r>
      <w:proofErr w:type="spellEnd"/>
      <w:r>
        <w:rPr>
          <w:rFonts w:ascii="Arial" w:hAnsi="Arial" w:cs="Arial"/>
          <w:sz w:val="18"/>
          <w:szCs w:val="18"/>
        </w:rPr>
        <w:t xml:space="preserve"> J. The power of dynamic pricing. </w:t>
      </w:r>
      <w:proofErr w:type="spellStart"/>
      <w:r>
        <w:rPr>
          <w:rFonts w:ascii="Arial" w:hAnsi="Arial" w:cs="Arial"/>
          <w:sz w:val="18"/>
          <w:szCs w:val="18"/>
        </w:rPr>
        <w:t>Electr</w:t>
      </w:r>
      <w:proofErr w:type="spellEnd"/>
      <w:r>
        <w:rPr>
          <w:rFonts w:ascii="Arial" w:hAnsi="Arial" w:cs="Arial"/>
          <w:sz w:val="18"/>
          <w:szCs w:val="18"/>
        </w:rPr>
        <w:t xml:space="preserve"> J</w:t>
      </w:r>
      <w:r w:rsidR="00631FAF" w:rsidRPr="00583F6A">
        <w:rPr>
          <w:rFonts w:ascii="Arial" w:hAnsi="Arial" w:cs="Arial"/>
          <w:sz w:val="18"/>
          <w:szCs w:val="18"/>
        </w:rPr>
        <w:t xml:space="preserve"> 2009</w:t>
      </w:r>
      <w:r>
        <w:rPr>
          <w:rFonts w:ascii="Arial" w:hAnsi="Arial" w:cs="Arial"/>
          <w:sz w:val="18"/>
          <w:szCs w:val="18"/>
        </w:rPr>
        <w:t>;22(3):42-56. https://doi.org/</w:t>
      </w:r>
      <w:r w:rsidR="00631FAF" w:rsidRPr="00583F6A">
        <w:rPr>
          <w:rFonts w:ascii="Arial" w:hAnsi="Arial" w:cs="Arial"/>
          <w:sz w:val="18"/>
          <w:szCs w:val="18"/>
        </w:rPr>
        <w:t>10.1016/j.tej.2009.02.011.</w:t>
      </w:r>
    </w:p>
    <w:p w:rsidR="00631FAF" w:rsidRPr="00583F6A" w:rsidRDefault="00631FAF" w:rsidP="00631FAF">
      <w:pPr>
        <w:spacing w:after="0" w:line="360" w:lineRule="auto"/>
        <w:rPr>
          <w:rFonts w:ascii="Arial" w:hAnsi="Arial" w:cs="Arial"/>
          <w:sz w:val="18"/>
          <w:szCs w:val="18"/>
        </w:rPr>
      </w:pPr>
    </w:p>
    <w:p w:rsidR="00631FAF" w:rsidRPr="00583F6A" w:rsidRDefault="003761CC" w:rsidP="00631FAF">
      <w:pPr>
        <w:spacing w:after="0" w:line="360" w:lineRule="auto"/>
        <w:rPr>
          <w:rFonts w:ascii="Arial" w:hAnsi="Arial" w:cs="Arial"/>
          <w:sz w:val="18"/>
          <w:szCs w:val="18"/>
        </w:rPr>
      </w:pPr>
      <w:r>
        <w:rPr>
          <w:rFonts w:ascii="Arial" w:hAnsi="Arial" w:cs="Arial"/>
          <w:sz w:val="18"/>
          <w:szCs w:val="18"/>
        </w:rPr>
        <w:t xml:space="preserve">[3] </w:t>
      </w:r>
      <w:proofErr w:type="spellStart"/>
      <w:r w:rsidR="00631FAF" w:rsidRPr="00583F6A">
        <w:rPr>
          <w:rFonts w:ascii="Arial" w:hAnsi="Arial" w:cs="Arial"/>
          <w:sz w:val="18"/>
          <w:szCs w:val="18"/>
        </w:rPr>
        <w:t>Faruqui</w:t>
      </w:r>
      <w:proofErr w:type="spellEnd"/>
      <w:r>
        <w:rPr>
          <w:rFonts w:ascii="Arial" w:hAnsi="Arial" w:cs="Arial"/>
          <w:sz w:val="18"/>
          <w:szCs w:val="18"/>
        </w:rPr>
        <w:t xml:space="preserve"> A, </w:t>
      </w:r>
      <w:proofErr w:type="spellStart"/>
      <w:r w:rsidR="00631FAF" w:rsidRPr="00583F6A">
        <w:rPr>
          <w:rFonts w:ascii="Arial" w:hAnsi="Arial" w:cs="Arial"/>
          <w:sz w:val="18"/>
          <w:szCs w:val="18"/>
        </w:rPr>
        <w:t>Hledik</w:t>
      </w:r>
      <w:proofErr w:type="spellEnd"/>
      <w:r>
        <w:rPr>
          <w:rFonts w:ascii="Arial" w:hAnsi="Arial" w:cs="Arial"/>
          <w:sz w:val="18"/>
          <w:szCs w:val="18"/>
        </w:rPr>
        <w:t xml:space="preserve"> R, </w:t>
      </w:r>
      <w:r w:rsidR="00631FAF" w:rsidRPr="00583F6A">
        <w:rPr>
          <w:rFonts w:ascii="Arial" w:hAnsi="Arial" w:cs="Arial"/>
          <w:sz w:val="18"/>
          <w:szCs w:val="18"/>
        </w:rPr>
        <w:t>Palmer</w:t>
      </w:r>
      <w:r>
        <w:rPr>
          <w:rFonts w:ascii="Arial" w:hAnsi="Arial" w:cs="Arial"/>
          <w:sz w:val="18"/>
          <w:szCs w:val="18"/>
        </w:rPr>
        <w:t xml:space="preserve"> J. </w:t>
      </w:r>
      <w:r w:rsidR="00631FAF" w:rsidRPr="00583F6A">
        <w:rPr>
          <w:rFonts w:ascii="Arial" w:hAnsi="Arial" w:cs="Arial"/>
          <w:sz w:val="18"/>
          <w:szCs w:val="18"/>
        </w:rPr>
        <w:t>Time-</w:t>
      </w:r>
      <w:r>
        <w:rPr>
          <w:rFonts w:ascii="Arial" w:hAnsi="Arial" w:cs="Arial"/>
          <w:sz w:val="18"/>
          <w:szCs w:val="18"/>
        </w:rPr>
        <w:t>varying and dynamic rate design,</w:t>
      </w:r>
      <w:r w:rsidR="00631FAF" w:rsidRPr="00583F6A">
        <w:rPr>
          <w:rFonts w:ascii="Arial" w:hAnsi="Arial" w:cs="Arial"/>
          <w:sz w:val="18"/>
          <w:szCs w:val="18"/>
        </w:rPr>
        <w:t xml:space="preserve"> https://www.raponline.org/wp-content/uploads/2016/05/rap-faruquihledikpalmer-timevaryingdy</w:t>
      </w:r>
      <w:r>
        <w:rPr>
          <w:rFonts w:ascii="Arial" w:hAnsi="Arial" w:cs="Arial"/>
          <w:sz w:val="18"/>
          <w:szCs w:val="18"/>
        </w:rPr>
        <w:t>namicratedesign-2012-jul-23.pdf;</w:t>
      </w:r>
      <w:r w:rsidR="00631FAF" w:rsidRPr="00583F6A">
        <w:rPr>
          <w:rFonts w:ascii="Arial" w:hAnsi="Arial" w:cs="Arial"/>
          <w:sz w:val="18"/>
          <w:szCs w:val="18"/>
        </w:rPr>
        <w:t xml:space="preserve"> 2012 [accessed 8 Feb</w:t>
      </w:r>
      <w:r w:rsidR="00690B49">
        <w:rPr>
          <w:rFonts w:ascii="Arial" w:hAnsi="Arial" w:cs="Arial"/>
          <w:sz w:val="18"/>
          <w:szCs w:val="18"/>
        </w:rPr>
        <w:t>ruary</w:t>
      </w:r>
      <w:r w:rsidR="00631FAF"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3761CC" w:rsidP="00631FAF">
      <w:pPr>
        <w:spacing w:after="0" w:line="360" w:lineRule="auto"/>
        <w:rPr>
          <w:rFonts w:ascii="Arial" w:hAnsi="Arial" w:cs="Arial"/>
          <w:sz w:val="18"/>
          <w:szCs w:val="18"/>
        </w:rPr>
      </w:pPr>
      <w:r>
        <w:rPr>
          <w:rFonts w:ascii="Arial" w:hAnsi="Arial" w:cs="Arial"/>
          <w:sz w:val="18"/>
          <w:szCs w:val="18"/>
        </w:rPr>
        <w:t xml:space="preserve">[4] Dutta G, </w:t>
      </w:r>
      <w:proofErr w:type="spellStart"/>
      <w:r w:rsidR="00631FAF" w:rsidRPr="00583F6A">
        <w:rPr>
          <w:rFonts w:ascii="Arial" w:hAnsi="Arial" w:cs="Arial"/>
          <w:sz w:val="18"/>
          <w:szCs w:val="18"/>
        </w:rPr>
        <w:t>Mitra</w:t>
      </w:r>
      <w:proofErr w:type="spellEnd"/>
      <w:r>
        <w:rPr>
          <w:rFonts w:ascii="Arial" w:hAnsi="Arial" w:cs="Arial"/>
          <w:sz w:val="18"/>
          <w:szCs w:val="18"/>
        </w:rPr>
        <w:t xml:space="preserve"> K.</w:t>
      </w:r>
      <w:r w:rsidR="00631FAF" w:rsidRPr="00583F6A">
        <w:rPr>
          <w:rFonts w:ascii="Arial" w:hAnsi="Arial" w:cs="Arial"/>
          <w:sz w:val="18"/>
          <w:szCs w:val="18"/>
        </w:rPr>
        <w:t xml:space="preserve"> A literature review on</w:t>
      </w:r>
      <w:r>
        <w:rPr>
          <w:rFonts w:ascii="Arial" w:hAnsi="Arial" w:cs="Arial"/>
          <w:sz w:val="18"/>
          <w:szCs w:val="18"/>
        </w:rPr>
        <w:t xml:space="preserve"> dynamic pricing of electricity. J </w:t>
      </w:r>
      <w:proofErr w:type="spellStart"/>
      <w:r>
        <w:rPr>
          <w:rFonts w:ascii="Arial" w:hAnsi="Arial" w:cs="Arial"/>
          <w:sz w:val="18"/>
          <w:szCs w:val="18"/>
        </w:rPr>
        <w:t>Oper</w:t>
      </w:r>
      <w:proofErr w:type="spellEnd"/>
      <w:r>
        <w:rPr>
          <w:rFonts w:ascii="Arial" w:hAnsi="Arial" w:cs="Arial"/>
          <w:sz w:val="18"/>
          <w:szCs w:val="18"/>
        </w:rPr>
        <w:t xml:space="preserve"> Res </w:t>
      </w:r>
      <w:proofErr w:type="spellStart"/>
      <w:r>
        <w:rPr>
          <w:rFonts w:ascii="Arial" w:hAnsi="Arial" w:cs="Arial"/>
          <w:sz w:val="18"/>
          <w:szCs w:val="18"/>
        </w:rPr>
        <w:t>Soc</w:t>
      </w:r>
      <w:proofErr w:type="spellEnd"/>
      <w:r>
        <w:rPr>
          <w:rFonts w:ascii="Arial" w:hAnsi="Arial" w:cs="Arial"/>
          <w:sz w:val="18"/>
          <w:szCs w:val="18"/>
        </w:rPr>
        <w:t xml:space="preserve"> 2017;</w:t>
      </w:r>
      <w:r w:rsidR="00631FAF" w:rsidRPr="00583F6A">
        <w:rPr>
          <w:rFonts w:ascii="Arial" w:hAnsi="Arial" w:cs="Arial"/>
          <w:sz w:val="18"/>
          <w:szCs w:val="18"/>
        </w:rPr>
        <w:t>68(10)</w:t>
      </w:r>
      <w:r>
        <w:rPr>
          <w:rFonts w:ascii="Arial" w:hAnsi="Arial" w:cs="Arial"/>
          <w:sz w:val="18"/>
          <w:szCs w:val="18"/>
        </w:rPr>
        <w:t>:1131-</w:t>
      </w:r>
      <w:r w:rsidR="00690B49">
        <w:rPr>
          <w:rFonts w:ascii="Arial" w:hAnsi="Arial" w:cs="Arial"/>
          <w:sz w:val="18"/>
          <w:szCs w:val="18"/>
        </w:rPr>
        <w:t>45.</w:t>
      </w:r>
      <w:r>
        <w:rPr>
          <w:rFonts w:ascii="Arial" w:hAnsi="Arial" w:cs="Arial"/>
          <w:sz w:val="18"/>
          <w:szCs w:val="18"/>
        </w:rPr>
        <w:t xml:space="preserve"> https://doi.org/</w:t>
      </w:r>
      <w:r w:rsidR="00631FAF" w:rsidRPr="00583F6A">
        <w:rPr>
          <w:rFonts w:ascii="Arial" w:hAnsi="Arial" w:cs="Arial"/>
          <w:sz w:val="18"/>
          <w:szCs w:val="18"/>
        </w:rPr>
        <w:t>10.1057/s41274-016-0149-4.</w:t>
      </w:r>
    </w:p>
    <w:p w:rsidR="00631FAF" w:rsidRPr="00583F6A" w:rsidRDefault="00631FAF" w:rsidP="00631FAF">
      <w:pPr>
        <w:spacing w:after="0" w:line="360" w:lineRule="auto"/>
        <w:rPr>
          <w:rFonts w:ascii="Arial" w:hAnsi="Arial" w:cs="Arial"/>
          <w:sz w:val="18"/>
          <w:szCs w:val="18"/>
        </w:rPr>
      </w:pPr>
    </w:p>
    <w:p w:rsidR="00631FAF" w:rsidRPr="00583F6A" w:rsidRDefault="003761CC" w:rsidP="00631FAF">
      <w:pPr>
        <w:spacing w:after="0" w:line="360" w:lineRule="auto"/>
        <w:rPr>
          <w:rFonts w:ascii="Arial" w:hAnsi="Arial" w:cs="Arial"/>
          <w:sz w:val="18"/>
          <w:szCs w:val="18"/>
        </w:rPr>
      </w:pPr>
      <w:r>
        <w:rPr>
          <w:rFonts w:ascii="Arial" w:hAnsi="Arial" w:cs="Arial"/>
          <w:sz w:val="18"/>
          <w:szCs w:val="18"/>
        </w:rPr>
        <w:t xml:space="preserve">[5] </w:t>
      </w:r>
      <w:r w:rsidR="00631FAF" w:rsidRPr="00583F6A">
        <w:rPr>
          <w:rFonts w:ascii="Arial" w:hAnsi="Arial" w:cs="Arial"/>
          <w:sz w:val="18"/>
          <w:szCs w:val="18"/>
        </w:rPr>
        <w:t>Taylor</w:t>
      </w:r>
      <w:r>
        <w:rPr>
          <w:rFonts w:ascii="Arial" w:hAnsi="Arial" w:cs="Arial"/>
          <w:sz w:val="18"/>
          <w:szCs w:val="18"/>
        </w:rPr>
        <w:t xml:space="preserve"> TN, </w:t>
      </w:r>
      <w:r w:rsidR="00631FAF" w:rsidRPr="00583F6A">
        <w:rPr>
          <w:rFonts w:ascii="Arial" w:hAnsi="Arial" w:cs="Arial"/>
          <w:sz w:val="18"/>
          <w:szCs w:val="18"/>
        </w:rPr>
        <w:t>Schwarz</w:t>
      </w:r>
      <w:r>
        <w:rPr>
          <w:rFonts w:ascii="Arial" w:hAnsi="Arial" w:cs="Arial"/>
          <w:sz w:val="18"/>
          <w:szCs w:val="18"/>
        </w:rPr>
        <w:t xml:space="preserve"> PM, </w:t>
      </w:r>
      <w:proofErr w:type="spellStart"/>
      <w:r w:rsidR="00631FAF" w:rsidRPr="00583F6A">
        <w:rPr>
          <w:rFonts w:ascii="Arial" w:hAnsi="Arial" w:cs="Arial"/>
          <w:sz w:val="18"/>
          <w:szCs w:val="18"/>
        </w:rPr>
        <w:t>Cochell</w:t>
      </w:r>
      <w:proofErr w:type="spellEnd"/>
      <w:r>
        <w:rPr>
          <w:rFonts w:ascii="Arial" w:hAnsi="Arial" w:cs="Arial"/>
          <w:sz w:val="18"/>
          <w:szCs w:val="18"/>
        </w:rPr>
        <w:t xml:space="preserve"> JE. </w:t>
      </w:r>
      <w:r w:rsidR="00631FAF" w:rsidRPr="00583F6A">
        <w:rPr>
          <w:rFonts w:ascii="Arial" w:hAnsi="Arial" w:cs="Arial"/>
          <w:sz w:val="18"/>
          <w:szCs w:val="18"/>
        </w:rPr>
        <w:t xml:space="preserve">24/7 hourly response to electricity real-time pricing with up </w:t>
      </w:r>
      <w:r>
        <w:rPr>
          <w:rFonts w:ascii="Arial" w:hAnsi="Arial" w:cs="Arial"/>
          <w:sz w:val="18"/>
          <w:szCs w:val="18"/>
        </w:rPr>
        <w:t xml:space="preserve">to eight summers of experience. J </w:t>
      </w:r>
      <w:proofErr w:type="spellStart"/>
      <w:r>
        <w:rPr>
          <w:rFonts w:ascii="Arial" w:hAnsi="Arial" w:cs="Arial"/>
          <w:sz w:val="18"/>
          <w:szCs w:val="18"/>
        </w:rPr>
        <w:t>Regul</w:t>
      </w:r>
      <w:proofErr w:type="spellEnd"/>
      <w:r>
        <w:rPr>
          <w:rFonts w:ascii="Arial" w:hAnsi="Arial" w:cs="Arial"/>
          <w:sz w:val="18"/>
          <w:szCs w:val="18"/>
        </w:rPr>
        <w:t xml:space="preserve"> Econ</w:t>
      </w:r>
      <w:r w:rsidR="00631FAF" w:rsidRPr="00583F6A">
        <w:rPr>
          <w:rFonts w:ascii="Arial" w:hAnsi="Arial" w:cs="Arial"/>
          <w:sz w:val="18"/>
          <w:szCs w:val="18"/>
        </w:rPr>
        <w:t xml:space="preserve"> 2005</w:t>
      </w:r>
      <w:r>
        <w:rPr>
          <w:rFonts w:ascii="Arial" w:hAnsi="Arial" w:cs="Arial"/>
          <w:sz w:val="18"/>
          <w:szCs w:val="18"/>
        </w:rPr>
        <w:t>;</w:t>
      </w:r>
      <w:r w:rsidR="00631FAF" w:rsidRPr="00583F6A">
        <w:rPr>
          <w:rFonts w:ascii="Arial" w:hAnsi="Arial" w:cs="Arial"/>
          <w:sz w:val="18"/>
          <w:szCs w:val="18"/>
        </w:rPr>
        <w:t>27(3)</w:t>
      </w:r>
      <w:r>
        <w:rPr>
          <w:rFonts w:ascii="Arial" w:hAnsi="Arial" w:cs="Arial"/>
          <w:sz w:val="18"/>
          <w:szCs w:val="18"/>
        </w:rPr>
        <w:t>:235-</w:t>
      </w:r>
      <w:r w:rsidR="00631FAF" w:rsidRPr="00583F6A">
        <w:rPr>
          <w:rFonts w:ascii="Arial" w:hAnsi="Arial" w:cs="Arial"/>
          <w:sz w:val="18"/>
          <w:szCs w:val="18"/>
        </w:rPr>
        <w:t>62.</w:t>
      </w:r>
    </w:p>
    <w:p w:rsidR="00631FAF" w:rsidRPr="00583F6A" w:rsidRDefault="00631FAF" w:rsidP="00631FAF">
      <w:pPr>
        <w:spacing w:after="0" w:line="360" w:lineRule="auto"/>
        <w:rPr>
          <w:rFonts w:ascii="Arial" w:hAnsi="Arial" w:cs="Arial"/>
          <w:sz w:val="18"/>
          <w:szCs w:val="18"/>
        </w:rPr>
      </w:pPr>
    </w:p>
    <w:p w:rsidR="00631FAF" w:rsidRPr="00583F6A" w:rsidRDefault="003761CC" w:rsidP="00631FAF">
      <w:pPr>
        <w:spacing w:after="0" w:line="360" w:lineRule="auto"/>
        <w:rPr>
          <w:rFonts w:ascii="Arial" w:hAnsi="Arial" w:cs="Arial"/>
          <w:sz w:val="18"/>
          <w:szCs w:val="18"/>
        </w:rPr>
      </w:pPr>
      <w:r>
        <w:rPr>
          <w:rFonts w:ascii="Arial" w:hAnsi="Arial" w:cs="Arial"/>
          <w:sz w:val="18"/>
          <w:szCs w:val="18"/>
        </w:rPr>
        <w:t xml:space="preserve">[6] </w:t>
      </w:r>
      <w:proofErr w:type="spellStart"/>
      <w:r w:rsidR="00631FAF" w:rsidRPr="00583F6A">
        <w:rPr>
          <w:rFonts w:ascii="Arial" w:hAnsi="Arial" w:cs="Arial"/>
          <w:sz w:val="18"/>
          <w:szCs w:val="18"/>
        </w:rPr>
        <w:t>Campillo</w:t>
      </w:r>
      <w:proofErr w:type="spellEnd"/>
      <w:r>
        <w:rPr>
          <w:rFonts w:ascii="Arial" w:hAnsi="Arial" w:cs="Arial"/>
          <w:sz w:val="18"/>
          <w:szCs w:val="18"/>
        </w:rPr>
        <w:t xml:space="preserve"> J, </w:t>
      </w:r>
      <w:proofErr w:type="spellStart"/>
      <w:r w:rsidR="00631FAF" w:rsidRPr="00583F6A">
        <w:rPr>
          <w:rFonts w:ascii="Arial" w:hAnsi="Arial" w:cs="Arial"/>
          <w:sz w:val="18"/>
          <w:szCs w:val="18"/>
        </w:rPr>
        <w:t>Dahlquist</w:t>
      </w:r>
      <w:proofErr w:type="spellEnd"/>
      <w:r>
        <w:rPr>
          <w:rFonts w:ascii="Arial" w:hAnsi="Arial" w:cs="Arial"/>
          <w:sz w:val="18"/>
          <w:szCs w:val="18"/>
        </w:rPr>
        <w:t xml:space="preserve"> E, </w:t>
      </w:r>
      <w:proofErr w:type="spellStart"/>
      <w:r w:rsidR="00631FAF" w:rsidRPr="00583F6A">
        <w:rPr>
          <w:rFonts w:ascii="Arial" w:hAnsi="Arial" w:cs="Arial"/>
          <w:sz w:val="18"/>
          <w:szCs w:val="18"/>
        </w:rPr>
        <w:t>Wallin</w:t>
      </w:r>
      <w:proofErr w:type="spellEnd"/>
      <w:r>
        <w:rPr>
          <w:rFonts w:ascii="Arial" w:hAnsi="Arial" w:cs="Arial"/>
          <w:sz w:val="18"/>
          <w:szCs w:val="18"/>
        </w:rPr>
        <w:t xml:space="preserve"> F,</w:t>
      </w:r>
      <w:r w:rsidR="00631FAF" w:rsidRPr="00583F6A">
        <w:rPr>
          <w:rFonts w:ascii="Arial" w:hAnsi="Arial" w:cs="Arial"/>
          <w:sz w:val="18"/>
          <w:szCs w:val="18"/>
        </w:rPr>
        <w:t xml:space="preserve"> </w:t>
      </w:r>
      <w:proofErr w:type="spellStart"/>
      <w:r w:rsidR="00631FAF" w:rsidRPr="00583F6A">
        <w:rPr>
          <w:rFonts w:ascii="Arial" w:hAnsi="Arial" w:cs="Arial"/>
          <w:sz w:val="18"/>
          <w:szCs w:val="18"/>
        </w:rPr>
        <w:t>Vassileva</w:t>
      </w:r>
      <w:proofErr w:type="spellEnd"/>
      <w:r>
        <w:rPr>
          <w:rFonts w:ascii="Arial" w:hAnsi="Arial" w:cs="Arial"/>
          <w:sz w:val="18"/>
          <w:szCs w:val="18"/>
        </w:rPr>
        <w:t xml:space="preserve"> I. </w:t>
      </w:r>
      <w:r w:rsidR="00631FAF" w:rsidRPr="00583F6A">
        <w:rPr>
          <w:rFonts w:ascii="Arial" w:hAnsi="Arial" w:cs="Arial"/>
          <w:sz w:val="18"/>
          <w:szCs w:val="18"/>
        </w:rPr>
        <w:t>Is real-time electricity pricing suitable for residential users without deman</w:t>
      </w:r>
      <w:r>
        <w:rPr>
          <w:rFonts w:ascii="Arial" w:hAnsi="Arial" w:cs="Arial"/>
          <w:sz w:val="18"/>
          <w:szCs w:val="18"/>
        </w:rPr>
        <w:t>d-side management? Energy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2016</w:t>
      </w:r>
      <w:r>
        <w:rPr>
          <w:rFonts w:ascii="Arial" w:hAnsi="Arial" w:cs="Arial"/>
          <w:sz w:val="18"/>
          <w:szCs w:val="18"/>
        </w:rPr>
        <w:t>;</w:t>
      </w:r>
      <w:r w:rsidR="00631FAF" w:rsidRPr="00583F6A">
        <w:rPr>
          <w:rFonts w:ascii="Arial" w:hAnsi="Arial" w:cs="Arial"/>
          <w:sz w:val="18"/>
          <w:szCs w:val="18"/>
        </w:rPr>
        <w:t>109</w:t>
      </w:r>
      <w:r>
        <w:rPr>
          <w:rFonts w:ascii="Arial" w:hAnsi="Arial" w:cs="Arial"/>
          <w:sz w:val="18"/>
          <w:szCs w:val="18"/>
        </w:rPr>
        <w:t>:310</w:t>
      </w:r>
      <w:proofErr w:type="gramEnd"/>
      <w:r>
        <w:rPr>
          <w:rFonts w:ascii="Arial" w:hAnsi="Arial" w:cs="Arial"/>
          <w:sz w:val="18"/>
          <w:szCs w:val="18"/>
        </w:rPr>
        <w:t>-</w:t>
      </w:r>
      <w:r w:rsidR="00690B49">
        <w:rPr>
          <w:rFonts w:ascii="Arial" w:hAnsi="Arial" w:cs="Arial"/>
          <w:sz w:val="18"/>
          <w:szCs w:val="18"/>
        </w:rPr>
        <w:t>25.</w:t>
      </w:r>
      <w:r w:rsidR="00631FAF" w:rsidRPr="00583F6A">
        <w:rPr>
          <w:rFonts w:ascii="Arial" w:hAnsi="Arial" w:cs="Arial"/>
          <w:sz w:val="18"/>
          <w:szCs w:val="18"/>
        </w:rPr>
        <w:t xml:space="preserve"> </w:t>
      </w:r>
      <w:r>
        <w:rPr>
          <w:rFonts w:ascii="Arial" w:hAnsi="Arial" w:cs="Arial"/>
          <w:sz w:val="18"/>
          <w:szCs w:val="18"/>
        </w:rPr>
        <w:t>https://doi.org/</w:t>
      </w:r>
      <w:r w:rsidR="00631FAF" w:rsidRPr="00583F6A">
        <w:rPr>
          <w:rFonts w:ascii="Arial" w:hAnsi="Arial" w:cs="Arial"/>
          <w:sz w:val="18"/>
          <w:szCs w:val="18"/>
        </w:rPr>
        <w:t>10.1016/j.energy.2016.04.105.</w:t>
      </w:r>
    </w:p>
    <w:p w:rsidR="00631FAF" w:rsidRPr="00583F6A" w:rsidRDefault="00631FAF" w:rsidP="00631FAF">
      <w:pPr>
        <w:spacing w:after="0" w:line="360" w:lineRule="auto"/>
        <w:rPr>
          <w:rFonts w:ascii="Arial" w:hAnsi="Arial" w:cs="Arial"/>
          <w:sz w:val="18"/>
          <w:szCs w:val="18"/>
        </w:rPr>
      </w:pPr>
    </w:p>
    <w:p w:rsidR="00631FAF" w:rsidRPr="00583F6A" w:rsidRDefault="003761CC" w:rsidP="00631FAF">
      <w:pPr>
        <w:spacing w:after="0" w:line="360" w:lineRule="auto"/>
        <w:rPr>
          <w:rFonts w:ascii="Arial" w:hAnsi="Arial" w:cs="Arial"/>
          <w:sz w:val="18"/>
          <w:szCs w:val="18"/>
        </w:rPr>
      </w:pPr>
      <w:r>
        <w:rPr>
          <w:rFonts w:ascii="Arial" w:hAnsi="Arial" w:cs="Arial"/>
          <w:sz w:val="18"/>
          <w:szCs w:val="18"/>
        </w:rPr>
        <w:t xml:space="preserve">[7] </w:t>
      </w:r>
      <w:r w:rsidR="00631FAF" w:rsidRPr="00583F6A">
        <w:rPr>
          <w:rFonts w:ascii="Arial" w:hAnsi="Arial" w:cs="Arial"/>
          <w:sz w:val="18"/>
          <w:szCs w:val="18"/>
        </w:rPr>
        <w:t xml:space="preserve">Gambardella </w:t>
      </w:r>
      <w:r>
        <w:rPr>
          <w:rFonts w:ascii="Arial" w:hAnsi="Arial" w:cs="Arial"/>
          <w:sz w:val="18"/>
          <w:szCs w:val="18"/>
        </w:rPr>
        <w:t xml:space="preserve">C, </w:t>
      </w:r>
      <w:proofErr w:type="spellStart"/>
      <w:r w:rsidR="00631FAF" w:rsidRPr="00583F6A">
        <w:rPr>
          <w:rFonts w:ascii="Arial" w:hAnsi="Arial" w:cs="Arial"/>
          <w:sz w:val="18"/>
          <w:szCs w:val="18"/>
        </w:rPr>
        <w:t>Pahle</w:t>
      </w:r>
      <w:proofErr w:type="spellEnd"/>
      <w:r>
        <w:rPr>
          <w:rFonts w:ascii="Arial" w:hAnsi="Arial" w:cs="Arial"/>
          <w:sz w:val="18"/>
          <w:szCs w:val="18"/>
        </w:rPr>
        <w:t xml:space="preserve"> M. </w:t>
      </w:r>
      <w:r w:rsidR="00631FAF" w:rsidRPr="00583F6A">
        <w:rPr>
          <w:rFonts w:ascii="Arial" w:hAnsi="Arial" w:cs="Arial"/>
          <w:sz w:val="18"/>
          <w:szCs w:val="18"/>
        </w:rPr>
        <w:t xml:space="preserve">Time-varying electricity pricing and consumer heterogeneity: Welfare and distributional effects </w:t>
      </w:r>
      <w:r>
        <w:rPr>
          <w:rFonts w:ascii="Arial" w:hAnsi="Arial" w:cs="Arial"/>
          <w:sz w:val="18"/>
          <w:szCs w:val="18"/>
        </w:rPr>
        <w:t>with variable renewable supply. Energy Econ</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w:t>
      </w:r>
      <w:r w:rsidR="00631FAF" w:rsidRPr="00583F6A">
        <w:rPr>
          <w:rFonts w:ascii="Arial" w:hAnsi="Arial" w:cs="Arial"/>
          <w:sz w:val="18"/>
          <w:szCs w:val="18"/>
        </w:rPr>
        <w:t>76</w:t>
      </w:r>
      <w:r>
        <w:rPr>
          <w:rFonts w:ascii="Arial" w:hAnsi="Arial" w:cs="Arial"/>
          <w:sz w:val="18"/>
          <w:szCs w:val="18"/>
        </w:rPr>
        <w:t>:257</w:t>
      </w:r>
      <w:proofErr w:type="gramEnd"/>
      <w:r>
        <w:rPr>
          <w:rFonts w:ascii="Arial" w:hAnsi="Arial" w:cs="Arial"/>
          <w:sz w:val="18"/>
          <w:szCs w:val="18"/>
        </w:rPr>
        <w:t>-</w:t>
      </w:r>
      <w:r w:rsidR="00690B49">
        <w:rPr>
          <w:rFonts w:ascii="Arial" w:hAnsi="Arial" w:cs="Arial"/>
          <w:sz w:val="18"/>
          <w:szCs w:val="18"/>
        </w:rPr>
        <w:t>73.</w:t>
      </w:r>
      <w:r w:rsidR="00631FAF" w:rsidRPr="00583F6A">
        <w:rPr>
          <w:rFonts w:ascii="Arial" w:hAnsi="Arial" w:cs="Arial"/>
          <w:sz w:val="18"/>
          <w:szCs w:val="18"/>
        </w:rPr>
        <w:t xml:space="preserve"> </w:t>
      </w:r>
      <w:r>
        <w:rPr>
          <w:rFonts w:ascii="Arial" w:hAnsi="Arial" w:cs="Arial"/>
          <w:sz w:val="18"/>
          <w:szCs w:val="18"/>
        </w:rPr>
        <w:t>https://doi.org/</w:t>
      </w:r>
      <w:r w:rsidR="00631FAF" w:rsidRPr="00583F6A">
        <w:rPr>
          <w:rFonts w:ascii="Arial" w:hAnsi="Arial" w:cs="Arial"/>
          <w:sz w:val="18"/>
          <w:szCs w:val="18"/>
        </w:rPr>
        <w:t>10.1016/j.eneco.2018.08.020.</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[8] </w:t>
      </w:r>
      <w:proofErr w:type="spellStart"/>
      <w:r w:rsidR="00631FAF" w:rsidRPr="00583F6A">
        <w:rPr>
          <w:rFonts w:ascii="Arial" w:hAnsi="Arial" w:cs="Arial"/>
          <w:sz w:val="18"/>
          <w:szCs w:val="18"/>
        </w:rPr>
        <w:t>Zethmayr</w:t>
      </w:r>
      <w:proofErr w:type="spellEnd"/>
      <w:r w:rsidR="00631FAF" w:rsidRPr="00583F6A">
        <w:rPr>
          <w:rFonts w:ascii="Arial" w:hAnsi="Arial" w:cs="Arial"/>
          <w:sz w:val="18"/>
          <w:szCs w:val="18"/>
        </w:rPr>
        <w:t xml:space="preserve"> </w:t>
      </w:r>
      <w:r>
        <w:rPr>
          <w:rFonts w:ascii="Arial" w:hAnsi="Arial" w:cs="Arial"/>
          <w:sz w:val="18"/>
          <w:szCs w:val="18"/>
        </w:rPr>
        <w:t xml:space="preserve">J, </w:t>
      </w:r>
      <w:proofErr w:type="spellStart"/>
      <w:r w:rsidR="00631FAF" w:rsidRPr="00583F6A">
        <w:rPr>
          <w:rFonts w:ascii="Arial" w:hAnsi="Arial" w:cs="Arial"/>
          <w:sz w:val="18"/>
          <w:szCs w:val="18"/>
        </w:rPr>
        <w:t>Kolata</w:t>
      </w:r>
      <w:proofErr w:type="spellEnd"/>
      <w:r>
        <w:rPr>
          <w:rFonts w:ascii="Arial" w:hAnsi="Arial" w:cs="Arial"/>
          <w:sz w:val="18"/>
          <w:szCs w:val="18"/>
        </w:rPr>
        <w:t xml:space="preserve"> D. </w:t>
      </w:r>
      <w:r w:rsidR="00631FAF" w:rsidRPr="00583F6A">
        <w:rPr>
          <w:rFonts w:ascii="Arial" w:hAnsi="Arial" w:cs="Arial"/>
          <w:sz w:val="18"/>
          <w:szCs w:val="18"/>
        </w:rPr>
        <w:t>The costs and benefits of real-time pricing: An empirical investigation into consumer bills usin</w:t>
      </w:r>
      <w:r>
        <w:rPr>
          <w:rFonts w:ascii="Arial" w:hAnsi="Arial" w:cs="Arial"/>
          <w:sz w:val="18"/>
          <w:szCs w:val="18"/>
        </w:rPr>
        <w:t>g hourly energy data and prices.</w:t>
      </w:r>
      <w:r w:rsidR="00631FAF" w:rsidRPr="00583F6A">
        <w:rPr>
          <w:rFonts w:ascii="Arial" w:hAnsi="Arial" w:cs="Arial"/>
          <w:sz w:val="18"/>
          <w:szCs w:val="18"/>
        </w:rPr>
        <w:t xml:space="preserve"> </w:t>
      </w:r>
      <w:proofErr w:type="spellStart"/>
      <w:r w:rsidR="00631FAF" w:rsidRPr="00583F6A">
        <w:rPr>
          <w:rFonts w:ascii="Arial" w:hAnsi="Arial" w:cs="Arial"/>
          <w:sz w:val="18"/>
          <w:szCs w:val="18"/>
        </w:rPr>
        <w:t>Electr</w:t>
      </w:r>
      <w:proofErr w:type="spellEnd"/>
      <w:r>
        <w:rPr>
          <w:rFonts w:ascii="Arial" w:hAnsi="Arial" w:cs="Arial"/>
          <w:sz w:val="18"/>
          <w:szCs w:val="18"/>
        </w:rPr>
        <w:t xml:space="preserve"> J</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w:t>
      </w:r>
      <w:r w:rsidR="00631FAF" w:rsidRPr="00583F6A">
        <w:rPr>
          <w:rFonts w:ascii="Arial" w:hAnsi="Arial" w:cs="Arial"/>
          <w:sz w:val="18"/>
          <w:szCs w:val="18"/>
        </w:rPr>
        <w:t>31</w:t>
      </w:r>
      <w:r>
        <w:rPr>
          <w:rFonts w:ascii="Arial" w:hAnsi="Arial" w:cs="Arial"/>
          <w:sz w:val="18"/>
          <w:szCs w:val="18"/>
        </w:rPr>
        <w:t>:50</w:t>
      </w:r>
      <w:proofErr w:type="gramEnd"/>
      <w:r>
        <w:rPr>
          <w:rFonts w:ascii="Arial" w:hAnsi="Arial" w:cs="Arial"/>
          <w:sz w:val="18"/>
          <w:szCs w:val="18"/>
        </w:rPr>
        <w:t>-7. https://doi.org/</w:t>
      </w:r>
      <w:r w:rsidR="00631FAF" w:rsidRPr="00583F6A">
        <w:rPr>
          <w:rFonts w:ascii="Arial" w:hAnsi="Arial" w:cs="Arial"/>
          <w:sz w:val="18"/>
          <w:szCs w:val="18"/>
        </w:rPr>
        <w:t>10.1016/j.tej.2018.02.006.</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[9] </w:t>
      </w:r>
      <w:proofErr w:type="spellStart"/>
      <w:r>
        <w:rPr>
          <w:rFonts w:ascii="Arial" w:hAnsi="Arial" w:cs="Arial"/>
          <w:sz w:val="18"/>
          <w:szCs w:val="18"/>
        </w:rPr>
        <w:t>EirGrid</w:t>
      </w:r>
      <w:proofErr w:type="spellEnd"/>
      <w:r>
        <w:rPr>
          <w:rFonts w:ascii="Arial" w:hAnsi="Arial" w:cs="Arial"/>
          <w:sz w:val="18"/>
          <w:szCs w:val="18"/>
        </w:rPr>
        <w:t xml:space="preserve"> Group. </w:t>
      </w:r>
      <w:r w:rsidR="00631FAF" w:rsidRPr="00583F6A">
        <w:rPr>
          <w:rFonts w:ascii="Arial" w:hAnsi="Arial" w:cs="Arial"/>
          <w:sz w:val="18"/>
          <w:szCs w:val="18"/>
        </w:rPr>
        <w:t>System and renewable data summary report, www.eirgridgroup.com/site-files/library/EirGrid/System-and-Ren</w:t>
      </w:r>
      <w:r>
        <w:rPr>
          <w:rFonts w:ascii="Arial" w:hAnsi="Arial" w:cs="Arial"/>
          <w:sz w:val="18"/>
          <w:szCs w:val="18"/>
        </w:rPr>
        <w:t>ewable-Data-Summary-Report.xlsx;</w:t>
      </w:r>
      <w:r w:rsidR="00631FAF" w:rsidRPr="00583F6A">
        <w:rPr>
          <w:rFonts w:ascii="Arial" w:hAnsi="Arial" w:cs="Arial"/>
          <w:sz w:val="18"/>
          <w:szCs w:val="18"/>
        </w:rPr>
        <w:t xml:space="preserve"> 2019 [accessed 8 Feb</w:t>
      </w:r>
      <w:r>
        <w:rPr>
          <w:rFonts w:ascii="Arial" w:hAnsi="Arial" w:cs="Arial"/>
          <w:sz w:val="18"/>
          <w:szCs w:val="18"/>
        </w:rPr>
        <w:t>ruary</w:t>
      </w:r>
      <w:r w:rsidR="00631FAF"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631FAF" w:rsidP="00631FAF">
      <w:pPr>
        <w:spacing w:after="0" w:line="360" w:lineRule="auto"/>
        <w:rPr>
          <w:rFonts w:ascii="Arial" w:hAnsi="Arial" w:cs="Arial"/>
          <w:sz w:val="18"/>
          <w:szCs w:val="18"/>
        </w:rPr>
      </w:pPr>
      <w:r w:rsidRPr="00583F6A">
        <w:rPr>
          <w:rFonts w:ascii="Arial" w:hAnsi="Arial" w:cs="Arial"/>
          <w:sz w:val="18"/>
          <w:szCs w:val="18"/>
        </w:rPr>
        <w:lastRenderedPageBreak/>
        <w:t>[10] Sustainab</w:t>
      </w:r>
      <w:r w:rsidR="00690B49">
        <w:rPr>
          <w:rFonts w:ascii="Arial" w:hAnsi="Arial" w:cs="Arial"/>
          <w:sz w:val="18"/>
          <w:szCs w:val="18"/>
        </w:rPr>
        <w:t xml:space="preserve">le Energy Authority of Ireland. </w:t>
      </w:r>
      <w:r w:rsidRPr="00583F6A">
        <w:rPr>
          <w:rFonts w:ascii="Arial" w:hAnsi="Arial" w:cs="Arial"/>
          <w:sz w:val="18"/>
          <w:szCs w:val="18"/>
        </w:rPr>
        <w:t>Energy-related CO</w:t>
      </w:r>
      <w:r w:rsidRPr="00583F6A">
        <w:rPr>
          <w:rFonts w:ascii="Arial" w:hAnsi="Arial" w:cs="Arial"/>
          <w:sz w:val="18"/>
          <w:szCs w:val="18"/>
          <w:vertAlign w:val="subscript"/>
        </w:rPr>
        <w:t>2</w:t>
      </w:r>
      <w:r w:rsidRPr="00583F6A">
        <w:rPr>
          <w:rFonts w:ascii="Arial" w:hAnsi="Arial" w:cs="Arial"/>
          <w:sz w:val="18"/>
          <w:szCs w:val="18"/>
        </w:rPr>
        <w:t xml:space="preserve"> emissions in </w:t>
      </w:r>
      <w:r w:rsidR="00690B49">
        <w:rPr>
          <w:rFonts w:ascii="Arial" w:hAnsi="Arial" w:cs="Arial"/>
          <w:sz w:val="18"/>
          <w:szCs w:val="18"/>
        </w:rPr>
        <w:t xml:space="preserve">Ireland 2005-2016: 2018 report, </w:t>
      </w:r>
      <w:r w:rsidRPr="00583F6A">
        <w:rPr>
          <w:rFonts w:ascii="Arial" w:hAnsi="Arial" w:cs="Arial"/>
          <w:sz w:val="18"/>
          <w:szCs w:val="18"/>
        </w:rPr>
        <w:t>https://www.seai.ie/resources/publications/</w:t>
      </w:r>
      <w:r w:rsidR="00690B49">
        <w:rPr>
          <w:rFonts w:ascii="Arial" w:hAnsi="Arial" w:cs="Arial"/>
          <w:sz w:val="18"/>
          <w:szCs w:val="18"/>
        </w:rPr>
        <w:t>Energy-Emissions-2017-Final.pdf;</w:t>
      </w:r>
      <w:r w:rsidRPr="00583F6A">
        <w:rPr>
          <w:rFonts w:ascii="Arial" w:hAnsi="Arial" w:cs="Arial"/>
          <w:sz w:val="18"/>
          <w:szCs w:val="18"/>
        </w:rPr>
        <w:t xml:space="preserve"> 2018 [accessed 8 Feb</w:t>
      </w:r>
      <w:r w:rsidR="00690B49">
        <w:rPr>
          <w:rFonts w:ascii="Arial" w:hAnsi="Arial" w:cs="Arial"/>
          <w:sz w:val="18"/>
          <w:szCs w:val="18"/>
        </w:rPr>
        <w:t>ruary</w:t>
      </w:r>
      <w:r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[11] </w:t>
      </w:r>
      <w:proofErr w:type="spellStart"/>
      <w:r w:rsidR="00631FAF" w:rsidRPr="00583F6A">
        <w:rPr>
          <w:rFonts w:ascii="Arial" w:hAnsi="Arial" w:cs="Arial"/>
          <w:sz w:val="18"/>
          <w:szCs w:val="18"/>
        </w:rPr>
        <w:t>Akinyele</w:t>
      </w:r>
      <w:proofErr w:type="spellEnd"/>
      <w:r>
        <w:rPr>
          <w:rFonts w:ascii="Arial" w:hAnsi="Arial" w:cs="Arial"/>
          <w:sz w:val="18"/>
          <w:szCs w:val="18"/>
        </w:rPr>
        <w:t xml:space="preserve"> DO, </w:t>
      </w:r>
      <w:r w:rsidR="00631FAF" w:rsidRPr="00583F6A">
        <w:rPr>
          <w:rFonts w:ascii="Arial" w:hAnsi="Arial" w:cs="Arial"/>
          <w:sz w:val="18"/>
          <w:szCs w:val="18"/>
        </w:rPr>
        <w:t>Rayudu</w:t>
      </w:r>
      <w:r>
        <w:rPr>
          <w:rFonts w:ascii="Arial" w:hAnsi="Arial" w:cs="Arial"/>
          <w:sz w:val="18"/>
          <w:szCs w:val="18"/>
        </w:rPr>
        <w:t xml:space="preserve"> RK. </w:t>
      </w:r>
      <w:r w:rsidR="00631FAF" w:rsidRPr="00583F6A">
        <w:rPr>
          <w:rFonts w:ascii="Arial" w:hAnsi="Arial" w:cs="Arial"/>
          <w:sz w:val="18"/>
          <w:szCs w:val="18"/>
        </w:rPr>
        <w:t>Review of energy storage technologies</w:t>
      </w:r>
      <w:r>
        <w:rPr>
          <w:rFonts w:ascii="Arial" w:hAnsi="Arial" w:cs="Arial"/>
          <w:sz w:val="18"/>
          <w:szCs w:val="18"/>
        </w:rPr>
        <w:t xml:space="preserve"> for sustainable power networks. Sustain Energy </w:t>
      </w:r>
      <w:proofErr w:type="spellStart"/>
      <w:r>
        <w:rPr>
          <w:rFonts w:ascii="Arial" w:hAnsi="Arial" w:cs="Arial"/>
          <w:sz w:val="18"/>
          <w:szCs w:val="18"/>
        </w:rPr>
        <w:t>Technol</w:t>
      </w:r>
      <w:proofErr w:type="spellEnd"/>
      <w:r>
        <w:rPr>
          <w:rFonts w:ascii="Arial" w:hAnsi="Arial" w:cs="Arial"/>
          <w:sz w:val="18"/>
          <w:szCs w:val="18"/>
        </w:rPr>
        <w:t xml:space="preserve"> Assess</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2014</w:t>
      </w:r>
      <w:r>
        <w:rPr>
          <w:rFonts w:ascii="Arial" w:hAnsi="Arial" w:cs="Arial"/>
          <w:sz w:val="18"/>
          <w:szCs w:val="18"/>
        </w:rPr>
        <w:t>;</w:t>
      </w:r>
      <w:r w:rsidR="00631FAF" w:rsidRPr="00583F6A">
        <w:rPr>
          <w:rFonts w:ascii="Arial" w:hAnsi="Arial" w:cs="Arial"/>
          <w:sz w:val="18"/>
          <w:szCs w:val="18"/>
        </w:rPr>
        <w:t>8</w:t>
      </w:r>
      <w:r>
        <w:rPr>
          <w:rFonts w:ascii="Arial" w:hAnsi="Arial" w:cs="Arial"/>
          <w:sz w:val="18"/>
          <w:szCs w:val="18"/>
        </w:rPr>
        <w:t>:74</w:t>
      </w:r>
      <w:proofErr w:type="gramEnd"/>
      <w:r>
        <w:rPr>
          <w:rFonts w:ascii="Arial" w:hAnsi="Arial" w:cs="Arial"/>
          <w:sz w:val="18"/>
          <w:szCs w:val="18"/>
        </w:rPr>
        <w:t>-91. https://doi.org/1</w:t>
      </w:r>
      <w:r w:rsidR="00631FAF" w:rsidRPr="00583F6A">
        <w:rPr>
          <w:rFonts w:ascii="Arial" w:hAnsi="Arial" w:cs="Arial"/>
          <w:sz w:val="18"/>
          <w:szCs w:val="18"/>
        </w:rPr>
        <w:t>0.1016/j.seta.2014.07.004.</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[12] </w:t>
      </w:r>
      <w:r w:rsidR="00631FAF" w:rsidRPr="00583F6A">
        <w:rPr>
          <w:rFonts w:ascii="Arial" w:hAnsi="Arial" w:cs="Arial"/>
          <w:sz w:val="18"/>
          <w:szCs w:val="18"/>
        </w:rPr>
        <w:t>Luo</w:t>
      </w:r>
      <w:r>
        <w:rPr>
          <w:rFonts w:ascii="Arial" w:hAnsi="Arial" w:cs="Arial"/>
          <w:sz w:val="18"/>
          <w:szCs w:val="18"/>
        </w:rPr>
        <w:t xml:space="preserve"> X, </w:t>
      </w:r>
      <w:r w:rsidR="00631FAF" w:rsidRPr="00583F6A">
        <w:rPr>
          <w:rFonts w:ascii="Arial" w:hAnsi="Arial" w:cs="Arial"/>
          <w:sz w:val="18"/>
          <w:szCs w:val="18"/>
        </w:rPr>
        <w:t>Wang</w:t>
      </w:r>
      <w:r>
        <w:rPr>
          <w:rFonts w:ascii="Arial" w:hAnsi="Arial" w:cs="Arial"/>
          <w:sz w:val="18"/>
          <w:szCs w:val="18"/>
        </w:rPr>
        <w:t xml:space="preserve"> J, </w:t>
      </w:r>
      <w:proofErr w:type="spellStart"/>
      <w:r w:rsidR="00631FAF" w:rsidRPr="00583F6A">
        <w:rPr>
          <w:rFonts w:ascii="Arial" w:hAnsi="Arial" w:cs="Arial"/>
          <w:sz w:val="18"/>
          <w:szCs w:val="18"/>
        </w:rPr>
        <w:t>Dooner</w:t>
      </w:r>
      <w:proofErr w:type="spellEnd"/>
      <w:r>
        <w:rPr>
          <w:rFonts w:ascii="Arial" w:hAnsi="Arial" w:cs="Arial"/>
          <w:sz w:val="18"/>
          <w:szCs w:val="18"/>
        </w:rPr>
        <w:t xml:space="preserve"> M, </w:t>
      </w:r>
      <w:r w:rsidR="00631FAF" w:rsidRPr="00583F6A">
        <w:rPr>
          <w:rFonts w:ascii="Arial" w:hAnsi="Arial" w:cs="Arial"/>
          <w:sz w:val="18"/>
          <w:szCs w:val="18"/>
        </w:rPr>
        <w:t>Clarke</w:t>
      </w:r>
      <w:r>
        <w:rPr>
          <w:rFonts w:ascii="Arial" w:hAnsi="Arial" w:cs="Arial"/>
          <w:sz w:val="18"/>
          <w:szCs w:val="18"/>
        </w:rPr>
        <w:t xml:space="preserve"> J. </w:t>
      </w:r>
      <w:r w:rsidR="00631FAF" w:rsidRPr="00583F6A">
        <w:rPr>
          <w:rFonts w:ascii="Arial" w:hAnsi="Arial" w:cs="Arial"/>
          <w:sz w:val="18"/>
          <w:szCs w:val="18"/>
        </w:rPr>
        <w:t>Overview of current development in electrical energy storage technologies and the application pote</w:t>
      </w:r>
      <w:r>
        <w:rPr>
          <w:rFonts w:ascii="Arial" w:hAnsi="Arial" w:cs="Arial"/>
          <w:sz w:val="18"/>
          <w:szCs w:val="18"/>
        </w:rPr>
        <w:t xml:space="preserve">ntial in power system operation. </w:t>
      </w:r>
      <w:proofErr w:type="spellStart"/>
      <w:r>
        <w:rPr>
          <w:rFonts w:ascii="Arial" w:hAnsi="Arial" w:cs="Arial"/>
          <w:sz w:val="18"/>
          <w:szCs w:val="18"/>
        </w:rPr>
        <w:t>Appl</w:t>
      </w:r>
      <w:proofErr w:type="spellEnd"/>
      <w:r>
        <w:rPr>
          <w:rFonts w:ascii="Arial" w:hAnsi="Arial" w:cs="Arial"/>
          <w:sz w:val="18"/>
          <w:szCs w:val="18"/>
        </w:rPr>
        <w:t xml:space="preserve"> Energy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2015</w:t>
      </w:r>
      <w:r>
        <w:rPr>
          <w:rFonts w:ascii="Arial" w:hAnsi="Arial" w:cs="Arial"/>
          <w:sz w:val="18"/>
          <w:szCs w:val="18"/>
        </w:rPr>
        <w:t>;</w:t>
      </w:r>
      <w:r w:rsidR="00631FAF" w:rsidRPr="00583F6A">
        <w:rPr>
          <w:rFonts w:ascii="Arial" w:hAnsi="Arial" w:cs="Arial"/>
          <w:sz w:val="18"/>
          <w:szCs w:val="18"/>
        </w:rPr>
        <w:t>137</w:t>
      </w:r>
      <w:r>
        <w:rPr>
          <w:rFonts w:ascii="Arial" w:hAnsi="Arial" w:cs="Arial"/>
          <w:sz w:val="18"/>
          <w:szCs w:val="18"/>
        </w:rPr>
        <w:t>:511</w:t>
      </w:r>
      <w:proofErr w:type="gramEnd"/>
      <w:r>
        <w:rPr>
          <w:rFonts w:ascii="Arial" w:hAnsi="Arial" w:cs="Arial"/>
          <w:sz w:val="18"/>
          <w:szCs w:val="18"/>
        </w:rPr>
        <w:t>-36. https://doi.org/</w:t>
      </w:r>
      <w:r w:rsidR="00631FAF" w:rsidRPr="00583F6A">
        <w:rPr>
          <w:rFonts w:ascii="Arial" w:hAnsi="Arial" w:cs="Arial"/>
          <w:sz w:val="18"/>
          <w:szCs w:val="18"/>
        </w:rPr>
        <w:t>10.1016/j.apenergy.2014.09.081.</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[13] </w:t>
      </w:r>
      <w:proofErr w:type="spellStart"/>
      <w:r w:rsidR="00631FAF" w:rsidRPr="00583F6A">
        <w:rPr>
          <w:rFonts w:ascii="Arial" w:hAnsi="Arial" w:cs="Arial"/>
          <w:sz w:val="18"/>
          <w:szCs w:val="18"/>
        </w:rPr>
        <w:t>Guney</w:t>
      </w:r>
      <w:proofErr w:type="spellEnd"/>
      <w:r w:rsidR="00631FAF" w:rsidRPr="00583F6A">
        <w:rPr>
          <w:rFonts w:ascii="Arial" w:hAnsi="Arial" w:cs="Arial"/>
          <w:sz w:val="18"/>
          <w:szCs w:val="18"/>
        </w:rPr>
        <w:t xml:space="preserve"> </w:t>
      </w:r>
      <w:r>
        <w:rPr>
          <w:rFonts w:ascii="Arial" w:hAnsi="Arial" w:cs="Arial"/>
          <w:sz w:val="18"/>
          <w:szCs w:val="18"/>
        </w:rPr>
        <w:t>MS,</w:t>
      </w:r>
      <w:r w:rsidR="00631FAF" w:rsidRPr="00583F6A">
        <w:rPr>
          <w:rFonts w:ascii="Arial" w:hAnsi="Arial" w:cs="Arial"/>
          <w:sz w:val="18"/>
          <w:szCs w:val="18"/>
        </w:rPr>
        <w:t xml:space="preserve"> </w:t>
      </w:r>
      <w:proofErr w:type="spellStart"/>
      <w:r w:rsidR="00631FAF" w:rsidRPr="00583F6A">
        <w:rPr>
          <w:rFonts w:ascii="Arial" w:hAnsi="Arial" w:cs="Arial"/>
          <w:sz w:val="18"/>
          <w:szCs w:val="18"/>
        </w:rPr>
        <w:t>Tepe</w:t>
      </w:r>
      <w:proofErr w:type="spellEnd"/>
      <w:r>
        <w:rPr>
          <w:rFonts w:ascii="Arial" w:hAnsi="Arial" w:cs="Arial"/>
          <w:sz w:val="18"/>
          <w:szCs w:val="18"/>
        </w:rPr>
        <w:t xml:space="preserve"> Y. </w:t>
      </w:r>
      <w:r w:rsidR="00631FAF" w:rsidRPr="00583F6A">
        <w:rPr>
          <w:rFonts w:ascii="Arial" w:hAnsi="Arial" w:cs="Arial"/>
          <w:sz w:val="18"/>
          <w:szCs w:val="18"/>
        </w:rPr>
        <w:t>Classification and assessment of energy stora</w:t>
      </w:r>
      <w:r>
        <w:rPr>
          <w:rFonts w:ascii="Arial" w:hAnsi="Arial" w:cs="Arial"/>
          <w:sz w:val="18"/>
          <w:szCs w:val="18"/>
        </w:rPr>
        <w:t xml:space="preserve">ge systems. Renew Sustain Energy Rev </w:t>
      </w:r>
      <w:proofErr w:type="gramStart"/>
      <w:r w:rsidR="00631FAF" w:rsidRPr="00583F6A">
        <w:rPr>
          <w:rFonts w:ascii="Arial" w:hAnsi="Arial" w:cs="Arial"/>
          <w:sz w:val="18"/>
          <w:szCs w:val="18"/>
        </w:rPr>
        <w:t>2017</w:t>
      </w:r>
      <w:r>
        <w:rPr>
          <w:rFonts w:ascii="Arial" w:hAnsi="Arial" w:cs="Arial"/>
          <w:sz w:val="18"/>
          <w:szCs w:val="18"/>
        </w:rPr>
        <w:t>;</w:t>
      </w:r>
      <w:r w:rsidR="00631FAF" w:rsidRPr="00583F6A">
        <w:rPr>
          <w:rFonts w:ascii="Arial" w:hAnsi="Arial" w:cs="Arial"/>
          <w:sz w:val="18"/>
          <w:szCs w:val="18"/>
        </w:rPr>
        <w:t>75</w:t>
      </w:r>
      <w:r>
        <w:rPr>
          <w:rFonts w:ascii="Arial" w:hAnsi="Arial" w:cs="Arial"/>
          <w:sz w:val="18"/>
          <w:szCs w:val="18"/>
        </w:rPr>
        <w:t>:1187</w:t>
      </w:r>
      <w:proofErr w:type="gramEnd"/>
      <w:r>
        <w:rPr>
          <w:rFonts w:ascii="Arial" w:hAnsi="Arial" w:cs="Arial"/>
          <w:sz w:val="18"/>
          <w:szCs w:val="18"/>
        </w:rPr>
        <w:t>-97. https://doi.org/1</w:t>
      </w:r>
      <w:r w:rsidR="00631FAF" w:rsidRPr="00583F6A">
        <w:rPr>
          <w:rFonts w:ascii="Arial" w:hAnsi="Arial" w:cs="Arial"/>
          <w:sz w:val="18"/>
          <w:szCs w:val="18"/>
        </w:rPr>
        <w:t>0.1016/j.rser.2016.11.102.</w:t>
      </w:r>
    </w:p>
    <w:p w:rsidR="00631FAF" w:rsidRPr="00583F6A" w:rsidRDefault="00631FAF" w:rsidP="00631FAF">
      <w:pPr>
        <w:spacing w:after="0" w:line="360" w:lineRule="auto"/>
        <w:rPr>
          <w:rFonts w:ascii="Arial" w:hAnsi="Arial" w:cs="Arial"/>
          <w:sz w:val="18"/>
          <w:szCs w:val="18"/>
        </w:rPr>
      </w:pPr>
    </w:p>
    <w:p w:rsidR="00631FAF" w:rsidRPr="00583F6A" w:rsidRDefault="00690B49" w:rsidP="00631FAF">
      <w:pPr>
        <w:spacing w:after="0" w:line="360" w:lineRule="auto"/>
        <w:rPr>
          <w:rFonts w:ascii="Arial" w:hAnsi="Arial" w:cs="Arial"/>
          <w:sz w:val="18"/>
          <w:szCs w:val="18"/>
        </w:rPr>
      </w:pPr>
      <w:r>
        <w:rPr>
          <w:rFonts w:ascii="Arial" w:hAnsi="Arial" w:cs="Arial"/>
          <w:sz w:val="18"/>
          <w:szCs w:val="18"/>
        </w:rPr>
        <w:t xml:space="preserve">[14] </w:t>
      </w:r>
      <w:r w:rsidR="00631FAF" w:rsidRPr="00583F6A">
        <w:rPr>
          <w:rFonts w:ascii="Arial" w:hAnsi="Arial" w:cs="Arial"/>
          <w:sz w:val="18"/>
          <w:szCs w:val="18"/>
        </w:rPr>
        <w:t>Zhang</w:t>
      </w:r>
      <w:r>
        <w:rPr>
          <w:rFonts w:ascii="Arial" w:hAnsi="Arial" w:cs="Arial"/>
          <w:sz w:val="18"/>
          <w:szCs w:val="18"/>
        </w:rPr>
        <w:t xml:space="preserve"> C, </w:t>
      </w:r>
      <w:r w:rsidR="00631FAF" w:rsidRPr="00583F6A">
        <w:rPr>
          <w:rFonts w:ascii="Arial" w:hAnsi="Arial" w:cs="Arial"/>
          <w:sz w:val="18"/>
          <w:szCs w:val="18"/>
        </w:rPr>
        <w:t>Wei</w:t>
      </w:r>
      <w:r>
        <w:rPr>
          <w:rFonts w:ascii="Arial" w:hAnsi="Arial" w:cs="Arial"/>
          <w:sz w:val="18"/>
          <w:szCs w:val="18"/>
        </w:rPr>
        <w:t xml:space="preserve"> Y-L</w:t>
      </w:r>
      <w:r w:rsidR="00631FAF" w:rsidRPr="00583F6A">
        <w:rPr>
          <w:rFonts w:ascii="Arial" w:hAnsi="Arial" w:cs="Arial"/>
          <w:sz w:val="18"/>
          <w:szCs w:val="18"/>
        </w:rPr>
        <w:t>, Cao</w:t>
      </w:r>
      <w:r>
        <w:rPr>
          <w:rFonts w:ascii="Arial" w:hAnsi="Arial" w:cs="Arial"/>
          <w:sz w:val="18"/>
          <w:szCs w:val="18"/>
        </w:rPr>
        <w:t xml:space="preserve"> P-F</w:t>
      </w:r>
      <w:r w:rsidR="00631FAF" w:rsidRPr="00583F6A">
        <w:rPr>
          <w:rFonts w:ascii="Arial" w:hAnsi="Arial" w:cs="Arial"/>
          <w:sz w:val="18"/>
          <w:szCs w:val="18"/>
        </w:rPr>
        <w:t>, Lin</w:t>
      </w:r>
      <w:r>
        <w:rPr>
          <w:rFonts w:ascii="Arial" w:hAnsi="Arial" w:cs="Arial"/>
          <w:sz w:val="18"/>
          <w:szCs w:val="18"/>
        </w:rPr>
        <w:t xml:space="preserve"> M-C. </w:t>
      </w:r>
      <w:r w:rsidR="00631FAF" w:rsidRPr="00583F6A">
        <w:rPr>
          <w:rFonts w:ascii="Arial" w:hAnsi="Arial" w:cs="Arial"/>
          <w:sz w:val="18"/>
          <w:szCs w:val="18"/>
        </w:rPr>
        <w:t>Energy storage system: Current studies on batter</w:t>
      </w:r>
      <w:r>
        <w:rPr>
          <w:rFonts w:ascii="Arial" w:hAnsi="Arial" w:cs="Arial"/>
          <w:sz w:val="18"/>
          <w:szCs w:val="18"/>
        </w:rPr>
        <w:t>ies and power condition system. Renew Sustain</w:t>
      </w:r>
      <w:r w:rsidR="00631FAF" w:rsidRPr="00583F6A">
        <w:rPr>
          <w:rFonts w:ascii="Arial" w:hAnsi="Arial" w:cs="Arial"/>
          <w:sz w:val="18"/>
          <w:szCs w:val="18"/>
        </w:rPr>
        <w:t xml:space="preserve"> </w:t>
      </w:r>
      <w:r>
        <w:rPr>
          <w:rFonts w:ascii="Arial" w:hAnsi="Arial" w:cs="Arial"/>
          <w:sz w:val="18"/>
          <w:szCs w:val="18"/>
        </w:rPr>
        <w:t>Energy Rev</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w:t>
      </w:r>
      <w:r w:rsidR="00631FAF" w:rsidRPr="00583F6A">
        <w:rPr>
          <w:rFonts w:ascii="Arial" w:hAnsi="Arial" w:cs="Arial"/>
          <w:sz w:val="18"/>
          <w:szCs w:val="18"/>
        </w:rPr>
        <w:t>82</w:t>
      </w:r>
      <w:r>
        <w:rPr>
          <w:rFonts w:ascii="Arial" w:hAnsi="Arial" w:cs="Arial"/>
          <w:sz w:val="18"/>
          <w:szCs w:val="18"/>
        </w:rPr>
        <w:t>:3091</w:t>
      </w:r>
      <w:proofErr w:type="gramEnd"/>
      <w:r>
        <w:rPr>
          <w:rFonts w:ascii="Arial" w:hAnsi="Arial" w:cs="Arial"/>
          <w:sz w:val="18"/>
          <w:szCs w:val="18"/>
        </w:rPr>
        <w:t>-106.</w:t>
      </w:r>
      <w:r w:rsidR="00631FAF" w:rsidRPr="00583F6A">
        <w:rPr>
          <w:rFonts w:ascii="Arial" w:hAnsi="Arial" w:cs="Arial"/>
          <w:sz w:val="18"/>
          <w:szCs w:val="18"/>
        </w:rPr>
        <w:t xml:space="preserve"> </w:t>
      </w:r>
      <w:r>
        <w:rPr>
          <w:rFonts w:ascii="Arial" w:hAnsi="Arial" w:cs="Arial"/>
          <w:sz w:val="18"/>
          <w:szCs w:val="18"/>
        </w:rPr>
        <w:t>https://doi.org/</w:t>
      </w:r>
      <w:r w:rsidR="00631FAF" w:rsidRPr="00583F6A">
        <w:rPr>
          <w:rFonts w:ascii="Arial" w:hAnsi="Arial" w:cs="Arial"/>
          <w:sz w:val="18"/>
          <w:szCs w:val="18"/>
        </w:rPr>
        <w:t>10.1016/j.rser.2017.10.030.</w:t>
      </w:r>
    </w:p>
    <w:p w:rsidR="00631FAF" w:rsidRPr="00583F6A" w:rsidRDefault="00631FAF" w:rsidP="00631FAF">
      <w:pPr>
        <w:spacing w:after="0" w:line="360" w:lineRule="auto"/>
        <w:rPr>
          <w:rFonts w:ascii="Arial" w:hAnsi="Arial" w:cs="Arial"/>
          <w:sz w:val="18"/>
          <w:szCs w:val="18"/>
        </w:rPr>
      </w:pPr>
    </w:p>
    <w:p w:rsidR="00631FAF" w:rsidRPr="00583F6A" w:rsidRDefault="006D6E84" w:rsidP="00631FAF">
      <w:pPr>
        <w:spacing w:after="0" w:line="360" w:lineRule="auto"/>
        <w:rPr>
          <w:rFonts w:ascii="Arial" w:hAnsi="Arial" w:cs="Arial"/>
          <w:sz w:val="18"/>
          <w:szCs w:val="18"/>
        </w:rPr>
      </w:pPr>
      <w:r>
        <w:rPr>
          <w:rFonts w:ascii="Arial" w:hAnsi="Arial" w:cs="Arial"/>
          <w:sz w:val="18"/>
          <w:szCs w:val="18"/>
        </w:rPr>
        <w:t xml:space="preserve">[15] </w:t>
      </w:r>
      <w:proofErr w:type="spellStart"/>
      <w:r w:rsidR="00631FAF" w:rsidRPr="00583F6A">
        <w:rPr>
          <w:rFonts w:ascii="Arial" w:hAnsi="Arial" w:cs="Arial"/>
          <w:sz w:val="18"/>
          <w:szCs w:val="18"/>
        </w:rPr>
        <w:t>Pearre</w:t>
      </w:r>
      <w:proofErr w:type="spellEnd"/>
      <w:r>
        <w:rPr>
          <w:rFonts w:ascii="Arial" w:hAnsi="Arial" w:cs="Arial"/>
          <w:sz w:val="18"/>
          <w:szCs w:val="18"/>
        </w:rPr>
        <w:t xml:space="preserve"> NS, </w:t>
      </w:r>
      <w:r w:rsidR="00631FAF" w:rsidRPr="00583F6A">
        <w:rPr>
          <w:rFonts w:ascii="Arial" w:hAnsi="Arial" w:cs="Arial"/>
          <w:sz w:val="18"/>
          <w:szCs w:val="18"/>
        </w:rPr>
        <w:t>Swan</w:t>
      </w:r>
      <w:r>
        <w:rPr>
          <w:rFonts w:ascii="Arial" w:hAnsi="Arial" w:cs="Arial"/>
          <w:sz w:val="18"/>
          <w:szCs w:val="18"/>
        </w:rPr>
        <w:t xml:space="preserve"> LG. </w:t>
      </w:r>
      <w:proofErr w:type="spellStart"/>
      <w:r w:rsidR="00631FAF" w:rsidRPr="00583F6A">
        <w:rPr>
          <w:rFonts w:ascii="Arial" w:hAnsi="Arial" w:cs="Arial"/>
          <w:sz w:val="18"/>
          <w:szCs w:val="18"/>
        </w:rPr>
        <w:t>Technoeconomic</w:t>
      </w:r>
      <w:proofErr w:type="spellEnd"/>
      <w:r w:rsidR="00631FAF" w:rsidRPr="00583F6A">
        <w:rPr>
          <w:rFonts w:ascii="Arial" w:hAnsi="Arial" w:cs="Arial"/>
          <w:sz w:val="18"/>
          <w:szCs w:val="18"/>
        </w:rPr>
        <w:t xml:space="preserve"> feasibility of grid storage: Mapping electrical services </w:t>
      </w:r>
      <w:r>
        <w:rPr>
          <w:rFonts w:ascii="Arial" w:hAnsi="Arial" w:cs="Arial"/>
          <w:sz w:val="18"/>
          <w:szCs w:val="18"/>
        </w:rPr>
        <w:t xml:space="preserve">and energy storage technologies. </w:t>
      </w:r>
      <w:proofErr w:type="spellStart"/>
      <w:r>
        <w:rPr>
          <w:rFonts w:ascii="Arial" w:hAnsi="Arial" w:cs="Arial"/>
          <w:sz w:val="18"/>
          <w:szCs w:val="18"/>
        </w:rPr>
        <w:t>Appl</w:t>
      </w:r>
      <w:proofErr w:type="spellEnd"/>
      <w:r>
        <w:rPr>
          <w:rFonts w:ascii="Arial" w:hAnsi="Arial" w:cs="Arial"/>
          <w:sz w:val="18"/>
          <w:szCs w:val="18"/>
        </w:rPr>
        <w:t xml:space="preserve"> Energy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2015</w:t>
      </w:r>
      <w:r>
        <w:rPr>
          <w:rFonts w:ascii="Arial" w:hAnsi="Arial" w:cs="Arial"/>
          <w:sz w:val="18"/>
          <w:szCs w:val="18"/>
        </w:rPr>
        <w:t>;</w:t>
      </w:r>
      <w:r w:rsidR="00631FAF" w:rsidRPr="00583F6A">
        <w:rPr>
          <w:rFonts w:ascii="Arial" w:hAnsi="Arial" w:cs="Arial"/>
          <w:sz w:val="18"/>
          <w:szCs w:val="18"/>
        </w:rPr>
        <w:t>137</w:t>
      </w:r>
      <w:r>
        <w:rPr>
          <w:rFonts w:ascii="Arial" w:hAnsi="Arial" w:cs="Arial"/>
          <w:sz w:val="18"/>
          <w:szCs w:val="18"/>
        </w:rPr>
        <w:t>:501</w:t>
      </w:r>
      <w:proofErr w:type="gramEnd"/>
      <w:r>
        <w:rPr>
          <w:rFonts w:ascii="Arial" w:hAnsi="Arial" w:cs="Arial"/>
          <w:sz w:val="18"/>
          <w:szCs w:val="18"/>
        </w:rPr>
        <w:t>-</w:t>
      </w:r>
      <w:r w:rsidR="00631FAF" w:rsidRPr="00583F6A">
        <w:rPr>
          <w:rFonts w:ascii="Arial" w:hAnsi="Arial" w:cs="Arial"/>
          <w:sz w:val="18"/>
          <w:szCs w:val="18"/>
        </w:rPr>
        <w:t>1</w:t>
      </w:r>
      <w:r>
        <w:rPr>
          <w:rFonts w:ascii="Arial" w:hAnsi="Arial" w:cs="Arial"/>
          <w:sz w:val="18"/>
          <w:szCs w:val="18"/>
        </w:rPr>
        <w:t>1. https://doi.org/</w:t>
      </w:r>
      <w:r w:rsidR="00631FAF" w:rsidRPr="00583F6A">
        <w:rPr>
          <w:rFonts w:ascii="Arial" w:hAnsi="Arial" w:cs="Arial"/>
          <w:sz w:val="18"/>
          <w:szCs w:val="18"/>
        </w:rPr>
        <w:t>10.1016/j.apenergy.2014.04.050.</w:t>
      </w:r>
    </w:p>
    <w:p w:rsidR="00631FAF" w:rsidRPr="00583F6A" w:rsidRDefault="00631FAF" w:rsidP="00631FAF">
      <w:pPr>
        <w:spacing w:after="0" w:line="360" w:lineRule="auto"/>
        <w:rPr>
          <w:rFonts w:ascii="Arial" w:hAnsi="Arial" w:cs="Arial"/>
          <w:sz w:val="18"/>
          <w:szCs w:val="18"/>
        </w:rPr>
      </w:pPr>
    </w:p>
    <w:p w:rsidR="00631FAF" w:rsidRPr="00583F6A" w:rsidRDefault="006D6E84" w:rsidP="00631FAF">
      <w:pPr>
        <w:spacing w:after="0" w:line="360" w:lineRule="auto"/>
        <w:rPr>
          <w:rFonts w:ascii="Arial" w:hAnsi="Arial" w:cs="Arial"/>
          <w:sz w:val="18"/>
          <w:szCs w:val="18"/>
        </w:rPr>
      </w:pPr>
      <w:r>
        <w:rPr>
          <w:rFonts w:ascii="Arial" w:hAnsi="Arial" w:cs="Arial"/>
          <w:sz w:val="18"/>
          <w:szCs w:val="18"/>
        </w:rPr>
        <w:t xml:space="preserve">[16] </w:t>
      </w:r>
      <w:r w:rsidR="00631FAF" w:rsidRPr="00583F6A">
        <w:rPr>
          <w:rFonts w:ascii="Arial" w:hAnsi="Arial" w:cs="Arial"/>
          <w:sz w:val="18"/>
          <w:szCs w:val="18"/>
        </w:rPr>
        <w:t>Zhao</w:t>
      </w:r>
      <w:r>
        <w:rPr>
          <w:rFonts w:ascii="Arial" w:hAnsi="Arial" w:cs="Arial"/>
          <w:sz w:val="18"/>
          <w:szCs w:val="18"/>
        </w:rPr>
        <w:t xml:space="preserve"> H, </w:t>
      </w:r>
      <w:r w:rsidR="00631FAF" w:rsidRPr="00583F6A">
        <w:rPr>
          <w:rFonts w:ascii="Arial" w:hAnsi="Arial" w:cs="Arial"/>
          <w:sz w:val="18"/>
          <w:szCs w:val="18"/>
        </w:rPr>
        <w:t>Wu</w:t>
      </w:r>
      <w:r>
        <w:rPr>
          <w:rFonts w:ascii="Arial" w:hAnsi="Arial" w:cs="Arial"/>
          <w:sz w:val="18"/>
          <w:szCs w:val="18"/>
        </w:rPr>
        <w:t xml:space="preserve"> Q, </w:t>
      </w:r>
      <w:r w:rsidR="00631FAF" w:rsidRPr="00583F6A">
        <w:rPr>
          <w:rFonts w:ascii="Arial" w:hAnsi="Arial" w:cs="Arial"/>
          <w:sz w:val="18"/>
          <w:szCs w:val="18"/>
        </w:rPr>
        <w:t>Hu</w:t>
      </w:r>
      <w:r>
        <w:rPr>
          <w:rFonts w:ascii="Arial" w:hAnsi="Arial" w:cs="Arial"/>
          <w:sz w:val="18"/>
          <w:szCs w:val="18"/>
        </w:rPr>
        <w:t xml:space="preserve"> S, </w:t>
      </w:r>
      <w:r w:rsidR="00631FAF" w:rsidRPr="00583F6A">
        <w:rPr>
          <w:rFonts w:ascii="Arial" w:hAnsi="Arial" w:cs="Arial"/>
          <w:sz w:val="18"/>
          <w:szCs w:val="18"/>
        </w:rPr>
        <w:t>Xu</w:t>
      </w:r>
      <w:r>
        <w:rPr>
          <w:rFonts w:ascii="Arial" w:hAnsi="Arial" w:cs="Arial"/>
          <w:sz w:val="18"/>
          <w:szCs w:val="18"/>
        </w:rPr>
        <w:t xml:space="preserve"> H,</w:t>
      </w:r>
      <w:r w:rsidR="00631FAF" w:rsidRPr="00583F6A">
        <w:rPr>
          <w:rFonts w:ascii="Arial" w:hAnsi="Arial" w:cs="Arial"/>
          <w:sz w:val="18"/>
          <w:szCs w:val="18"/>
        </w:rPr>
        <w:t xml:space="preserve"> Rasmussen</w:t>
      </w:r>
      <w:r>
        <w:rPr>
          <w:rFonts w:ascii="Arial" w:hAnsi="Arial" w:cs="Arial"/>
          <w:sz w:val="18"/>
          <w:szCs w:val="18"/>
        </w:rPr>
        <w:t xml:space="preserve"> CN. </w:t>
      </w:r>
      <w:r w:rsidR="00631FAF" w:rsidRPr="00583F6A">
        <w:rPr>
          <w:rFonts w:ascii="Arial" w:hAnsi="Arial" w:cs="Arial"/>
          <w:sz w:val="18"/>
          <w:szCs w:val="18"/>
        </w:rPr>
        <w:t xml:space="preserve">Review of energy storage system for </w:t>
      </w:r>
      <w:r>
        <w:rPr>
          <w:rFonts w:ascii="Arial" w:hAnsi="Arial" w:cs="Arial"/>
          <w:sz w:val="18"/>
          <w:szCs w:val="18"/>
        </w:rPr>
        <w:t xml:space="preserve">wind power integration support. </w:t>
      </w:r>
      <w:proofErr w:type="spellStart"/>
      <w:r>
        <w:rPr>
          <w:rFonts w:ascii="Arial" w:hAnsi="Arial" w:cs="Arial"/>
          <w:sz w:val="18"/>
          <w:szCs w:val="18"/>
        </w:rPr>
        <w:t>Appl</w:t>
      </w:r>
      <w:proofErr w:type="spellEnd"/>
      <w:r>
        <w:rPr>
          <w:rFonts w:ascii="Arial" w:hAnsi="Arial" w:cs="Arial"/>
          <w:sz w:val="18"/>
          <w:szCs w:val="18"/>
        </w:rPr>
        <w:t xml:space="preserve"> Energy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2015</w:t>
      </w:r>
      <w:r>
        <w:rPr>
          <w:rFonts w:ascii="Arial" w:hAnsi="Arial" w:cs="Arial"/>
          <w:sz w:val="18"/>
          <w:szCs w:val="18"/>
        </w:rPr>
        <w:t>;</w:t>
      </w:r>
      <w:r w:rsidR="00631FAF" w:rsidRPr="00583F6A">
        <w:rPr>
          <w:rFonts w:ascii="Arial" w:hAnsi="Arial" w:cs="Arial"/>
          <w:sz w:val="18"/>
          <w:szCs w:val="18"/>
        </w:rPr>
        <w:t>137</w:t>
      </w:r>
      <w:r>
        <w:rPr>
          <w:rFonts w:ascii="Arial" w:hAnsi="Arial" w:cs="Arial"/>
          <w:sz w:val="18"/>
          <w:szCs w:val="18"/>
        </w:rPr>
        <w:t>:545</w:t>
      </w:r>
      <w:proofErr w:type="gramEnd"/>
      <w:r>
        <w:rPr>
          <w:rFonts w:ascii="Arial" w:hAnsi="Arial" w:cs="Arial"/>
          <w:sz w:val="18"/>
          <w:szCs w:val="18"/>
        </w:rPr>
        <w:t>-</w:t>
      </w:r>
      <w:r w:rsidR="00631FAF" w:rsidRPr="00583F6A">
        <w:rPr>
          <w:rFonts w:ascii="Arial" w:hAnsi="Arial" w:cs="Arial"/>
          <w:sz w:val="18"/>
          <w:szCs w:val="18"/>
        </w:rPr>
        <w:t>53</w:t>
      </w:r>
      <w:r>
        <w:rPr>
          <w:rFonts w:ascii="Arial" w:hAnsi="Arial" w:cs="Arial"/>
          <w:sz w:val="18"/>
          <w:szCs w:val="18"/>
        </w:rPr>
        <w:t>. https://doi.org/1</w:t>
      </w:r>
      <w:r w:rsidR="00631FAF" w:rsidRPr="00583F6A">
        <w:rPr>
          <w:rFonts w:ascii="Arial" w:hAnsi="Arial" w:cs="Arial"/>
          <w:sz w:val="18"/>
          <w:szCs w:val="18"/>
        </w:rPr>
        <w:t>0.1016/j.apenergy.2014.04.103.</w:t>
      </w:r>
    </w:p>
    <w:p w:rsidR="00631FAF" w:rsidRPr="00583F6A" w:rsidRDefault="00631FAF" w:rsidP="00631FAF">
      <w:pPr>
        <w:spacing w:after="0" w:line="360" w:lineRule="auto"/>
        <w:rPr>
          <w:rFonts w:ascii="Arial" w:hAnsi="Arial" w:cs="Arial"/>
          <w:sz w:val="18"/>
          <w:szCs w:val="18"/>
        </w:rPr>
      </w:pPr>
    </w:p>
    <w:p w:rsidR="00631FAF" w:rsidRPr="00583F6A" w:rsidRDefault="006D6E84" w:rsidP="00631FAF">
      <w:pPr>
        <w:spacing w:after="0" w:line="360" w:lineRule="auto"/>
        <w:rPr>
          <w:rFonts w:ascii="Arial" w:hAnsi="Arial" w:cs="Arial"/>
          <w:sz w:val="18"/>
          <w:szCs w:val="18"/>
        </w:rPr>
      </w:pPr>
      <w:r>
        <w:rPr>
          <w:rFonts w:ascii="Arial" w:hAnsi="Arial" w:cs="Arial"/>
          <w:sz w:val="18"/>
          <w:szCs w:val="18"/>
        </w:rPr>
        <w:t xml:space="preserve">[17] </w:t>
      </w:r>
      <w:r w:rsidR="00631FAF" w:rsidRPr="00583F6A">
        <w:rPr>
          <w:rFonts w:ascii="Arial" w:hAnsi="Arial" w:cs="Arial"/>
          <w:sz w:val="18"/>
          <w:szCs w:val="18"/>
        </w:rPr>
        <w:t xml:space="preserve">Günter </w:t>
      </w:r>
      <w:r>
        <w:rPr>
          <w:rFonts w:ascii="Arial" w:hAnsi="Arial" w:cs="Arial"/>
          <w:sz w:val="18"/>
          <w:szCs w:val="18"/>
        </w:rPr>
        <w:t xml:space="preserve">N, </w:t>
      </w:r>
      <w:proofErr w:type="spellStart"/>
      <w:r w:rsidR="00631FAF" w:rsidRPr="00583F6A">
        <w:rPr>
          <w:rFonts w:ascii="Arial" w:hAnsi="Arial" w:cs="Arial"/>
          <w:sz w:val="18"/>
          <w:szCs w:val="18"/>
        </w:rPr>
        <w:t>Marinopoulos</w:t>
      </w:r>
      <w:proofErr w:type="spellEnd"/>
      <w:r>
        <w:rPr>
          <w:rFonts w:ascii="Arial" w:hAnsi="Arial" w:cs="Arial"/>
          <w:sz w:val="18"/>
          <w:szCs w:val="18"/>
        </w:rPr>
        <w:t xml:space="preserve"> A. </w:t>
      </w:r>
      <w:r w:rsidR="00631FAF" w:rsidRPr="00583F6A">
        <w:rPr>
          <w:rFonts w:ascii="Arial" w:hAnsi="Arial" w:cs="Arial"/>
          <w:sz w:val="18"/>
          <w:szCs w:val="18"/>
        </w:rPr>
        <w:t>Energy storage for grid services and applications: Classification, market review, metrics, and methodology for</w:t>
      </w:r>
      <w:r>
        <w:rPr>
          <w:rFonts w:ascii="Arial" w:hAnsi="Arial" w:cs="Arial"/>
          <w:sz w:val="18"/>
          <w:szCs w:val="18"/>
        </w:rPr>
        <w:t xml:space="preserve"> evaluation of deployment cases. J Energy Storage</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2016</w:t>
      </w:r>
      <w:r>
        <w:rPr>
          <w:rFonts w:ascii="Arial" w:hAnsi="Arial" w:cs="Arial"/>
          <w:sz w:val="18"/>
          <w:szCs w:val="18"/>
        </w:rPr>
        <w:t>;</w:t>
      </w:r>
      <w:r w:rsidR="00631FAF" w:rsidRPr="00583F6A">
        <w:rPr>
          <w:rFonts w:ascii="Arial" w:hAnsi="Arial" w:cs="Arial"/>
          <w:sz w:val="18"/>
          <w:szCs w:val="18"/>
        </w:rPr>
        <w:t>8</w:t>
      </w:r>
      <w:r>
        <w:rPr>
          <w:rFonts w:ascii="Arial" w:hAnsi="Arial" w:cs="Arial"/>
          <w:sz w:val="18"/>
          <w:szCs w:val="18"/>
        </w:rPr>
        <w:t>:226</w:t>
      </w:r>
      <w:proofErr w:type="gramEnd"/>
      <w:r>
        <w:rPr>
          <w:rFonts w:ascii="Arial" w:hAnsi="Arial" w:cs="Arial"/>
          <w:sz w:val="18"/>
          <w:szCs w:val="18"/>
        </w:rPr>
        <w:t>-34. https://doi.org/</w:t>
      </w:r>
      <w:r w:rsidR="00631FAF" w:rsidRPr="00583F6A">
        <w:rPr>
          <w:rFonts w:ascii="Arial" w:hAnsi="Arial" w:cs="Arial"/>
          <w:sz w:val="18"/>
          <w:szCs w:val="18"/>
        </w:rPr>
        <w:t>10.1016/j.est.2016.08.011.</w:t>
      </w:r>
    </w:p>
    <w:p w:rsidR="00631FAF" w:rsidRPr="00583F6A" w:rsidRDefault="00631FAF" w:rsidP="00631FAF">
      <w:pPr>
        <w:spacing w:after="0" w:line="360" w:lineRule="auto"/>
        <w:rPr>
          <w:rFonts w:ascii="Arial" w:hAnsi="Arial" w:cs="Arial"/>
          <w:sz w:val="18"/>
          <w:szCs w:val="18"/>
        </w:rPr>
      </w:pPr>
    </w:p>
    <w:p w:rsidR="00631FAF" w:rsidRPr="00583F6A" w:rsidRDefault="00631FAF" w:rsidP="00631FAF">
      <w:pPr>
        <w:spacing w:after="0" w:line="360" w:lineRule="auto"/>
        <w:rPr>
          <w:rFonts w:ascii="Arial" w:hAnsi="Arial" w:cs="Arial"/>
          <w:sz w:val="18"/>
          <w:szCs w:val="18"/>
        </w:rPr>
      </w:pPr>
      <w:r w:rsidRPr="00583F6A">
        <w:rPr>
          <w:rFonts w:ascii="Arial" w:hAnsi="Arial" w:cs="Arial"/>
          <w:sz w:val="18"/>
          <w:szCs w:val="18"/>
        </w:rPr>
        <w:t xml:space="preserve">[18] </w:t>
      </w:r>
      <w:proofErr w:type="spellStart"/>
      <w:r w:rsidR="00A9761C">
        <w:rPr>
          <w:rFonts w:ascii="Arial" w:hAnsi="Arial" w:cs="Arial"/>
          <w:sz w:val="18"/>
          <w:szCs w:val="18"/>
        </w:rPr>
        <w:t>EirGrid</w:t>
      </w:r>
      <w:proofErr w:type="spellEnd"/>
      <w:r w:rsidR="00A9761C">
        <w:rPr>
          <w:rFonts w:ascii="Arial" w:hAnsi="Arial" w:cs="Arial"/>
          <w:sz w:val="18"/>
          <w:szCs w:val="18"/>
        </w:rPr>
        <w:t xml:space="preserve"> Group. </w:t>
      </w:r>
      <w:r w:rsidRPr="00583F6A">
        <w:rPr>
          <w:rFonts w:ascii="Arial" w:hAnsi="Arial" w:cs="Arial"/>
          <w:sz w:val="18"/>
          <w:szCs w:val="18"/>
        </w:rPr>
        <w:t>DS3 system services: Quantification trials proc</w:t>
      </w:r>
      <w:r w:rsidR="00A9761C">
        <w:rPr>
          <w:rFonts w:ascii="Arial" w:hAnsi="Arial" w:cs="Arial"/>
          <w:sz w:val="18"/>
          <w:szCs w:val="18"/>
        </w:rPr>
        <w:t xml:space="preserve">ess outcomes and learnings 2017, </w:t>
      </w:r>
      <w:r w:rsidRPr="00583F6A">
        <w:rPr>
          <w:rFonts w:ascii="Arial" w:hAnsi="Arial" w:cs="Arial"/>
          <w:sz w:val="18"/>
          <w:szCs w:val="18"/>
        </w:rPr>
        <w:t>http://www.eirgridgroup.com/site-files/library/EirGrid/DS3-System-Services-Qualification-Trials-Process-</w:t>
      </w:r>
      <w:r w:rsidR="00A9761C">
        <w:rPr>
          <w:rFonts w:ascii="Arial" w:hAnsi="Arial" w:cs="Arial"/>
          <w:sz w:val="18"/>
          <w:szCs w:val="18"/>
        </w:rPr>
        <w:t>Outcomes-and-Learnings-2017.pdf;</w:t>
      </w:r>
      <w:r w:rsidRPr="00583F6A">
        <w:rPr>
          <w:rFonts w:ascii="Arial" w:hAnsi="Arial" w:cs="Arial"/>
          <w:sz w:val="18"/>
          <w:szCs w:val="18"/>
        </w:rPr>
        <w:t xml:space="preserve"> 2017 [accessed 1 March 2019].</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t xml:space="preserve">[19] </w:t>
      </w:r>
      <w:proofErr w:type="spellStart"/>
      <w:r w:rsidR="00631FAF" w:rsidRPr="00583F6A">
        <w:rPr>
          <w:rFonts w:ascii="Arial" w:hAnsi="Arial" w:cs="Arial"/>
          <w:sz w:val="18"/>
          <w:szCs w:val="18"/>
        </w:rPr>
        <w:t>Rohit</w:t>
      </w:r>
      <w:proofErr w:type="spellEnd"/>
      <w:r>
        <w:rPr>
          <w:rFonts w:ascii="Arial" w:hAnsi="Arial" w:cs="Arial"/>
          <w:sz w:val="18"/>
          <w:szCs w:val="18"/>
        </w:rPr>
        <w:t xml:space="preserve"> AK, </w:t>
      </w:r>
      <w:proofErr w:type="spellStart"/>
      <w:r w:rsidR="00631FAF" w:rsidRPr="00583F6A">
        <w:rPr>
          <w:rFonts w:ascii="Arial" w:hAnsi="Arial" w:cs="Arial"/>
          <w:sz w:val="18"/>
          <w:szCs w:val="18"/>
        </w:rPr>
        <w:t>Rangnekar</w:t>
      </w:r>
      <w:proofErr w:type="spellEnd"/>
      <w:r>
        <w:rPr>
          <w:rFonts w:ascii="Arial" w:hAnsi="Arial" w:cs="Arial"/>
          <w:sz w:val="18"/>
          <w:szCs w:val="18"/>
        </w:rPr>
        <w:t xml:space="preserve"> S. </w:t>
      </w:r>
      <w:r w:rsidR="00631FAF" w:rsidRPr="00583F6A">
        <w:rPr>
          <w:rFonts w:ascii="Arial" w:hAnsi="Arial" w:cs="Arial"/>
          <w:sz w:val="18"/>
          <w:szCs w:val="18"/>
        </w:rPr>
        <w:t>An overview of energy storage and its importance in Indian renewable energy sector: Part II – energy storage applications</w:t>
      </w:r>
      <w:r>
        <w:rPr>
          <w:rFonts w:ascii="Arial" w:hAnsi="Arial" w:cs="Arial"/>
          <w:sz w:val="18"/>
          <w:szCs w:val="18"/>
        </w:rPr>
        <w:t>, benefits and market potential. J Energy Storage</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2017</w:t>
      </w:r>
      <w:r>
        <w:rPr>
          <w:rFonts w:ascii="Arial" w:hAnsi="Arial" w:cs="Arial"/>
          <w:sz w:val="18"/>
          <w:szCs w:val="18"/>
        </w:rPr>
        <w:t>;</w:t>
      </w:r>
      <w:r w:rsidR="00631FAF" w:rsidRPr="00583F6A">
        <w:rPr>
          <w:rFonts w:ascii="Arial" w:hAnsi="Arial" w:cs="Arial"/>
          <w:sz w:val="18"/>
          <w:szCs w:val="18"/>
        </w:rPr>
        <w:t>13</w:t>
      </w:r>
      <w:r>
        <w:rPr>
          <w:rFonts w:ascii="Arial" w:hAnsi="Arial" w:cs="Arial"/>
          <w:sz w:val="18"/>
          <w:szCs w:val="18"/>
        </w:rPr>
        <w:t>:447</w:t>
      </w:r>
      <w:proofErr w:type="gramEnd"/>
      <w:r>
        <w:rPr>
          <w:rFonts w:ascii="Arial" w:hAnsi="Arial" w:cs="Arial"/>
          <w:sz w:val="18"/>
          <w:szCs w:val="18"/>
        </w:rPr>
        <w:t>-56. https://doi.org/</w:t>
      </w:r>
      <w:r w:rsidR="00631FAF" w:rsidRPr="00583F6A">
        <w:rPr>
          <w:rFonts w:ascii="Arial" w:hAnsi="Arial" w:cs="Arial"/>
          <w:sz w:val="18"/>
          <w:szCs w:val="18"/>
        </w:rPr>
        <w:t>10.1016/j.est.2017.07.012.</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EirGrid</w:t>
      </w:r>
      <w:proofErr w:type="spellEnd"/>
      <w:r>
        <w:rPr>
          <w:rFonts w:ascii="Arial" w:hAnsi="Arial" w:cs="Arial"/>
          <w:sz w:val="18"/>
          <w:szCs w:val="18"/>
        </w:rPr>
        <w:t xml:space="preserve"> Group. Smart grid dashboard,</w:t>
      </w:r>
      <w:r w:rsidR="00631FAF" w:rsidRPr="00583F6A">
        <w:rPr>
          <w:rFonts w:ascii="Arial" w:hAnsi="Arial" w:cs="Arial"/>
          <w:sz w:val="18"/>
          <w:szCs w:val="18"/>
        </w:rPr>
        <w:t xml:space="preserve"> http://</w:t>
      </w:r>
      <w:r>
        <w:rPr>
          <w:rFonts w:ascii="Arial" w:hAnsi="Arial" w:cs="Arial"/>
          <w:sz w:val="18"/>
          <w:szCs w:val="18"/>
        </w:rPr>
        <w:t>smartgriddashboard.eirgrid.com/;</w:t>
      </w:r>
      <w:r w:rsidR="00631FAF" w:rsidRPr="00583F6A">
        <w:rPr>
          <w:rFonts w:ascii="Arial" w:hAnsi="Arial" w:cs="Arial"/>
          <w:sz w:val="18"/>
          <w:szCs w:val="18"/>
        </w:rPr>
        <w:t xml:space="preserve"> 2019 [accessed 14 Feb</w:t>
      </w:r>
      <w:r>
        <w:rPr>
          <w:rFonts w:ascii="Arial" w:hAnsi="Arial" w:cs="Arial"/>
          <w:sz w:val="18"/>
          <w:szCs w:val="18"/>
        </w:rPr>
        <w:t>ruary</w:t>
      </w:r>
      <w:r w:rsidR="00631FAF"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t xml:space="preserve">[21] </w:t>
      </w:r>
      <w:proofErr w:type="spellStart"/>
      <w:r w:rsidR="00631FAF" w:rsidRPr="00583F6A">
        <w:rPr>
          <w:rFonts w:ascii="Arial" w:hAnsi="Arial" w:cs="Arial"/>
          <w:sz w:val="18"/>
          <w:szCs w:val="18"/>
        </w:rPr>
        <w:t>Weniger</w:t>
      </w:r>
      <w:proofErr w:type="spellEnd"/>
      <w:r>
        <w:rPr>
          <w:rFonts w:ascii="Arial" w:hAnsi="Arial" w:cs="Arial"/>
          <w:sz w:val="18"/>
          <w:szCs w:val="18"/>
        </w:rPr>
        <w:t xml:space="preserve"> J, </w:t>
      </w:r>
      <w:proofErr w:type="spellStart"/>
      <w:r w:rsidR="00631FAF" w:rsidRPr="00583F6A">
        <w:rPr>
          <w:rFonts w:ascii="Arial" w:hAnsi="Arial" w:cs="Arial"/>
          <w:sz w:val="18"/>
          <w:szCs w:val="18"/>
        </w:rPr>
        <w:t>Tjaden</w:t>
      </w:r>
      <w:proofErr w:type="spellEnd"/>
      <w:r>
        <w:rPr>
          <w:rFonts w:ascii="Arial" w:hAnsi="Arial" w:cs="Arial"/>
          <w:sz w:val="18"/>
          <w:szCs w:val="18"/>
        </w:rPr>
        <w:t xml:space="preserve"> T, </w:t>
      </w:r>
      <w:proofErr w:type="spellStart"/>
      <w:r w:rsidR="00631FAF" w:rsidRPr="00583F6A">
        <w:rPr>
          <w:rFonts w:ascii="Arial" w:hAnsi="Arial" w:cs="Arial"/>
          <w:sz w:val="18"/>
          <w:szCs w:val="18"/>
        </w:rPr>
        <w:t>Quaschning</w:t>
      </w:r>
      <w:proofErr w:type="spellEnd"/>
      <w:r>
        <w:rPr>
          <w:rFonts w:ascii="Arial" w:hAnsi="Arial" w:cs="Arial"/>
          <w:sz w:val="18"/>
          <w:szCs w:val="18"/>
        </w:rPr>
        <w:t xml:space="preserve"> V. </w:t>
      </w:r>
      <w:r w:rsidR="00631FAF" w:rsidRPr="00583F6A">
        <w:rPr>
          <w:rFonts w:ascii="Arial" w:hAnsi="Arial" w:cs="Arial"/>
          <w:sz w:val="18"/>
          <w:szCs w:val="18"/>
        </w:rPr>
        <w:t xml:space="preserve">Sizing of </w:t>
      </w:r>
      <w:r>
        <w:rPr>
          <w:rFonts w:ascii="Arial" w:hAnsi="Arial" w:cs="Arial"/>
          <w:sz w:val="18"/>
          <w:szCs w:val="18"/>
        </w:rPr>
        <w:t>residential PV battery systems.</w:t>
      </w:r>
      <w:r w:rsidR="00631FAF" w:rsidRPr="00583F6A">
        <w:rPr>
          <w:rFonts w:ascii="Arial" w:hAnsi="Arial" w:cs="Arial"/>
          <w:sz w:val="18"/>
          <w:szCs w:val="18"/>
        </w:rPr>
        <w:t xml:space="preserve"> </w:t>
      </w:r>
      <w:r>
        <w:rPr>
          <w:rFonts w:ascii="Arial" w:hAnsi="Arial" w:cs="Arial"/>
          <w:sz w:val="18"/>
          <w:szCs w:val="18"/>
        </w:rPr>
        <w:t>Energy Procedia</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2014</w:t>
      </w:r>
      <w:r>
        <w:rPr>
          <w:rFonts w:ascii="Arial" w:hAnsi="Arial" w:cs="Arial"/>
          <w:sz w:val="18"/>
          <w:szCs w:val="18"/>
        </w:rPr>
        <w:t>;</w:t>
      </w:r>
      <w:r w:rsidR="00631FAF" w:rsidRPr="00583F6A">
        <w:rPr>
          <w:rFonts w:ascii="Arial" w:hAnsi="Arial" w:cs="Arial"/>
          <w:sz w:val="18"/>
          <w:szCs w:val="18"/>
        </w:rPr>
        <w:t>46</w:t>
      </w:r>
      <w:r>
        <w:rPr>
          <w:rFonts w:ascii="Arial" w:hAnsi="Arial" w:cs="Arial"/>
          <w:sz w:val="18"/>
          <w:szCs w:val="18"/>
        </w:rPr>
        <w:t>:78</w:t>
      </w:r>
      <w:proofErr w:type="gramEnd"/>
      <w:r>
        <w:rPr>
          <w:rFonts w:ascii="Arial" w:hAnsi="Arial" w:cs="Arial"/>
          <w:sz w:val="18"/>
          <w:szCs w:val="18"/>
        </w:rPr>
        <w:t>-87. https://doi.org/1</w:t>
      </w:r>
      <w:r w:rsidR="00631FAF" w:rsidRPr="00583F6A">
        <w:rPr>
          <w:rFonts w:ascii="Arial" w:hAnsi="Arial" w:cs="Arial"/>
          <w:sz w:val="18"/>
          <w:szCs w:val="18"/>
        </w:rPr>
        <w:t>0.1016/j.egypro.2014.01.160.</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t xml:space="preserve">[22] </w:t>
      </w:r>
      <w:r w:rsidR="00631FAF" w:rsidRPr="00583F6A">
        <w:rPr>
          <w:rFonts w:ascii="Arial" w:hAnsi="Arial" w:cs="Arial"/>
          <w:sz w:val="18"/>
          <w:szCs w:val="18"/>
        </w:rPr>
        <w:t>Wu</w:t>
      </w:r>
      <w:r>
        <w:rPr>
          <w:rFonts w:ascii="Arial" w:hAnsi="Arial" w:cs="Arial"/>
          <w:sz w:val="18"/>
          <w:szCs w:val="18"/>
        </w:rPr>
        <w:t xml:space="preserve"> D, </w:t>
      </w:r>
      <w:proofErr w:type="spellStart"/>
      <w:r w:rsidR="00631FAF" w:rsidRPr="00583F6A">
        <w:rPr>
          <w:rFonts w:ascii="Arial" w:hAnsi="Arial" w:cs="Arial"/>
          <w:sz w:val="18"/>
          <w:szCs w:val="18"/>
        </w:rPr>
        <w:t>Kinter</w:t>
      </w:r>
      <w:proofErr w:type="spellEnd"/>
      <w:r w:rsidR="00631FAF" w:rsidRPr="00583F6A">
        <w:rPr>
          <w:rFonts w:ascii="Arial" w:hAnsi="Arial" w:cs="Arial"/>
          <w:sz w:val="18"/>
          <w:szCs w:val="18"/>
        </w:rPr>
        <w:t>-Meyer</w:t>
      </w:r>
      <w:r>
        <w:rPr>
          <w:rFonts w:ascii="Arial" w:hAnsi="Arial" w:cs="Arial"/>
          <w:sz w:val="18"/>
          <w:szCs w:val="18"/>
        </w:rPr>
        <w:t xml:space="preserve"> M, </w:t>
      </w:r>
      <w:r w:rsidR="00631FAF" w:rsidRPr="00583F6A">
        <w:rPr>
          <w:rFonts w:ascii="Arial" w:hAnsi="Arial" w:cs="Arial"/>
          <w:sz w:val="18"/>
          <w:szCs w:val="18"/>
        </w:rPr>
        <w:t>Yang</w:t>
      </w:r>
      <w:r>
        <w:rPr>
          <w:rFonts w:ascii="Arial" w:hAnsi="Arial" w:cs="Arial"/>
          <w:sz w:val="18"/>
          <w:szCs w:val="18"/>
        </w:rPr>
        <w:t xml:space="preserve"> T, </w:t>
      </w:r>
      <w:proofErr w:type="spellStart"/>
      <w:r w:rsidR="00631FAF" w:rsidRPr="00583F6A">
        <w:rPr>
          <w:rFonts w:ascii="Arial" w:hAnsi="Arial" w:cs="Arial"/>
          <w:sz w:val="18"/>
          <w:szCs w:val="18"/>
        </w:rPr>
        <w:t>Balducci</w:t>
      </w:r>
      <w:proofErr w:type="spellEnd"/>
      <w:r>
        <w:rPr>
          <w:rFonts w:ascii="Arial" w:hAnsi="Arial" w:cs="Arial"/>
          <w:sz w:val="18"/>
          <w:szCs w:val="18"/>
        </w:rPr>
        <w:t xml:space="preserve"> P. </w:t>
      </w:r>
      <w:r w:rsidR="00631FAF" w:rsidRPr="00583F6A">
        <w:rPr>
          <w:rFonts w:ascii="Arial" w:hAnsi="Arial" w:cs="Arial"/>
          <w:sz w:val="18"/>
          <w:szCs w:val="18"/>
        </w:rPr>
        <w:t>Analytical sizing methods for be</w:t>
      </w:r>
      <w:r>
        <w:rPr>
          <w:rFonts w:ascii="Arial" w:hAnsi="Arial" w:cs="Arial"/>
          <w:sz w:val="18"/>
          <w:szCs w:val="18"/>
        </w:rPr>
        <w:t>hind-the-meter battery storage. J</w:t>
      </w:r>
      <w:r w:rsidR="00631FAF" w:rsidRPr="00583F6A">
        <w:rPr>
          <w:rFonts w:ascii="Arial" w:hAnsi="Arial" w:cs="Arial"/>
          <w:sz w:val="18"/>
          <w:szCs w:val="18"/>
        </w:rPr>
        <w:t xml:space="preserve"> Energy Storage </w:t>
      </w:r>
      <w:proofErr w:type="gramStart"/>
      <w:r w:rsidR="00631FAF" w:rsidRPr="00583F6A">
        <w:rPr>
          <w:rFonts w:ascii="Arial" w:hAnsi="Arial" w:cs="Arial"/>
          <w:sz w:val="18"/>
          <w:szCs w:val="18"/>
        </w:rPr>
        <w:t>2017</w:t>
      </w:r>
      <w:r>
        <w:rPr>
          <w:rFonts w:ascii="Arial" w:hAnsi="Arial" w:cs="Arial"/>
          <w:sz w:val="18"/>
          <w:szCs w:val="18"/>
        </w:rPr>
        <w:t>;</w:t>
      </w:r>
      <w:r w:rsidR="00631FAF" w:rsidRPr="00583F6A">
        <w:rPr>
          <w:rFonts w:ascii="Arial" w:hAnsi="Arial" w:cs="Arial"/>
          <w:sz w:val="18"/>
          <w:szCs w:val="18"/>
        </w:rPr>
        <w:t>12</w:t>
      </w:r>
      <w:r>
        <w:rPr>
          <w:rFonts w:ascii="Arial" w:hAnsi="Arial" w:cs="Arial"/>
          <w:sz w:val="18"/>
          <w:szCs w:val="18"/>
        </w:rPr>
        <w:t>:297</w:t>
      </w:r>
      <w:proofErr w:type="gramEnd"/>
      <w:r>
        <w:rPr>
          <w:rFonts w:ascii="Arial" w:hAnsi="Arial" w:cs="Arial"/>
          <w:sz w:val="18"/>
          <w:szCs w:val="18"/>
        </w:rPr>
        <w:t>-304. https://doi.org/</w:t>
      </w:r>
      <w:r w:rsidR="00631FAF" w:rsidRPr="00583F6A">
        <w:rPr>
          <w:rFonts w:ascii="Arial" w:hAnsi="Arial" w:cs="Arial"/>
          <w:sz w:val="18"/>
          <w:szCs w:val="18"/>
        </w:rPr>
        <w:t>10.1016/j.est.2017.04.009.</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lastRenderedPageBreak/>
        <w:t xml:space="preserve">[23] </w:t>
      </w:r>
      <w:proofErr w:type="spellStart"/>
      <w:r w:rsidR="00631FAF" w:rsidRPr="00583F6A">
        <w:rPr>
          <w:rFonts w:ascii="Arial" w:hAnsi="Arial" w:cs="Arial"/>
          <w:sz w:val="18"/>
          <w:szCs w:val="18"/>
        </w:rPr>
        <w:t>Frate</w:t>
      </w:r>
      <w:proofErr w:type="spellEnd"/>
      <w:r>
        <w:rPr>
          <w:rFonts w:ascii="Arial" w:hAnsi="Arial" w:cs="Arial"/>
          <w:sz w:val="18"/>
          <w:szCs w:val="18"/>
        </w:rPr>
        <w:t xml:space="preserve"> GF, </w:t>
      </w:r>
      <w:proofErr w:type="spellStart"/>
      <w:r w:rsidR="00631FAF" w:rsidRPr="00583F6A">
        <w:rPr>
          <w:rFonts w:ascii="Arial" w:hAnsi="Arial" w:cs="Arial"/>
          <w:sz w:val="18"/>
          <w:szCs w:val="18"/>
        </w:rPr>
        <w:t>Carro</w:t>
      </w:r>
      <w:proofErr w:type="spellEnd"/>
      <w:r>
        <w:rPr>
          <w:rFonts w:ascii="Arial" w:hAnsi="Arial" w:cs="Arial"/>
          <w:sz w:val="18"/>
          <w:szCs w:val="18"/>
        </w:rPr>
        <w:t xml:space="preserve"> PP, </w:t>
      </w:r>
      <w:r w:rsidR="00631FAF" w:rsidRPr="00583F6A">
        <w:rPr>
          <w:rFonts w:ascii="Arial" w:hAnsi="Arial" w:cs="Arial"/>
          <w:sz w:val="18"/>
          <w:szCs w:val="18"/>
        </w:rPr>
        <w:t>Ferrari</w:t>
      </w:r>
      <w:r>
        <w:rPr>
          <w:rFonts w:ascii="Arial" w:hAnsi="Arial" w:cs="Arial"/>
          <w:sz w:val="18"/>
          <w:szCs w:val="18"/>
        </w:rPr>
        <w:t xml:space="preserve"> L, </w:t>
      </w:r>
      <w:proofErr w:type="spellStart"/>
      <w:r w:rsidR="00631FAF" w:rsidRPr="00583F6A">
        <w:rPr>
          <w:rFonts w:ascii="Arial" w:hAnsi="Arial" w:cs="Arial"/>
          <w:sz w:val="18"/>
          <w:szCs w:val="18"/>
        </w:rPr>
        <w:t>Desideri</w:t>
      </w:r>
      <w:proofErr w:type="spellEnd"/>
      <w:r>
        <w:rPr>
          <w:rFonts w:ascii="Arial" w:hAnsi="Arial" w:cs="Arial"/>
          <w:sz w:val="18"/>
          <w:szCs w:val="18"/>
        </w:rPr>
        <w:t xml:space="preserve"> U. </w:t>
      </w:r>
      <w:r w:rsidR="00631FAF" w:rsidRPr="00583F6A">
        <w:rPr>
          <w:rFonts w:ascii="Arial" w:hAnsi="Arial" w:cs="Arial"/>
          <w:sz w:val="18"/>
          <w:szCs w:val="18"/>
        </w:rPr>
        <w:t>Techno-economic sizing of a battery energy storage coupled to a wi</w:t>
      </w:r>
      <w:r>
        <w:rPr>
          <w:rFonts w:ascii="Arial" w:hAnsi="Arial" w:cs="Arial"/>
          <w:sz w:val="18"/>
          <w:szCs w:val="18"/>
        </w:rPr>
        <w:t>nd farm: An Italian case study. Energy Procedia</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;148:447</w:t>
      </w:r>
      <w:proofErr w:type="gramEnd"/>
      <w:r>
        <w:rPr>
          <w:rFonts w:ascii="Arial" w:hAnsi="Arial" w:cs="Arial"/>
          <w:sz w:val="18"/>
          <w:szCs w:val="18"/>
        </w:rPr>
        <w:t>-54. https://doi.org/</w:t>
      </w:r>
      <w:r w:rsidR="00631FAF" w:rsidRPr="00583F6A">
        <w:rPr>
          <w:rFonts w:ascii="Arial" w:hAnsi="Arial" w:cs="Arial"/>
          <w:sz w:val="18"/>
          <w:szCs w:val="18"/>
        </w:rPr>
        <w:t>10.1016/j.egypro.2018.08.119.</w:t>
      </w:r>
    </w:p>
    <w:p w:rsidR="00631FAF" w:rsidRPr="00583F6A" w:rsidRDefault="00631FAF" w:rsidP="00631FAF">
      <w:pPr>
        <w:spacing w:after="0" w:line="360" w:lineRule="auto"/>
        <w:rPr>
          <w:rFonts w:ascii="Arial" w:hAnsi="Arial" w:cs="Arial"/>
          <w:sz w:val="18"/>
          <w:szCs w:val="18"/>
        </w:rPr>
      </w:pPr>
    </w:p>
    <w:p w:rsidR="00631FAF" w:rsidRPr="00583F6A" w:rsidRDefault="00A9761C" w:rsidP="00631FAF">
      <w:pPr>
        <w:spacing w:after="0" w:line="360" w:lineRule="auto"/>
        <w:rPr>
          <w:rFonts w:ascii="Arial" w:hAnsi="Arial" w:cs="Arial"/>
          <w:sz w:val="18"/>
          <w:szCs w:val="18"/>
        </w:rPr>
      </w:pPr>
      <w:r>
        <w:rPr>
          <w:rFonts w:ascii="Arial" w:hAnsi="Arial" w:cs="Arial"/>
          <w:sz w:val="18"/>
          <w:szCs w:val="18"/>
        </w:rPr>
        <w:t>[24] Chen H, Cong TN, Yang W, Tan C, Li Y, Ding Y.</w:t>
      </w:r>
      <w:r w:rsidR="00BB04AC">
        <w:rPr>
          <w:rFonts w:ascii="Arial" w:hAnsi="Arial" w:cs="Arial"/>
          <w:sz w:val="18"/>
          <w:szCs w:val="18"/>
        </w:rPr>
        <w:t xml:space="preserve"> </w:t>
      </w:r>
      <w:r w:rsidR="00631FAF" w:rsidRPr="00583F6A">
        <w:rPr>
          <w:rFonts w:ascii="Arial" w:hAnsi="Arial" w:cs="Arial"/>
          <w:sz w:val="18"/>
          <w:szCs w:val="18"/>
        </w:rPr>
        <w:t>Progress in electrical energy storage system: A critical review</w:t>
      </w:r>
      <w:r w:rsidR="00BB04AC">
        <w:rPr>
          <w:rFonts w:ascii="Arial" w:hAnsi="Arial" w:cs="Arial"/>
          <w:sz w:val="18"/>
          <w:szCs w:val="18"/>
        </w:rPr>
        <w:t xml:space="preserve">. </w:t>
      </w:r>
      <w:proofErr w:type="spellStart"/>
      <w:r w:rsidR="00BB04AC">
        <w:rPr>
          <w:rFonts w:ascii="Arial" w:hAnsi="Arial" w:cs="Arial"/>
          <w:sz w:val="18"/>
          <w:szCs w:val="18"/>
        </w:rPr>
        <w:t>Prog</w:t>
      </w:r>
      <w:proofErr w:type="spellEnd"/>
      <w:r w:rsidR="00BB04AC">
        <w:rPr>
          <w:rFonts w:ascii="Arial" w:hAnsi="Arial" w:cs="Arial"/>
          <w:sz w:val="18"/>
          <w:szCs w:val="18"/>
        </w:rPr>
        <w:t xml:space="preserve"> Nat </w:t>
      </w:r>
      <w:proofErr w:type="spellStart"/>
      <w:r w:rsidR="00BB04AC">
        <w:rPr>
          <w:rFonts w:ascii="Arial" w:hAnsi="Arial" w:cs="Arial"/>
          <w:sz w:val="18"/>
          <w:szCs w:val="18"/>
        </w:rPr>
        <w:t>Sci</w:t>
      </w:r>
      <w:proofErr w:type="spellEnd"/>
      <w:r w:rsidR="00631FAF" w:rsidRPr="00583F6A">
        <w:rPr>
          <w:rFonts w:ascii="Arial" w:hAnsi="Arial" w:cs="Arial"/>
          <w:sz w:val="18"/>
          <w:szCs w:val="18"/>
        </w:rPr>
        <w:t xml:space="preserve"> </w:t>
      </w:r>
      <w:proofErr w:type="gramStart"/>
      <w:r w:rsidR="00631FAF" w:rsidRPr="00583F6A">
        <w:rPr>
          <w:rFonts w:ascii="Arial" w:hAnsi="Arial" w:cs="Arial"/>
          <w:sz w:val="18"/>
          <w:szCs w:val="18"/>
        </w:rPr>
        <w:t>2009</w:t>
      </w:r>
      <w:r w:rsidR="00BB04AC">
        <w:rPr>
          <w:rFonts w:ascii="Arial" w:hAnsi="Arial" w:cs="Arial"/>
          <w:sz w:val="18"/>
          <w:szCs w:val="18"/>
        </w:rPr>
        <w:t>;</w:t>
      </w:r>
      <w:r w:rsidR="00631FAF" w:rsidRPr="00583F6A">
        <w:rPr>
          <w:rFonts w:ascii="Arial" w:hAnsi="Arial" w:cs="Arial"/>
          <w:sz w:val="18"/>
          <w:szCs w:val="18"/>
        </w:rPr>
        <w:t>19</w:t>
      </w:r>
      <w:r w:rsidR="00BB04AC">
        <w:rPr>
          <w:rFonts w:ascii="Arial" w:hAnsi="Arial" w:cs="Arial"/>
          <w:sz w:val="18"/>
          <w:szCs w:val="18"/>
        </w:rPr>
        <w:t>:</w:t>
      </w:r>
      <w:r w:rsidR="00631FAF" w:rsidRPr="00583F6A">
        <w:rPr>
          <w:rFonts w:ascii="Arial" w:hAnsi="Arial" w:cs="Arial"/>
          <w:sz w:val="18"/>
          <w:szCs w:val="18"/>
        </w:rPr>
        <w:t>291</w:t>
      </w:r>
      <w:proofErr w:type="gramEnd"/>
      <w:r w:rsidR="00631FAF" w:rsidRPr="00583F6A">
        <w:rPr>
          <w:rFonts w:ascii="Arial" w:hAnsi="Arial" w:cs="Arial"/>
          <w:sz w:val="18"/>
          <w:szCs w:val="18"/>
        </w:rPr>
        <w:t>-312</w:t>
      </w:r>
      <w:r w:rsidR="00BB04AC">
        <w:rPr>
          <w:rFonts w:ascii="Arial" w:hAnsi="Arial" w:cs="Arial"/>
          <w:sz w:val="18"/>
          <w:szCs w:val="18"/>
        </w:rPr>
        <w:t>. https://doi.org/</w:t>
      </w:r>
      <w:r w:rsidR="00631FAF" w:rsidRPr="00583F6A">
        <w:rPr>
          <w:rFonts w:ascii="Arial" w:hAnsi="Arial" w:cs="Arial"/>
          <w:sz w:val="18"/>
          <w:szCs w:val="18"/>
        </w:rPr>
        <w:t>10.1016/j.pnsc.2008.07.014.</w:t>
      </w:r>
    </w:p>
    <w:p w:rsidR="00631FAF" w:rsidRPr="00583F6A" w:rsidRDefault="00631FAF" w:rsidP="00631FAF">
      <w:pPr>
        <w:spacing w:after="0" w:line="360" w:lineRule="auto"/>
        <w:rPr>
          <w:rFonts w:ascii="Arial" w:hAnsi="Arial" w:cs="Arial"/>
          <w:sz w:val="18"/>
          <w:szCs w:val="18"/>
        </w:rPr>
      </w:pPr>
    </w:p>
    <w:p w:rsidR="00631FAF" w:rsidRPr="00583F6A" w:rsidRDefault="00631FAF" w:rsidP="00631FAF">
      <w:pPr>
        <w:spacing w:after="0" w:line="360" w:lineRule="auto"/>
        <w:rPr>
          <w:rFonts w:ascii="Arial" w:hAnsi="Arial" w:cs="Arial"/>
          <w:sz w:val="18"/>
          <w:szCs w:val="18"/>
        </w:rPr>
      </w:pPr>
      <w:r w:rsidRPr="00583F6A">
        <w:rPr>
          <w:rFonts w:ascii="Arial" w:hAnsi="Arial" w:cs="Arial"/>
          <w:sz w:val="18"/>
          <w:szCs w:val="18"/>
        </w:rPr>
        <w:t xml:space="preserve">[25] </w:t>
      </w:r>
      <w:proofErr w:type="spellStart"/>
      <w:r w:rsidRPr="00583F6A">
        <w:rPr>
          <w:rFonts w:ascii="Arial" w:hAnsi="Arial" w:cs="Arial"/>
          <w:sz w:val="18"/>
          <w:szCs w:val="18"/>
        </w:rPr>
        <w:t>Leadbetter</w:t>
      </w:r>
      <w:proofErr w:type="spellEnd"/>
      <w:r w:rsidR="00BB04AC">
        <w:rPr>
          <w:rFonts w:ascii="Arial" w:hAnsi="Arial" w:cs="Arial"/>
          <w:sz w:val="18"/>
          <w:szCs w:val="18"/>
        </w:rPr>
        <w:t xml:space="preserve"> J, </w:t>
      </w:r>
      <w:r w:rsidRPr="00583F6A">
        <w:rPr>
          <w:rFonts w:ascii="Arial" w:hAnsi="Arial" w:cs="Arial"/>
          <w:sz w:val="18"/>
          <w:szCs w:val="18"/>
        </w:rPr>
        <w:t>Swan</w:t>
      </w:r>
      <w:r w:rsidR="00BB04AC">
        <w:rPr>
          <w:rFonts w:ascii="Arial" w:hAnsi="Arial" w:cs="Arial"/>
          <w:sz w:val="18"/>
          <w:szCs w:val="18"/>
        </w:rPr>
        <w:t xml:space="preserve"> LG. </w:t>
      </w:r>
      <w:r w:rsidRPr="00583F6A">
        <w:rPr>
          <w:rFonts w:ascii="Arial" w:hAnsi="Arial" w:cs="Arial"/>
          <w:sz w:val="18"/>
          <w:szCs w:val="18"/>
        </w:rPr>
        <w:t>Selection of battery technology to support grid-in</w:t>
      </w:r>
      <w:r w:rsidR="00BB04AC">
        <w:rPr>
          <w:rFonts w:ascii="Arial" w:hAnsi="Arial" w:cs="Arial"/>
          <w:sz w:val="18"/>
          <w:szCs w:val="18"/>
        </w:rPr>
        <w:t>tegrated renewable electricity. J Power Sources</w:t>
      </w:r>
      <w:r w:rsidRPr="00583F6A">
        <w:rPr>
          <w:rFonts w:ascii="Arial" w:hAnsi="Arial" w:cs="Arial"/>
          <w:sz w:val="18"/>
          <w:szCs w:val="18"/>
        </w:rPr>
        <w:t xml:space="preserve"> </w:t>
      </w:r>
      <w:proofErr w:type="gramStart"/>
      <w:r w:rsidRPr="00583F6A">
        <w:rPr>
          <w:rFonts w:ascii="Arial" w:hAnsi="Arial" w:cs="Arial"/>
          <w:sz w:val="18"/>
          <w:szCs w:val="18"/>
        </w:rPr>
        <w:t>2012</w:t>
      </w:r>
      <w:r w:rsidR="00BB04AC">
        <w:rPr>
          <w:rFonts w:ascii="Arial" w:hAnsi="Arial" w:cs="Arial"/>
          <w:sz w:val="18"/>
          <w:szCs w:val="18"/>
        </w:rPr>
        <w:t>;</w:t>
      </w:r>
      <w:r w:rsidRPr="00583F6A">
        <w:rPr>
          <w:rFonts w:ascii="Arial" w:hAnsi="Arial" w:cs="Arial"/>
          <w:sz w:val="18"/>
          <w:szCs w:val="18"/>
        </w:rPr>
        <w:t>216</w:t>
      </w:r>
      <w:r w:rsidR="00BB04AC">
        <w:rPr>
          <w:rFonts w:ascii="Arial" w:hAnsi="Arial" w:cs="Arial"/>
          <w:sz w:val="18"/>
          <w:szCs w:val="18"/>
        </w:rPr>
        <w:t>:376</w:t>
      </w:r>
      <w:proofErr w:type="gramEnd"/>
      <w:r w:rsidR="00BB04AC">
        <w:rPr>
          <w:rFonts w:ascii="Arial" w:hAnsi="Arial" w:cs="Arial"/>
          <w:sz w:val="18"/>
          <w:szCs w:val="18"/>
        </w:rPr>
        <w:t>-</w:t>
      </w:r>
      <w:r w:rsidRPr="00583F6A">
        <w:rPr>
          <w:rFonts w:ascii="Arial" w:hAnsi="Arial" w:cs="Arial"/>
          <w:sz w:val="18"/>
          <w:szCs w:val="18"/>
        </w:rPr>
        <w:t>86</w:t>
      </w:r>
      <w:r w:rsidR="00BB04AC">
        <w:rPr>
          <w:rFonts w:ascii="Arial" w:hAnsi="Arial" w:cs="Arial"/>
          <w:sz w:val="18"/>
          <w:szCs w:val="18"/>
        </w:rPr>
        <w:t>. https://doi.org/</w:t>
      </w:r>
      <w:r w:rsidRPr="00583F6A">
        <w:rPr>
          <w:rFonts w:ascii="Arial" w:hAnsi="Arial" w:cs="Arial"/>
          <w:sz w:val="18"/>
          <w:szCs w:val="18"/>
        </w:rPr>
        <w:t>10.1016/j.jpowsour.2012.05.081.</w:t>
      </w:r>
    </w:p>
    <w:p w:rsidR="00631FAF" w:rsidRPr="00583F6A" w:rsidRDefault="00631FAF" w:rsidP="00631FAF">
      <w:pPr>
        <w:spacing w:after="0" w:line="360" w:lineRule="auto"/>
        <w:rPr>
          <w:rFonts w:ascii="Arial" w:hAnsi="Arial" w:cs="Arial"/>
          <w:sz w:val="18"/>
          <w:szCs w:val="18"/>
        </w:rPr>
      </w:pPr>
    </w:p>
    <w:p w:rsidR="00631FAF" w:rsidRPr="00583F6A" w:rsidRDefault="00BB04AC" w:rsidP="00631FAF">
      <w:pPr>
        <w:spacing w:after="0" w:line="360" w:lineRule="auto"/>
        <w:rPr>
          <w:rFonts w:ascii="Arial" w:hAnsi="Arial" w:cs="Arial"/>
          <w:sz w:val="18"/>
          <w:szCs w:val="18"/>
        </w:rPr>
      </w:pPr>
      <w:r>
        <w:rPr>
          <w:rFonts w:ascii="Arial" w:hAnsi="Arial" w:cs="Arial"/>
          <w:sz w:val="18"/>
          <w:szCs w:val="18"/>
        </w:rPr>
        <w:t xml:space="preserve">[26] </w:t>
      </w:r>
      <w:r w:rsidR="00631FAF" w:rsidRPr="00583F6A">
        <w:rPr>
          <w:rFonts w:ascii="Arial" w:hAnsi="Arial" w:cs="Arial"/>
          <w:sz w:val="18"/>
          <w:szCs w:val="18"/>
        </w:rPr>
        <w:t>Zheng</w:t>
      </w:r>
      <w:r>
        <w:rPr>
          <w:rFonts w:ascii="Arial" w:hAnsi="Arial" w:cs="Arial"/>
          <w:sz w:val="18"/>
          <w:szCs w:val="18"/>
        </w:rPr>
        <w:t xml:space="preserve"> M, </w:t>
      </w:r>
      <w:proofErr w:type="spellStart"/>
      <w:r w:rsidR="00631FAF" w:rsidRPr="00583F6A">
        <w:rPr>
          <w:rFonts w:ascii="Arial" w:hAnsi="Arial" w:cs="Arial"/>
          <w:sz w:val="18"/>
          <w:szCs w:val="18"/>
        </w:rPr>
        <w:t>Meinrenken</w:t>
      </w:r>
      <w:proofErr w:type="spellEnd"/>
      <w:r>
        <w:rPr>
          <w:rFonts w:ascii="Arial" w:hAnsi="Arial" w:cs="Arial"/>
          <w:sz w:val="18"/>
          <w:szCs w:val="18"/>
        </w:rPr>
        <w:t xml:space="preserve"> CJ</w:t>
      </w:r>
      <w:r w:rsidR="00631FAF" w:rsidRPr="00583F6A">
        <w:rPr>
          <w:rFonts w:ascii="Arial" w:hAnsi="Arial" w:cs="Arial"/>
          <w:sz w:val="18"/>
          <w:szCs w:val="18"/>
        </w:rPr>
        <w:t xml:space="preserve">, </w:t>
      </w:r>
      <w:proofErr w:type="spellStart"/>
      <w:r w:rsidR="00631FAF" w:rsidRPr="00583F6A">
        <w:rPr>
          <w:rFonts w:ascii="Arial" w:hAnsi="Arial" w:cs="Arial"/>
          <w:sz w:val="18"/>
          <w:szCs w:val="18"/>
        </w:rPr>
        <w:t>Lackner</w:t>
      </w:r>
      <w:proofErr w:type="spellEnd"/>
      <w:r>
        <w:rPr>
          <w:rFonts w:ascii="Arial" w:hAnsi="Arial" w:cs="Arial"/>
          <w:sz w:val="18"/>
          <w:szCs w:val="18"/>
        </w:rPr>
        <w:t xml:space="preserve"> K. </w:t>
      </w:r>
      <w:r w:rsidR="00631FAF" w:rsidRPr="00583F6A">
        <w:rPr>
          <w:rFonts w:ascii="Arial" w:hAnsi="Arial" w:cs="Arial"/>
          <w:sz w:val="18"/>
          <w:szCs w:val="18"/>
        </w:rPr>
        <w:t>Agent-based model for electricity consumption and storage to evaluate economic viability of tariff arbitrage for res</w:t>
      </w:r>
      <w:r>
        <w:rPr>
          <w:rFonts w:ascii="Arial" w:hAnsi="Arial" w:cs="Arial"/>
          <w:sz w:val="18"/>
          <w:szCs w:val="18"/>
        </w:rPr>
        <w:t xml:space="preserve">idential sector demand response. </w:t>
      </w:r>
      <w:proofErr w:type="spellStart"/>
      <w:r>
        <w:rPr>
          <w:rFonts w:ascii="Arial" w:hAnsi="Arial" w:cs="Arial"/>
          <w:sz w:val="18"/>
          <w:szCs w:val="18"/>
        </w:rPr>
        <w:t>Appl</w:t>
      </w:r>
      <w:proofErr w:type="spellEnd"/>
      <w:r>
        <w:rPr>
          <w:rFonts w:ascii="Arial" w:hAnsi="Arial" w:cs="Arial"/>
          <w:sz w:val="18"/>
          <w:szCs w:val="18"/>
        </w:rPr>
        <w:t xml:space="preserve"> Energy </w:t>
      </w:r>
      <w:proofErr w:type="gramStart"/>
      <w:r>
        <w:rPr>
          <w:rFonts w:ascii="Arial" w:hAnsi="Arial" w:cs="Arial"/>
          <w:sz w:val="18"/>
          <w:szCs w:val="18"/>
        </w:rPr>
        <w:t>2014;</w:t>
      </w:r>
      <w:r w:rsidR="00631FAF" w:rsidRPr="00583F6A">
        <w:rPr>
          <w:rFonts w:ascii="Arial" w:hAnsi="Arial" w:cs="Arial"/>
          <w:sz w:val="18"/>
          <w:szCs w:val="18"/>
        </w:rPr>
        <w:t>126</w:t>
      </w:r>
      <w:r>
        <w:rPr>
          <w:rFonts w:ascii="Arial" w:hAnsi="Arial" w:cs="Arial"/>
          <w:sz w:val="18"/>
          <w:szCs w:val="18"/>
        </w:rPr>
        <w:t>:297</w:t>
      </w:r>
      <w:proofErr w:type="gramEnd"/>
      <w:r>
        <w:rPr>
          <w:rFonts w:ascii="Arial" w:hAnsi="Arial" w:cs="Arial"/>
          <w:sz w:val="18"/>
          <w:szCs w:val="18"/>
        </w:rPr>
        <w:t>-306. https://doi.org/10</w:t>
      </w:r>
      <w:r w:rsidR="00631FAF" w:rsidRPr="00583F6A">
        <w:rPr>
          <w:rFonts w:ascii="Arial" w:hAnsi="Arial" w:cs="Arial"/>
          <w:sz w:val="18"/>
          <w:szCs w:val="18"/>
        </w:rPr>
        <w:t>.1016/j.apenergy.2014.04.022.</w:t>
      </w:r>
    </w:p>
    <w:p w:rsidR="00631FAF" w:rsidRPr="00583F6A" w:rsidRDefault="00631FAF" w:rsidP="00631FAF">
      <w:pPr>
        <w:spacing w:after="0" w:line="360" w:lineRule="auto"/>
        <w:rPr>
          <w:rFonts w:ascii="Arial" w:hAnsi="Arial" w:cs="Arial"/>
          <w:sz w:val="18"/>
          <w:szCs w:val="18"/>
        </w:rPr>
      </w:pPr>
    </w:p>
    <w:p w:rsidR="00631FAF" w:rsidRPr="00583F6A" w:rsidRDefault="00BB04AC" w:rsidP="00631FAF">
      <w:pPr>
        <w:spacing w:after="0" w:line="360" w:lineRule="auto"/>
        <w:rPr>
          <w:rFonts w:ascii="Arial" w:hAnsi="Arial" w:cs="Arial"/>
          <w:sz w:val="18"/>
          <w:szCs w:val="18"/>
        </w:rPr>
      </w:pPr>
      <w:r>
        <w:rPr>
          <w:rFonts w:ascii="Arial" w:hAnsi="Arial" w:cs="Arial"/>
          <w:sz w:val="18"/>
          <w:szCs w:val="18"/>
        </w:rPr>
        <w:t xml:space="preserve">[27] </w:t>
      </w:r>
      <w:proofErr w:type="spellStart"/>
      <w:r w:rsidR="00631FAF" w:rsidRPr="00583F6A">
        <w:rPr>
          <w:rFonts w:ascii="Arial" w:hAnsi="Arial" w:cs="Arial"/>
          <w:sz w:val="18"/>
          <w:szCs w:val="18"/>
        </w:rPr>
        <w:t>Graditi</w:t>
      </w:r>
      <w:proofErr w:type="spellEnd"/>
      <w:r>
        <w:rPr>
          <w:rFonts w:ascii="Arial" w:hAnsi="Arial" w:cs="Arial"/>
          <w:sz w:val="18"/>
          <w:szCs w:val="18"/>
        </w:rPr>
        <w:t xml:space="preserve"> G</w:t>
      </w:r>
      <w:r w:rsidR="00631FAF" w:rsidRPr="00583F6A">
        <w:rPr>
          <w:rFonts w:ascii="Arial" w:hAnsi="Arial" w:cs="Arial"/>
          <w:sz w:val="18"/>
          <w:szCs w:val="18"/>
        </w:rPr>
        <w:t xml:space="preserve">, </w:t>
      </w:r>
      <w:proofErr w:type="spellStart"/>
      <w:r w:rsidR="00631FAF" w:rsidRPr="00583F6A">
        <w:rPr>
          <w:rFonts w:ascii="Arial" w:hAnsi="Arial" w:cs="Arial"/>
          <w:sz w:val="18"/>
          <w:szCs w:val="18"/>
        </w:rPr>
        <w:t>Ippolito</w:t>
      </w:r>
      <w:proofErr w:type="spellEnd"/>
      <w:r>
        <w:rPr>
          <w:rFonts w:ascii="Arial" w:hAnsi="Arial" w:cs="Arial"/>
          <w:sz w:val="18"/>
          <w:szCs w:val="18"/>
        </w:rPr>
        <w:t xml:space="preserve"> MG, </w:t>
      </w:r>
      <w:proofErr w:type="spellStart"/>
      <w:r w:rsidR="00631FAF" w:rsidRPr="00583F6A">
        <w:rPr>
          <w:rFonts w:ascii="Arial" w:hAnsi="Arial" w:cs="Arial"/>
          <w:sz w:val="18"/>
          <w:szCs w:val="18"/>
        </w:rPr>
        <w:t>Telaretti</w:t>
      </w:r>
      <w:proofErr w:type="spellEnd"/>
      <w:r>
        <w:rPr>
          <w:rFonts w:ascii="Arial" w:hAnsi="Arial" w:cs="Arial"/>
          <w:sz w:val="18"/>
          <w:szCs w:val="18"/>
        </w:rPr>
        <w:t xml:space="preserve"> E, </w:t>
      </w:r>
      <w:proofErr w:type="spellStart"/>
      <w:r w:rsidR="00631FAF" w:rsidRPr="00583F6A">
        <w:rPr>
          <w:rFonts w:ascii="Arial" w:hAnsi="Arial" w:cs="Arial"/>
          <w:sz w:val="18"/>
          <w:szCs w:val="18"/>
        </w:rPr>
        <w:t>Zizzo</w:t>
      </w:r>
      <w:proofErr w:type="spellEnd"/>
      <w:r>
        <w:rPr>
          <w:rFonts w:ascii="Arial" w:hAnsi="Arial" w:cs="Arial"/>
          <w:sz w:val="18"/>
          <w:szCs w:val="18"/>
        </w:rPr>
        <w:t xml:space="preserve"> G. </w:t>
      </w:r>
      <w:r w:rsidR="00631FAF" w:rsidRPr="00583F6A">
        <w:rPr>
          <w:rFonts w:ascii="Arial" w:hAnsi="Arial" w:cs="Arial"/>
          <w:sz w:val="18"/>
          <w:szCs w:val="18"/>
        </w:rPr>
        <w:t>Technical and economical assessment of distributed electrochemical storages for load shifting appl</w:t>
      </w:r>
      <w:r>
        <w:rPr>
          <w:rFonts w:ascii="Arial" w:hAnsi="Arial" w:cs="Arial"/>
          <w:sz w:val="18"/>
          <w:szCs w:val="18"/>
        </w:rPr>
        <w:t>ications: An Italian case study. Renew Sustain Energy Rev</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2016</w:t>
      </w:r>
      <w:r>
        <w:rPr>
          <w:rFonts w:ascii="Arial" w:hAnsi="Arial" w:cs="Arial"/>
          <w:sz w:val="18"/>
          <w:szCs w:val="18"/>
        </w:rPr>
        <w:t>;</w:t>
      </w:r>
      <w:r w:rsidR="00631FAF" w:rsidRPr="00583F6A">
        <w:rPr>
          <w:rFonts w:ascii="Arial" w:hAnsi="Arial" w:cs="Arial"/>
          <w:sz w:val="18"/>
          <w:szCs w:val="18"/>
        </w:rPr>
        <w:t>57</w:t>
      </w:r>
      <w:r>
        <w:rPr>
          <w:rFonts w:ascii="Arial" w:hAnsi="Arial" w:cs="Arial"/>
          <w:sz w:val="18"/>
          <w:szCs w:val="18"/>
        </w:rPr>
        <w:t>:515</w:t>
      </w:r>
      <w:proofErr w:type="gramEnd"/>
      <w:r>
        <w:rPr>
          <w:rFonts w:ascii="Arial" w:hAnsi="Arial" w:cs="Arial"/>
          <w:sz w:val="18"/>
          <w:szCs w:val="18"/>
        </w:rPr>
        <w:t>-23. https://doi.org/</w:t>
      </w:r>
      <w:r w:rsidR="00631FAF" w:rsidRPr="00583F6A">
        <w:rPr>
          <w:rFonts w:ascii="Arial" w:hAnsi="Arial" w:cs="Arial"/>
          <w:sz w:val="18"/>
          <w:szCs w:val="18"/>
        </w:rPr>
        <w:t>10.1016/j.rser.2015.12.195.</w:t>
      </w:r>
    </w:p>
    <w:p w:rsidR="00631FAF" w:rsidRPr="00583F6A" w:rsidRDefault="00631FAF" w:rsidP="00631FAF">
      <w:pPr>
        <w:spacing w:after="0" w:line="360" w:lineRule="auto"/>
        <w:rPr>
          <w:rFonts w:ascii="Arial" w:hAnsi="Arial" w:cs="Arial"/>
          <w:sz w:val="18"/>
          <w:szCs w:val="18"/>
        </w:rPr>
      </w:pPr>
    </w:p>
    <w:p w:rsidR="00631FAF" w:rsidRPr="00583F6A" w:rsidRDefault="00BB04AC" w:rsidP="00631FAF">
      <w:pPr>
        <w:spacing w:after="0" w:line="360" w:lineRule="auto"/>
        <w:rPr>
          <w:rFonts w:ascii="Arial" w:hAnsi="Arial" w:cs="Arial"/>
          <w:sz w:val="18"/>
          <w:szCs w:val="18"/>
        </w:rPr>
      </w:pPr>
      <w:r>
        <w:rPr>
          <w:rFonts w:ascii="Arial" w:hAnsi="Arial" w:cs="Arial"/>
          <w:sz w:val="18"/>
          <w:szCs w:val="18"/>
        </w:rPr>
        <w:t xml:space="preserve">[28] </w:t>
      </w:r>
      <w:r w:rsidR="00631FAF" w:rsidRPr="00583F6A">
        <w:rPr>
          <w:rFonts w:ascii="Arial" w:hAnsi="Arial" w:cs="Arial"/>
          <w:sz w:val="18"/>
          <w:szCs w:val="18"/>
        </w:rPr>
        <w:t xml:space="preserve">Metz </w:t>
      </w:r>
      <w:r>
        <w:rPr>
          <w:rFonts w:ascii="Arial" w:hAnsi="Arial" w:cs="Arial"/>
          <w:sz w:val="18"/>
          <w:szCs w:val="18"/>
        </w:rPr>
        <w:t xml:space="preserve">D, </w:t>
      </w:r>
      <w:proofErr w:type="spellStart"/>
      <w:r w:rsidR="00631FAF" w:rsidRPr="00583F6A">
        <w:rPr>
          <w:rFonts w:ascii="Arial" w:hAnsi="Arial" w:cs="Arial"/>
          <w:sz w:val="18"/>
          <w:szCs w:val="18"/>
        </w:rPr>
        <w:t>Saraiva</w:t>
      </w:r>
      <w:proofErr w:type="spellEnd"/>
      <w:r>
        <w:rPr>
          <w:rFonts w:ascii="Arial" w:hAnsi="Arial" w:cs="Arial"/>
          <w:sz w:val="18"/>
          <w:szCs w:val="18"/>
        </w:rPr>
        <w:t xml:space="preserve"> JT. </w:t>
      </w:r>
      <w:r w:rsidR="00631FAF" w:rsidRPr="00583F6A">
        <w:rPr>
          <w:rFonts w:ascii="Arial" w:hAnsi="Arial" w:cs="Arial"/>
          <w:sz w:val="18"/>
          <w:szCs w:val="18"/>
        </w:rPr>
        <w:t>Use of battery storage systems for price arbitrage operations in the 15- and</w:t>
      </w:r>
      <w:r>
        <w:rPr>
          <w:rFonts w:ascii="Arial" w:hAnsi="Arial" w:cs="Arial"/>
          <w:sz w:val="18"/>
          <w:szCs w:val="18"/>
        </w:rPr>
        <w:t xml:space="preserve"> 60-min German intraday markets. </w:t>
      </w:r>
      <w:proofErr w:type="spellStart"/>
      <w:r>
        <w:rPr>
          <w:rFonts w:ascii="Arial" w:hAnsi="Arial" w:cs="Arial"/>
          <w:sz w:val="18"/>
          <w:szCs w:val="18"/>
        </w:rPr>
        <w:t>Electr</w:t>
      </w:r>
      <w:proofErr w:type="spellEnd"/>
      <w:r>
        <w:rPr>
          <w:rFonts w:ascii="Arial" w:hAnsi="Arial" w:cs="Arial"/>
          <w:sz w:val="18"/>
          <w:szCs w:val="18"/>
        </w:rPr>
        <w:t xml:space="preserve"> Power </w:t>
      </w:r>
      <w:proofErr w:type="spellStart"/>
      <w:r>
        <w:rPr>
          <w:rFonts w:ascii="Arial" w:hAnsi="Arial" w:cs="Arial"/>
          <w:sz w:val="18"/>
          <w:szCs w:val="18"/>
        </w:rPr>
        <w:t>Syst</w:t>
      </w:r>
      <w:proofErr w:type="spellEnd"/>
      <w:r>
        <w:rPr>
          <w:rFonts w:ascii="Arial" w:hAnsi="Arial" w:cs="Arial"/>
          <w:sz w:val="18"/>
          <w:szCs w:val="18"/>
        </w:rPr>
        <w:t xml:space="preserve"> Res</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w:t>
      </w:r>
      <w:r w:rsidR="00631FAF" w:rsidRPr="00583F6A">
        <w:rPr>
          <w:rFonts w:ascii="Arial" w:hAnsi="Arial" w:cs="Arial"/>
          <w:sz w:val="18"/>
          <w:szCs w:val="18"/>
        </w:rPr>
        <w:t>160</w:t>
      </w:r>
      <w:r>
        <w:rPr>
          <w:rFonts w:ascii="Arial" w:hAnsi="Arial" w:cs="Arial"/>
          <w:sz w:val="18"/>
          <w:szCs w:val="18"/>
        </w:rPr>
        <w:t>:27</w:t>
      </w:r>
      <w:proofErr w:type="gramEnd"/>
      <w:r>
        <w:rPr>
          <w:rFonts w:ascii="Arial" w:hAnsi="Arial" w:cs="Arial"/>
          <w:sz w:val="18"/>
          <w:szCs w:val="18"/>
        </w:rPr>
        <w:t>-36. https://doi.org/</w:t>
      </w:r>
      <w:r w:rsidR="00631FAF" w:rsidRPr="00583F6A">
        <w:rPr>
          <w:rFonts w:ascii="Arial" w:hAnsi="Arial" w:cs="Arial"/>
          <w:sz w:val="18"/>
          <w:szCs w:val="18"/>
        </w:rPr>
        <w:t>10.1016/j.epsr.2018.01.020.</w:t>
      </w:r>
    </w:p>
    <w:p w:rsidR="00631FAF" w:rsidRPr="00583F6A" w:rsidRDefault="00631FAF" w:rsidP="00631FAF">
      <w:pPr>
        <w:spacing w:after="0" w:line="360" w:lineRule="auto"/>
        <w:rPr>
          <w:rFonts w:ascii="Arial" w:hAnsi="Arial" w:cs="Arial"/>
          <w:sz w:val="18"/>
          <w:szCs w:val="18"/>
        </w:rPr>
      </w:pPr>
    </w:p>
    <w:p w:rsidR="00631FAF" w:rsidRPr="00583F6A" w:rsidRDefault="00BB04AC" w:rsidP="00631FAF">
      <w:pPr>
        <w:spacing w:after="0" w:line="360" w:lineRule="auto"/>
        <w:rPr>
          <w:rFonts w:ascii="Arial" w:hAnsi="Arial" w:cs="Arial"/>
          <w:sz w:val="18"/>
          <w:szCs w:val="18"/>
        </w:rPr>
      </w:pPr>
      <w:r>
        <w:rPr>
          <w:rFonts w:ascii="Arial" w:hAnsi="Arial" w:cs="Arial"/>
          <w:sz w:val="18"/>
          <w:szCs w:val="18"/>
        </w:rPr>
        <w:t>[29] Fleer J</w:t>
      </w:r>
      <w:r w:rsidR="00631FAF" w:rsidRPr="00583F6A">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Zurmühlen</w:t>
      </w:r>
      <w:proofErr w:type="spellEnd"/>
      <w:r>
        <w:rPr>
          <w:rFonts w:ascii="Arial" w:hAnsi="Arial" w:cs="Arial"/>
          <w:sz w:val="18"/>
          <w:szCs w:val="18"/>
        </w:rPr>
        <w:t xml:space="preserve"> S, </w:t>
      </w:r>
      <w:proofErr w:type="spellStart"/>
      <w:r w:rsidR="00375348">
        <w:rPr>
          <w:rFonts w:ascii="Arial" w:hAnsi="Arial" w:cs="Arial"/>
          <w:sz w:val="18"/>
          <w:szCs w:val="18"/>
        </w:rPr>
        <w:t>Badeda</w:t>
      </w:r>
      <w:proofErr w:type="spellEnd"/>
      <w:r w:rsidR="00375348">
        <w:rPr>
          <w:rFonts w:ascii="Arial" w:hAnsi="Arial" w:cs="Arial"/>
          <w:sz w:val="18"/>
          <w:szCs w:val="18"/>
        </w:rPr>
        <w:t xml:space="preserve"> J, </w:t>
      </w:r>
      <w:proofErr w:type="spellStart"/>
      <w:r w:rsidR="00375348">
        <w:rPr>
          <w:rFonts w:ascii="Arial" w:hAnsi="Arial" w:cs="Arial"/>
          <w:sz w:val="18"/>
          <w:szCs w:val="18"/>
        </w:rPr>
        <w:t>Stenzel</w:t>
      </w:r>
      <w:proofErr w:type="spellEnd"/>
      <w:r w:rsidR="00375348">
        <w:rPr>
          <w:rFonts w:ascii="Arial" w:hAnsi="Arial" w:cs="Arial"/>
          <w:sz w:val="18"/>
          <w:szCs w:val="18"/>
        </w:rPr>
        <w:t xml:space="preserve"> P, Hake J-F, Sauer DU.</w:t>
      </w:r>
      <w:r w:rsidR="00631FAF" w:rsidRPr="00583F6A">
        <w:rPr>
          <w:rFonts w:ascii="Arial" w:hAnsi="Arial" w:cs="Arial"/>
          <w:sz w:val="18"/>
          <w:szCs w:val="18"/>
        </w:rPr>
        <w:t xml:space="preserve"> Model-based economic assessment of stationary battery systems pro</w:t>
      </w:r>
      <w:r w:rsidR="00375348">
        <w:rPr>
          <w:rFonts w:ascii="Arial" w:hAnsi="Arial" w:cs="Arial"/>
          <w:sz w:val="18"/>
          <w:szCs w:val="18"/>
        </w:rPr>
        <w:t>viding primary control reserve. Energy Procedia</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2016</w:t>
      </w:r>
      <w:r w:rsidR="00375348">
        <w:rPr>
          <w:rFonts w:ascii="Arial" w:hAnsi="Arial" w:cs="Arial"/>
          <w:sz w:val="18"/>
          <w:szCs w:val="18"/>
        </w:rPr>
        <w:t>;</w:t>
      </w:r>
      <w:r w:rsidR="00631FAF" w:rsidRPr="00583F6A">
        <w:rPr>
          <w:rFonts w:ascii="Arial" w:hAnsi="Arial" w:cs="Arial"/>
          <w:sz w:val="18"/>
          <w:szCs w:val="18"/>
        </w:rPr>
        <w:t>99</w:t>
      </w:r>
      <w:r w:rsidR="00375348">
        <w:rPr>
          <w:rFonts w:ascii="Arial" w:hAnsi="Arial" w:cs="Arial"/>
          <w:sz w:val="18"/>
          <w:szCs w:val="18"/>
        </w:rPr>
        <w:t>:11</w:t>
      </w:r>
      <w:proofErr w:type="gramEnd"/>
      <w:r w:rsidR="00375348">
        <w:rPr>
          <w:rFonts w:ascii="Arial" w:hAnsi="Arial" w:cs="Arial"/>
          <w:sz w:val="18"/>
          <w:szCs w:val="18"/>
        </w:rPr>
        <w:t>-24. https://doi.org/</w:t>
      </w:r>
      <w:r w:rsidR="00631FAF" w:rsidRPr="00583F6A">
        <w:rPr>
          <w:rFonts w:ascii="Arial" w:hAnsi="Arial" w:cs="Arial"/>
          <w:sz w:val="18"/>
          <w:szCs w:val="18"/>
        </w:rPr>
        <w:t>10.1016/j.egypro.2016.10.093.</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[30] </w:t>
      </w:r>
      <w:proofErr w:type="spellStart"/>
      <w:r>
        <w:rPr>
          <w:rFonts w:ascii="Arial" w:hAnsi="Arial" w:cs="Arial"/>
          <w:sz w:val="18"/>
          <w:szCs w:val="18"/>
        </w:rPr>
        <w:t>Kairies</w:t>
      </w:r>
      <w:proofErr w:type="spellEnd"/>
      <w:r>
        <w:rPr>
          <w:rFonts w:ascii="Arial" w:hAnsi="Arial" w:cs="Arial"/>
          <w:sz w:val="18"/>
          <w:szCs w:val="18"/>
        </w:rPr>
        <w:t xml:space="preserve"> K-P. </w:t>
      </w:r>
      <w:r w:rsidR="00631FAF" w:rsidRPr="00583F6A">
        <w:rPr>
          <w:rFonts w:ascii="Arial" w:hAnsi="Arial" w:cs="Arial"/>
          <w:sz w:val="18"/>
          <w:szCs w:val="18"/>
        </w:rPr>
        <w:t>Battery storage technology improvements and cost r</w:t>
      </w:r>
      <w:r>
        <w:rPr>
          <w:rFonts w:ascii="Arial" w:hAnsi="Arial" w:cs="Arial"/>
          <w:sz w:val="18"/>
          <w:szCs w:val="18"/>
        </w:rPr>
        <w:t xml:space="preserve">eductions to 2030: A deep dive, </w:t>
      </w:r>
      <w:r w:rsidR="00631FAF" w:rsidRPr="00583F6A">
        <w:rPr>
          <w:rFonts w:ascii="Arial" w:hAnsi="Arial" w:cs="Arial"/>
          <w:sz w:val="18"/>
          <w:szCs w:val="18"/>
        </w:rPr>
        <w:t>https://www.irena.org/-/media/Files/IRENA/Agency/Events/2017/Mar/15/2017_Kairies_Battery_Cost_and_Performance_01.pdf?la=en&amp;hash=773552B364273E0C3DB588912F234E02679CD0C2</w:t>
      </w:r>
      <w:r>
        <w:rPr>
          <w:rFonts w:ascii="Arial" w:hAnsi="Arial" w:cs="Arial"/>
          <w:sz w:val="18"/>
          <w:szCs w:val="18"/>
        </w:rPr>
        <w:t>;</w:t>
      </w:r>
      <w:r w:rsidR="00631FAF" w:rsidRPr="00583F6A">
        <w:rPr>
          <w:rFonts w:ascii="Arial" w:hAnsi="Arial" w:cs="Arial"/>
          <w:sz w:val="18"/>
          <w:szCs w:val="18"/>
        </w:rPr>
        <w:t xml:space="preserve"> 2017 [accessed 1 Mar</w:t>
      </w:r>
      <w:r>
        <w:rPr>
          <w:rFonts w:ascii="Arial" w:hAnsi="Arial" w:cs="Arial"/>
          <w:sz w:val="18"/>
          <w:szCs w:val="18"/>
        </w:rPr>
        <w:t>ch</w:t>
      </w:r>
      <w:r w:rsidR="00631FAF"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[31] Few S, Schmidt O, Offer GJ, Brandon N, Nelson J, </w:t>
      </w:r>
      <w:proofErr w:type="spellStart"/>
      <w:r>
        <w:rPr>
          <w:rFonts w:ascii="Arial" w:hAnsi="Arial" w:cs="Arial"/>
          <w:sz w:val="18"/>
          <w:szCs w:val="18"/>
        </w:rPr>
        <w:t>Gambhir</w:t>
      </w:r>
      <w:proofErr w:type="spellEnd"/>
      <w:r>
        <w:rPr>
          <w:rFonts w:ascii="Arial" w:hAnsi="Arial" w:cs="Arial"/>
          <w:sz w:val="18"/>
          <w:szCs w:val="18"/>
        </w:rPr>
        <w:t xml:space="preserve"> A. </w:t>
      </w:r>
      <w:r w:rsidR="00631FAF" w:rsidRPr="00583F6A">
        <w:rPr>
          <w:rFonts w:ascii="Arial" w:hAnsi="Arial" w:cs="Arial"/>
          <w:sz w:val="18"/>
          <w:szCs w:val="18"/>
        </w:rPr>
        <w:t xml:space="preserve">Prospective improvements in cost and cycle life of off-grid lithium-ion battery packs: An analysis </w:t>
      </w:r>
      <w:r>
        <w:rPr>
          <w:rFonts w:ascii="Arial" w:hAnsi="Arial" w:cs="Arial"/>
          <w:sz w:val="18"/>
          <w:szCs w:val="18"/>
        </w:rPr>
        <w:t>informed by expert elicitations. Energy Policy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2018</w:t>
      </w:r>
      <w:r>
        <w:rPr>
          <w:rFonts w:ascii="Arial" w:hAnsi="Arial" w:cs="Arial"/>
          <w:sz w:val="18"/>
          <w:szCs w:val="18"/>
        </w:rPr>
        <w:t>;</w:t>
      </w:r>
      <w:r w:rsidR="00631FAF" w:rsidRPr="00583F6A">
        <w:rPr>
          <w:rFonts w:ascii="Arial" w:hAnsi="Arial" w:cs="Arial"/>
          <w:sz w:val="18"/>
          <w:szCs w:val="18"/>
        </w:rPr>
        <w:t>114</w:t>
      </w:r>
      <w:r>
        <w:rPr>
          <w:rFonts w:ascii="Arial" w:hAnsi="Arial" w:cs="Arial"/>
          <w:sz w:val="18"/>
          <w:szCs w:val="18"/>
        </w:rPr>
        <w:t>:</w:t>
      </w:r>
      <w:r w:rsidR="00631FAF" w:rsidRPr="00583F6A">
        <w:rPr>
          <w:rFonts w:ascii="Arial" w:hAnsi="Arial" w:cs="Arial"/>
          <w:sz w:val="18"/>
          <w:szCs w:val="18"/>
        </w:rPr>
        <w:t>5</w:t>
      </w:r>
      <w:r>
        <w:rPr>
          <w:rFonts w:ascii="Arial" w:hAnsi="Arial" w:cs="Arial"/>
          <w:sz w:val="18"/>
          <w:szCs w:val="18"/>
        </w:rPr>
        <w:t>78</w:t>
      </w:r>
      <w:proofErr w:type="gramEnd"/>
      <w:r>
        <w:rPr>
          <w:rFonts w:ascii="Arial" w:hAnsi="Arial" w:cs="Arial"/>
          <w:sz w:val="18"/>
          <w:szCs w:val="18"/>
        </w:rPr>
        <w:t>-90. https://doi.org/</w:t>
      </w:r>
      <w:r w:rsidR="00631FAF" w:rsidRPr="00583F6A">
        <w:rPr>
          <w:rFonts w:ascii="Arial" w:hAnsi="Arial" w:cs="Arial"/>
          <w:sz w:val="18"/>
          <w:szCs w:val="18"/>
        </w:rPr>
        <w:t>10.1016/j.enpol.2017.12.033.</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[32] </w:t>
      </w:r>
      <w:proofErr w:type="spellStart"/>
      <w:r w:rsidR="00631FAF" w:rsidRPr="00583F6A">
        <w:rPr>
          <w:rFonts w:ascii="Arial" w:hAnsi="Arial" w:cs="Arial"/>
          <w:sz w:val="18"/>
          <w:szCs w:val="18"/>
        </w:rPr>
        <w:t>Shahan</w:t>
      </w:r>
      <w:proofErr w:type="spellEnd"/>
      <w:r>
        <w:rPr>
          <w:rFonts w:ascii="Arial" w:hAnsi="Arial" w:cs="Arial"/>
          <w:sz w:val="18"/>
          <w:szCs w:val="18"/>
        </w:rPr>
        <w:t xml:space="preserve"> Z. </w:t>
      </w:r>
      <w:r w:rsidR="00631FAF" w:rsidRPr="00583F6A">
        <w:rPr>
          <w:rFonts w:ascii="Arial" w:hAnsi="Arial" w:cs="Arial"/>
          <w:sz w:val="18"/>
          <w:szCs w:val="18"/>
        </w:rPr>
        <w:t xml:space="preserve">Tesla </w:t>
      </w:r>
      <w:proofErr w:type="spellStart"/>
      <w:r w:rsidR="00631FAF" w:rsidRPr="00583F6A">
        <w:rPr>
          <w:rFonts w:ascii="Arial" w:hAnsi="Arial" w:cs="Arial"/>
          <w:sz w:val="18"/>
          <w:szCs w:val="18"/>
        </w:rPr>
        <w:t>Powerwall</w:t>
      </w:r>
      <w:proofErr w:type="spellEnd"/>
      <w:r w:rsidR="00631FAF" w:rsidRPr="00583F6A">
        <w:rPr>
          <w:rFonts w:ascii="Arial" w:hAnsi="Arial" w:cs="Arial"/>
          <w:sz w:val="18"/>
          <w:szCs w:val="18"/>
        </w:rPr>
        <w:t xml:space="preserve"> and </w:t>
      </w:r>
      <w:proofErr w:type="spellStart"/>
      <w:r w:rsidR="00631FAF" w:rsidRPr="00583F6A">
        <w:rPr>
          <w:rFonts w:ascii="Arial" w:hAnsi="Arial" w:cs="Arial"/>
          <w:sz w:val="18"/>
          <w:szCs w:val="18"/>
        </w:rPr>
        <w:t>Powerpacks</w:t>
      </w:r>
      <w:proofErr w:type="spellEnd"/>
      <w:r w:rsidR="00631FAF" w:rsidRPr="00583F6A">
        <w:rPr>
          <w:rFonts w:ascii="Arial" w:hAnsi="Arial" w:cs="Arial"/>
          <w:sz w:val="18"/>
          <w:szCs w:val="18"/>
        </w:rPr>
        <w:t xml:space="preserve"> per-kWh lifetime prices vs </w:t>
      </w:r>
      <w:proofErr w:type="spellStart"/>
      <w:r w:rsidR="00631FAF" w:rsidRPr="00583F6A">
        <w:rPr>
          <w:rFonts w:ascii="Arial" w:hAnsi="Arial" w:cs="Arial"/>
          <w:sz w:val="18"/>
          <w:szCs w:val="18"/>
        </w:rPr>
        <w:t>Aquio</w:t>
      </w:r>
      <w:r>
        <w:rPr>
          <w:rFonts w:ascii="Arial" w:hAnsi="Arial" w:cs="Arial"/>
          <w:sz w:val="18"/>
          <w:szCs w:val="18"/>
        </w:rPr>
        <w:t>n</w:t>
      </w:r>
      <w:proofErr w:type="spellEnd"/>
      <w:r>
        <w:rPr>
          <w:rFonts w:ascii="Arial" w:hAnsi="Arial" w:cs="Arial"/>
          <w:sz w:val="18"/>
          <w:szCs w:val="18"/>
        </w:rPr>
        <w:t xml:space="preserve"> Energy, Eos Energy, &amp; </w:t>
      </w:r>
      <w:proofErr w:type="spellStart"/>
      <w:r>
        <w:rPr>
          <w:rFonts w:ascii="Arial" w:hAnsi="Arial" w:cs="Arial"/>
          <w:sz w:val="18"/>
          <w:szCs w:val="18"/>
        </w:rPr>
        <w:t>Imergy</w:t>
      </w:r>
      <w:proofErr w:type="spellEnd"/>
      <w:r>
        <w:rPr>
          <w:rFonts w:ascii="Arial" w:hAnsi="Arial" w:cs="Arial"/>
          <w:sz w:val="18"/>
          <w:szCs w:val="18"/>
        </w:rPr>
        <w:t>,</w:t>
      </w:r>
      <w:r w:rsidR="00631FAF" w:rsidRPr="00583F6A">
        <w:rPr>
          <w:rFonts w:ascii="Arial" w:hAnsi="Arial" w:cs="Arial"/>
          <w:sz w:val="18"/>
          <w:szCs w:val="18"/>
        </w:rPr>
        <w:t xml:space="preserve"> https://cleantechnica.com/2015/05/09/tesla-powerwall-powerblocks-per-kwh-lifetime-prices-vs-a</w:t>
      </w:r>
      <w:r>
        <w:rPr>
          <w:rFonts w:ascii="Arial" w:hAnsi="Arial" w:cs="Arial"/>
          <w:sz w:val="18"/>
          <w:szCs w:val="18"/>
        </w:rPr>
        <w:t>quion-energy-eos-energy-imergy/;</w:t>
      </w:r>
      <w:r w:rsidR="00631FAF" w:rsidRPr="00583F6A">
        <w:rPr>
          <w:rFonts w:ascii="Arial" w:hAnsi="Arial" w:cs="Arial"/>
          <w:sz w:val="18"/>
          <w:szCs w:val="18"/>
        </w:rPr>
        <w:t xml:space="preserve"> 2015 [accessed 13 Feb</w:t>
      </w:r>
      <w:r>
        <w:rPr>
          <w:rFonts w:ascii="Arial" w:hAnsi="Arial" w:cs="Arial"/>
          <w:sz w:val="18"/>
          <w:szCs w:val="18"/>
        </w:rPr>
        <w:t>ruary</w:t>
      </w:r>
      <w:r w:rsidR="00631FAF" w:rsidRPr="00583F6A">
        <w:rPr>
          <w:rFonts w:ascii="Arial" w:hAnsi="Arial" w:cs="Arial"/>
          <w:sz w:val="18"/>
          <w:szCs w:val="18"/>
        </w:rPr>
        <w:t xml:space="preserve"> 2019].</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[33] </w:t>
      </w:r>
      <w:r w:rsidR="00631FAF" w:rsidRPr="00583F6A">
        <w:rPr>
          <w:rFonts w:ascii="Arial" w:hAnsi="Arial" w:cs="Arial"/>
          <w:sz w:val="18"/>
          <w:szCs w:val="18"/>
        </w:rPr>
        <w:t>Louis</w:t>
      </w:r>
      <w:r>
        <w:rPr>
          <w:rFonts w:ascii="Arial" w:hAnsi="Arial" w:cs="Arial"/>
          <w:sz w:val="18"/>
          <w:szCs w:val="18"/>
        </w:rPr>
        <w:t xml:space="preserve"> J-N, </w:t>
      </w:r>
      <w:proofErr w:type="spellStart"/>
      <w:r w:rsidR="00631FAF" w:rsidRPr="00583F6A">
        <w:rPr>
          <w:rFonts w:ascii="Arial" w:hAnsi="Arial" w:cs="Arial"/>
          <w:sz w:val="18"/>
          <w:szCs w:val="18"/>
        </w:rPr>
        <w:t>Caló</w:t>
      </w:r>
      <w:proofErr w:type="spellEnd"/>
      <w:r>
        <w:rPr>
          <w:rFonts w:ascii="Arial" w:hAnsi="Arial" w:cs="Arial"/>
          <w:sz w:val="18"/>
          <w:szCs w:val="18"/>
        </w:rPr>
        <w:t xml:space="preserve"> A, </w:t>
      </w:r>
      <w:proofErr w:type="spellStart"/>
      <w:r w:rsidR="00631FAF" w:rsidRPr="00583F6A">
        <w:rPr>
          <w:rFonts w:ascii="Arial" w:hAnsi="Arial" w:cs="Arial"/>
          <w:sz w:val="18"/>
          <w:szCs w:val="18"/>
        </w:rPr>
        <w:t>Leiviskä</w:t>
      </w:r>
      <w:proofErr w:type="spellEnd"/>
      <w:r>
        <w:rPr>
          <w:rFonts w:ascii="Arial" w:hAnsi="Arial" w:cs="Arial"/>
          <w:sz w:val="18"/>
          <w:szCs w:val="18"/>
        </w:rPr>
        <w:t xml:space="preserve"> K, </w:t>
      </w:r>
      <w:proofErr w:type="spellStart"/>
      <w:r w:rsidR="00631FAF" w:rsidRPr="00583F6A">
        <w:rPr>
          <w:rFonts w:ascii="Arial" w:hAnsi="Arial" w:cs="Arial"/>
          <w:sz w:val="18"/>
          <w:szCs w:val="18"/>
        </w:rPr>
        <w:t>Pongrácz</w:t>
      </w:r>
      <w:proofErr w:type="spellEnd"/>
      <w:r>
        <w:rPr>
          <w:rFonts w:ascii="Arial" w:hAnsi="Arial" w:cs="Arial"/>
          <w:sz w:val="18"/>
          <w:szCs w:val="18"/>
        </w:rPr>
        <w:t xml:space="preserve"> E. E</w:t>
      </w:r>
      <w:r w:rsidR="00631FAF" w:rsidRPr="00583F6A">
        <w:rPr>
          <w:rFonts w:ascii="Arial" w:hAnsi="Arial" w:cs="Arial"/>
          <w:sz w:val="18"/>
          <w:szCs w:val="18"/>
        </w:rPr>
        <w:t>nvironmental impacts and benefits of smart home automation: Life cycle assessment of</w:t>
      </w:r>
      <w:r>
        <w:rPr>
          <w:rFonts w:ascii="Arial" w:hAnsi="Arial" w:cs="Arial"/>
          <w:sz w:val="18"/>
          <w:szCs w:val="18"/>
        </w:rPr>
        <w:t xml:space="preserve"> home energy management system. </w:t>
      </w:r>
      <w:proofErr w:type="spellStart"/>
      <w:r>
        <w:rPr>
          <w:rFonts w:ascii="Arial" w:hAnsi="Arial" w:cs="Arial"/>
          <w:sz w:val="18"/>
          <w:szCs w:val="18"/>
        </w:rPr>
        <w:t>Int</w:t>
      </w:r>
      <w:proofErr w:type="spellEnd"/>
      <w:r>
        <w:rPr>
          <w:rFonts w:ascii="Arial" w:hAnsi="Arial" w:cs="Arial"/>
          <w:sz w:val="18"/>
          <w:szCs w:val="18"/>
        </w:rPr>
        <w:t xml:space="preserve"> Fed</w:t>
      </w:r>
      <w:r w:rsidR="00631FAF" w:rsidRPr="00583F6A">
        <w:rPr>
          <w:rFonts w:ascii="Arial" w:hAnsi="Arial" w:cs="Arial"/>
          <w:sz w:val="18"/>
          <w:szCs w:val="18"/>
        </w:rPr>
        <w:t xml:space="preserve"> </w:t>
      </w:r>
      <w:proofErr w:type="spellStart"/>
      <w:r>
        <w:rPr>
          <w:rFonts w:ascii="Arial" w:hAnsi="Arial" w:cs="Arial"/>
          <w:sz w:val="18"/>
          <w:szCs w:val="18"/>
        </w:rPr>
        <w:t>Autom</w:t>
      </w:r>
      <w:proofErr w:type="spellEnd"/>
      <w:r>
        <w:rPr>
          <w:rFonts w:ascii="Arial" w:hAnsi="Arial" w:cs="Arial"/>
          <w:sz w:val="18"/>
          <w:szCs w:val="18"/>
        </w:rPr>
        <w:t xml:space="preserve"> Control Pap Online</w:t>
      </w:r>
      <w:r w:rsidR="00631FAF" w:rsidRPr="00583F6A">
        <w:rPr>
          <w:rFonts w:ascii="Arial" w:hAnsi="Arial" w:cs="Arial"/>
          <w:sz w:val="18"/>
          <w:szCs w:val="18"/>
        </w:rPr>
        <w:t xml:space="preserve"> 2015</w:t>
      </w:r>
      <w:r>
        <w:rPr>
          <w:rFonts w:ascii="Arial" w:hAnsi="Arial" w:cs="Arial"/>
          <w:sz w:val="18"/>
          <w:szCs w:val="18"/>
        </w:rPr>
        <w:t>;</w:t>
      </w:r>
      <w:r w:rsidR="00631FAF" w:rsidRPr="00583F6A">
        <w:rPr>
          <w:rFonts w:ascii="Arial" w:hAnsi="Arial" w:cs="Arial"/>
          <w:sz w:val="18"/>
          <w:szCs w:val="18"/>
        </w:rPr>
        <w:t>48(1)</w:t>
      </w:r>
      <w:r>
        <w:rPr>
          <w:rFonts w:ascii="Arial" w:hAnsi="Arial" w:cs="Arial"/>
          <w:sz w:val="18"/>
          <w:szCs w:val="18"/>
        </w:rPr>
        <w:t>:880-5. https://doi.org/</w:t>
      </w:r>
      <w:r w:rsidR="00631FAF" w:rsidRPr="00583F6A">
        <w:rPr>
          <w:rFonts w:ascii="Arial" w:hAnsi="Arial" w:cs="Arial"/>
          <w:sz w:val="18"/>
          <w:szCs w:val="18"/>
        </w:rPr>
        <w:t>10.1016/j.ifacol.2015.05.158.</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[34] </w:t>
      </w:r>
      <w:r w:rsidR="00631FAF" w:rsidRPr="00583F6A">
        <w:rPr>
          <w:rFonts w:ascii="Arial" w:hAnsi="Arial" w:cs="Arial"/>
          <w:sz w:val="18"/>
          <w:szCs w:val="18"/>
        </w:rPr>
        <w:t>Kealy</w:t>
      </w:r>
      <w:r>
        <w:rPr>
          <w:rFonts w:ascii="Arial" w:hAnsi="Arial" w:cs="Arial"/>
          <w:sz w:val="18"/>
          <w:szCs w:val="18"/>
        </w:rPr>
        <w:t xml:space="preserve"> T. </w:t>
      </w:r>
      <w:r w:rsidR="00631FAF" w:rsidRPr="00583F6A">
        <w:rPr>
          <w:rFonts w:ascii="Arial" w:hAnsi="Arial" w:cs="Arial"/>
          <w:sz w:val="18"/>
          <w:szCs w:val="18"/>
        </w:rPr>
        <w:t>Stakeholder outcomes in a wind turbine investment; is the Irish energy policy effective in reducing GHG emissions by promoting small-scale embedd</w:t>
      </w:r>
      <w:r>
        <w:rPr>
          <w:rFonts w:ascii="Arial" w:hAnsi="Arial" w:cs="Arial"/>
          <w:sz w:val="18"/>
          <w:szCs w:val="18"/>
        </w:rPr>
        <w:t>ed turbines in SME’s? Renew Energy</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2017</w:t>
      </w:r>
      <w:r>
        <w:rPr>
          <w:rFonts w:ascii="Arial" w:hAnsi="Arial" w:cs="Arial"/>
          <w:sz w:val="18"/>
          <w:szCs w:val="18"/>
        </w:rPr>
        <w:t>;</w:t>
      </w:r>
      <w:r w:rsidR="00631FAF" w:rsidRPr="00583F6A">
        <w:rPr>
          <w:rFonts w:ascii="Arial" w:hAnsi="Arial" w:cs="Arial"/>
          <w:sz w:val="18"/>
          <w:szCs w:val="18"/>
        </w:rPr>
        <w:t>101</w:t>
      </w:r>
      <w:r>
        <w:rPr>
          <w:rFonts w:ascii="Arial" w:hAnsi="Arial" w:cs="Arial"/>
          <w:sz w:val="18"/>
          <w:szCs w:val="18"/>
        </w:rPr>
        <w:t>:1157</w:t>
      </w:r>
      <w:proofErr w:type="gramEnd"/>
      <w:r>
        <w:rPr>
          <w:rFonts w:ascii="Arial" w:hAnsi="Arial" w:cs="Arial"/>
          <w:sz w:val="18"/>
          <w:szCs w:val="18"/>
        </w:rPr>
        <w:t>-68. https://doi.org/</w:t>
      </w:r>
      <w:r w:rsidR="00631FAF" w:rsidRPr="00583F6A">
        <w:rPr>
          <w:rFonts w:ascii="Arial" w:hAnsi="Arial" w:cs="Arial"/>
          <w:sz w:val="18"/>
          <w:szCs w:val="18"/>
        </w:rPr>
        <w:t>10.1016/j.renene.2016.10.007.</w:t>
      </w:r>
    </w:p>
    <w:p w:rsidR="00631FAF" w:rsidRPr="00583F6A" w:rsidRDefault="00631FAF" w:rsidP="00631FAF">
      <w:pPr>
        <w:spacing w:after="0" w:line="360" w:lineRule="auto"/>
        <w:rPr>
          <w:rFonts w:ascii="Arial" w:hAnsi="Arial" w:cs="Arial"/>
          <w:sz w:val="18"/>
          <w:szCs w:val="18"/>
        </w:rPr>
      </w:pPr>
    </w:p>
    <w:p w:rsidR="00631FAF" w:rsidRPr="00583F6A" w:rsidRDefault="00375348" w:rsidP="00631FAF">
      <w:pPr>
        <w:spacing w:after="0" w:line="360" w:lineRule="auto"/>
        <w:rPr>
          <w:rFonts w:ascii="Arial" w:hAnsi="Arial" w:cs="Arial"/>
          <w:sz w:val="18"/>
          <w:szCs w:val="18"/>
        </w:rPr>
      </w:pPr>
      <w:r>
        <w:rPr>
          <w:rFonts w:ascii="Arial" w:hAnsi="Arial" w:cs="Arial"/>
          <w:sz w:val="18"/>
          <w:szCs w:val="18"/>
        </w:rPr>
        <w:t xml:space="preserve">[35] </w:t>
      </w:r>
      <w:proofErr w:type="spellStart"/>
      <w:r w:rsidR="00631FAF" w:rsidRPr="00583F6A">
        <w:rPr>
          <w:rFonts w:ascii="Arial" w:hAnsi="Arial" w:cs="Arial"/>
          <w:sz w:val="18"/>
          <w:szCs w:val="18"/>
        </w:rPr>
        <w:t>Staffell</w:t>
      </w:r>
      <w:proofErr w:type="spellEnd"/>
      <w:r w:rsidR="00631FAF" w:rsidRPr="00583F6A">
        <w:rPr>
          <w:rFonts w:ascii="Arial" w:hAnsi="Arial" w:cs="Arial"/>
          <w:sz w:val="18"/>
          <w:szCs w:val="18"/>
        </w:rPr>
        <w:t xml:space="preserve"> </w:t>
      </w:r>
      <w:r>
        <w:rPr>
          <w:rFonts w:ascii="Arial" w:hAnsi="Arial" w:cs="Arial"/>
          <w:sz w:val="18"/>
          <w:szCs w:val="18"/>
        </w:rPr>
        <w:t xml:space="preserve">I, </w:t>
      </w:r>
      <w:proofErr w:type="spellStart"/>
      <w:r w:rsidR="00631FAF" w:rsidRPr="00583F6A">
        <w:rPr>
          <w:rFonts w:ascii="Arial" w:hAnsi="Arial" w:cs="Arial"/>
          <w:sz w:val="18"/>
          <w:szCs w:val="18"/>
        </w:rPr>
        <w:t>Rustomji</w:t>
      </w:r>
      <w:proofErr w:type="spellEnd"/>
      <w:r>
        <w:rPr>
          <w:rFonts w:ascii="Arial" w:hAnsi="Arial" w:cs="Arial"/>
          <w:sz w:val="18"/>
          <w:szCs w:val="18"/>
        </w:rPr>
        <w:t xml:space="preserve"> M. </w:t>
      </w:r>
      <w:r w:rsidR="00631FAF" w:rsidRPr="00583F6A">
        <w:rPr>
          <w:rFonts w:ascii="Arial" w:hAnsi="Arial" w:cs="Arial"/>
          <w:sz w:val="18"/>
          <w:szCs w:val="18"/>
        </w:rPr>
        <w:t>Maximising t</w:t>
      </w:r>
      <w:r>
        <w:rPr>
          <w:rFonts w:ascii="Arial" w:hAnsi="Arial" w:cs="Arial"/>
          <w:sz w:val="18"/>
          <w:szCs w:val="18"/>
        </w:rPr>
        <w:t>he value of electricity storage. J Energy Storage</w:t>
      </w:r>
      <w:r w:rsidR="00631FAF" w:rsidRPr="00583F6A">
        <w:rPr>
          <w:rFonts w:ascii="Arial" w:hAnsi="Arial" w:cs="Arial"/>
          <w:sz w:val="18"/>
          <w:szCs w:val="18"/>
        </w:rPr>
        <w:t xml:space="preserve"> </w:t>
      </w:r>
      <w:proofErr w:type="gramStart"/>
      <w:r w:rsidR="00631FAF" w:rsidRPr="00583F6A">
        <w:rPr>
          <w:rFonts w:ascii="Arial" w:hAnsi="Arial" w:cs="Arial"/>
          <w:sz w:val="18"/>
          <w:szCs w:val="18"/>
        </w:rPr>
        <w:t>2016</w:t>
      </w:r>
      <w:r w:rsidR="004A70CB">
        <w:rPr>
          <w:rFonts w:ascii="Arial" w:hAnsi="Arial" w:cs="Arial"/>
          <w:sz w:val="18"/>
          <w:szCs w:val="18"/>
        </w:rPr>
        <w:t>;</w:t>
      </w:r>
      <w:r w:rsidR="00631FAF" w:rsidRPr="00583F6A">
        <w:rPr>
          <w:rFonts w:ascii="Arial" w:hAnsi="Arial" w:cs="Arial"/>
          <w:sz w:val="18"/>
          <w:szCs w:val="18"/>
        </w:rPr>
        <w:t>8</w:t>
      </w:r>
      <w:r>
        <w:rPr>
          <w:rFonts w:ascii="Arial" w:hAnsi="Arial" w:cs="Arial"/>
          <w:sz w:val="18"/>
          <w:szCs w:val="18"/>
        </w:rPr>
        <w:t>:212</w:t>
      </w:r>
      <w:proofErr w:type="gramEnd"/>
      <w:r>
        <w:rPr>
          <w:rFonts w:ascii="Arial" w:hAnsi="Arial" w:cs="Arial"/>
          <w:sz w:val="18"/>
          <w:szCs w:val="18"/>
        </w:rPr>
        <w:t>-25. https://doi.org/</w:t>
      </w:r>
      <w:r w:rsidR="00631FAF" w:rsidRPr="00583F6A">
        <w:rPr>
          <w:rFonts w:ascii="Arial" w:hAnsi="Arial" w:cs="Arial"/>
          <w:sz w:val="18"/>
          <w:szCs w:val="18"/>
        </w:rPr>
        <w:t>10.1016/j.est.2016.08.010.</w:t>
      </w:r>
    </w:p>
    <w:p w:rsidR="00631FAF" w:rsidRPr="00583F6A" w:rsidRDefault="00631FAF" w:rsidP="00631FAF">
      <w:pPr>
        <w:spacing w:after="0" w:line="360" w:lineRule="auto"/>
        <w:rPr>
          <w:rFonts w:ascii="Arial" w:hAnsi="Arial" w:cs="Arial"/>
          <w:sz w:val="18"/>
          <w:szCs w:val="18"/>
        </w:rPr>
      </w:pPr>
    </w:p>
    <w:p w:rsidR="00631FAF" w:rsidRDefault="00631FAF" w:rsidP="00631FAF">
      <w:pPr>
        <w:spacing w:after="0" w:line="360" w:lineRule="auto"/>
        <w:rPr>
          <w:rFonts w:ascii="Arial" w:hAnsi="Arial" w:cs="Arial"/>
          <w:sz w:val="18"/>
          <w:szCs w:val="18"/>
        </w:rPr>
      </w:pPr>
      <w:r w:rsidRPr="00583F6A">
        <w:rPr>
          <w:rFonts w:ascii="Arial" w:hAnsi="Arial" w:cs="Arial"/>
          <w:sz w:val="18"/>
          <w:szCs w:val="18"/>
        </w:rPr>
        <w:t>[36] Singl</w:t>
      </w:r>
      <w:r w:rsidR="004A70CB">
        <w:rPr>
          <w:rFonts w:ascii="Arial" w:hAnsi="Arial" w:cs="Arial"/>
          <w:sz w:val="18"/>
          <w:szCs w:val="18"/>
        </w:rPr>
        <w:t xml:space="preserve">e Electricity Market Committee. </w:t>
      </w:r>
      <w:r w:rsidRPr="00583F6A">
        <w:rPr>
          <w:rFonts w:ascii="Arial" w:hAnsi="Arial" w:cs="Arial"/>
          <w:sz w:val="18"/>
          <w:szCs w:val="18"/>
        </w:rPr>
        <w:t>Capacity</w:t>
      </w:r>
      <w:r w:rsidR="004A70CB">
        <w:rPr>
          <w:rFonts w:ascii="Arial" w:hAnsi="Arial" w:cs="Arial"/>
          <w:sz w:val="18"/>
          <w:szCs w:val="18"/>
        </w:rPr>
        <w:t xml:space="preserve"> remuneration mechanism, </w:t>
      </w:r>
      <w:r w:rsidRPr="00583F6A">
        <w:rPr>
          <w:rFonts w:ascii="Arial" w:hAnsi="Arial" w:cs="Arial"/>
          <w:sz w:val="18"/>
          <w:szCs w:val="18"/>
        </w:rPr>
        <w:t>https://www.semcommittee.com/</w:t>
      </w:r>
      <w:r w:rsidR="004A70CB">
        <w:rPr>
          <w:rFonts w:ascii="Arial" w:hAnsi="Arial" w:cs="Arial"/>
          <w:sz w:val="18"/>
          <w:szCs w:val="18"/>
        </w:rPr>
        <w:t>capacity-remuneration-mechanism;</w:t>
      </w:r>
      <w:r w:rsidRPr="00583F6A">
        <w:rPr>
          <w:rFonts w:ascii="Arial" w:hAnsi="Arial" w:cs="Arial"/>
          <w:sz w:val="18"/>
          <w:szCs w:val="18"/>
        </w:rPr>
        <w:t xml:space="preserve"> 2016 [accessed 3 March 2019].</w:t>
      </w:r>
    </w:p>
    <w:p w:rsidR="003D48A2" w:rsidRDefault="003D48A2" w:rsidP="00631FAF">
      <w:pPr>
        <w:spacing w:after="0" w:line="360" w:lineRule="auto"/>
        <w:rPr>
          <w:rFonts w:ascii="Arial" w:hAnsi="Arial" w:cs="Arial"/>
          <w:sz w:val="18"/>
          <w:szCs w:val="18"/>
        </w:rPr>
      </w:pPr>
    </w:p>
    <w:p w:rsidR="003D48A2" w:rsidRDefault="003D48A2" w:rsidP="003D48A2">
      <w:pPr>
        <w:spacing w:after="0" w:line="360" w:lineRule="auto"/>
        <w:rPr>
          <w:rFonts w:ascii="Arial" w:hAnsi="Arial" w:cs="Arial"/>
          <w:sz w:val="18"/>
          <w:szCs w:val="18"/>
        </w:rPr>
      </w:pPr>
      <w:r>
        <w:rPr>
          <w:rFonts w:ascii="Arial" w:hAnsi="Arial" w:cs="Arial"/>
          <w:sz w:val="18"/>
          <w:szCs w:val="18"/>
        </w:rPr>
        <w:t xml:space="preserve">[37] </w:t>
      </w:r>
      <w:proofErr w:type="spellStart"/>
      <w:r>
        <w:rPr>
          <w:rFonts w:ascii="Arial" w:hAnsi="Arial" w:cs="Arial"/>
          <w:sz w:val="18"/>
          <w:szCs w:val="18"/>
        </w:rPr>
        <w:t>EirGrid</w:t>
      </w:r>
      <w:proofErr w:type="spellEnd"/>
      <w:r>
        <w:rPr>
          <w:rFonts w:ascii="Arial" w:hAnsi="Arial" w:cs="Arial"/>
          <w:sz w:val="18"/>
          <w:szCs w:val="18"/>
        </w:rPr>
        <w:t xml:space="preserve"> Group. System services industry forum, </w:t>
      </w:r>
      <w:r w:rsidRPr="00174793">
        <w:rPr>
          <w:rFonts w:ascii="Arial" w:hAnsi="Arial" w:cs="Arial"/>
          <w:sz w:val="18"/>
          <w:szCs w:val="18"/>
        </w:rPr>
        <w:t>http://www.eirgridgroup.com/site-files/library/EirGrid/DS3SystemServices_Industry-Forum-Slide-Deck-Oct-12-v2.pdf</w:t>
      </w:r>
      <w:r>
        <w:rPr>
          <w:rFonts w:ascii="Arial" w:hAnsi="Arial" w:cs="Arial"/>
          <w:sz w:val="18"/>
          <w:szCs w:val="18"/>
        </w:rPr>
        <w:t>; 2017 [accessed 4 April 2019].</w:t>
      </w:r>
    </w:p>
    <w:p w:rsidR="000D2FE3" w:rsidRDefault="000D2FE3" w:rsidP="00631FAF">
      <w:pPr>
        <w:spacing w:after="0" w:line="360" w:lineRule="auto"/>
        <w:rPr>
          <w:rFonts w:ascii="Arial" w:hAnsi="Arial" w:cs="Arial"/>
          <w:sz w:val="18"/>
          <w:szCs w:val="18"/>
        </w:rPr>
      </w:pPr>
    </w:p>
    <w:p w:rsidR="00BE59AE" w:rsidRDefault="003D48A2" w:rsidP="000D2FE3">
      <w:pPr>
        <w:spacing w:after="0" w:line="360" w:lineRule="auto"/>
        <w:rPr>
          <w:rFonts w:ascii="Arial" w:hAnsi="Arial" w:cs="Arial"/>
          <w:sz w:val="18"/>
          <w:szCs w:val="18"/>
        </w:rPr>
      </w:pPr>
      <w:r>
        <w:rPr>
          <w:rFonts w:ascii="Arial" w:hAnsi="Arial" w:cs="Arial"/>
          <w:sz w:val="18"/>
          <w:szCs w:val="18"/>
        </w:rPr>
        <w:t>[38</w:t>
      </w:r>
      <w:r w:rsidR="00BE59AE">
        <w:rPr>
          <w:rFonts w:ascii="Arial" w:hAnsi="Arial" w:cs="Arial"/>
          <w:sz w:val="18"/>
          <w:szCs w:val="18"/>
        </w:rPr>
        <w:t xml:space="preserve">] </w:t>
      </w:r>
      <w:proofErr w:type="spellStart"/>
      <w:r w:rsidR="00BE59AE">
        <w:rPr>
          <w:rFonts w:ascii="Arial" w:hAnsi="Arial" w:cs="Arial"/>
          <w:sz w:val="18"/>
          <w:szCs w:val="18"/>
        </w:rPr>
        <w:t>EirGrid</w:t>
      </w:r>
      <w:proofErr w:type="spellEnd"/>
      <w:r w:rsidR="00BE59AE">
        <w:rPr>
          <w:rFonts w:ascii="Arial" w:hAnsi="Arial" w:cs="Arial"/>
          <w:sz w:val="18"/>
          <w:szCs w:val="18"/>
        </w:rPr>
        <w:t xml:space="preserve"> Group.</w:t>
      </w:r>
      <w:r w:rsidR="00CF21B4">
        <w:rPr>
          <w:rFonts w:ascii="Arial" w:hAnsi="Arial" w:cs="Arial"/>
          <w:sz w:val="18"/>
          <w:szCs w:val="18"/>
        </w:rPr>
        <w:t xml:space="preserve"> DS3 system services agreement, </w:t>
      </w:r>
      <w:r w:rsidR="00CF21B4" w:rsidRPr="00CF21B4">
        <w:rPr>
          <w:rFonts w:ascii="Arial" w:hAnsi="Arial" w:cs="Arial"/>
          <w:sz w:val="18"/>
          <w:szCs w:val="18"/>
        </w:rPr>
        <w:t>http://www.eirgridgroup.com/site-files/library/EirGrid/Ire-DS3-System-Services-Regulated-Arrangements_final.pdf</w:t>
      </w:r>
      <w:r w:rsidR="00CF21B4">
        <w:rPr>
          <w:rFonts w:ascii="Arial" w:hAnsi="Arial" w:cs="Arial"/>
          <w:sz w:val="18"/>
          <w:szCs w:val="18"/>
        </w:rPr>
        <w:t>; 2018 [accessed 9 April 2019].</w:t>
      </w:r>
    </w:p>
    <w:p w:rsidR="003D48A2" w:rsidRDefault="003D48A2" w:rsidP="000D2FE3">
      <w:pPr>
        <w:spacing w:after="0" w:line="360" w:lineRule="auto"/>
        <w:rPr>
          <w:rFonts w:ascii="Arial" w:hAnsi="Arial" w:cs="Arial"/>
          <w:sz w:val="18"/>
          <w:szCs w:val="18"/>
        </w:rPr>
      </w:pPr>
    </w:p>
    <w:p w:rsidR="002B1466" w:rsidRDefault="003D48A2" w:rsidP="000D2FE3">
      <w:pPr>
        <w:spacing w:after="0" w:line="360" w:lineRule="auto"/>
        <w:rPr>
          <w:rFonts w:ascii="Arial" w:hAnsi="Arial" w:cs="Arial"/>
          <w:sz w:val="18"/>
          <w:szCs w:val="18"/>
        </w:rPr>
      </w:pPr>
      <w:r>
        <w:rPr>
          <w:rFonts w:ascii="Arial" w:hAnsi="Arial" w:cs="Arial"/>
          <w:sz w:val="18"/>
          <w:szCs w:val="18"/>
        </w:rPr>
        <w:t>[39</w:t>
      </w:r>
      <w:r w:rsidR="00BE59AE">
        <w:rPr>
          <w:rFonts w:ascii="Arial" w:hAnsi="Arial" w:cs="Arial"/>
          <w:sz w:val="18"/>
          <w:szCs w:val="18"/>
        </w:rPr>
        <w:t>] Perry K. Energy Trading Ireland. Personal co</w:t>
      </w:r>
      <w:r w:rsidR="00293844">
        <w:rPr>
          <w:rFonts w:ascii="Arial" w:hAnsi="Arial" w:cs="Arial"/>
          <w:sz w:val="18"/>
          <w:szCs w:val="18"/>
        </w:rPr>
        <w:t>mmunication [27 February 2019].</w:t>
      </w:r>
    </w:p>
    <w:p w:rsidR="00174793" w:rsidRPr="00293844" w:rsidRDefault="00174793" w:rsidP="000D2FE3">
      <w:pPr>
        <w:spacing w:after="0" w:line="360" w:lineRule="auto"/>
        <w:rPr>
          <w:rFonts w:ascii="Arial" w:hAnsi="Arial" w:cs="Arial"/>
          <w:sz w:val="18"/>
          <w:szCs w:val="18"/>
        </w:rPr>
      </w:pPr>
    </w:p>
    <w:sectPr w:rsidR="00174793" w:rsidRPr="00293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C4"/>
    <w:rsid w:val="0000350B"/>
    <w:rsid w:val="00017B48"/>
    <w:rsid w:val="00031E57"/>
    <w:rsid w:val="00046D44"/>
    <w:rsid w:val="000527AF"/>
    <w:rsid w:val="00054614"/>
    <w:rsid w:val="00063834"/>
    <w:rsid w:val="000644F1"/>
    <w:rsid w:val="00076E37"/>
    <w:rsid w:val="00080096"/>
    <w:rsid w:val="0009321E"/>
    <w:rsid w:val="000A2041"/>
    <w:rsid w:val="000B6FDF"/>
    <w:rsid w:val="000C1314"/>
    <w:rsid w:val="000C3782"/>
    <w:rsid w:val="000C67F3"/>
    <w:rsid w:val="000D2FE3"/>
    <w:rsid w:val="000D5147"/>
    <w:rsid w:val="000D6911"/>
    <w:rsid w:val="000E227E"/>
    <w:rsid w:val="000F249C"/>
    <w:rsid w:val="001032EB"/>
    <w:rsid w:val="00113E33"/>
    <w:rsid w:val="00134142"/>
    <w:rsid w:val="001462E3"/>
    <w:rsid w:val="001657A7"/>
    <w:rsid w:val="00167CFF"/>
    <w:rsid w:val="001721EE"/>
    <w:rsid w:val="00174793"/>
    <w:rsid w:val="0018117C"/>
    <w:rsid w:val="00185DA9"/>
    <w:rsid w:val="00190B80"/>
    <w:rsid w:val="001A30EF"/>
    <w:rsid w:val="001B25D6"/>
    <w:rsid w:val="001D19BE"/>
    <w:rsid w:val="001D7BE8"/>
    <w:rsid w:val="001E218B"/>
    <w:rsid w:val="001F1AA1"/>
    <w:rsid w:val="001F5E3A"/>
    <w:rsid w:val="0020124B"/>
    <w:rsid w:val="00204A10"/>
    <w:rsid w:val="0020757A"/>
    <w:rsid w:val="00210C2A"/>
    <w:rsid w:val="00223AE4"/>
    <w:rsid w:val="00223F11"/>
    <w:rsid w:val="00267EBA"/>
    <w:rsid w:val="002715A8"/>
    <w:rsid w:val="00271744"/>
    <w:rsid w:val="00277E1A"/>
    <w:rsid w:val="00281AA6"/>
    <w:rsid w:val="0028279C"/>
    <w:rsid w:val="00283CFF"/>
    <w:rsid w:val="00293844"/>
    <w:rsid w:val="002A14AD"/>
    <w:rsid w:val="002B1466"/>
    <w:rsid w:val="002B1595"/>
    <w:rsid w:val="002C3879"/>
    <w:rsid w:val="002D4F98"/>
    <w:rsid w:val="002F1A70"/>
    <w:rsid w:val="00300EA8"/>
    <w:rsid w:val="00322923"/>
    <w:rsid w:val="00322BFB"/>
    <w:rsid w:val="003631C2"/>
    <w:rsid w:val="0037280B"/>
    <w:rsid w:val="00375348"/>
    <w:rsid w:val="003761CC"/>
    <w:rsid w:val="00376A70"/>
    <w:rsid w:val="00377507"/>
    <w:rsid w:val="0038238C"/>
    <w:rsid w:val="0038773A"/>
    <w:rsid w:val="003946FA"/>
    <w:rsid w:val="003A31C0"/>
    <w:rsid w:val="003A41FA"/>
    <w:rsid w:val="003A76A8"/>
    <w:rsid w:val="003A7C7A"/>
    <w:rsid w:val="003B5104"/>
    <w:rsid w:val="003B5F41"/>
    <w:rsid w:val="003B690D"/>
    <w:rsid w:val="003C37EB"/>
    <w:rsid w:val="003C49DD"/>
    <w:rsid w:val="003C4D9D"/>
    <w:rsid w:val="003D1F44"/>
    <w:rsid w:val="003D48A2"/>
    <w:rsid w:val="003D7F20"/>
    <w:rsid w:val="003F33CB"/>
    <w:rsid w:val="004207BD"/>
    <w:rsid w:val="00424526"/>
    <w:rsid w:val="00425765"/>
    <w:rsid w:val="0042744F"/>
    <w:rsid w:val="00440750"/>
    <w:rsid w:val="0044213C"/>
    <w:rsid w:val="004638EB"/>
    <w:rsid w:val="00464263"/>
    <w:rsid w:val="00470503"/>
    <w:rsid w:val="0047551B"/>
    <w:rsid w:val="004767C7"/>
    <w:rsid w:val="00484E8D"/>
    <w:rsid w:val="004A0FBD"/>
    <w:rsid w:val="004A70CB"/>
    <w:rsid w:val="004B03B8"/>
    <w:rsid w:val="004B0CF8"/>
    <w:rsid w:val="004B3E63"/>
    <w:rsid w:val="004B469C"/>
    <w:rsid w:val="004C2527"/>
    <w:rsid w:val="004C53C7"/>
    <w:rsid w:val="004D1222"/>
    <w:rsid w:val="004D454E"/>
    <w:rsid w:val="004D76AF"/>
    <w:rsid w:val="004E20BD"/>
    <w:rsid w:val="004E2335"/>
    <w:rsid w:val="004E53E1"/>
    <w:rsid w:val="004F05D6"/>
    <w:rsid w:val="004F13B2"/>
    <w:rsid w:val="00520A1C"/>
    <w:rsid w:val="00520E68"/>
    <w:rsid w:val="00544C30"/>
    <w:rsid w:val="00545804"/>
    <w:rsid w:val="00545B3E"/>
    <w:rsid w:val="005634E3"/>
    <w:rsid w:val="00577E1D"/>
    <w:rsid w:val="00583F46"/>
    <w:rsid w:val="00585962"/>
    <w:rsid w:val="00585B7F"/>
    <w:rsid w:val="005956DB"/>
    <w:rsid w:val="005B5038"/>
    <w:rsid w:val="005D02E9"/>
    <w:rsid w:val="005E2B65"/>
    <w:rsid w:val="005E46D0"/>
    <w:rsid w:val="005E5A35"/>
    <w:rsid w:val="005F1B8F"/>
    <w:rsid w:val="005F68D7"/>
    <w:rsid w:val="00610FD9"/>
    <w:rsid w:val="0061242F"/>
    <w:rsid w:val="00631FAF"/>
    <w:rsid w:val="006544E2"/>
    <w:rsid w:val="006617BF"/>
    <w:rsid w:val="006742AA"/>
    <w:rsid w:val="00685BCD"/>
    <w:rsid w:val="006861D4"/>
    <w:rsid w:val="00690B49"/>
    <w:rsid w:val="00695C1E"/>
    <w:rsid w:val="006A138E"/>
    <w:rsid w:val="006A159A"/>
    <w:rsid w:val="006B3B5F"/>
    <w:rsid w:val="006C0308"/>
    <w:rsid w:val="006C4888"/>
    <w:rsid w:val="006D2C9C"/>
    <w:rsid w:val="006D4588"/>
    <w:rsid w:val="006D6E84"/>
    <w:rsid w:val="006F0742"/>
    <w:rsid w:val="006F5FFC"/>
    <w:rsid w:val="00701DBD"/>
    <w:rsid w:val="00702804"/>
    <w:rsid w:val="00705BFF"/>
    <w:rsid w:val="00713D46"/>
    <w:rsid w:val="00713FFB"/>
    <w:rsid w:val="00714DC4"/>
    <w:rsid w:val="0071757B"/>
    <w:rsid w:val="0072194F"/>
    <w:rsid w:val="00734A1B"/>
    <w:rsid w:val="0074726D"/>
    <w:rsid w:val="00752059"/>
    <w:rsid w:val="007549C6"/>
    <w:rsid w:val="00762800"/>
    <w:rsid w:val="00763748"/>
    <w:rsid w:val="007713D3"/>
    <w:rsid w:val="007801C1"/>
    <w:rsid w:val="00780265"/>
    <w:rsid w:val="0079756A"/>
    <w:rsid w:val="007A4CF7"/>
    <w:rsid w:val="007B1751"/>
    <w:rsid w:val="007B3702"/>
    <w:rsid w:val="007E4415"/>
    <w:rsid w:val="00806203"/>
    <w:rsid w:val="00816E72"/>
    <w:rsid w:val="00831034"/>
    <w:rsid w:val="00832614"/>
    <w:rsid w:val="00836037"/>
    <w:rsid w:val="00836432"/>
    <w:rsid w:val="008364E8"/>
    <w:rsid w:val="00842F46"/>
    <w:rsid w:val="008530FC"/>
    <w:rsid w:val="00863800"/>
    <w:rsid w:val="0086645E"/>
    <w:rsid w:val="00880643"/>
    <w:rsid w:val="008821DA"/>
    <w:rsid w:val="00882E33"/>
    <w:rsid w:val="008925B8"/>
    <w:rsid w:val="008A60DC"/>
    <w:rsid w:val="008B308B"/>
    <w:rsid w:val="008B6053"/>
    <w:rsid w:val="008D2005"/>
    <w:rsid w:val="008D4475"/>
    <w:rsid w:val="008D47F0"/>
    <w:rsid w:val="008E4B55"/>
    <w:rsid w:val="008F6C8B"/>
    <w:rsid w:val="00900AA5"/>
    <w:rsid w:val="00905D2B"/>
    <w:rsid w:val="00936EDE"/>
    <w:rsid w:val="0094731E"/>
    <w:rsid w:val="009551C2"/>
    <w:rsid w:val="00960DB7"/>
    <w:rsid w:val="0097760C"/>
    <w:rsid w:val="009955AF"/>
    <w:rsid w:val="00996401"/>
    <w:rsid w:val="009A0727"/>
    <w:rsid w:val="009A2009"/>
    <w:rsid w:val="009A604B"/>
    <w:rsid w:val="009B5AC1"/>
    <w:rsid w:val="009E4B01"/>
    <w:rsid w:val="009E64CC"/>
    <w:rsid w:val="009F79AD"/>
    <w:rsid w:val="00A001C8"/>
    <w:rsid w:val="00A072C4"/>
    <w:rsid w:val="00A13294"/>
    <w:rsid w:val="00A152A3"/>
    <w:rsid w:val="00A17F1F"/>
    <w:rsid w:val="00A3005E"/>
    <w:rsid w:val="00A446D1"/>
    <w:rsid w:val="00A45683"/>
    <w:rsid w:val="00A45B4C"/>
    <w:rsid w:val="00A47A30"/>
    <w:rsid w:val="00A56B96"/>
    <w:rsid w:val="00A7314A"/>
    <w:rsid w:val="00A77BB8"/>
    <w:rsid w:val="00A87412"/>
    <w:rsid w:val="00A9761C"/>
    <w:rsid w:val="00AA2660"/>
    <w:rsid w:val="00AC2D6C"/>
    <w:rsid w:val="00AC3AB1"/>
    <w:rsid w:val="00AD30AF"/>
    <w:rsid w:val="00AD6DAF"/>
    <w:rsid w:val="00AE2F51"/>
    <w:rsid w:val="00AE4D20"/>
    <w:rsid w:val="00AE5BD8"/>
    <w:rsid w:val="00AF42B7"/>
    <w:rsid w:val="00AF63BD"/>
    <w:rsid w:val="00B176A2"/>
    <w:rsid w:val="00B21D20"/>
    <w:rsid w:val="00B37032"/>
    <w:rsid w:val="00B4146D"/>
    <w:rsid w:val="00B66DB3"/>
    <w:rsid w:val="00B718F3"/>
    <w:rsid w:val="00B858D3"/>
    <w:rsid w:val="00B92FE2"/>
    <w:rsid w:val="00B96CC2"/>
    <w:rsid w:val="00B96F68"/>
    <w:rsid w:val="00BA125C"/>
    <w:rsid w:val="00BA297F"/>
    <w:rsid w:val="00BB04AC"/>
    <w:rsid w:val="00BB4934"/>
    <w:rsid w:val="00BC2A68"/>
    <w:rsid w:val="00BD29DC"/>
    <w:rsid w:val="00BD2C75"/>
    <w:rsid w:val="00BE59AE"/>
    <w:rsid w:val="00BE5D90"/>
    <w:rsid w:val="00BF5D80"/>
    <w:rsid w:val="00BF79F9"/>
    <w:rsid w:val="00C01992"/>
    <w:rsid w:val="00C03406"/>
    <w:rsid w:val="00C04C96"/>
    <w:rsid w:val="00C15824"/>
    <w:rsid w:val="00C22551"/>
    <w:rsid w:val="00C32D49"/>
    <w:rsid w:val="00C44132"/>
    <w:rsid w:val="00C5626A"/>
    <w:rsid w:val="00C64B89"/>
    <w:rsid w:val="00C72C3D"/>
    <w:rsid w:val="00C7357F"/>
    <w:rsid w:val="00C825D3"/>
    <w:rsid w:val="00C82789"/>
    <w:rsid w:val="00C84217"/>
    <w:rsid w:val="00CB4112"/>
    <w:rsid w:val="00CB4249"/>
    <w:rsid w:val="00CB7D58"/>
    <w:rsid w:val="00CC16CC"/>
    <w:rsid w:val="00CC2A47"/>
    <w:rsid w:val="00CC610F"/>
    <w:rsid w:val="00CC6528"/>
    <w:rsid w:val="00CD7CC6"/>
    <w:rsid w:val="00CE219E"/>
    <w:rsid w:val="00CE68AB"/>
    <w:rsid w:val="00CF1A41"/>
    <w:rsid w:val="00CF21B4"/>
    <w:rsid w:val="00CF4462"/>
    <w:rsid w:val="00CF67E4"/>
    <w:rsid w:val="00D0151F"/>
    <w:rsid w:val="00D06555"/>
    <w:rsid w:val="00D15605"/>
    <w:rsid w:val="00D16EC3"/>
    <w:rsid w:val="00D20614"/>
    <w:rsid w:val="00D42837"/>
    <w:rsid w:val="00D51B0B"/>
    <w:rsid w:val="00D574DA"/>
    <w:rsid w:val="00D616D4"/>
    <w:rsid w:val="00D74D03"/>
    <w:rsid w:val="00D74EE8"/>
    <w:rsid w:val="00D75AF5"/>
    <w:rsid w:val="00D84144"/>
    <w:rsid w:val="00D865CC"/>
    <w:rsid w:val="00D91411"/>
    <w:rsid w:val="00D9221A"/>
    <w:rsid w:val="00DA4523"/>
    <w:rsid w:val="00DA53C4"/>
    <w:rsid w:val="00DA695D"/>
    <w:rsid w:val="00DC6995"/>
    <w:rsid w:val="00DD21C5"/>
    <w:rsid w:val="00DD5A10"/>
    <w:rsid w:val="00DD6DB5"/>
    <w:rsid w:val="00DD7C8E"/>
    <w:rsid w:val="00DE272D"/>
    <w:rsid w:val="00DE436B"/>
    <w:rsid w:val="00DE71D6"/>
    <w:rsid w:val="00DF1426"/>
    <w:rsid w:val="00DF184F"/>
    <w:rsid w:val="00DF2A12"/>
    <w:rsid w:val="00E1207A"/>
    <w:rsid w:val="00E441F9"/>
    <w:rsid w:val="00E44A34"/>
    <w:rsid w:val="00E6371B"/>
    <w:rsid w:val="00E756F9"/>
    <w:rsid w:val="00E8670D"/>
    <w:rsid w:val="00E92B96"/>
    <w:rsid w:val="00EA36CD"/>
    <w:rsid w:val="00EA6065"/>
    <w:rsid w:val="00EA68A7"/>
    <w:rsid w:val="00EA6EC5"/>
    <w:rsid w:val="00EC1D69"/>
    <w:rsid w:val="00EF3B13"/>
    <w:rsid w:val="00F039A9"/>
    <w:rsid w:val="00F06351"/>
    <w:rsid w:val="00F063D3"/>
    <w:rsid w:val="00F156EE"/>
    <w:rsid w:val="00F24E32"/>
    <w:rsid w:val="00F3250F"/>
    <w:rsid w:val="00F457F6"/>
    <w:rsid w:val="00F51FA7"/>
    <w:rsid w:val="00F624DB"/>
    <w:rsid w:val="00F920B5"/>
    <w:rsid w:val="00F92988"/>
    <w:rsid w:val="00FA6D58"/>
    <w:rsid w:val="00FD1405"/>
    <w:rsid w:val="00FD32D1"/>
    <w:rsid w:val="00FE3B65"/>
    <w:rsid w:val="00FF1CEF"/>
    <w:rsid w:val="00FF3E78"/>
    <w:rsid w:val="00FF5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34F6"/>
  <w15:chartTrackingRefBased/>
  <w15:docId w15:val="{8E70E603-6DDF-4270-95E2-FC1CD174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5E"/>
    <w:pPr>
      <w:ind w:left="720"/>
      <w:contextualSpacing/>
    </w:pPr>
  </w:style>
  <w:style w:type="paragraph" w:styleId="BalloonText">
    <w:name w:val="Balloon Text"/>
    <w:basedOn w:val="Normal"/>
    <w:link w:val="BalloonTextChar"/>
    <w:uiPriority w:val="99"/>
    <w:semiHidden/>
    <w:unhideWhenUsed/>
    <w:rsid w:val="000B6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DF"/>
    <w:rPr>
      <w:rFonts w:ascii="Segoe UI" w:hAnsi="Segoe UI" w:cs="Segoe UI"/>
      <w:sz w:val="18"/>
      <w:szCs w:val="18"/>
    </w:rPr>
  </w:style>
  <w:style w:type="character" w:styleId="Hyperlink">
    <w:name w:val="Hyperlink"/>
    <w:basedOn w:val="DefaultParagraphFont"/>
    <w:uiPriority w:val="99"/>
    <w:unhideWhenUsed/>
    <w:rsid w:val="005E5A35"/>
    <w:rPr>
      <w:color w:val="0563C1" w:themeColor="hyperlink"/>
      <w:u w:val="single"/>
    </w:rPr>
  </w:style>
  <w:style w:type="paragraph" w:styleId="Caption">
    <w:name w:val="caption"/>
    <w:basedOn w:val="Normal"/>
    <w:next w:val="Normal"/>
    <w:uiPriority w:val="35"/>
    <w:unhideWhenUsed/>
    <w:qFormat/>
    <w:rsid w:val="004D76AF"/>
    <w:pPr>
      <w:spacing w:after="200" w:line="240" w:lineRule="auto"/>
    </w:pPr>
    <w:rPr>
      <w:i/>
      <w:iCs/>
      <w:color w:val="44546A" w:themeColor="text2"/>
      <w:sz w:val="18"/>
      <w:szCs w:val="18"/>
    </w:rPr>
  </w:style>
  <w:style w:type="table" w:styleId="TableGrid">
    <w:name w:val="Table Grid"/>
    <w:basedOn w:val="TableNormal"/>
    <w:uiPriority w:val="39"/>
    <w:rsid w:val="00D8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99F-50DF-452A-8A5A-D57239C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Conall Ruth</dc:creator>
  <cp:keywords/>
  <dc:description/>
  <cp:lastModifiedBy>Conall Ruth</cp:lastModifiedBy>
  <cp:revision>2</cp:revision>
  <cp:lastPrinted>2019-03-12T16:04:00Z</cp:lastPrinted>
  <dcterms:created xsi:type="dcterms:W3CDTF">2019-04-09T13:42:00Z</dcterms:created>
  <dcterms:modified xsi:type="dcterms:W3CDTF">2019-04-09T13:42:00Z</dcterms:modified>
</cp:coreProperties>
</file>