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C02" w14:textId="77777777" w:rsidR="00150FFE" w:rsidRPr="00AF264D" w:rsidRDefault="00150FFE" w:rsidP="000C0AE0">
      <w:pPr>
        <w:rPr>
          <w:rFonts w:ascii="Times New Roman" w:hAnsi="Times New Roman" w:cs="Times New Roman"/>
          <w:b/>
        </w:rPr>
      </w:pPr>
      <w:bookmarkStart w:id="0" w:name="_GoBack"/>
      <w:bookmarkEnd w:id="0"/>
      <w:r w:rsidRPr="00AF264D">
        <w:rPr>
          <w:rFonts w:ascii="Times New Roman" w:hAnsi="Times New Roman" w:cs="Times New Roman"/>
          <w:b/>
        </w:rPr>
        <w:t>Title</w:t>
      </w:r>
      <w:r w:rsidR="00052643" w:rsidRPr="00AF264D">
        <w:rPr>
          <w:rFonts w:ascii="Times New Roman" w:hAnsi="Times New Roman" w:cs="Times New Roman"/>
          <w:b/>
        </w:rPr>
        <w:t xml:space="preserve">: </w:t>
      </w:r>
    </w:p>
    <w:p w14:paraId="2975D4C5" w14:textId="50E1864D" w:rsidR="005517E4" w:rsidRPr="00AF264D" w:rsidRDefault="00782F7D" w:rsidP="000C0AE0">
      <w:pPr>
        <w:rPr>
          <w:rFonts w:ascii="Times New Roman" w:hAnsi="Times New Roman" w:cs="Times New Roman"/>
        </w:rPr>
      </w:pPr>
      <w:r w:rsidRPr="00AF264D">
        <w:rPr>
          <w:rFonts w:ascii="Times New Roman" w:hAnsi="Times New Roman" w:cs="Times New Roman"/>
        </w:rPr>
        <w:t xml:space="preserve">Exploring the impact of geographical traits </w:t>
      </w:r>
      <w:r w:rsidR="00D67221" w:rsidRPr="00AF264D">
        <w:rPr>
          <w:rFonts w:ascii="Times New Roman" w:hAnsi="Times New Roman" w:cs="Times New Roman"/>
        </w:rPr>
        <w:t>on th</w:t>
      </w:r>
      <w:r w:rsidR="003D4D51" w:rsidRPr="00AF264D">
        <w:rPr>
          <w:rFonts w:ascii="Times New Roman" w:hAnsi="Times New Roman" w:cs="Times New Roman"/>
        </w:rPr>
        <w:t xml:space="preserve">e occurrence of </w:t>
      </w:r>
      <w:r w:rsidR="00D17C12" w:rsidRPr="00AF264D">
        <w:rPr>
          <w:rFonts w:ascii="Times New Roman" w:hAnsi="Times New Roman" w:cs="Times New Roman"/>
        </w:rPr>
        <w:t>supply chain</w:t>
      </w:r>
      <w:r w:rsidR="00993E09" w:rsidRPr="00AF264D">
        <w:rPr>
          <w:rFonts w:ascii="Times New Roman" w:hAnsi="Times New Roman" w:cs="Times New Roman"/>
        </w:rPr>
        <w:t xml:space="preserve"> failures</w:t>
      </w:r>
    </w:p>
    <w:p w14:paraId="706510B5" w14:textId="77777777" w:rsidR="00643908" w:rsidRPr="00AF264D" w:rsidRDefault="00643908" w:rsidP="000C0AE0">
      <w:pPr>
        <w:rPr>
          <w:rFonts w:ascii="Times New Roman" w:hAnsi="Times New Roman" w:cs="Times New Roman"/>
          <w:b/>
        </w:rPr>
      </w:pPr>
    </w:p>
    <w:p w14:paraId="2FC34DC5" w14:textId="1B94580C" w:rsidR="000C0AE0" w:rsidRPr="00AF264D" w:rsidRDefault="000C0AE0" w:rsidP="000C0AE0">
      <w:pPr>
        <w:rPr>
          <w:rFonts w:ascii="Times New Roman" w:hAnsi="Times New Roman" w:cs="Times New Roman"/>
          <w:b/>
        </w:rPr>
      </w:pPr>
      <w:r w:rsidRPr="00AF264D">
        <w:rPr>
          <w:rFonts w:ascii="Times New Roman" w:hAnsi="Times New Roman" w:cs="Times New Roman"/>
          <w:b/>
        </w:rPr>
        <w:t>Abstract</w:t>
      </w:r>
      <w:r w:rsidR="006316AF">
        <w:rPr>
          <w:rFonts w:ascii="Times New Roman" w:hAnsi="Times New Roman" w:cs="Times New Roman"/>
          <w:b/>
        </w:rPr>
        <w:t xml:space="preserve"> </w:t>
      </w:r>
    </w:p>
    <w:p w14:paraId="728B491E" w14:textId="77777777" w:rsidR="000C0AE0" w:rsidRPr="00AF264D" w:rsidRDefault="000C0AE0" w:rsidP="00CB2F26">
      <w:pPr>
        <w:jc w:val="both"/>
        <w:rPr>
          <w:rFonts w:ascii="Times New Roman" w:hAnsi="Times New Roman" w:cs="Times New Roman"/>
        </w:rPr>
      </w:pPr>
    </w:p>
    <w:p w14:paraId="42FD5CFC" w14:textId="00E58E9A" w:rsidR="000C0AE0" w:rsidRPr="00AF264D" w:rsidRDefault="0091699A" w:rsidP="003A08CD">
      <w:pPr>
        <w:jc w:val="both"/>
        <w:rPr>
          <w:rFonts w:ascii="Times New Roman" w:hAnsi="Times New Roman" w:cs="Times New Roman"/>
        </w:rPr>
      </w:pPr>
      <w:r w:rsidRPr="00AF264D">
        <w:rPr>
          <w:rFonts w:ascii="Times New Roman" w:hAnsi="Times New Roman" w:cs="Times New Roman"/>
          <w:b/>
        </w:rPr>
        <w:t xml:space="preserve">Purpose </w:t>
      </w:r>
      <w:r w:rsidRPr="00AF264D">
        <w:rPr>
          <w:rFonts w:ascii="Times New Roman" w:hAnsi="Times New Roman" w:cs="Times New Roman"/>
        </w:rPr>
        <w:t xml:space="preserve">– </w:t>
      </w:r>
      <w:r w:rsidR="0044740B">
        <w:rPr>
          <w:rFonts w:ascii="Times New Roman" w:hAnsi="Times New Roman" w:cs="Times New Roman"/>
        </w:rPr>
        <w:t>T</w:t>
      </w:r>
      <w:r w:rsidR="00067A44">
        <w:rPr>
          <w:rFonts w:ascii="Times New Roman" w:hAnsi="Times New Roman" w:cs="Times New Roman"/>
        </w:rPr>
        <w:t>his</w:t>
      </w:r>
      <w:r w:rsidR="0044740B">
        <w:rPr>
          <w:rFonts w:ascii="Times New Roman" w:hAnsi="Times New Roman" w:cs="Times New Roman"/>
        </w:rPr>
        <w:t xml:space="preserve"> research </w:t>
      </w:r>
      <w:r w:rsidR="00067A44">
        <w:rPr>
          <w:rFonts w:ascii="Times New Roman" w:hAnsi="Times New Roman" w:cs="Times New Roman"/>
        </w:rPr>
        <w:t xml:space="preserve">explores </w:t>
      </w:r>
      <w:r w:rsidR="0044740B">
        <w:rPr>
          <w:rFonts w:ascii="Times New Roman" w:hAnsi="Times New Roman" w:cs="Times New Roman"/>
        </w:rPr>
        <w:t xml:space="preserve">the impact of geographical traits on the </w:t>
      </w:r>
      <w:r w:rsidR="0044740B" w:rsidRPr="00AF264D">
        <w:rPr>
          <w:rFonts w:ascii="Times New Roman" w:hAnsi="Times New Roman" w:cs="Times New Roman"/>
        </w:rPr>
        <w:t>occurrence of on-time or the risk of late deliveries</w:t>
      </w:r>
      <w:r w:rsidR="0044740B">
        <w:rPr>
          <w:rFonts w:ascii="Times New Roman" w:hAnsi="Times New Roman" w:cs="Times New Roman"/>
        </w:rPr>
        <w:t xml:space="preserve">; one vital category of supply chain failures. </w:t>
      </w:r>
      <w:r w:rsidR="00067A44">
        <w:rPr>
          <w:rFonts w:ascii="Times New Roman" w:hAnsi="Times New Roman" w:cs="Times New Roman"/>
        </w:rPr>
        <w:t>Specifically, t</w:t>
      </w:r>
      <w:r w:rsidR="00FF1AA8">
        <w:rPr>
          <w:rFonts w:ascii="Times New Roman" w:hAnsi="Times New Roman" w:cs="Times New Roman"/>
        </w:rPr>
        <w:t xml:space="preserve">he regulatory environment </w:t>
      </w:r>
      <w:r w:rsidR="00067A44">
        <w:rPr>
          <w:rFonts w:ascii="Times New Roman" w:hAnsi="Times New Roman" w:cs="Times New Roman"/>
        </w:rPr>
        <w:t xml:space="preserve">framework </w:t>
      </w:r>
      <w:r w:rsidR="00FF1AA8">
        <w:rPr>
          <w:rFonts w:ascii="Times New Roman" w:hAnsi="Times New Roman" w:cs="Times New Roman"/>
        </w:rPr>
        <w:t xml:space="preserve">and </w:t>
      </w:r>
      <w:r w:rsidR="00067A44">
        <w:rPr>
          <w:rFonts w:ascii="Times New Roman" w:hAnsi="Times New Roman" w:cs="Times New Roman"/>
        </w:rPr>
        <w:t xml:space="preserve">national and organizational culture are explored </w:t>
      </w:r>
      <w:r w:rsidR="000A45DC">
        <w:rPr>
          <w:rFonts w:ascii="Times New Roman" w:hAnsi="Times New Roman" w:cs="Times New Roman"/>
        </w:rPr>
        <w:t>as potential contingency factors</w:t>
      </w:r>
      <w:r w:rsidR="00067A44">
        <w:rPr>
          <w:rFonts w:ascii="Times New Roman" w:hAnsi="Times New Roman" w:cs="Times New Roman"/>
        </w:rPr>
        <w:t xml:space="preserve"> affecting these supply chain failures.</w:t>
      </w:r>
      <w:r w:rsidR="00FF1AA8">
        <w:rPr>
          <w:rFonts w:ascii="Times New Roman" w:hAnsi="Times New Roman" w:cs="Times New Roman"/>
        </w:rPr>
        <w:t xml:space="preserve"> </w:t>
      </w:r>
      <w:r w:rsidR="00FF1AA8" w:rsidRPr="000A45DC">
        <w:rPr>
          <w:rFonts w:ascii="Times New Roman" w:hAnsi="Times New Roman"/>
        </w:rPr>
        <w:t xml:space="preserve">Furthermore, we assess whether or not potential negative cultural characteristics at the national level can be addressed through </w:t>
      </w:r>
      <w:r w:rsidR="000A45DC" w:rsidRPr="00DC4C96">
        <w:rPr>
          <w:rFonts w:ascii="Times New Roman" w:hAnsi="Times New Roman"/>
        </w:rPr>
        <w:t>specific organisational culture at the</w:t>
      </w:r>
      <w:r w:rsidR="00FF1AA8" w:rsidRPr="000A45DC">
        <w:rPr>
          <w:rFonts w:ascii="Times New Roman" w:hAnsi="Times New Roman"/>
        </w:rPr>
        <w:t xml:space="preserve"> organisational level </w:t>
      </w:r>
      <w:r w:rsidR="000A45DC" w:rsidRPr="00DC4C96">
        <w:rPr>
          <w:rFonts w:ascii="Times New Roman" w:hAnsi="Times New Roman"/>
        </w:rPr>
        <w:t xml:space="preserve">of </w:t>
      </w:r>
      <w:r w:rsidR="00FF1AA8" w:rsidRPr="000A45DC">
        <w:rPr>
          <w:rFonts w:ascii="Times New Roman" w:hAnsi="Times New Roman"/>
        </w:rPr>
        <w:t>practice.</w:t>
      </w:r>
      <w:r w:rsidR="00FF1AA8">
        <w:rPr>
          <w:rFonts w:ascii="Times New Roman" w:hAnsi="Times New Roman" w:cs="Times New Roman"/>
        </w:rPr>
        <w:t xml:space="preserve"> </w:t>
      </w:r>
    </w:p>
    <w:p w14:paraId="2737C875" w14:textId="77777777" w:rsidR="0091699A" w:rsidRPr="00AF264D" w:rsidRDefault="0091699A" w:rsidP="003A08CD">
      <w:pPr>
        <w:jc w:val="both"/>
        <w:rPr>
          <w:rFonts w:ascii="Times New Roman" w:hAnsi="Times New Roman" w:cs="Times New Roman"/>
        </w:rPr>
      </w:pPr>
    </w:p>
    <w:p w14:paraId="2211EA80" w14:textId="60168AF1" w:rsidR="0091699A" w:rsidRPr="00AF264D" w:rsidRDefault="0091699A" w:rsidP="003A08CD">
      <w:pPr>
        <w:jc w:val="both"/>
        <w:rPr>
          <w:rFonts w:ascii="Times New Roman" w:hAnsi="Times New Roman" w:cs="Times New Roman"/>
        </w:rPr>
      </w:pPr>
      <w:r w:rsidRPr="00AF264D">
        <w:rPr>
          <w:rFonts w:ascii="Times New Roman" w:hAnsi="Times New Roman" w:cs="Times New Roman"/>
          <w:b/>
        </w:rPr>
        <w:t>Design/methodology/approach</w:t>
      </w:r>
      <w:r w:rsidRPr="00AF264D">
        <w:rPr>
          <w:rFonts w:ascii="Times New Roman" w:hAnsi="Times New Roman" w:cs="Times New Roman"/>
        </w:rPr>
        <w:t xml:space="preserve"> – </w:t>
      </w:r>
      <w:r w:rsidR="000A45DC">
        <w:rPr>
          <w:rFonts w:ascii="Times New Roman" w:hAnsi="Times New Roman" w:cs="Times New Roman"/>
        </w:rPr>
        <w:t xml:space="preserve">This study combines primary </w:t>
      </w:r>
      <w:r w:rsidR="006B73E1">
        <w:rPr>
          <w:rFonts w:ascii="Times New Roman" w:hAnsi="Times New Roman" w:cs="Times New Roman"/>
        </w:rPr>
        <w:t xml:space="preserve">survey data </w:t>
      </w:r>
      <w:r w:rsidR="006B73E1" w:rsidRPr="001C098B">
        <w:rPr>
          <w:rFonts w:ascii="Times New Roman" w:hAnsi="Times New Roman"/>
        </w:rPr>
        <w:t xml:space="preserve">from </w:t>
      </w:r>
      <w:r w:rsidR="006B73E1">
        <w:rPr>
          <w:rFonts w:ascii="Times New Roman" w:hAnsi="Times New Roman"/>
        </w:rPr>
        <w:t>647</w:t>
      </w:r>
      <w:r w:rsidR="006B73E1" w:rsidRPr="001C098B">
        <w:rPr>
          <w:rFonts w:ascii="Times New Roman" w:hAnsi="Times New Roman"/>
        </w:rPr>
        <w:t xml:space="preserve"> plants in </w:t>
      </w:r>
      <w:r w:rsidR="006B73E1">
        <w:rPr>
          <w:rFonts w:ascii="Times New Roman" w:hAnsi="Times New Roman"/>
        </w:rPr>
        <w:t>12</w:t>
      </w:r>
      <w:r w:rsidR="006B73E1" w:rsidRPr="001C098B">
        <w:rPr>
          <w:rFonts w:ascii="Times New Roman" w:hAnsi="Times New Roman"/>
        </w:rPr>
        <w:t xml:space="preserve"> countries</w:t>
      </w:r>
      <w:r w:rsidR="006B73E1">
        <w:rPr>
          <w:rFonts w:ascii="Times New Roman" w:hAnsi="Times New Roman" w:cs="Times New Roman"/>
        </w:rPr>
        <w:t xml:space="preserve"> collected through the Global Manufacturing Research Group (GMRG) with secondary</w:t>
      </w:r>
      <w:r w:rsidR="00FF1AA8">
        <w:rPr>
          <w:rFonts w:ascii="Times New Roman" w:hAnsi="Times New Roman"/>
        </w:rPr>
        <w:t xml:space="preserve"> national data from the World Economic Forum and </w:t>
      </w:r>
      <w:r w:rsidR="00FF1AA8" w:rsidRPr="001C098B">
        <w:rPr>
          <w:rFonts w:ascii="Times New Roman" w:hAnsi="Times New Roman"/>
        </w:rPr>
        <w:t xml:space="preserve">Hofstede’s </w:t>
      </w:r>
      <w:r w:rsidR="006B73E1">
        <w:rPr>
          <w:rFonts w:ascii="Times New Roman" w:hAnsi="Times New Roman"/>
        </w:rPr>
        <w:t xml:space="preserve">national </w:t>
      </w:r>
      <w:r w:rsidR="00FF1AA8" w:rsidRPr="001C098B">
        <w:rPr>
          <w:rFonts w:ascii="Times New Roman" w:hAnsi="Times New Roman"/>
        </w:rPr>
        <w:t>culture dimension</w:t>
      </w:r>
      <w:r w:rsidR="00B4022F">
        <w:rPr>
          <w:rFonts w:ascii="Times New Roman" w:hAnsi="Times New Roman"/>
        </w:rPr>
        <w:t>s</w:t>
      </w:r>
      <w:r w:rsidR="00FF1AA8" w:rsidRPr="001C098B">
        <w:rPr>
          <w:rFonts w:ascii="Times New Roman" w:hAnsi="Times New Roman"/>
        </w:rPr>
        <w:t xml:space="preserve"> to </w:t>
      </w:r>
      <w:r w:rsidR="00FF1AA8">
        <w:rPr>
          <w:rFonts w:ascii="Times New Roman" w:hAnsi="Times New Roman"/>
        </w:rPr>
        <w:t xml:space="preserve">test </w:t>
      </w:r>
      <w:r w:rsidR="006B73E1">
        <w:rPr>
          <w:rFonts w:ascii="Times New Roman" w:hAnsi="Times New Roman"/>
        </w:rPr>
        <w:t xml:space="preserve">our </w:t>
      </w:r>
      <w:r w:rsidR="00FF1AA8">
        <w:rPr>
          <w:rFonts w:ascii="Times New Roman" w:hAnsi="Times New Roman"/>
        </w:rPr>
        <w:t>six hypotheses</w:t>
      </w:r>
      <w:r w:rsidR="00FF1AA8" w:rsidRPr="001C098B">
        <w:rPr>
          <w:rFonts w:ascii="Times New Roman" w:hAnsi="Times New Roman"/>
        </w:rPr>
        <w:t>.</w:t>
      </w:r>
    </w:p>
    <w:p w14:paraId="56EA41CD" w14:textId="77777777" w:rsidR="00643908" w:rsidRPr="00AF264D" w:rsidRDefault="00643908" w:rsidP="003A08CD">
      <w:pPr>
        <w:jc w:val="both"/>
        <w:rPr>
          <w:rFonts w:ascii="Times New Roman" w:hAnsi="Times New Roman" w:cs="Times New Roman"/>
        </w:rPr>
      </w:pPr>
    </w:p>
    <w:p w14:paraId="55B3153C" w14:textId="52C8DC04" w:rsidR="0091699A" w:rsidRPr="00AF264D" w:rsidRDefault="0091699A" w:rsidP="003A08CD">
      <w:pPr>
        <w:jc w:val="both"/>
        <w:rPr>
          <w:rFonts w:ascii="Times New Roman" w:hAnsi="Times New Roman" w:cs="Times New Roman"/>
        </w:rPr>
      </w:pPr>
      <w:r w:rsidRPr="00AF264D">
        <w:rPr>
          <w:rFonts w:ascii="Times New Roman" w:hAnsi="Times New Roman" w:cs="Times New Roman"/>
          <w:b/>
        </w:rPr>
        <w:t>Findings</w:t>
      </w:r>
      <w:r w:rsidRPr="00AF264D">
        <w:rPr>
          <w:rFonts w:ascii="Times New Roman" w:hAnsi="Times New Roman" w:cs="Times New Roman"/>
        </w:rPr>
        <w:t xml:space="preserve"> –</w:t>
      </w:r>
      <w:r w:rsidR="00FF1AA8">
        <w:rPr>
          <w:rFonts w:ascii="Times New Roman" w:hAnsi="Times New Roman" w:cs="Times New Roman"/>
        </w:rPr>
        <w:t xml:space="preserve"> </w:t>
      </w:r>
      <w:r w:rsidR="006B73E1">
        <w:rPr>
          <w:rFonts w:ascii="Times New Roman" w:hAnsi="Times New Roman" w:cs="Times New Roman"/>
        </w:rPr>
        <w:t>Results indicate that f</w:t>
      </w:r>
      <w:r w:rsidR="006C3373">
        <w:rPr>
          <w:rFonts w:ascii="Times New Roman" w:hAnsi="Times New Roman" w:cs="Times New Roman"/>
        </w:rPr>
        <w:t>irms situated in a</w:t>
      </w:r>
      <w:r w:rsidR="006C3373" w:rsidRPr="00AF264D">
        <w:rPr>
          <w:rFonts w:ascii="Times New Roman" w:hAnsi="Times New Roman" w:cs="Times New Roman"/>
        </w:rPr>
        <w:t xml:space="preserve"> regulatory national environment that is conducive to trade experience </w:t>
      </w:r>
      <w:r w:rsidR="006C3373">
        <w:rPr>
          <w:rFonts w:ascii="Times New Roman" w:hAnsi="Times New Roman" w:cs="Times New Roman"/>
        </w:rPr>
        <w:t>fewer</w:t>
      </w:r>
      <w:r w:rsidR="006C3373" w:rsidRPr="00AF264D">
        <w:rPr>
          <w:rFonts w:ascii="Times New Roman" w:hAnsi="Times New Roman" w:cs="Times New Roman"/>
        </w:rPr>
        <w:t xml:space="preserve"> late deliveries; a national infrastructure that has continuously been neglected leads to more late deliveries.</w:t>
      </w:r>
      <w:r w:rsidR="006C3373">
        <w:rPr>
          <w:rFonts w:ascii="Times New Roman" w:hAnsi="Times New Roman" w:cs="Times New Roman"/>
        </w:rPr>
        <w:t xml:space="preserve"> Firms situated in countries with low levels of national uncertainty avoidance experience fewer late deliveries. Supplier communication should be practiced at an organisational level to excel in these countries. </w:t>
      </w:r>
    </w:p>
    <w:p w14:paraId="52428932" w14:textId="77777777" w:rsidR="0091699A" w:rsidRPr="00AF264D" w:rsidRDefault="0091699A" w:rsidP="003A08CD">
      <w:pPr>
        <w:jc w:val="both"/>
        <w:rPr>
          <w:rFonts w:ascii="Times New Roman" w:hAnsi="Times New Roman" w:cs="Times New Roman"/>
        </w:rPr>
      </w:pPr>
    </w:p>
    <w:p w14:paraId="75142CF7" w14:textId="3DA45AEA" w:rsidR="006C3373" w:rsidRDefault="0091699A" w:rsidP="003A08CD">
      <w:pPr>
        <w:jc w:val="both"/>
      </w:pPr>
      <w:r w:rsidRPr="00AF264D">
        <w:rPr>
          <w:rFonts w:ascii="Times New Roman" w:hAnsi="Times New Roman" w:cs="Times New Roman"/>
          <w:b/>
        </w:rPr>
        <w:t>Originality/value</w:t>
      </w:r>
      <w:r w:rsidRPr="00AF264D">
        <w:rPr>
          <w:rFonts w:ascii="Times New Roman" w:hAnsi="Times New Roman" w:cs="Times New Roman"/>
        </w:rPr>
        <w:t xml:space="preserve"> – </w:t>
      </w:r>
      <w:r w:rsidR="006C3373">
        <w:rPr>
          <w:rFonts w:ascii="Times New Roman" w:hAnsi="Times New Roman" w:cs="Times New Roman"/>
        </w:rPr>
        <w:t xml:space="preserve">This article adds to the ongoing discusses about </w:t>
      </w:r>
      <w:r w:rsidR="006B73E1">
        <w:rPr>
          <w:rFonts w:ascii="Times New Roman" w:hAnsi="Times New Roman" w:cs="Times New Roman"/>
        </w:rPr>
        <w:t xml:space="preserve">the </w:t>
      </w:r>
      <w:r w:rsidR="006C3373">
        <w:rPr>
          <w:rFonts w:ascii="Times New Roman" w:hAnsi="Times New Roman" w:cs="Times New Roman"/>
        </w:rPr>
        <w:t>importan</w:t>
      </w:r>
      <w:r w:rsidR="006B73E1">
        <w:rPr>
          <w:rFonts w:ascii="Times New Roman" w:hAnsi="Times New Roman" w:cs="Times New Roman"/>
        </w:rPr>
        <w:t>ce of</w:t>
      </w:r>
      <w:r w:rsidR="006C3373">
        <w:rPr>
          <w:rFonts w:ascii="Times New Roman" w:hAnsi="Times New Roman" w:cs="Times New Roman"/>
        </w:rPr>
        <w:t xml:space="preserve"> </w:t>
      </w:r>
      <w:r w:rsidR="006C3373" w:rsidRPr="00AF264D">
        <w:rPr>
          <w:rFonts w:ascii="Times New Roman" w:hAnsi="Times New Roman" w:cs="Times New Roman"/>
        </w:rPr>
        <w:t xml:space="preserve">contingency factors at the country level </w:t>
      </w:r>
      <w:r w:rsidR="006C3373">
        <w:rPr>
          <w:rFonts w:ascii="Times New Roman" w:hAnsi="Times New Roman" w:cs="Times New Roman"/>
        </w:rPr>
        <w:t>(</w:t>
      </w:r>
      <w:r w:rsidR="00295F78">
        <w:rPr>
          <w:rFonts w:ascii="Times New Roman" w:hAnsi="Times New Roman" w:cs="Times New Roman"/>
        </w:rPr>
        <w:t>i.e.,</w:t>
      </w:r>
      <w:r w:rsidR="006C3373">
        <w:rPr>
          <w:rFonts w:ascii="Times New Roman" w:hAnsi="Times New Roman" w:cs="Times New Roman"/>
        </w:rPr>
        <w:t xml:space="preserve"> institutional and cultural factors</w:t>
      </w:r>
      <w:r w:rsidR="006B73E1">
        <w:rPr>
          <w:rFonts w:ascii="Times New Roman" w:hAnsi="Times New Roman" w:cs="Times New Roman"/>
        </w:rPr>
        <w:t>), which</w:t>
      </w:r>
      <w:r w:rsidR="003A08CD">
        <w:rPr>
          <w:rFonts w:ascii="Times New Roman" w:hAnsi="Times New Roman" w:cs="Times New Roman"/>
        </w:rPr>
        <w:t xml:space="preserve"> need</w:t>
      </w:r>
      <w:r w:rsidR="006C3373">
        <w:rPr>
          <w:rFonts w:ascii="Times New Roman" w:hAnsi="Times New Roman" w:cs="Times New Roman"/>
        </w:rPr>
        <w:t xml:space="preserve"> to be considered </w:t>
      </w:r>
      <w:r w:rsidR="006C3373" w:rsidRPr="00AF264D">
        <w:rPr>
          <w:rFonts w:ascii="Times New Roman" w:hAnsi="Times New Roman" w:cs="Times New Roman"/>
        </w:rPr>
        <w:t>when setting up global supply chains</w:t>
      </w:r>
      <w:r w:rsidR="006C3373">
        <w:rPr>
          <w:rFonts w:ascii="Times New Roman" w:hAnsi="Times New Roman" w:cs="Times New Roman"/>
        </w:rPr>
        <w:t xml:space="preserve">. It also contributes important empirical insights to the convergence/divergence discussion. </w:t>
      </w:r>
    </w:p>
    <w:p w14:paraId="627C05B0" w14:textId="29CE9418" w:rsidR="0091699A" w:rsidRPr="00AF264D" w:rsidRDefault="0091699A" w:rsidP="000C0AE0">
      <w:pPr>
        <w:rPr>
          <w:rFonts w:ascii="Times New Roman" w:hAnsi="Times New Roman" w:cs="Times New Roman"/>
        </w:rPr>
      </w:pPr>
    </w:p>
    <w:p w14:paraId="4AF32B98" w14:textId="77777777" w:rsidR="0091699A" w:rsidRPr="00AF264D" w:rsidRDefault="0091699A" w:rsidP="000C0AE0">
      <w:pPr>
        <w:rPr>
          <w:rFonts w:ascii="Times New Roman" w:hAnsi="Times New Roman" w:cs="Times New Roman"/>
        </w:rPr>
      </w:pPr>
    </w:p>
    <w:p w14:paraId="630F912A" w14:textId="7634C64A" w:rsidR="006616C7" w:rsidRPr="006616C7" w:rsidRDefault="0091699A" w:rsidP="006616C7">
      <w:pPr>
        <w:jc w:val="both"/>
        <w:rPr>
          <w:rFonts w:ascii="Times New Roman" w:hAnsi="Times New Roman" w:cs="Times New Roman"/>
        </w:rPr>
      </w:pPr>
      <w:r w:rsidRPr="00AF264D">
        <w:rPr>
          <w:rFonts w:ascii="Times New Roman" w:hAnsi="Times New Roman" w:cs="Times New Roman"/>
          <w:b/>
        </w:rPr>
        <w:t xml:space="preserve">Keywords: </w:t>
      </w:r>
      <w:r w:rsidR="006616C7" w:rsidRPr="006616C7">
        <w:rPr>
          <w:rFonts w:ascii="Times New Roman" w:hAnsi="Times New Roman" w:cs="Times New Roman"/>
        </w:rPr>
        <w:t xml:space="preserve">supply chain disruptions, surveys, crosscultural management, purchasing, risk management </w:t>
      </w:r>
    </w:p>
    <w:p w14:paraId="063CA5E7" w14:textId="6153B4DC" w:rsidR="0091699A" w:rsidRPr="00AF264D" w:rsidRDefault="00B75E01" w:rsidP="000C0AE0">
      <w:pPr>
        <w:rPr>
          <w:rFonts w:ascii="Times New Roman" w:hAnsi="Times New Roman" w:cs="Times New Roman"/>
          <w:b/>
        </w:rPr>
      </w:pPr>
      <w:r>
        <w:rPr>
          <w:rFonts w:ascii="Times New Roman" w:hAnsi="Times New Roman" w:cs="Times New Roman"/>
        </w:rPr>
        <w:t xml:space="preserve"> </w:t>
      </w:r>
    </w:p>
    <w:p w14:paraId="73EB414B" w14:textId="77777777" w:rsidR="00643908" w:rsidRPr="00AF264D" w:rsidRDefault="00643908" w:rsidP="000C0AE0">
      <w:pPr>
        <w:rPr>
          <w:rFonts w:ascii="Times New Roman" w:hAnsi="Times New Roman" w:cs="Times New Roman"/>
        </w:rPr>
      </w:pPr>
    </w:p>
    <w:p w14:paraId="2334C2B3" w14:textId="1CC18B81" w:rsidR="00643908" w:rsidRPr="00AF264D" w:rsidRDefault="004271AC" w:rsidP="000C0AE0">
      <w:pPr>
        <w:rPr>
          <w:rFonts w:ascii="Times New Roman" w:hAnsi="Times New Roman" w:cs="Times New Roman"/>
        </w:rPr>
      </w:pPr>
      <w:r w:rsidRPr="00272DBF">
        <w:rPr>
          <w:rFonts w:ascii="Times New Roman" w:hAnsi="Times New Roman" w:cs="Times New Roman"/>
          <w:b/>
        </w:rPr>
        <w:t>Paper type</w:t>
      </w:r>
      <w:r w:rsidRPr="00272DBF">
        <w:rPr>
          <w:rFonts w:ascii="Times New Roman" w:hAnsi="Times New Roman" w:cs="Times New Roman"/>
        </w:rPr>
        <w:t xml:space="preserve"> – Research paper</w:t>
      </w:r>
    </w:p>
    <w:p w14:paraId="3A1E0899" w14:textId="77777777" w:rsidR="00643908" w:rsidRDefault="00643908" w:rsidP="000C0AE0">
      <w:pPr>
        <w:rPr>
          <w:rFonts w:ascii="Times New Roman" w:hAnsi="Times New Roman" w:cs="Times New Roman"/>
        </w:rPr>
      </w:pPr>
    </w:p>
    <w:p w14:paraId="5E2EE9DE" w14:textId="77777777" w:rsidR="00E97373" w:rsidRDefault="00E97373" w:rsidP="000C0AE0">
      <w:pPr>
        <w:rPr>
          <w:rFonts w:ascii="Times New Roman" w:hAnsi="Times New Roman" w:cs="Times New Roman"/>
        </w:rPr>
      </w:pPr>
    </w:p>
    <w:p w14:paraId="48CED89E" w14:textId="77777777" w:rsidR="00E97373" w:rsidRDefault="00E97373" w:rsidP="000C0AE0">
      <w:pPr>
        <w:rPr>
          <w:rFonts w:ascii="Times New Roman" w:hAnsi="Times New Roman" w:cs="Times New Roman"/>
        </w:rPr>
      </w:pPr>
    </w:p>
    <w:p w14:paraId="4258FF9D" w14:textId="77777777" w:rsidR="00E97373" w:rsidRDefault="00E97373" w:rsidP="000C0AE0">
      <w:pPr>
        <w:rPr>
          <w:rFonts w:ascii="Times New Roman" w:hAnsi="Times New Roman" w:cs="Times New Roman"/>
        </w:rPr>
      </w:pPr>
    </w:p>
    <w:p w14:paraId="6B52F82F" w14:textId="77777777" w:rsidR="00E97373" w:rsidRDefault="00E97373" w:rsidP="000C0AE0">
      <w:pPr>
        <w:rPr>
          <w:rFonts w:ascii="Times New Roman" w:hAnsi="Times New Roman" w:cs="Times New Roman"/>
        </w:rPr>
      </w:pPr>
    </w:p>
    <w:p w14:paraId="69080E38" w14:textId="77777777" w:rsidR="00E97373" w:rsidRDefault="00E97373" w:rsidP="000C0AE0">
      <w:pPr>
        <w:rPr>
          <w:rFonts w:ascii="Times New Roman" w:hAnsi="Times New Roman" w:cs="Times New Roman"/>
        </w:rPr>
      </w:pPr>
    </w:p>
    <w:p w14:paraId="78F82F15" w14:textId="77777777" w:rsidR="00E97373" w:rsidRPr="00AF264D" w:rsidRDefault="00E97373" w:rsidP="000C0AE0">
      <w:pPr>
        <w:rPr>
          <w:rFonts w:ascii="Times New Roman" w:hAnsi="Times New Roman" w:cs="Times New Roman"/>
        </w:rPr>
      </w:pPr>
    </w:p>
    <w:p w14:paraId="2D3C9892" w14:textId="77777777" w:rsidR="00643908" w:rsidRPr="00AF264D" w:rsidRDefault="00643908" w:rsidP="000C0AE0">
      <w:pPr>
        <w:rPr>
          <w:rFonts w:ascii="Times New Roman" w:hAnsi="Times New Roman" w:cs="Times New Roman"/>
        </w:rPr>
      </w:pPr>
    </w:p>
    <w:p w14:paraId="08B5DB5B" w14:textId="77777777" w:rsidR="00643908" w:rsidRDefault="00643908" w:rsidP="000C0AE0">
      <w:pPr>
        <w:rPr>
          <w:rFonts w:ascii="Times New Roman" w:hAnsi="Times New Roman" w:cs="Times New Roman"/>
        </w:rPr>
      </w:pPr>
    </w:p>
    <w:p w14:paraId="2609810D" w14:textId="77777777" w:rsidR="0041582F" w:rsidRDefault="0041582F" w:rsidP="000C0AE0">
      <w:pPr>
        <w:rPr>
          <w:rFonts w:ascii="Times New Roman" w:hAnsi="Times New Roman" w:cs="Times New Roman"/>
        </w:rPr>
      </w:pPr>
    </w:p>
    <w:p w14:paraId="55A8A644" w14:textId="77777777" w:rsidR="0041582F" w:rsidRPr="00AF264D" w:rsidRDefault="0041582F" w:rsidP="000C0AE0">
      <w:pPr>
        <w:rPr>
          <w:rFonts w:ascii="Times New Roman" w:hAnsi="Times New Roman" w:cs="Times New Roman"/>
        </w:rPr>
      </w:pPr>
    </w:p>
    <w:p w14:paraId="0CE50C03" w14:textId="4A0A881C" w:rsidR="000C0AE0" w:rsidRPr="00AF264D" w:rsidRDefault="000C0AE0" w:rsidP="00954E31">
      <w:pPr>
        <w:pStyle w:val="Heading1"/>
        <w:rPr>
          <w:rFonts w:ascii="Times New Roman" w:hAnsi="Times New Roman"/>
        </w:rPr>
      </w:pPr>
      <w:r w:rsidRPr="00AF264D">
        <w:rPr>
          <w:rFonts w:ascii="Times New Roman" w:hAnsi="Times New Roman"/>
        </w:rPr>
        <w:lastRenderedPageBreak/>
        <w:t xml:space="preserve">1. Introduction </w:t>
      </w:r>
    </w:p>
    <w:p w14:paraId="582941AF" w14:textId="3104FB18" w:rsidR="00626678" w:rsidRPr="00AF264D" w:rsidRDefault="00626678" w:rsidP="00AB72AE">
      <w:pPr>
        <w:spacing w:line="480" w:lineRule="auto"/>
        <w:ind w:firstLine="284"/>
        <w:jc w:val="both"/>
        <w:rPr>
          <w:rFonts w:ascii="Times New Roman" w:hAnsi="Times New Roman" w:cs="Times New Roman"/>
        </w:rPr>
      </w:pPr>
      <w:r w:rsidRPr="00AF264D">
        <w:rPr>
          <w:rFonts w:ascii="Times New Roman" w:hAnsi="Times New Roman" w:cs="Times New Roman"/>
        </w:rPr>
        <w:t xml:space="preserve">Over the past decades companies have increasingly disintegrated their </w:t>
      </w:r>
      <w:r w:rsidR="005575F5">
        <w:rPr>
          <w:rFonts w:ascii="Times New Roman" w:hAnsi="Times New Roman" w:cs="Times New Roman"/>
        </w:rPr>
        <w:t>supply chain</w:t>
      </w:r>
      <w:r w:rsidRPr="00AF264D">
        <w:rPr>
          <w:rFonts w:ascii="Times New Roman" w:hAnsi="Times New Roman" w:cs="Times New Roman"/>
        </w:rPr>
        <w:t xml:space="preserve">. For example in the automotive industry it used to be a common strategy for OEMs to develop and produce the majority </w:t>
      </w:r>
      <w:r w:rsidR="00C36C28" w:rsidRPr="00AF264D">
        <w:rPr>
          <w:rFonts w:ascii="Times New Roman" w:hAnsi="Times New Roman" w:cs="Times New Roman"/>
        </w:rPr>
        <w:t xml:space="preserve">of products and parts in-house (Holweg </w:t>
      </w:r>
      <w:r w:rsidR="00C36C28" w:rsidRPr="003E75B7">
        <w:rPr>
          <w:rFonts w:ascii="Times New Roman" w:hAnsi="Times New Roman" w:cs="Times New Roman"/>
          <w:i/>
        </w:rPr>
        <w:t>et al.</w:t>
      </w:r>
      <w:r w:rsidR="00C36C28" w:rsidRPr="00AF264D">
        <w:rPr>
          <w:rFonts w:ascii="Times New Roman" w:hAnsi="Times New Roman" w:cs="Times New Roman"/>
        </w:rPr>
        <w:t>, 201</w:t>
      </w:r>
      <w:r w:rsidR="005575F5">
        <w:rPr>
          <w:rFonts w:ascii="Times New Roman" w:hAnsi="Times New Roman" w:cs="Times New Roman"/>
        </w:rPr>
        <w:t>6</w:t>
      </w:r>
      <w:r w:rsidR="00C36C28" w:rsidRPr="00AF264D">
        <w:rPr>
          <w:rFonts w:ascii="Times New Roman" w:hAnsi="Times New Roman" w:cs="Times New Roman"/>
        </w:rPr>
        <w:t>)</w:t>
      </w:r>
      <w:r w:rsidRPr="00AF264D">
        <w:rPr>
          <w:rFonts w:ascii="Times New Roman" w:hAnsi="Times New Roman" w:cs="Times New Roman"/>
        </w:rPr>
        <w:t xml:space="preserve">. </w:t>
      </w:r>
      <w:r w:rsidR="005575F5">
        <w:rPr>
          <w:rFonts w:ascii="Times New Roman" w:hAnsi="Times New Roman" w:cs="Times New Roman"/>
        </w:rPr>
        <w:t>N</w:t>
      </w:r>
      <w:r w:rsidRPr="00AF264D">
        <w:rPr>
          <w:rFonts w:ascii="Times New Roman" w:hAnsi="Times New Roman" w:cs="Times New Roman"/>
        </w:rPr>
        <w:t xml:space="preserve">owadays the continuing trend of focusing on core competencies has resulted in very fragmented and dispersed supply chains </w:t>
      </w:r>
      <w:r w:rsidR="009447BE" w:rsidRPr="00AF264D">
        <w:rPr>
          <w:rFonts w:ascii="Times New Roman" w:hAnsi="Times New Roman" w:cs="Times New Roman"/>
        </w:rPr>
        <w:t xml:space="preserve">(Lorentz </w:t>
      </w:r>
      <w:r w:rsidR="009447BE" w:rsidRPr="003E75B7">
        <w:rPr>
          <w:rFonts w:ascii="Times New Roman" w:hAnsi="Times New Roman" w:cs="Times New Roman"/>
          <w:i/>
        </w:rPr>
        <w:t>et al.</w:t>
      </w:r>
      <w:r w:rsidR="009447BE" w:rsidRPr="00AF264D">
        <w:rPr>
          <w:rFonts w:ascii="Times New Roman" w:hAnsi="Times New Roman" w:cs="Times New Roman"/>
        </w:rPr>
        <w:t>, 2012)</w:t>
      </w:r>
      <w:r w:rsidRPr="00AF264D">
        <w:rPr>
          <w:rFonts w:ascii="Times New Roman" w:hAnsi="Times New Roman" w:cs="Times New Roman"/>
        </w:rPr>
        <w:t xml:space="preserve">. This “core competency strategy”, which has its origins in the resource-based view, has certainly provided companies with multiple advantages such as cost savings, capacity flexibility, innovativeness, etc.; however, these disintegration practices have also made supply chains more fragile and exposed to supply chain failures. </w:t>
      </w:r>
      <w:r w:rsidR="00D17C12" w:rsidRPr="00AF264D">
        <w:rPr>
          <w:rFonts w:ascii="Times New Roman" w:hAnsi="Times New Roman" w:cs="Times New Roman"/>
        </w:rPr>
        <w:t>For example, a</w:t>
      </w:r>
      <w:r w:rsidRPr="00AF264D">
        <w:rPr>
          <w:rFonts w:ascii="Times New Roman" w:hAnsi="Times New Roman" w:cs="Times New Roman"/>
        </w:rPr>
        <w:t xml:space="preserve">s reported by the </w:t>
      </w:r>
      <w:r w:rsidR="00D17C12" w:rsidRPr="00AF264D">
        <w:rPr>
          <w:rFonts w:ascii="Times New Roman" w:hAnsi="Times New Roman" w:cs="Times New Roman"/>
        </w:rPr>
        <w:t>Business Continuity Institute (</w:t>
      </w:r>
      <w:r w:rsidR="009447BE" w:rsidRPr="00AF264D">
        <w:rPr>
          <w:rFonts w:ascii="Times New Roman" w:hAnsi="Times New Roman" w:cs="Times New Roman"/>
        </w:rPr>
        <w:t>2014)</w:t>
      </w:r>
      <w:r w:rsidRPr="00AF264D">
        <w:rPr>
          <w:rFonts w:ascii="Times New Roman" w:eastAsia="Times New Roman" w:hAnsi="Times New Roman" w:cs="Times New Roman"/>
        </w:rPr>
        <w:t>, a</w:t>
      </w:r>
      <w:r w:rsidRPr="00AF264D">
        <w:rPr>
          <w:rFonts w:ascii="Times New Roman" w:hAnsi="Times New Roman" w:cs="Times New Roman"/>
        </w:rPr>
        <w:t>bout 81% of companies are affected by supply chain failures, of which above 23% experience losses of more than € 1</w:t>
      </w:r>
      <w:r w:rsidR="00996FE4" w:rsidRPr="00AF264D">
        <w:rPr>
          <w:rFonts w:ascii="Times New Roman" w:hAnsi="Times New Roman" w:cs="Times New Roman"/>
        </w:rPr>
        <w:t xml:space="preserve"> million</w:t>
      </w:r>
      <w:r w:rsidRPr="00AF264D">
        <w:rPr>
          <w:rFonts w:ascii="Times New Roman" w:hAnsi="Times New Roman" w:cs="Times New Roman"/>
        </w:rPr>
        <w:t xml:space="preserve"> per incident</w:t>
      </w:r>
      <w:r w:rsidRPr="00AF264D">
        <w:rPr>
          <w:rFonts w:ascii="Times New Roman" w:eastAsia="Times New Roman" w:hAnsi="Times New Roman" w:cs="Times New Roman"/>
        </w:rPr>
        <w:t>.</w:t>
      </w:r>
      <w:r w:rsidRPr="00AF264D">
        <w:rPr>
          <w:rFonts w:ascii="Times New Roman" w:hAnsi="Times New Roman" w:cs="Times New Roman"/>
        </w:rPr>
        <w:t xml:space="preserve"> Causes of such failures include issues in outsourcing, transport network disruptions and the passing of new laws and regulations</w:t>
      </w:r>
      <w:r w:rsidR="00D17C12" w:rsidRPr="00AF264D">
        <w:rPr>
          <w:rFonts w:ascii="Times New Roman" w:hAnsi="Times New Roman" w:cs="Times New Roman"/>
        </w:rPr>
        <w:t xml:space="preserve"> (Business Continuity Institute, 2014)</w:t>
      </w:r>
      <w:r w:rsidRPr="00AF264D">
        <w:rPr>
          <w:rFonts w:ascii="Times New Roman" w:hAnsi="Times New Roman" w:cs="Times New Roman"/>
        </w:rPr>
        <w:t xml:space="preserve">. One recent example of a supply chain failure could be witnessed in the dispute between </w:t>
      </w:r>
      <w:r w:rsidR="00C921BE">
        <w:rPr>
          <w:rFonts w:ascii="Times New Roman" w:hAnsi="Times New Roman" w:cs="Times New Roman"/>
        </w:rPr>
        <w:t>Volkswagen (</w:t>
      </w:r>
      <w:r w:rsidRPr="00AF264D">
        <w:rPr>
          <w:rFonts w:ascii="Times New Roman" w:hAnsi="Times New Roman" w:cs="Times New Roman"/>
        </w:rPr>
        <w:t>VW</w:t>
      </w:r>
      <w:r w:rsidR="00C921BE">
        <w:rPr>
          <w:rFonts w:ascii="Times New Roman" w:hAnsi="Times New Roman" w:cs="Times New Roman"/>
        </w:rPr>
        <w:t>)</w:t>
      </w:r>
      <w:r w:rsidRPr="00AF264D">
        <w:rPr>
          <w:rFonts w:ascii="Times New Roman" w:hAnsi="Times New Roman" w:cs="Times New Roman"/>
        </w:rPr>
        <w:t xml:space="preserve"> and two of its </w:t>
      </w:r>
      <w:r w:rsidR="00295F78">
        <w:rPr>
          <w:rFonts w:ascii="Times New Roman" w:hAnsi="Times New Roman" w:cs="Times New Roman"/>
        </w:rPr>
        <w:t xml:space="preserve">German </w:t>
      </w:r>
      <w:r w:rsidRPr="00AF264D">
        <w:rPr>
          <w:rFonts w:ascii="Times New Roman" w:hAnsi="Times New Roman" w:cs="Times New Roman"/>
        </w:rPr>
        <w:t>suppliers of seat covers and gearboxes</w:t>
      </w:r>
      <w:r w:rsidR="00953AA9" w:rsidRPr="00AF264D">
        <w:rPr>
          <w:rFonts w:ascii="Times New Roman" w:hAnsi="Times New Roman" w:cs="Times New Roman"/>
        </w:rPr>
        <w:t xml:space="preserve"> </w:t>
      </w:r>
      <w:r w:rsidR="009447BE" w:rsidRPr="00AF264D">
        <w:rPr>
          <w:rFonts w:ascii="Times New Roman" w:hAnsi="Times New Roman" w:cs="Times New Roman"/>
        </w:rPr>
        <w:t>(Taylor and Laurence, 2016)</w:t>
      </w:r>
      <w:r w:rsidRPr="00AF264D">
        <w:rPr>
          <w:rFonts w:ascii="Times New Roman" w:hAnsi="Times New Roman" w:cs="Times New Roman"/>
        </w:rPr>
        <w:t xml:space="preserve">. The dispute was triggered by a disagreement over whether changes can be made </w:t>
      </w:r>
      <w:r w:rsidR="00D17C12" w:rsidRPr="00AF264D">
        <w:rPr>
          <w:rFonts w:ascii="Times New Roman" w:hAnsi="Times New Roman" w:cs="Times New Roman"/>
        </w:rPr>
        <w:t xml:space="preserve">by VW </w:t>
      </w:r>
      <w:r w:rsidRPr="00AF264D">
        <w:rPr>
          <w:rFonts w:ascii="Times New Roman" w:hAnsi="Times New Roman" w:cs="Times New Roman"/>
        </w:rPr>
        <w:t xml:space="preserve">to an </w:t>
      </w:r>
      <w:r w:rsidR="00BA1DA0">
        <w:rPr>
          <w:rFonts w:ascii="Times New Roman" w:hAnsi="Times New Roman" w:cs="Times New Roman"/>
        </w:rPr>
        <w:t>“</w:t>
      </w:r>
      <w:r w:rsidR="00BA1DA0" w:rsidRPr="00AF264D">
        <w:rPr>
          <w:rFonts w:ascii="Times New Roman" w:hAnsi="Times New Roman" w:cs="Times New Roman"/>
        </w:rPr>
        <w:t>already</w:t>
      </w:r>
      <w:r w:rsidR="00BA1DA0">
        <w:rPr>
          <w:rFonts w:ascii="Times New Roman" w:hAnsi="Times New Roman" w:cs="Times New Roman"/>
        </w:rPr>
        <w:t xml:space="preserve"> agreed </w:t>
      </w:r>
      <w:r w:rsidRPr="00AF264D">
        <w:rPr>
          <w:rFonts w:ascii="Times New Roman" w:hAnsi="Times New Roman" w:cs="Times New Roman"/>
        </w:rPr>
        <w:t>upon</w:t>
      </w:r>
      <w:r w:rsidR="00BA1DA0">
        <w:rPr>
          <w:rFonts w:ascii="Times New Roman" w:hAnsi="Times New Roman" w:cs="Times New Roman"/>
        </w:rPr>
        <w:t>”</w:t>
      </w:r>
      <w:r w:rsidRPr="00AF264D">
        <w:rPr>
          <w:rFonts w:ascii="Times New Roman" w:hAnsi="Times New Roman" w:cs="Times New Roman"/>
        </w:rPr>
        <w:t xml:space="preserve"> supply contract. The two suppliers disagreed with VW and wanted the buyer to stick to the </w:t>
      </w:r>
      <w:r w:rsidR="00996FE4" w:rsidRPr="00AF264D">
        <w:rPr>
          <w:rFonts w:ascii="Times New Roman" w:hAnsi="Times New Roman" w:cs="Times New Roman"/>
        </w:rPr>
        <w:t>contract</w:t>
      </w:r>
      <w:r w:rsidRPr="00AF264D">
        <w:rPr>
          <w:rFonts w:ascii="Times New Roman" w:hAnsi="Times New Roman" w:cs="Times New Roman"/>
        </w:rPr>
        <w:t xml:space="preserve">. In order </w:t>
      </w:r>
      <w:r w:rsidR="00D17C12" w:rsidRPr="00AF264D">
        <w:rPr>
          <w:rFonts w:ascii="Times New Roman" w:hAnsi="Times New Roman" w:cs="Times New Roman"/>
        </w:rPr>
        <w:t xml:space="preserve">to </w:t>
      </w:r>
      <w:r w:rsidRPr="00AF264D">
        <w:rPr>
          <w:rFonts w:ascii="Times New Roman" w:hAnsi="Times New Roman" w:cs="Times New Roman"/>
        </w:rPr>
        <w:t xml:space="preserve">increase pressure on VW, both suppliers decided to </w:t>
      </w:r>
      <w:r w:rsidR="00996FE4" w:rsidRPr="00AF264D">
        <w:rPr>
          <w:rFonts w:ascii="Times New Roman" w:hAnsi="Times New Roman" w:cs="Times New Roman"/>
        </w:rPr>
        <w:t xml:space="preserve">provisionally </w:t>
      </w:r>
      <w:r w:rsidRPr="00AF264D">
        <w:rPr>
          <w:rFonts w:ascii="Times New Roman" w:hAnsi="Times New Roman" w:cs="Times New Roman"/>
        </w:rPr>
        <w:t>halt their deliveries to VW. As a resul</w:t>
      </w:r>
      <w:r w:rsidR="00D17C12" w:rsidRPr="00AF264D">
        <w:rPr>
          <w:rFonts w:ascii="Times New Roman" w:hAnsi="Times New Roman" w:cs="Times New Roman"/>
        </w:rPr>
        <w:t>t of the withheld supply, VW had</w:t>
      </w:r>
      <w:r w:rsidRPr="00AF264D">
        <w:rPr>
          <w:rFonts w:ascii="Times New Roman" w:hAnsi="Times New Roman" w:cs="Times New Roman"/>
        </w:rPr>
        <w:t xml:space="preserve"> to </w:t>
      </w:r>
      <w:r w:rsidR="00D17C12" w:rsidRPr="00AF264D">
        <w:rPr>
          <w:rFonts w:ascii="Times New Roman" w:hAnsi="Times New Roman" w:cs="Times New Roman"/>
        </w:rPr>
        <w:t xml:space="preserve">temporarily </w:t>
      </w:r>
      <w:r w:rsidRPr="00AF264D">
        <w:rPr>
          <w:rFonts w:ascii="Times New Roman" w:hAnsi="Times New Roman" w:cs="Times New Roman"/>
        </w:rPr>
        <w:t xml:space="preserve">stop production at six of its plants until the disagreement was resolved. </w:t>
      </w:r>
    </w:p>
    <w:p w14:paraId="41C9C086" w14:textId="61A7E9A9" w:rsidR="00626678" w:rsidRPr="00AF264D" w:rsidRDefault="00626678" w:rsidP="00AB72AE">
      <w:pPr>
        <w:spacing w:line="480" w:lineRule="auto"/>
        <w:ind w:firstLine="284"/>
        <w:jc w:val="both"/>
        <w:rPr>
          <w:rFonts w:ascii="Times New Roman" w:hAnsi="Times New Roman" w:cs="Times New Roman"/>
        </w:rPr>
      </w:pPr>
      <w:r w:rsidRPr="00AF264D">
        <w:rPr>
          <w:rFonts w:ascii="Times New Roman" w:hAnsi="Times New Roman" w:cs="Times New Roman"/>
        </w:rPr>
        <w:t xml:space="preserve">Of the multiple risks a company faces, supply chain failures are probably one of the more difficult events to classify in terms of likelihood and severity. </w:t>
      </w:r>
      <w:r w:rsidR="009447BE" w:rsidRPr="00AF264D">
        <w:rPr>
          <w:rFonts w:ascii="Times New Roman" w:hAnsi="Times New Roman" w:cs="Times New Roman"/>
        </w:rPr>
        <w:t xml:space="preserve">Talluri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2013)</w:t>
      </w:r>
      <w:r w:rsidRPr="00AF264D">
        <w:rPr>
          <w:rFonts w:ascii="Times New Roman" w:hAnsi="Times New Roman" w:cs="Times New Roman"/>
        </w:rPr>
        <w:t xml:space="preserve"> distinguish between three broad categories of supply chain failure</w:t>
      </w:r>
      <w:r w:rsidR="00D17C12" w:rsidRPr="00AF264D">
        <w:rPr>
          <w:rFonts w:ascii="Times New Roman" w:hAnsi="Times New Roman" w:cs="Times New Roman"/>
        </w:rPr>
        <w:t>s</w:t>
      </w:r>
      <w:r w:rsidRPr="00AF264D">
        <w:rPr>
          <w:rFonts w:ascii="Times New Roman" w:hAnsi="Times New Roman" w:cs="Times New Roman"/>
        </w:rPr>
        <w:t xml:space="preserve">: </w:t>
      </w:r>
      <w:r w:rsidRPr="00AF264D">
        <w:rPr>
          <w:rFonts w:ascii="Times New Roman" w:eastAsia="Times New Roman" w:hAnsi="Times New Roman" w:cs="Times New Roman"/>
        </w:rPr>
        <w:t xml:space="preserve">delays, disruptions and distortion. </w:t>
      </w:r>
      <w:r w:rsidRPr="00AF264D">
        <w:rPr>
          <w:rFonts w:ascii="Times New Roman" w:eastAsia="Times New Roman" w:hAnsi="Times New Roman" w:cs="Times New Roman"/>
        </w:rPr>
        <w:lastRenderedPageBreak/>
        <w:t xml:space="preserve">Delays pertain to individual orders delivered later than expected </w:t>
      </w:r>
      <w:r w:rsidR="009447BE" w:rsidRPr="00AF264D">
        <w:rPr>
          <w:rFonts w:ascii="Times New Roman" w:hAnsi="Times New Roman" w:cs="Times New Roman"/>
        </w:rPr>
        <w:t>(Chopra and Sodhi, 2004)</w:t>
      </w:r>
      <w:r w:rsidR="00996FE4" w:rsidRPr="00AF264D">
        <w:rPr>
          <w:rFonts w:ascii="Times New Roman" w:eastAsia="Times New Roman" w:hAnsi="Times New Roman" w:cs="Times New Roman"/>
        </w:rPr>
        <w:t>.</w:t>
      </w:r>
      <w:r w:rsidRPr="00AF264D">
        <w:rPr>
          <w:rFonts w:ascii="Times New Roman" w:eastAsia="Times New Roman" w:hAnsi="Times New Roman" w:cs="Times New Roman"/>
        </w:rPr>
        <w:t xml:space="preserve"> It is usually caused by an inflexibility of the supplier to respond to changes in demand, caused by internal (</w:t>
      </w:r>
      <w:r w:rsidR="00295F78">
        <w:rPr>
          <w:rFonts w:ascii="Times New Roman" w:eastAsia="Times New Roman" w:hAnsi="Times New Roman" w:cs="Times New Roman"/>
        </w:rPr>
        <w:t>e.g.,</w:t>
      </w:r>
      <w:r w:rsidRPr="00AF264D">
        <w:rPr>
          <w:rFonts w:ascii="Times New Roman" w:eastAsia="Times New Roman" w:hAnsi="Times New Roman" w:cs="Times New Roman"/>
        </w:rPr>
        <w:t xml:space="preserve"> organizational procedures, production capacities) or external (</w:t>
      </w:r>
      <w:r w:rsidR="00295F78">
        <w:rPr>
          <w:rFonts w:ascii="Times New Roman" w:eastAsia="Times New Roman" w:hAnsi="Times New Roman" w:cs="Times New Roman"/>
        </w:rPr>
        <w:t>e.g.,</w:t>
      </w:r>
      <w:r w:rsidRPr="00AF264D">
        <w:rPr>
          <w:rFonts w:ascii="Times New Roman" w:eastAsia="Times New Roman" w:hAnsi="Times New Roman" w:cs="Times New Roman"/>
        </w:rPr>
        <w:t xml:space="preserve"> transportation infrastructure, inspections)</w:t>
      </w:r>
      <w:r w:rsidR="00D17C12" w:rsidRPr="00AF264D">
        <w:rPr>
          <w:rFonts w:ascii="Times New Roman" w:eastAsia="Times New Roman" w:hAnsi="Times New Roman" w:cs="Times New Roman"/>
        </w:rPr>
        <w:t xml:space="preserve"> factors</w:t>
      </w:r>
      <w:r w:rsidRPr="00AF264D">
        <w:rPr>
          <w:rFonts w:ascii="Times New Roman" w:eastAsia="Times New Roman" w:hAnsi="Times New Roman" w:cs="Times New Roman"/>
        </w:rPr>
        <w:t xml:space="preserve">. Disruptions </w:t>
      </w:r>
      <w:r w:rsidRPr="00AF264D">
        <w:rPr>
          <w:rFonts w:ascii="Times New Roman" w:hAnsi="Times New Roman" w:cs="Times New Roman"/>
        </w:rPr>
        <w:t xml:space="preserve">can be defined as events that interrupt the flow of material somewhere along the supply chain stages (i.e., from raw material production to the end customer) </w:t>
      </w:r>
      <w:r w:rsidR="009447BE" w:rsidRPr="00AF264D">
        <w:rPr>
          <w:rFonts w:ascii="Times New Roman" w:hAnsi="Times New Roman" w:cs="Times New Roman"/>
        </w:rPr>
        <w:t xml:space="preserve">(Craighead </w:t>
      </w:r>
      <w:r w:rsidR="009447BE" w:rsidRPr="003E75B7">
        <w:rPr>
          <w:rFonts w:ascii="Times New Roman" w:hAnsi="Times New Roman" w:cs="Times New Roman"/>
          <w:i/>
        </w:rPr>
        <w:t>et al.</w:t>
      </w:r>
      <w:r w:rsidR="009447BE" w:rsidRPr="00AF264D">
        <w:rPr>
          <w:rFonts w:ascii="Times New Roman" w:hAnsi="Times New Roman" w:cs="Times New Roman"/>
        </w:rPr>
        <w:t>, 2007)</w:t>
      </w:r>
      <w:r w:rsidR="00D17C12" w:rsidRPr="00AF264D">
        <w:rPr>
          <w:rFonts w:ascii="Times New Roman" w:hAnsi="Times New Roman" w:cs="Times New Roman"/>
        </w:rPr>
        <w:t xml:space="preserve">, presenting </w:t>
      </w:r>
      <w:r w:rsidR="00295F78">
        <w:rPr>
          <w:rFonts w:ascii="Times New Roman" w:hAnsi="Times New Roman" w:cs="Times New Roman"/>
        </w:rPr>
        <w:t xml:space="preserve">a </w:t>
      </w:r>
      <w:r w:rsidR="00D17C12" w:rsidRPr="00AF264D">
        <w:rPr>
          <w:rFonts w:ascii="Times New Roman" w:hAnsi="Times New Roman" w:cs="Times New Roman"/>
        </w:rPr>
        <w:t>serious threat to the normal business operation</w:t>
      </w:r>
      <w:r w:rsidR="00993AA7">
        <w:rPr>
          <w:rFonts w:ascii="Times New Roman" w:hAnsi="Times New Roman" w:cs="Times New Roman"/>
        </w:rPr>
        <w:t>s</w:t>
      </w:r>
      <w:r w:rsidR="00D17C12" w:rsidRPr="00AF264D">
        <w:rPr>
          <w:rFonts w:ascii="Times New Roman" w:hAnsi="Times New Roman" w:cs="Times New Roman"/>
        </w:rPr>
        <w:t xml:space="preserve"> (Bode and Wagner, 2015)</w:t>
      </w:r>
      <w:r w:rsidRPr="00AF264D">
        <w:rPr>
          <w:rFonts w:ascii="Times New Roman" w:hAnsi="Times New Roman" w:cs="Times New Roman"/>
        </w:rPr>
        <w:t>.</w:t>
      </w:r>
      <w:r w:rsidR="00996FE4" w:rsidRPr="00AF264D">
        <w:rPr>
          <w:rFonts w:ascii="Times New Roman" w:eastAsia="Times New Roman" w:hAnsi="Times New Roman" w:cs="Times New Roman"/>
        </w:rPr>
        <w:t xml:space="preserve"> Distortions relate</w:t>
      </w:r>
      <w:r w:rsidRPr="00AF264D">
        <w:rPr>
          <w:rFonts w:ascii="Times New Roman" w:eastAsia="Times New Roman" w:hAnsi="Times New Roman" w:cs="Times New Roman"/>
        </w:rPr>
        <w:t xml:space="preserve"> to unforeseen changes in order size</w:t>
      </w:r>
      <w:r w:rsidR="00993AA7">
        <w:rPr>
          <w:rFonts w:ascii="Times New Roman" w:eastAsia="Times New Roman" w:hAnsi="Times New Roman" w:cs="Times New Roman"/>
        </w:rPr>
        <w:t xml:space="preserve"> </w:t>
      </w:r>
      <w:r w:rsidR="009447BE" w:rsidRPr="00AF264D">
        <w:rPr>
          <w:rFonts w:ascii="Times New Roman" w:hAnsi="Times New Roman" w:cs="Times New Roman"/>
        </w:rPr>
        <w:t>(Disney and Towill, 2006)</w:t>
      </w:r>
      <w:r w:rsidRPr="00AF264D">
        <w:rPr>
          <w:rFonts w:ascii="Times New Roman" w:eastAsia="Times New Roman" w:hAnsi="Times New Roman" w:cs="Times New Roman"/>
        </w:rPr>
        <w:t xml:space="preserve">. </w:t>
      </w:r>
      <w:r w:rsidRPr="00AF264D">
        <w:rPr>
          <w:rFonts w:ascii="Times New Roman" w:hAnsi="Times New Roman" w:cs="Times New Roman"/>
        </w:rPr>
        <w:t xml:space="preserve">In this paper we analyse the first </w:t>
      </w:r>
      <w:r w:rsidR="00D17C12" w:rsidRPr="00AF264D">
        <w:rPr>
          <w:rFonts w:ascii="Times New Roman" w:hAnsi="Times New Roman" w:cs="Times New Roman"/>
        </w:rPr>
        <w:t>category</w:t>
      </w:r>
      <w:r w:rsidRPr="00AF264D">
        <w:rPr>
          <w:rFonts w:ascii="Times New Roman" w:hAnsi="Times New Roman" w:cs="Times New Roman"/>
        </w:rPr>
        <w:t xml:space="preserve"> of supply chain failures</w:t>
      </w:r>
      <w:r w:rsidR="00D17C12" w:rsidRPr="00AF264D">
        <w:rPr>
          <w:rFonts w:ascii="Times New Roman" w:hAnsi="Times New Roman" w:cs="Times New Roman"/>
        </w:rPr>
        <w:t>, i.e.</w:t>
      </w:r>
      <w:r w:rsidR="006616C7">
        <w:rPr>
          <w:rFonts w:ascii="Times New Roman" w:hAnsi="Times New Roman" w:cs="Times New Roman"/>
        </w:rPr>
        <w:t>,</w:t>
      </w:r>
      <w:r w:rsidRPr="00AF264D">
        <w:rPr>
          <w:rFonts w:ascii="Times New Roman" w:hAnsi="Times New Roman" w:cs="Times New Roman"/>
        </w:rPr>
        <w:t xml:space="preserve"> supply delays. Supply delays are often used to describe the risk involved in the supply management process </w:t>
      </w:r>
      <w:r w:rsidR="009447BE" w:rsidRPr="00AF264D">
        <w:rPr>
          <w:rFonts w:ascii="Times New Roman" w:hAnsi="Times New Roman" w:cs="Times New Roman"/>
        </w:rPr>
        <w:t>(</w:t>
      </w:r>
      <w:r w:rsidR="00295F78">
        <w:rPr>
          <w:rFonts w:ascii="Times New Roman" w:hAnsi="Times New Roman" w:cs="Times New Roman"/>
        </w:rPr>
        <w:t xml:space="preserve">e.g., </w:t>
      </w:r>
      <w:r w:rsidR="009447BE" w:rsidRPr="00AF264D">
        <w:rPr>
          <w:rFonts w:ascii="Times New Roman" w:hAnsi="Times New Roman" w:cs="Times New Roman"/>
        </w:rPr>
        <w:t xml:space="preserve">Schoenherr </w:t>
      </w:r>
      <w:r w:rsidR="009447BE" w:rsidRPr="003E75B7">
        <w:rPr>
          <w:rFonts w:ascii="Times New Roman" w:hAnsi="Times New Roman" w:cs="Times New Roman"/>
          <w:i/>
        </w:rPr>
        <w:t>et al.</w:t>
      </w:r>
      <w:r w:rsidR="009447BE" w:rsidRPr="00AF264D">
        <w:rPr>
          <w:rFonts w:ascii="Times New Roman" w:hAnsi="Times New Roman" w:cs="Times New Roman"/>
        </w:rPr>
        <w:t>, 2008; Tummala and Schoenherr, 2011)</w:t>
      </w:r>
      <w:r w:rsidR="00D17C12" w:rsidRPr="00AF264D">
        <w:rPr>
          <w:rFonts w:ascii="Times New Roman" w:hAnsi="Times New Roman" w:cs="Times New Roman"/>
        </w:rPr>
        <w:t xml:space="preserve">, and </w:t>
      </w:r>
      <w:r w:rsidR="006400C3">
        <w:rPr>
          <w:rFonts w:ascii="Times New Roman" w:hAnsi="Times New Roman" w:cs="Times New Roman"/>
        </w:rPr>
        <w:t xml:space="preserve">are a </w:t>
      </w:r>
      <w:r w:rsidR="00D17C12" w:rsidRPr="00AF264D">
        <w:rPr>
          <w:rFonts w:ascii="Times New Roman" w:hAnsi="Times New Roman" w:cs="Times New Roman"/>
        </w:rPr>
        <w:t xml:space="preserve">commonly </w:t>
      </w:r>
      <w:r w:rsidR="006400C3">
        <w:rPr>
          <w:rFonts w:ascii="Times New Roman" w:hAnsi="Times New Roman" w:cs="Times New Roman"/>
        </w:rPr>
        <w:t xml:space="preserve">employed </w:t>
      </w:r>
      <w:r w:rsidRPr="00AF264D">
        <w:rPr>
          <w:rFonts w:ascii="Times New Roman" w:hAnsi="Times New Roman" w:cs="Times New Roman"/>
        </w:rPr>
        <w:t xml:space="preserve">measure in the supplier risk management literature </w:t>
      </w:r>
      <w:r w:rsidR="009447BE" w:rsidRPr="00AF264D">
        <w:rPr>
          <w:rFonts w:ascii="Times New Roman" w:hAnsi="Times New Roman" w:cs="Times New Roman"/>
        </w:rPr>
        <w:t xml:space="preserve">(Wu </w:t>
      </w:r>
      <w:r w:rsidR="009447BE" w:rsidRPr="003E75B7">
        <w:rPr>
          <w:rFonts w:ascii="Times New Roman" w:hAnsi="Times New Roman" w:cs="Times New Roman"/>
          <w:i/>
        </w:rPr>
        <w:t>et al.</w:t>
      </w:r>
      <w:r w:rsidR="009447BE" w:rsidRPr="00AF264D">
        <w:rPr>
          <w:rFonts w:ascii="Times New Roman" w:hAnsi="Times New Roman" w:cs="Times New Roman"/>
        </w:rPr>
        <w:t>, 2006)</w:t>
      </w:r>
      <w:r w:rsidRPr="00AF264D">
        <w:rPr>
          <w:rFonts w:ascii="Times New Roman" w:hAnsi="Times New Roman" w:cs="Times New Roman"/>
        </w:rPr>
        <w:t>.</w:t>
      </w:r>
    </w:p>
    <w:p w14:paraId="73EBA85F" w14:textId="214E5C90" w:rsidR="00626678" w:rsidRPr="00AF264D" w:rsidRDefault="00626678" w:rsidP="00626678">
      <w:pPr>
        <w:spacing w:line="480" w:lineRule="auto"/>
        <w:ind w:firstLine="284"/>
        <w:jc w:val="both"/>
        <w:rPr>
          <w:rFonts w:ascii="Times New Roman" w:hAnsi="Times New Roman" w:cs="Times New Roman"/>
        </w:rPr>
      </w:pPr>
      <w:r w:rsidRPr="00AF264D">
        <w:rPr>
          <w:rFonts w:ascii="Times New Roman" w:hAnsi="Times New Roman" w:cs="Times New Roman"/>
        </w:rPr>
        <w:t xml:space="preserve">Previous research has analysed contextual conditions at the company level that manifest themselves as antecedents of supply chain failures or the successful dealing with such </w:t>
      </w:r>
      <w:r w:rsidR="009447BE" w:rsidRPr="00AF264D">
        <w:rPr>
          <w:rFonts w:ascii="Times New Roman" w:hAnsi="Times New Roman" w:cs="Times New Roman"/>
        </w:rPr>
        <w:t>(</w:t>
      </w:r>
      <w:r w:rsidR="00295F78">
        <w:rPr>
          <w:rFonts w:ascii="Times New Roman" w:hAnsi="Times New Roman" w:cs="Times New Roman"/>
        </w:rPr>
        <w:t xml:space="preserve">e.g., </w:t>
      </w:r>
      <w:r w:rsidR="009447BE" w:rsidRPr="00AF264D">
        <w:rPr>
          <w:rFonts w:ascii="Times New Roman" w:hAnsi="Times New Roman" w:cs="Times New Roman"/>
        </w:rPr>
        <w:t xml:space="preserve">Durach </w:t>
      </w:r>
      <w:r w:rsidR="009447BE" w:rsidRPr="003E75B7">
        <w:rPr>
          <w:rFonts w:ascii="Times New Roman" w:hAnsi="Times New Roman" w:cs="Times New Roman"/>
          <w:i/>
        </w:rPr>
        <w:t>et al.</w:t>
      </w:r>
      <w:r w:rsidR="009447BE" w:rsidRPr="00AF264D">
        <w:rPr>
          <w:rFonts w:ascii="Times New Roman" w:hAnsi="Times New Roman" w:cs="Times New Roman"/>
        </w:rPr>
        <w:t>, 2015; Scholten and Schilder, 2015)</w:t>
      </w:r>
      <w:r w:rsidRPr="00AF264D">
        <w:rPr>
          <w:rFonts w:ascii="Times New Roman" w:hAnsi="Times New Roman" w:cs="Times New Roman"/>
        </w:rPr>
        <w:t xml:space="preserve">. </w:t>
      </w:r>
      <w:r w:rsidR="00731413">
        <w:rPr>
          <w:rFonts w:ascii="Times New Roman" w:hAnsi="Times New Roman" w:cs="Times New Roman"/>
        </w:rPr>
        <w:t>Similarly,</w:t>
      </w:r>
      <w:r w:rsidR="00993AA7">
        <w:rPr>
          <w:rFonts w:ascii="Times New Roman" w:hAnsi="Times New Roman" w:cs="Times New Roman"/>
        </w:rPr>
        <w:t xml:space="preserve"> r</w:t>
      </w:r>
      <w:r w:rsidRPr="00AF264D">
        <w:rPr>
          <w:rFonts w:ascii="Times New Roman" w:hAnsi="Times New Roman" w:cs="Times New Roman"/>
        </w:rPr>
        <w:t>esearch has also started to notice that contextual factors at the country level (</w:t>
      </w:r>
      <w:r w:rsidR="00295F78">
        <w:rPr>
          <w:rFonts w:ascii="Times New Roman" w:hAnsi="Times New Roman" w:cs="Times New Roman"/>
        </w:rPr>
        <w:t>i.e.,</w:t>
      </w:r>
      <w:r w:rsidRPr="00AF264D">
        <w:rPr>
          <w:rFonts w:ascii="Times New Roman" w:hAnsi="Times New Roman" w:cs="Times New Roman"/>
        </w:rPr>
        <w:t xml:space="preserve"> geographical traits) can be a cause or antecedent for </w:t>
      </w:r>
      <w:r w:rsidR="00D17C12" w:rsidRPr="00AF264D">
        <w:rPr>
          <w:rFonts w:ascii="Times New Roman" w:hAnsi="Times New Roman" w:cs="Times New Roman"/>
        </w:rPr>
        <w:t>failures</w:t>
      </w:r>
      <w:r w:rsidR="00993AA7">
        <w:rPr>
          <w:rFonts w:ascii="Times New Roman" w:hAnsi="Times New Roman" w:cs="Times New Roman"/>
        </w:rPr>
        <w:t xml:space="preserve"> in supply chains</w:t>
      </w:r>
      <w:r w:rsidRPr="00AF264D">
        <w:rPr>
          <w:rFonts w:ascii="Times New Roman" w:hAnsi="Times New Roman" w:cs="Times New Roman"/>
        </w:rPr>
        <w:t xml:space="preserve">.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2013)</w:t>
      </w:r>
      <w:r w:rsidR="00993AA7">
        <w:rPr>
          <w:rFonts w:ascii="Times New Roman" w:hAnsi="Times New Roman" w:cs="Times New Roman"/>
        </w:rPr>
        <w:t>,</w:t>
      </w:r>
      <w:r w:rsidRPr="00AF264D">
        <w:rPr>
          <w:rFonts w:ascii="Times New Roman" w:hAnsi="Times New Roman" w:cs="Times New Roman"/>
        </w:rPr>
        <w:t xml:space="preserve"> for example</w:t>
      </w:r>
      <w:r w:rsidR="00993AA7">
        <w:rPr>
          <w:rFonts w:ascii="Times New Roman" w:hAnsi="Times New Roman" w:cs="Times New Roman"/>
        </w:rPr>
        <w:t>,</w:t>
      </w:r>
      <w:r w:rsidRPr="00AF264D">
        <w:rPr>
          <w:rFonts w:ascii="Times New Roman" w:hAnsi="Times New Roman" w:cs="Times New Roman"/>
        </w:rPr>
        <w:t xml:space="preserve"> explored the impact of contextual risk factors for the success of outsourcing contracts. Besides others</w:t>
      </w:r>
      <w:r w:rsidR="00993AA7">
        <w:rPr>
          <w:rFonts w:ascii="Times New Roman" w:hAnsi="Times New Roman" w:cs="Times New Roman"/>
        </w:rPr>
        <w:t>,</w:t>
      </w:r>
      <w:r w:rsidRPr="00AF264D">
        <w:rPr>
          <w:rFonts w:ascii="Times New Roman" w:hAnsi="Times New Roman" w:cs="Times New Roman"/>
        </w:rPr>
        <w:t xml:space="preserve"> they identified that a country’s institutional rule of law impacts on cost and quality performance. Other studies have also started to explore the impact of culture at the country and organizational level </w:t>
      </w:r>
      <w:r w:rsidR="00996FE4" w:rsidRPr="00AF264D">
        <w:rPr>
          <w:rFonts w:ascii="Times New Roman" w:hAnsi="Times New Roman" w:cs="Times New Roman"/>
        </w:rPr>
        <w:fldChar w:fldCharType="begin"/>
      </w:r>
      <w:r w:rsidR="00996FE4" w:rsidRPr="00AF264D">
        <w:rPr>
          <w:rFonts w:ascii="Times New Roman" w:hAnsi="Times New Roman" w:cs="Times New Roman"/>
        </w:rPr>
        <w:instrText xml:space="preserve"> ADDIN ZOTERO_ITEM CSL_CITATION {"citationID":"s8bh1qign","properties":{"formattedCitation":"(Cadden et al., 2013; Freeman and Browne, 2004)","plainCitation":"(Cadden et al., 2013; Freeman and Browne, 2004)"},"citationItems":[{"id":4713,"uris":["http://zotero.org/users/1155987/items/TH4TSN7C"],"uri":["http://zotero.org/users/1155987/items/TH4TSN7C"],"itemData":{"id":4713,"type":"article-journal","title":"Opposites attract: organisational culture and supply chain performance","container-title":"Supply Chain Management: An International Journal","page":"86-103","volume":"18","issue":"1","source":"emeraldinsight.com (Atypon)","DOI":"10.1108/13598541311293203","ISSN":"1359-8546","shortTitle":"Opposites attract","journalAbbreviation":"Supp Chain Mnagmnt","author":[{"family":"Cadden","given":"Trevor"},{"family":"Marshall","given":"Donna"},{"family":"Cao","given":"Guangming"}],"issued":{"date-parts":[["2013",1,18]]}}},{"id":5173,"uris":["http://zotero.org/users/1155987/items/A9QD5JCA"],"uri":["http://zotero.org/users/1155987/items/A9QD5JCA"],"itemData":{"id":5173,"type":"article-journal","title":"The influence of national culture on dissolution communication strategies in Western versus Asian business relationships: a theoretical model","container-title":"Supply Chain Management: An International Journal","page":"169-182","volume":"9","issue":"2","source":"emeraldinsight.com (Atypon)","DOI":"10.1108/13598540410527060","ISSN":"1359-8546","shortTitle":"The influence of national culture on dissolution communication strategies in Western versus Asian business relationships","journalAbbreviation":"Supp Chain Mnagmnt","author":[{"family":"Freeman","given":"Susan"},{"family":"Browne","given":"Emma"}],"issued":{"date-parts":[["2004",4,1]]}}}],"schema":"https://github.com/citation-style-language/schema/raw/master/csl-citation.json"} </w:instrText>
      </w:r>
      <w:r w:rsidR="00996FE4" w:rsidRPr="00AF264D">
        <w:rPr>
          <w:rFonts w:ascii="Times New Roman" w:hAnsi="Times New Roman" w:cs="Times New Roman"/>
        </w:rPr>
        <w:fldChar w:fldCharType="separate"/>
      </w:r>
      <w:r w:rsidR="009447BE" w:rsidRPr="00AF264D">
        <w:rPr>
          <w:rFonts w:ascii="Times New Roman" w:hAnsi="Times New Roman" w:cs="Times New Roman"/>
        </w:rPr>
        <w:t>(</w:t>
      </w:r>
      <w:r w:rsidR="00295F78">
        <w:rPr>
          <w:rFonts w:ascii="Times New Roman" w:hAnsi="Times New Roman" w:cs="Times New Roman"/>
        </w:rPr>
        <w:t xml:space="preserve">e.g., </w:t>
      </w:r>
      <w:r w:rsidR="009447BE" w:rsidRPr="00AF264D">
        <w:rPr>
          <w:rFonts w:ascii="Times New Roman" w:hAnsi="Times New Roman" w:cs="Times New Roman"/>
        </w:rPr>
        <w:t xml:space="preserve">Cadden </w:t>
      </w:r>
      <w:r w:rsidR="009447BE" w:rsidRPr="003E75B7">
        <w:rPr>
          <w:rFonts w:ascii="Times New Roman" w:hAnsi="Times New Roman" w:cs="Times New Roman"/>
          <w:i/>
        </w:rPr>
        <w:t>et al.</w:t>
      </w:r>
      <w:r w:rsidR="009447BE" w:rsidRPr="00AF264D">
        <w:rPr>
          <w:rFonts w:ascii="Times New Roman" w:hAnsi="Times New Roman" w:cs="Times New Roman"/>
        </w:rPr>
        <w:t>, 2013; Freeman and Browne, 2004)</w:t>
      </w:r>
      <w:r w:rsidR="00996FE4" w:rsidRPr="00AF264D">
        <w:rPr>
          <w:rFonts w:ascii="Times New Roman" w:hAnsi="Times New Roman" w:cs="Times New Roman"/>
        </w:rPr>
        <w:fldChar w:fldCharType="end"/>
      </w:r>
      <w:r w:rsidR="00996FE4" w:rsidRPr="00AF264D">
        <w:rPr>
          <w:rFonts w:ascii="Times New Roman" w:hAnsi="Times New Roman" w:cs="Times New Roman"/>
        </w:rPr>
        <w:t>.</w:t>
      </w:r>
      <w:r w:rsidRPr="00AF264D">
        <w:rPr>
          <w:rFonts w:ascii="Times New Roman" w:hAnsi="Times New Roman" w:cs="Times New Roman"/>
        </w:rPr>
        <w:t xml:space="preserve"> Multiple studies have identified that culture as a contextual factor can have positive and negative implications on the efficacy of manufacturing practices (e.g., quality management, lean) and supply chain practices (e.g., purchasing management) </w:t>
      </w:r>
      <w:r w:rsidR="009447BE" w:rsidRPr="00AF264D">
        <w:rPr>
          <w:rFonts w:ascii="Times New Roman" w:hAnsi="Times New Roman" w:cs="Times New Roman"/>
        </w:rPr>
        <w:t>(</w:t>
      </w:r>
      <w:r w:rsidR="00C36C28" w:rsidRPr="00AF264D">
        <w:rPr>
          <w:rFonts w:ascii="Times New Roman" w:hAnsi="Times New Roman" w:cs="Times New Roman"/>
        </w:rPr>
        <w:t>e.g.</w:t>
      </w:r>
      <w:r w:rsidR="00295F78">
        <w:rPr>
          <w:rFonts w:ascii="Times New Roman" w:hAnsi="Times New Roman" w:cs="Times New Roman"/>
        </w:rPr>
        <w:t>,</w:t>
      </w:r>
      <w:r w:rsidR="00C36C28" w:rsidRPr="00AF264D">
        <w:rPr>
          <w:rFonts w:ascii="Times New Roman" w:hAnsi="Times New Roman" w:cs="Times New Roman"/>
        </w:rPr>
        <w:t xml:space="preserve"> </w:t>
      </w:r>
      <w:r w:rsidR="009447BE" w:rsidRPr="00AF264D">
        <w:rPr>
          <w:rFonts w:ascii="Times New Roman" w:hAnsi="Times New Roman" w:cs="Times New Roman"/>
        </w:rPr>
        <w:t xml:space="preserve">Busse </w:t>
      </w:r>
      <w:r w:rsidR="009447BE" w:rsidRPr="003E75B7">
        <w:rPr>
          <w:rFonts w:ascii="Times New Roman" w:hAnsi="Times New Roman" w:cs="Times New Roman"/>
          <w:i/>
        </w:rPr>
        <w:t>et al.</w:t>
      </w:r>
      <w:r w:rsidR="009447BE" w:rsidRPr="00AF264D">
        <w:rPr>
          <w:rFonts w:ascii="Times New Roman" w:hAnsi="Times New Roman" w:cs="Times New Roman"/>
        </w:rPr>
        <w:t>, 2016; Kull and Wacker, 2010)</w:t>
      </w:r>
      <w:r w:rsidRPr="00AF264D">
        <w:rPr>
          <w:rFonts w:ascii="Times New Roman" w:hAnsi="Times New Roman" w:cs="Times New Roman"/>
        </w:rPr>
        <w:t xml:space="preserve">. However, the </w:t>
      </w:r>
      <w:r w:rsidRPr="00AF264D">
        <w:rPr>
          <w:rFonts w:ascii="Times New Roman" w:hAnsi="Times New Roman" w:cs="Times New Roman"/>
        </w:rPr>
        <w:lastRenderedPageBreak/>
        <w:t xml:space="preserve">impact of institutional and cultural factors on delays in supply chains has not </w:t>
      </w:r>
      <w:r w:rsidR="00993AA7">
        <w:rPr>
          <w:rFonts w:ascii="Times New Roman" w:hAnsi="Times New Roman" w:cs="Times New Roman"/>
        </w:rPr>
        <w:t xml:space="preserve">yet </w:t>
      </w:r>
      <w:r w:rsidRPr="00AF264D">
        <w:rPr>
          <w:rFonts w:ascii="Times New Roman" w:hAnsi="Times New Roman" w:cs="Times New Roman"/>
        </w:rPr>
        <w:t xml:space="preserve">been explored sufficiently. </w:t>
      </w:r>
    </w:p>
    <w:p w14:paraId="32A74098" w14:textId="4D26267B" w:rsidR="00626678" w:rsidRPr="00AF264D" w:rsidRDefault="00626678" w:rsidP="00626678">
      <w:pPr>
        <w:spacing w:line="480" w:lineRule="auto"/>
        <w:ind w:firstLine="284"/>
        <w:jc w:val="both"/>
        <w:rPr>
          <w:rFonts w:ascii="Times New Roman" w:hAnsi="Times New Roman" w:cs="Times New Roman"/>
        </w:rPr>
      </w:pPr>
      <w:r w:rsidRPr="00AF264D">
        <w:rPr>
          <w:rFonts w:ascii="Times New Roman" w:hAnsi="Times New Roman" w:cs="Times New Roman"/>
        </w:rPr>
        <w:t xml:space="preserve">This research is set out to fill this void in the literature through exploring the following research questions: </w:t>
      </w:r>
      <w:r w:rsidRPr="00AF264D">
        <w:rPr>
          <w:rFonts w:ascii="Times New Roman" w:hAnsi="Times New Roman" w:cs="Times New Roman"/>
          <w:i/>
        </w:rPr>
        <w:t>(1) To what extent do geographical traits (i.e., institutional and cultural factors) lead to supply delays? And (2), to what extent can organizational practices counteract potential geographical disadvantageous traits in terms of on-time deliveries?</w:t>
      </w:r>
      <w:r w:rsidRPr="00AF264D">
        <w:rPr>
          <w:rFonts w:ascii="Times New Roman" w:hAnsi="Times New Roman" w:cs="Times New Roman"/>
        </w:rPr>
        <w:t xml:space="preserve"> Providing answers to these questions will enable managers to make more informed conclusions and decisions on location, supplier selection and performance. Furthermore, from a research perspective</w:t>
      </w:r>
      <w:r w:rsidR="00D17C12" w:rsidRPr="00AF264D">
        <w:rPr>
          <w:rFonts w:ascii="Times New Roman" w:hAnsi="Times New Roman" w:cs="Times New Roman"/>
        </w:rPr>
        <w:t>,</w:t>
      </w:r>
      <w:r w:rsidRPr="00AF264D">
        <w:rPr>
          <w:rFonts w:ascii="Times New Roman" w:hAnsi="Times New Roman" w:cs="Times New Roman"/>
        </w:rPr>
        <w:t xml:space="preserve"> this paper contributes to the on-going debate on culture and operations and supply chain management </w:t>
      </w:r>
      <w:r w:rsidR="00C921BE">
        <w:rPr>
          <w:rFonts w:ascii="Times New Roman" w:hAnsi="Times New Roman" w:cs="Times New Roman"/>
        </w:rPr>
        <w:t xml:space="preserve">(SCM) </w:t>
      </w:r>
      <w:r w:rsidRPr="00AF264D">
        <w:rPr>
          <w:rFonts w:ascii="Times New Roman" w:hAnsi="Times New Roman" w:cs="Times New Roman"/>
        </w:rPr>
        <w:t xml:space="preserve">and institutional factors in global production networks. </w:t>
      </w:r>
    </w:p>
    <w:p w14:paraId="5565D944" w14:textId="77777777" w:rsidR="00626678" w:rsidRPr="00AF264D" w:rsidRDefault="00626678" w:rsidP="00626678">
      <w:pPr>
        <w:spacing w:line="480" w:lineRule="auto"/>
        <w:rPr>
          <w:rFonts w:ascii="Times New Roman" w:eastAsia="Times New Roman" w:hAnsi="Times New Roman" w:cs="Times New Roman"/>
        </w:rPr>
      </w:pPr>
    </w:p>
    <w:p w14:paraId="13CCEE65" w14:textId="3E9D382A" w:rsidR="00643908" w:rsidRPr="00AF264D" w:rsidRDefault="00643908" w:rsidP="00954E31">
      <w:pPr>
        <w:pStyle w:val="Heading1"/>
        <w:spacing w:before="0"/>
        <w:rPr>
          <w:rFonts w:ascii="Times New Roman" w:hAnsi="Times New Roman"/>
        </w:rPr>
      </w:pPr>
      <w:r w:rsidRPr="00AF264D">
        <w:rPr>
          <w:rFonts w:ascii="Times New Roman" w:hAnsi="Times New Roman"/>
        </w:rPr>
        <w:t>2. Literature r</w:t>
      </w:r>
      <w:r w:rsidR="007A053E" w:rsidRPr="00AF264D">
        <w:rPr>
          <w:rFonts w:ascii="Times New Roman" w:hAnsi="Times New Roman"/>
        </w:rPr>
        <w:t>eview</w:t>
      </w:r>
      <w:r w:rsidR="00C02806" w:rsidRPr="00AF264D">
        <w:rPr>
          <w:rFonts w:ascii="Times New Roman" w:hAnsi="Times New Roman"/>
        </w:rPr>
        <w:t xml:space="preserve">: Geographical traits and </w:t>
      </w:r>
      <w:r w:rsidR="00993E09" w:rsidRPr="00AF264D">
        <w:rPr>
          <w:rFonts w:ascii="Times New Roman" w:hAnsi="Times New Roman"/>
        </w:rPr>
        <w:t>delivery failures</w:t>
      </w:r>
    </w:p>
    <w:p w14:paraId="661379F2" w14:textId="7FED603A" w:rsidR="00F1619F" w:rsidRPr="00AF264D" w:rsidRDefault="00356027"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 xml:space="preserve">2.1. Institutional factors and delivery performance </w:t>
      </w:r>
    </w:p>
    <w:p w14:paraId="6E44FFB6" w14:textId="0DB28BD9" w:rsidR="00CB5E89" w:rsidRPr="00AF264D" w:rsidRDefault="00E51717" w:rsidP="00B57A63">
      <w:pPr>
        <w:spacing w:line="480" w:lineRule="auto"/>
        <w:ind w:firstLine="284"/>
        <w:jc w:val="both"/>
        <w:rPr>
          <w:rFonts w:ascii="Times New Roman" w:hAnsi="Times New Roman" w:cs="Times New Roman"/>
        </w:rPr>
      </w:pPr>
      <w:r w:rsidRPr="00AF264D">
        <w:rPr>
          <w:rFonts w:ascii="Times New Roman" w:hAnsi="Times New Roman" w:cs="Times New Roman"/>
        </w:rPr>
        <w:t xml:space="preserve">Previous research has identified that geographical and institutional factors </w:t>
      </w:r>
      <w:r w:rsidR="00B57A63" w:rsidRPr="00AF264D">
        <w:rPr>
          <w:rFonts w:ascii="Times New Roman" w:hAnsi="Times New Roman" w:cs="Times New Roman"/>
        </w:rPr>
        <w:t xml:space="preserve">not only impact on the adoption of managerial practices such as sustainability practices </w:t>
      </w:r>
      <w:r w:rsidR="009447BE" w:rsidRPr="00AF264D">
        <w:rPr>
          <w:rFonts w:ascii="Times New Roman" w:hAnsi="Times New Roman" w:cs="Times New Roman"/>
        </w:rPr>
        <w:t xml:space="preserve">(Pagell </w:t>
      </w:r>
      <w:r w:rsidR="009447BE" w:rsidRPr="003E75B7">
        <w:rPr>
          <w:rFonts w:ascii="Times New Roman" w:hAnsi="Times New Roman" w:cs="Times New Roman"/>
          <w:i/>
        </w:rPr>
        <w:t>et al.</w:t>
      </w:r>
      <w:r w:rsidR="009447BE" w:rsidRPr="00AF264D">
        <w:rPr>
          <w:rFonts w:ascii="Times New Roman" w:hAnsi="Times New Roman" w:cs="Times New Roman"/>
        </w:rPr>
        <w:t>, 2013)</w:t>
      </w:r>
      <w:r w:rsidR="00AB72AE" w:rsidRPr="00AF264D">
        <w:rPr>
          <w:rFonts w:ascii="Times New Roman" w:hAnsi="Times New Roman" w:cs="Times New Roman"/>
        </w:rPr>
        <w:t xml:space="preserve"> </w:t>
      </w:r>
      <w:r w:rsidR="00B57A63" w:rsidRPr="00AF264D">
        <w:rPr>
          <w:rFonts w:ascii="Times New Roman" w:hAnsi="Times New Roman" w:cs="Times New Roman"/>
        </w:rPr>
        <w:t xml:space="preserve">but also impact on the efficacy of such practices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2014)</w:t>
      </w:r>
      <w:r w:rsidR="00B57A63" w:rsidRPr="00AF264D">
        <w:rPr>
          <w:rFonts w:ascii="Times New Roman" w:hAnsi="Times New Roman" w:cs="Times New Roman"/>
        </w:rPr>
        <w:t>.</w:t>
      </w:r>
      <w:r w:rsidR="007D0A35">
        <w:rPr>
          <w:rFonts w:ascii="Times New Roman" w:hAnsi="Times New Roman" w:cs="Times New Roman"/>
        </w:rPr>
        <w:t xml:space="preserve"> </w:t>
      </w:r>
    </w:p>
    <w:p w14:paraId="02480748" w14:textId="58BA4068" w:rsidR="00D76E81" w:rsidRPr="00AF264D" w:rsidRDefault="00885E99" w:rsidP="00B57A63">
      <w:pPr>
        <w:spacing w:line="480" w:lineRule="auto"/>
        <w:ind w:firstLine="284"/>
        <w:jc w:val="both"/>
        <w:rPr>
          <w:rFonts w:ascii="Times New Roman" w:hAnsi="Times New Roman" w:cs="Times New Roman"/>
        </w:rPr>
      </w:pPr>
      <w:r w:rsidRPr="00AF264D">
        <w:rPr>
          <w:rFonts w:ascii="Times New Roman" w:hAnsi="Times New Roman" w:cs="Times New Roman"/>
        </w:rPr>
        <w:t xml:space="preserve">In the risk event of receiving a late delivery an important </w:t>
      </w:r>
      <w:r w:rsidR="009626FE" w:rsidRPr="00AF264D">
        <w:rPr>
          <w:rFonts w:ascii="Times New Roman" w:hAnsi="Times New Roman" w:cs="Times New Roman"/>
        </w:rPr>
        <w:t xml:space="preserve">institutional factor is the regulatory environment under which trade takes place. </w:t>
      </w:r>
      <w:r w:rsidR="005D1E18" w:rsidRPr="00AF264D">
        <w:rPr>
          <w:rFonts w:ascii="Times New Roman" w:hAnsi="Times New Roman" w:cs="Times New Roman"/>
        </w:rPr>
        <w:t>The regulatory environment can be defined as a variable that conceptualizes the extent to which the country’s environment</w:t>
      </w:r>
      <w:r w:rsidR="00D76E81" w:rsidRPr="00AF264D">
        <w:rPr>
          <w:rFonts w:ascii="Times New Roman" w:hAnsi="Times New Roman" w:cs="Times New Roman"/>
        </w:rPr>
        <w:t xml:space="preserve"> (the host country of the buyer)</w:t>
      </w:r>
      <w:r w:rsidR="005D1E18" w:rsidRPr="00AF264D">
        <w:rPr>
          <w:rFonts w:ascii="Times New Roman" w:hAnsi="Times New Roman" w:cs="Times New Roman"/>
        </w:rPr>
        <w:t xml:space="preserve"> is conducive to trade</w:t>
      </w:r>
      <w:r w:rsidR="0004797C" w:rsidRPr="00AF264D">
        <w:rPr>
          <w:rFonts w:ascii="Times New Roman" w:hAnsi="Times New Roman" w:cs="Times New Roman"/>
        </w:rPr>
        <w:t xml:space="preserve"> </w:t>
      </w:r>
      <w:r w:rsidR="009447BE" w:rsidRPr="00AF264D">
        <w:rPr>
          <w:rFonts w:ascii="Times New Roman" w:hAnsi="Times New Roman" w:cs="Times New Roman"/>
        </w:rPr>
        <w:t xml:space="preserve">(Kraay </w:t>
      </w:r>
      <w:r w:rsidR="009447BE" w:rsidRPr="003E75B7">
        <w:rPr>
          <w:rFonts w:ascii="Times New Roman" w:hAnsi="Times New Roman" w:cs="Times New Roman"/>
          <w:i/>
        </w:rPr>
        <w:t>et al.</w:t>
      </w:r>
      <w:r w:rsidR="009447BE" w:rsidRPr="00AF264D">
        <w:rPr>
          <w:rFonts w:ascii="Times New Roman" w:hAnsi="Times New Roman" w:cs="Times New Roman"/>
        </w:rPr>
        <w:t>, 2010)</w:t>
      </w:r>
      <w:r w:rsidR="005D1E18" w:rsidRPr="00AF264D">
        <w:rPr>
          <w:rFonts w:ascii="Times New Roman" w:hAnsi="Times New Roman" w:cs="Times New Roman"/>
        </w:rPr>
        <w:t xml:space="preserve">. It includes indicators that capture the general </w:t>
      </w:r>
      <w:r w:rsidR="00D76E81" w:rsidRPr="00AF264D">
        <w:rPr>
          <w:rFonts w:ascii="Times New Roman" w:hAnsi="Times New Roman" w:cs="Times New Roman"/>
        </w:rPr>
        <w:t xml:space="preserve">quality of governance, and indicators that measure the openness to foreign participation which includes the ease of hiring foreign </w:t>
      </w:r>
      <w:r w:rsidR="00993E09" w:rsidRPr="00AF264D">
        <w:rPr>
          <w:rFonts w:ascii="Times New Roman" w:hAnsi="Times New Roman" w:cs="Times New Roman"/>
        </w:rPr>
        <w:t>labour</w:t>
      </w:r>
      <w:r w:rsidR="00D76E81" w:rsidRPr="00AF264D">
        <w:rPr>
          <w:rFonts w:ascii="Times New Roman" w:hAnsi="Times New Roman" w:cs="Times New Roman"/>
        </w:rPr>
        <w:t xml:space="preserve">, the extent to which the policy environment encourages foreign direct investment, the availability of trade finance, and an index of multilateral treaties signed by the country pertaining to trade </w:t>
      </w:r>
      <w:r w:rsidR="009447BE" w:rsidRPr="00AF264D">
        <w:rPr>
          <w:rFonts w:ascii="Times New Roman" w:hAnsi="Times New Roman" w:cs="Times New Roman"/>
        </w:rPr>
        <w:t xml:space="preserve">(Lawrence </w:t>
      </w:r>
      <w:r w:rsidR="009447BE" w:rsidRPr="003E75B7">
        <w:rPr>
          <w:rFonts w:ascii="Times New Roman" w:hAnsi="Times New Roman" w:cs="Times New Roman"/>
          <w:i/>
        </w:rPr>
        <w:t>et al.</w:t>
      </w:r>
      <w:r w:rsidR="009447BE" w:rsidRPr="00AF264D">
        <w:rPr>
          <w:rFonts w:ascii="Times New Roman" w:hAnsi="Times New Roman" w:cs="Times New Roman"/>
        </w:rPr>
        <w:t>, 2012)</w:t>
      </w:r>
      <w:r w:rsidR="00D76E81" w:rsidRPr="00AF264D">
        <w:rPr>
          <w:rFonts w:ascii="Times New Roman" w:hAnsi="Times New Roman" w:cs="Times New Roman"/>
        </w:rPr>
        <w:t xml:space="preserve">. </w:t>
      </w:r>
    </w:p>
    <w:p w14:paraId="6D946C31" w14:textId="2BD7BD76" w:rsidR="00046F63" w:rsidRPr="00AF264D" w:rsidRDefault="00D76E81" w:rsidP="00B57A63">
      <w:pPr>
        <w:spacing w:line="480" w:lineRule="auto"/>
        <w:ind w:firstLine="284"/>
        <w:jc w:val="both"/>
        <w:rPr>
          <w:rFonts w:ascii="Times New Roman" w:hAnsi="Times New Roman" w:cs="Times New Roman"/>
        </w:rPr>
      </w:pPr>
      <w:r w:rsidRPr="00AF264D">
        <w:rPr>
          <w:rFonts w:ascii="Times New Roman" w:hAnsi="Times New Roman" w:cs="Times New Roman"/>
        </w:rPr>
        <w:lastRenderedPageBreak/>
        <w:t>Based</w:t>
      </w:r>
      <w:r w:rsidR="00D23625" w:rsidRPr="00AF264D">
        <w:rPr>
          <w:rFonts w:ascii="Times New Roman" w:hAnsi="Times New Roman" w:cs="Times New Roman"/>
        </w:rPr>
        <w:t xml:space="preserve"> on recent findings reviewed in</w:t>
      </w:r>
      <w:r w:rsidRPr="00AF264D">
        <w:rPr>
          <w:rFonts w:ascii="Times New Roman" w:hAnsi="Times New Roman" w:cs="Times New Roman"/>
        </w:rPr>
        <w:t xml:space="preserve"> international operations and supply chain literature we propose that a favourable regulatory environment that can be ch</w:t>
      </w:r>
      <w:r w:rsidR="00D23625" w:rsidRPr="00AF264D">
        <w:rPr>
          <w:rFonts w:ascii="Times New Roman" w:hAnsi="Times New Roman" w:cs="Times New Roman"/>
        </w:rPr>
        <w:t>aracterized to be conducive to trade (i.e., open borders, willingness to engage in cross-</w:t>
      </w:r>
      <w:r w:rsidR="00993E09" w:rsidRPr="00AF264D">
        <w:rPr>
          <w:rFonts w:ascii="Times New Roman" w:hAnsi="Times New Roman" w:cs="Times New Roman"/>
        </w:rPr>
        <w:t>border</w:t>
      </w:r>
      <w:r w:rsidR="00D23625" w:rsidRPr="00AF264D">
        <w:rPr>
          <w:rFonts w:ascii="Times New Roman" w:hAnsi="Times New Roman" w:cs="Times New Roman"/>
        </w:rPr>
        <w:t xml:space="preserve"> trade, general support to trade) will enable the occurrence of </w:t>
      </w:r>
      <w:r w:rsidR="00D17C12" w:rsidRPr="00AF264D">
        <w:rPr>
          <w:rFonts w:ascii="Times New Roman" w:hAnsi="Times New Roman" w:cs="Times New Roman"/>
        </w:rPr>
        <w:t>more on-time deliveries</w:t>
      </w:r>
      <w:r w:rsidR="00D23625" w:rsidRPr="00AF264D">
        <w:rPr>
          <w:rFonts w:ascii="Times New Roman" w:hAnsi="Times New Roman" w:cs="Times New Roman"/>
        </w:rPr>
        <w:t xml:space="preserve">. </w:t>
      </w:r>
      <w:r w:rsidR="00993AA7">
        <w:rPr>
          <w:rFonts w:ascii="Times New Roman" w:hAnsi="Times New Roman" w:cs="Times New Roman"/>
        </w:rPr>
        <w:t>National</w:t>
      </w:r>
      <w:r w:rsidR="007A571B" w:rsidRPr="00AF264D">
        <w:rPr>
          <w:rFonts w:ascii="Times New Roman" w:hAnsi="Times New Roman" w:cs="Times New Roman"/>
        </w:rPr>
        <w:t xml:space="preserve"> </w:t>
      </w:r>
      <w:r w:rsidR="00993AA7">
        <w:rPr>
          <w:rFonts w:ascii="Times New Roman" w:hAnsi="Times New Roman" w:cs="Times New Roman"/>
        </w:rPr>
        <w:t>g</w:t>
      </w:r>
      <w:r w:rsidR="007A571B" w:rsidRPr="00AF264D">
        <w:rPr>
          <w:rFonts w:ascii="Times New Roman" w:hAnsi="Times New Roman" w:cs="Times New Roman"/>
        </w:rPr>
        <w:t xml:space="preserve">overnance mechanisms that ensure a high degree of rule of law and a general high quality of governance are general supporting mechanisms at the country level for successful trade relationships.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2013)</w:t>
      </w:r>
      <w:r w:rsidR="004B54B9" w:rsidRPr="00AF264D">
        <w:rPr>
          <w:rFonts w:ascii="Times New Roman" w:hAnsi="Times New Roman" w:cs="Times New Roman"/>
        </w:rPr>
        <w:t xml:space="preserve"> tested and confirmed the impa</w:t>
      </w:r>
      <w:r w:rsidR="00046F63" w:rsidRPr="00AF264D">
        <w:rPr>
          <w:rFonts w:ascii="Times New Roman" w:hAnsi="Times New Roman" w:cs="Times New Roman"/>
        </w:rPr>
        <w:t>ct of a country’s rule of law f</w:t>
      </w:r>
      <w:r w:rsidR="004B54B9" w:rsidRPr="00AF264D">
        <w:rPr>
          <w:rFonts w:ascii="Times New Roman" w:hAnsi="Times New Roman" w:cs="Times New Roman"/>
        </w:rPr>
        <w:t>o</w:t>
      </w:r>
      <w:r w:rsidR="00046F63" w:rsidRPr="00AF264D">
        <w:rPr>
          <w:rFonts w:ascii="Times New Roman" w:hAnsi="Times New Roman" w:cs="Times New Roman"/>
        </w:rPr>
        <w:t>r</w:t>
      </w:r>
      <w:r w:rsidR="004B54B9" w:rsidRPr="00AF264D">
        <w:rPr>
          <w:rFonts w:ascii="Times New Roman" w:hAnsi="Times New Roman" w:cs="Times New Roman"/>
        </w:rPr>
        <w:t xml:space="preserve"> the success of outsourcing contracts. </w:t>
      </w:r>
      <w:r w:rsidR="00CE42C2">
        <w:rPr>
          <w:rFonts w:ascii="Times New Roman" w:hAnsi="Times New Roman" w:cs="Times New Roman"/>
        </w:rPr>
        <w:t>T</w:t>
      </w:r>
      <w:r w:rsidR="004B54B9" w:rsidRPr="00AF264D">
        <w:rPr>
          <w:rFonts w:ascii="Times New Roman" w:hAnsi="Times New Roman" w:cs="Times New Roman"/>
        </w:rPr>
        <w:t>he</w:t>
      </w:r>
      <w:r w:rsidR="00CE42C2">
        <w:rPr>
          <w:rFonts w:ascii="Times New Roman" w:hAnsi="Times New Roman" w:cs="Times New Roman"/>
        </w:rPr>
        <w:t xml:space="preserve"> authors</w:t>
      </w:r>
      <w:r w:rsidR="004B54B9" w:rsidRPr="00AF264D">
        <w:rPr>
          <w:rFonts w:ascii="Times New Roman" w:hAnsi="Times New Roman" w:cs="Times New Roman"/>
        </w:rPr>
        <w:t xml:space="preserve"> argued that whenever companies are situated in countries with relatively low levels of rules of law they need to employ additional safeguard mechanisms to support their outsourcing contracts such as monitoring and sanctioning. </w:t>
      </w:r>
      <w:r w:rsidR="00046F63" w:rsidRPr="00AF264D">
        <w:rPr>
          <w:rFonts w:ascii="Times New Roman" w:hAnsi="Times New Roman" w:cs="Times New Roman"/>
        </w:rPr>
        <w:t xml:space="preserve">Furthermore, </w:t>
      </w:r>
      <w:r w:rsidR="00AB72AE" w:rsidRPr="00AF264D">
        <w:rPr>
          <w:rFonts w:ascii="Times New Roman" w:hAnsi="Times New Roman" w:cs="Times New Roman"/>
        </w:rPr>
        <w:t xml:space="preserve">Wiengarten </w:t>
      </w:r>
      <w:r w:rsidR="00AB72AE" w:rsidRPr="003E75B7">
        <w:rPr>
          <w:rFonts w:ascii="Times New Roman" w:hAnsi="Times New Roman" w:cs="Times New Roman"/>
          <w:i/>
        </w:rPr>
        <w:t>et al.</w:t>
      </w:r>
      <w:r w:rsidR="00AB72AE" w:rsidRPr="00AF264D">
        <w:rPr>
          <w:rFonts w:ascii="Times New Roman" w:hAnsi="Times New Roman" w:cs="Times New Roman"/>
        </w:rPr>
        <w:t xml:space="preserve"> (2015</w:t>
      </w:r>
      <w:r w:rsidR="003A08CD">
        <w:rPr>
          <w:rFonts w:ascii="Times New Roman" w:hAnsi="Times New Roman" w:cs="Times New Roman"/>
        </w:rPr>
        <w:t>a</w:t>
      </w:r>
      <w:r w:rsidR="00AB72AE" w:rsidRPr="00AF264D">
        <w:rPr>
          <w:rFonts w:ascii="Times New Roman" w:hAnsi="Times New Roman" w:cs="Times New Roman"/>
        </w:rPr>
        <w:t>)</w:t>
      </w:r>
      <w:r w:rsidR="00046F63" w:rsidRPr="00AF264D">
        <w:rPr>
          <w:rFonts w:ascii="Times New Roman" w:hAnsi="Times New Roman" w:cs="Times New Roman"/>
        </w:rPr>
        <w:t xml:space="preserve"> confirmed the importance of a country’s regulatory quality for the success of e-business</w:t>
      </w:r>
      <w:r w:rsidR="00C921BE">
        <w:rPr>
          <w:rFonts w:ascii="Times New Roman" w:hAnsi="Times New Roman" w:cs="Times New Roman"/>
        </w:rPr>
        <w:t>-</w:t>
      </w:r>
      <w:r w:rsidR="00046F63" w:rsidRPr="00AF264D">
        <w:rPr>
          <w:rFonts w:ascii="Times New Roman" w:hAnsi="Times New Roman" w:cs="Times New Roman"/>
        </w:rPr>
        <w:t xml:space="preserve">enabled supply chains. </w:t>
      </w:r>
    </w:p>
    <w:p w14:paraId="49316AE4" w14:textId="43EB4653" w:rsidR="00AD5156" w:rsidRPr="00AF264D" w:rsidRDefault="00E152B1" w:rsidP="00B57A63">
      <w:pPr>
        <w:spacing w:line="480" w:lineRule="auto"/>
        <w:ind w:firstLine="284"/>
        <w:jc w:val="both"/>
        <w:rPr>
          <w:rFonts w:ascii="Times New Roman" w:hAnsi="Times New Roman" w:cs="Times New Roman"/>
        </w:rPr>
      </w:pPr>
      <w:r w:rsidRPr="00AF264D">
        <w:rPr>
          <w:rFonts w:ascii="Times New Roman" w:hAnsi="Times New Roman" w:cs="Times New Roman"/>
        </w:rPr>
        <w:t>We thus speculate that a</w:t>
      </w:r>
      <w:r w:rsidR="004B54B9" w:rsidRPr="00AF264D">
        <w:rPr>
          <w:rFonts w:ascii="Times New Roman" w:hAnsi="Times New Roman" w:cs="Times New Roman"/>
        </w:rPr>
        <w:t xml:space="preserve"> regulatory environment that provides </w:t>
      </w:r>
      <w:r w:rsidR="00665BC7" w:rsidRPr="00AF264D">
        <w:rPr>
          <w:rFonts w:ascii="Times New Roman" w:hAnsi="Times New Roman" w:cs="Times New Roman"/>
        </w:rPr>
        <w:t xml:space="preserve">high quality of </w:t>
      </w:r>
      <w:r w:rsidR="004B54B9" w:rsidRPr="00AF264D">
        <w:rPr>
          <w:rFonts w:ascii="Times New Roman" w:hAnsi="Times New Roman" w:cs="Times New Roman"/>
        </w:rPr>
        <w:t xml:space="preserve">governance will act as an additional safeguard </w:t>
      </w:r>
      <w:r w:rsidR="00665BC7" w:rsidRPr="00AF264D">
        <w:rPr>
          <w:rFonts w:ascii="Times New Roman" w:hAnsi="Times New Roman" w:cs="Times New Roman"/>
        </w:rPr>
        <w:t xml:space="preserve">to receive goods </w:t>
      </w:r>
      <w:r w:rsidR="006C3373">
        <w:rPr>
          <w:rFonts w:ascii="Times New Roman" w:hAnsi="Times New Roman" w:cs="Times New Roman"/>
        </w:rPr>
        <w:t>on time</w:t>
      </w:r>
      <w:r w:rsidR="00665BC7" w:rsidRPr="00AF264D">
        <w:rPr>
          <w:rFonts w:ascii="Times New Roman" w:hAnsi="Times New Roman" w:cs="Times New Roman"/>
        </w:rPr>
        <w:t xml:space="preserve"> from suppliers. Suppliers that might not fulfil their contractual agreements </w:t>
      </w:r>
      <w:r w:rsidR="00AB72AE" w:rsidRPr="00AF264D">
        <w:rPr>
          <w:rFonts w:ascii="Times New Roman" w:hAnsi="Times New Roman" w:cs="Times New Roman"/>
        </w:rPr>
        <w:t>and</w:t>
      </w:r>
      <w:r w:rsidR="00665BC7" w:rsidRPr="00AF264D">
        <w:rPr>
          <w:rFonts w:ascii="Times New Roman" w:hAnsi="Times New Roman" w:cs="Times New Roman"/>
        </w:rPr>
        <w:t xml:space="preserve"> deliver late might get sanctioned in a high quality regulatory environment. Furthermore, in the case of cross-</w:t>
      </w:r>
      <w:r w:rsidR="00E64169" w:rsidRPr="00AF264D">
        <w:rPr>
          <w:rFonts w:ascii="Times New Roman" w:hAnsi="Times New Roman" w:cs="Times New Roman"/>
        </w:rPr>
        <w:t>border</w:t>
      </w:r>
      <w:r w:rsidR="00665BC7" w:rsidRPr="00AF264D">
        <w:rPr>
          <w:rFonts w:ascii="Times New Roman" w:hAnsi="Times New Roman" w:cs="Times New Roman"/>
        </w:rPr>
        <w:t xml:space="preserve"> activi</w:t>
      </w:r>
      <w:r w:rsidR="00DE3630" w:rsidRPr="00AF264D">
        <w:rPr>
          <w:rFonts w:ascii="Times New Roman" w:hAnsi="Times New Roman" w:cs="Times New Roman"/>
        </w:rPr>
        <w:t>ti</w:t>
      </w:r>
      <w:r w:rsidR="00665BC7" w:rsidRPr="00AF264D">
        <w:rPr>
          <w:rFonts w:ascii="Times New Roman" w:hAnsi="Times New Roman" w:cs="Times New Roman"/>
        </w:rPr>
        <w:t xml:space="preserve">es between the supplier and buyer, a regulatory </w:t>
      </w:r>
      <w:r w:rsidR="00DE3630" w:rsidRPr="00AF264D">
        <w:rPr>
          <w:rFonts w:ascii="Times New Roman" w:hAnsi="Times New Roman" w:cs="Times New Roman"/>
        </w:rPr>
        <w:t>environment</w:t>
      </w:r>
      <w:r w:rsidR="00665BC7" w:rsidRPr="00AF264D">
        <w:rPr>
          <w:rFonts w:ascii="Times New Roman" w:hAnsi="Times New Roman" w:cs="Times New Roman"/>
        </w:rPr>
        <w:t xml:space="preserve"> that enables efficient clearance of goods across boarders also enables on-time deliveries. Subsequently, we propose:</w:t>
      </w:r>
    </w:p>
    <w:p w14:paraId="53C14346" w14:textId="38652F03" w:rsidR="00356027" w:rsidRPr="00AF264D" w:rsidRDefault="007D0A35" w:rsidP="00953AA9">
      <w:pPr>
        <w:spacing w:line="480" w:lineRule="auto"/>
        <w:ind w:firstLine="284"/>
        <w:jc w:val="both"/>
        <w:rPr>
          <w:rFonts w:ascii="Times New Roman" w:hAnsi="Times New Roman" w:cs="Times New Roman"/>
        </w:rPr>
      </w:pPr>
      <w:r>
        <w:rPr>
          <w:rFonts w:ascii="Times New Roman" w:hAnsi="Times New Roman" w:cs="Times New Roman"/>
        </w:rPr>
        <w:t xml:space="preserve"> </w:t>
      </w:r>
      <w:r w:rsidR="00685425" w:rsidRPr="00685425">
        <w:rPr>
          <w:rFonts w:ascii="Times New Roman" w:hAnsi="Times New Roman" w:cs="Times New Roman"/>
          <w:b/>
        </w:rPr>
        <w:t xml:space="preserve">Hypothesis 1: </w:t>
      </w:r>
      <w:r w:rsidR="00685425" w:rsidRPr="00685425">
        <w:rPr>
          <w:rFonts w:ascii="Times New Roman" w:hAnsi="Times New Roman" w:cs="Times New Roman"/>
          <w:i/>
        </w:rPr>
        <w:t>Firms situated in countries with a regulatory national environment that is conducive to trade will experience more upstream on-time deliveries.</w:t>
      </w:r>
    </w:p>
    <w:p w14:paraId="5B5409F9" w14:textId="77777777" w:rsidR="00665BC7" w:rsidRPr="00AF264D" w:rsidRDefault="00665BC7" w:rsidP="00356027">
      <w:pPr>
        <w:spacing w:line="480" w:lineRule="auto"/>
        <w:rPr>
          <w:rFonts w:ascii="Times New Roman" w:hAnsi="Times New Roman" w:cs="Times New Roman"/>
        </w:rPr>
      </w:pPr>
    </w:p>
    <w:p w14:paraId="420F82DA" w14:textId="32088DB0" w:rsidR="00665BC7" w:rsidRPr="00AF264D" w:rsidRDefault="00665BC7" w:rsidP="00637104">
      <w:pPr>
        <w:spacing w:line="480" w:lineRule="auto"/>
        <w:ind w:firstLine="284"/>
        <w:jc w:val="both"/>
        <w:rPr>
          <w:rFonts w:ascii="Times New Roman" w:hAnsi="Times New Roman" w:cs="Times New Roman"/>
        </w:rPr>
      </w:pPr>
      <w:r w:rsidRPr="00AF264D">
        <w:rPr>
          <w:rFonts w:ascii="Times New Roman" w:hAnsi="Times New Roman" w:cs="Times New Roman"/>
        </w:rPr>
        <w:t xml:space="preserve">In addition to the </w:t>
      </w:r>
      <w:r w:rsidR="00DE3630" w:rsidRPr="00AF264D">
        <w:rPr>
          <w:rFonts w:ascii="Times New Roman" w:hAnsi="Times New Roman" w:cs="Times New Roman"/>
        </w:rPr>
        <w:t xml:space="preserve">regulatory environment that captures the </w:t>
      </w:r>
      <w:r w:rsidRPr="00AF264D">
        <w:rPr>
          <w:rFonts w:ascii="Times New Roman" w:hAnsi="Times New Roman" w:cs="Times New Roman"/>
        </w:rPr>
        <w:t xml:space="preserve">political and </w:t>
      </w:r>
      <w:r w:rsidR="00DE3630" w:rsidRPr="00AF264D">
        <w:rPr>
          <w:rFonts w:ascii="Times New Roman" w:hAnsi="Times New Roman" w:cs="Times New Roman"/>
        </w:rPr>
        <w:t xml:space="preserve">general </w:t>
      </w:r>
      <w:r w:rsidR="00046F63" w:rsidRPr="00AF264D">
        <w:rPr>
          <w:rFonts w:ascii="Times New Roman" w:hAnsi="Times New Roman" w:cs="Times New Roman"/>
        </w:rPr>
        <w:t xml:space="preserve">business </w:t>
      </w:r>
      <w:r w:rsidR="00DE3630" w:rsidRPr="00AF264D">
        <w:rPr>
          <w:rFonts w:ascii="Times New Roman" w:hAnsi="Times New Roman" w:cs="Times New Roman"/>
        </w:rPr>
        <w:t>attitude towards trade at the country level</w:t>
      </w:r>
      <w:r w:rsidR="00046F63" w:rsidRPr="00AF264D">
        <w:rPr>
          <w:rFonts w:ascii="Times New Roman" w:hAnsi="Times New Roman" w:cs="Times New Roman"/>
        </w:rPr>
        <w:t>,</w:t>
      </w:r>
      <w:r w:rsidR="00DE3630" w:rsidRPr="00AF264D">
        <w:rPr>
          <w:rFonts w:ascii="Times New Roman" w:hAnsi="Times New Roman" w:cs="Times New Roman"/>
        </w:rPr>
        <w:t xml:space="preserve"> </w:t>
      </w:r>
      <w:r w:rsidR="00C921BE">
        <w:rPr>
          <w:rFonts w:ascii="Times New Roman" w:hAnsi="Times New Roman" w:cs="Times New Roman"/>
        </w:rPr>
        <w:t xml:space="preserve">authors have argued that </w:t>
      </w:r>
      <w:r w:rsidR="00DE3630" w:rsidRPr="00AF264D">
        <w:rPr>
          <w:rFonts w:ascii="Times New Roman" w:hAnsi="Times New Roman" w:cs="Times New Roman"/>
        </w:rPr>
        <w:t xml:space="preserve">the infrastructure </w:t>
      </w:r>
      <w:r w:rsidR="00637104" w:rsidRPr="00AF264D">
        <w:rPr>
          <w:rFonts w:ascii="Times New Roman" w:hAnsi="Times New Roman" w:cs="Times New Roman"/>
        </w:rPr>
        <w:t xml:space="preserve">that enables </w:t>
      </w:r>
      <w:r w:rsidR="00046F63" w:rsidRPr="00AF264D">
        <w:rPr>
          <w:rFonts w:ascii="Times New Roman" w:hAnsi="Times New Roman" w:cs="Times New Roman"/>
        </w:rPr>
        <w:t xml:space="preserve">trade in terms of </w:t>
      </w:r>
      <w:r w:rsidR="00637104" w:rsidRPr="00AF264D">
        <w:rPr>
          <w:rFonts w:ascii="Times New Roman" w:hAnsi="Times New Roman" w:cs="Times New Roman"/>
        </w:rPr>
        <w:t xml:space="preserve">the logistical movement of goods might also impact on </w:t>
      </w:r>
      <w:r w:rsidR="00046F63" w:rsidRPr="00AF264D">
        <w:rPr>
          <w:rFonts w:ascii="Times New Roman" w:hAnsi="Times New Roman" w:cs="Times New Roman"/>
        </w:rPr>
        <w:t xml:space="preserve">the </w:t>
      </w:r>
      <w:r w:rsidR="00637104" w:rsidRPr="00AF264D">
        <w:rPr>
          <w:rFonts w:ascii="Times New Roman" w:hAnsi="Times New Roman" w:cs="Times New Roman"/>
        </w:rPr>
        <w:t>risk of not</w:t>
      </w:r>
      <w:r w:rsidR="00046F63" w:rsidRPr="00AF264D">
        <w:rPr>
          <w:rFonts w:ascii="Times New Roman" w:hAnsi="Times New Roman" w:cs="Times New Roman"/>
        </w:rPr>
        <w:t xml:space="preserve"> </w:t>
      </w:r>
      <w:r w:rsidR="00046F63" w:rsidRPr="00AF264D">
        <w:rPr>
          <w:rFonts w:ascii="Times New Roman" w:hAnsi="Times New Roman" w:cs="Times New Roman"/>
        </w:rPr>
        <w:lastRenderedPageBreak/>
        <w:t xml:space="preserve">receiving the ordered good </w:t>
      </w:r>
      <w:r w:rsidR="00637104" w:rsidRPr="00AF264D">
        <w:rPr>
          <w:rFonts w:ascii="Times New Roman" w:hAnsi="Times New Roman" w:cs="Times New Roman"/>
        </w:rPr>
        <w:t>on time</w:t>
      </w:r>
      <w:r w:rsidR="00E152B1" w:rsidRPr="00AF264D">
        <w:rPr>
          <w:rFonts w:ascii="Times New Roman" w:hAnsi="Times New Roman" w:cs="Times New Roman"/>
        </w:rPr>
        <w:t xml:space="preserve"> </w:t>
      </w:r>
      <w:r w:rsidR="009447BE" w:rsidRPr="00AF264D">
        <w:rPr>
          <w:rFonts w:ascii="Times New Roman" w:hAnsi="Times New Roman" w:cs="Times New Roman"/>
        </w:rPr>
        <w:t xml:space="preserve">(Ekici </w:t>
      </w:r>
      <w:r w:rsidR="009447BE" w:rsidRPr="003E75B7">
        <w:rPr>
          <w:rFonts w:ascii="Times New Roman" w:hAnsi="Times New Roman" w:cs="Times New Roman"/>
          <w:i/>
        </w:rPr>
        <w:t>et al.</w:t>
      </w:r>
      <w:r w:rsidR="009447BE" w:rsidRPr="00AF264D">
        <w:rPr>
          <w:rFonts w:ascii="Times New Roman" w:hAnsi="Times New Roman" w:cs="Times New Roman"/>
        </w:rPr>
        <w:t>, 2016)</w:t>
      </w:r>
      <w:r w:rsidR="00E152B1" w:rsidRPr="00AF264D">
        <w:rPr>
          <w:rFonts w:ascii="Times New Roman" w:hAnsi="Times New Roman" w:cs="Times New Roman"/>
        </w:rPr>
        <w:t>.</w:t>
      </w:r>
      <w:r w:rsidR="00C36C28" w:rsidRPr="00AF264D">
        <w:rPr>
          <w:rFonts w:ascii="Times New Roman" w:hAnsi="Times New Roman" w:cs="Times New Roman"/>
        </w:rPr>
        <w:t xml:space="preserve">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2014)</w:t>
      </w:r>
      <w:r w:rsidR="00637104" w:rsidRPr="00AF264D">
        <w:rPr>
          <w:rFonts w:ascii="Times New Roman" w:hAnsi="Times New Roman" w:cs="Times New Roman"/>
        </w:rPr>
        <w:t xml:space="preserve"> explored the importance </w:t>
      </w:r>
      <w:r w:rsidR="00281EC8" w:rsidRPr="00AF264D">
        <w:rPr>
          <w:rFonts w:ascii="Times New Roman" w:hAnsi="Times New Roman" w:cs="Times New Roman"/>
        </w:rPr>
        <w:t xml:space="preserve">of a country’s logistical capabilities </w:t>
      </w:r>
      <w:r w:rsidR="00D659AD" w:rsidRPr="00AF264D">
        <w:rPr>
          <w:rFonts w:ascii="Times New Roman" w:hAnsi="Times New Roman" w:cs="Times New Roman"/>
        </w:rPr>
        <w:t xml:space="preserve">for the efficacy of </w:t>
      </w:r>
      <w:r w:rsidR="008C6EF7" w:rsidRPr="00AF264D">
        <w:rPr>
          <w:rFonts w:ascii="Times New Roman" w:hAnsi="Times New Roman" w:cs="Times New Roman"/>
        </w:rPr>
        <w:t>external</w:t>
      </w:r>
      <w:r w:rsidR="00D659AD" w:rsidRPr="00AF264D">
        <w:rPr>
          <w:rFonts w:ascii="Times New Roman" w:hAnsi="Times New Roman" w:cs="Times New Roman"/>
        </w:rPr>
        <w:t xml:space="preserve"> supply chain integration. The authors argue that </w:t>
      </w:r>
      <w:r w:rsidR="00257AF1" w:rsidRPr="00AF264D">
        <w:rPr>
          <w:rFonts w:ascii="Times New Roman" w:hAnsi="Times New Roman" w:cs="Times New Roman"/>
        </w:rPr>
        <w:t xml:space="preserve">supply chain integration comes at a cost </w:t>
      </w:r>
      <w:r w:rsidR="00DD3E43" w:rsidRPr="00AF264D">
        <w:rPr>
          <w:rFonts w:ascii="Times New Roman" w:hAnsi="Times New Roman" w:cs="Times New Roman"/>
        </w:rPr>
        <w:t xml:space="preserve">and companies </w:t>
      </w:r>
      <w:r w:rsidR="00D2616A" w:rsidRPr="00AF264D">
        <w:rPr>
          <w:rFonts w:ascii="Times New Roman" w:hAnsi="Times New Roman" w:cs="Times New Roman"/>
        </w:rPr>
        <w:t xml:space="preserve">need to weight these costs to find the right level of external integration, which by their argument depends on the level of logistical capabilities. They identified that a country’s logistical performance </w:t>
      </w:r>
      <w:r w:rsidR="00534889" w:rsidRPr="00AF264D">
        <w:rPr>
          <w:rFonts w:ascii="Times New Roman" w:hAnsi="Times New Roman" w:cs="Times New Roman"/>
        </w:rPr>
        <w:t xml:space="preserve">(i.e., logistical capabilities) </w:t>
      </w:r>
      <w:r w:rsidR="00D2616A" w:rsidRPr="00AF264D">
        <w:rPr>
          <w:rFonts w:ascii="Times New Roman" w:hAnsi="Times New Roman" w:cs="Times New Roman"/>
        </w:rPr>
        <w:t xml:space="preserve">does affect the efficacy of customer integration in terms of operational performance (i.e., cost, flexibility and delivery performance). </w:t>
      </w:r>
    </w:p>
    <w:p w14:paraId="59C08168" w14:textId="63C570ED" w:rsidR="00AD5156" w:rsidRPr="00AF264D" w:rsidRDefault="00D2616A" w:rsidP="007D0BD7">
      <w:pPr>
        <w:spacing w:line="480" w:lineRule="auto"/>
        <w:ind w:firstLine="284"/>
        <w:jc w:val="both"/>
        <w:rPr>
          <w:rFonts w:ascii="Times New Roman" w:hAnsi="Times New Roman" w:cs="Times New Roman"/>
        </w:rPr>
      </w:pPr>
      <w:r w:rsidRPr="00AF264D">
        <w:rPr>
          <w:rFonts w:ascii="Times New Roman" w:hAnsi="Times New Roman" w:cs="Times New Roman"/>
        </w:rPr>
        <w:t xml:space="preserve">Using a similar </w:t>
      </w:r>
      <w:r w:rsidR="00AD5156" w:rsidRPr="00AF264D">
        <w:rPr>
          <w:rFonts w:ascii="Times New Roman" w:hAnsi="Times New Roman" w:cs="Times New Roman"/>
        </w:rPr>
        <w:t>line of argument</w:t>
      </w:r>
      <w:r w:rsidR="00D17C12" w:rsidRPr="00AF264D">
        <w:rPr>
          <w:rFonts w:ascii="Times New Roman" w:hAnsi="Times New Roman" w:cs="Times New Roman"/>
        </w:rPr>
        <w:t>,</w:t>
      </w:r>
      <w:r w:rsidR="00AD5156" w:rsidRPr="00AF264D">
        <w:rPr>
          <w:rFonts w:ascii="Times New Roman" w:hAnsi="Times New Roman" w:cs="Times New Roman"/>
        </w:rPr>
        <w:t xml:space="preserve"> we propose</w:t>
      </w:r>
      <w:r w:rsidRPr="00AF264D">
        <w:rPr>
          <w:rFonts w:ascii="Times New Roman" w:hAnsi="Times New Roman" w:cs="Times New Roman"/>
        </w:rPr>
        <w:t xml:space="preserve"> that firms that are situated in countries </w:t>
      </w:r>
      <w:r w:rsidR="00B733FC" w:rsidRPr="00AF264D">
        <w:rPr>
          <w:rFonts w:ascii="Times New Roman" w:hAnsi="Times New Roman" w:cs="Times New Roman"/>
        </w:rPr>
        <w:t>with low levels of critical infrastructure</w:t>
      </w:r>
      <w:r w:rsidR="00534889" w:rsidRPr="00AF264D">
        <w:rPr>
          <w:rFonts w:ascii="Times New Roman" w:hAnsi="Times New Roman" w:cs="Times New Roman"/>
        </w:rPr>
        <w:t xml:space="preserve"> (i.e., logistical capabilities)</w:t>
      </w:r>
      <w:r w:rsidR="00AD5156" w:rsidRPr="00AF264D">
        <w:rPr>
          <w:rFonts w:ascii="Times New Roman" w:hAnsi="Times New Roman" w:cs="Times New Roman"/>
        </w:rPr>
        <w:t>,</w:t>
      </w:r>
      <w:r w:rsidR="00B733FC" w:rsidRPr="00AF264D">
        <w:rPr>
          <w:rFonts w:ascii="Times New Roman" w:hAnsi="Times New Roman" w:cs="Times New Roman"/>
        </w:rPr>
        <w:t xml:space="preserve"> and thus </w:t>
      </w:r>
      <w:r w:rsidR="00534889" w:rsidRPr="00AF264D">
        <w:rPr>
          <w:rFonts w:ascii="Times New Roman" w:hAnsi="Times New Roman" w:cs="Times New Roman"/>
        </w:rPr>
        <w:t xml:space="preserve">are </w:t>
      </w:r>
      <w:r w:rsidR="00B733FC" w:rsidRPr="00AF264D">
        <w:rPr>
          <w:rFonts w:ascii="Times New Roman" w:hAnsi="Times New Roman" w:cs="Times New Roman"/>
        </w:rPr>
        <w:t>in need of development</w:t>
      </w:r>
      <w:r w:rsidR="003D13BE" w:rsidRPr="00AF264D">
        <w:rPr>
          <w:rFonts w:ascii="Times New Roman" w:hAnsi="Times New Roman" w:cs="Times New Roman"/>
        </w:rPr>
        <w:t xml:space="preserve"> or repair</w:t>
      </w:r>
      <w:r w:rsidR="00AD5156" w:rsidRPr="00AF264D">
        <w:rPr>
          <w:rFonts w:ascii="Times New Roman" w:hAnsi="Times New Roman" w:cs="Times New Roman"/>
        </w:rPr>
        <w:t>,</w:t>
      </w:r>
      <w:r w:rsidR="00B733FC" w:rsidRPr="00AF264D">
        <w:rPr>
          <w:rFonts w:ascii="Times New Roman" w:hAnsi="Times New Roman" w:cs="Times New Roman"/>
        </w:rPr>
        <w:t xml:space="preserve"> will likely hav</w:t>
      </w:r>
      <w:r w:rsidR="00FC1EE8">
        <w:rPr>
          <w:rFonts w:ascii="Times New Roman" w:hAnsi="Times New Roman" w:cs="Times New Roman"/>
        </w:rPr>
        <w:t>e</w:t>
      </w:r>
      <w:r w:rsidR="00B733FC" w:rsidRPr="00AF264D">
        <w:rPr>
          <w:rFonts w:ascii="Times New Roman" w:hAnsi="Times New Roman" w:cs="Times New Roman"/>
        </w:rPr>
        <w:t xml:space="preserve"> fewer on-time deliveries</w:t>
      </w:r>
      <w:r w:rsidR="00753111" w:rsidRPr="00AF264D">
        <w:rPr>
          <w:rFonts w:ascii="Times New Roman" w:hAnsi="Times New Roman" w:cs="Times New Roman"/>
        </w:rPr>
        <w:t xml:space="preserve"> as companies situated in countries where the critical infrastructure is continuously developed</w:t>
      </w:r>
      <w:r w:rsidR="00B733FC" w:rsidRPr="00AF264D">
        <w:rPr>
          <w:rFonts w:ascii="Times New Roman" w:hAnsi="Times New Roman" w:cs="Times New Roman"/>
        </w:rPr>
        <w:t xml:space="preserve">. </w:t>
      </w:r>
      <w:r w:rsidR="00534889" w:rsidRPr="00AF264D">
        <w:rPr>
          <w:rFonts w:ascii="Times New Roman" w:hAnsi="Times New Roman" w:cs="Times New Roman"/>
        </w:rPr>
        <w:t xml:space="preserve">Companies that are situated in countries </w:t>
      </w:r>
      <w:r w:rsidR="00753111" w:rsidRPr="00AF264D">
        <w:rPr>
          <w:rFonts w:ascii="Times New Roman" w:hAnsi="Times New Roman" w:cs="Times New Roman"/>
        </w:rPr>
        <w:t>where the development need of</w:t>
      </w:r>
      <w:r w:rsidR="00534889" w:rsidRPr="00AF264D">
        <w:rPr>
          <w:rFonts w:ascii="Times New Roman" w:hAnsi="Times New Roman" w:cs="Times New Roman"/>
        </w:rPr>
        <w:t xml:space="preserve"> critical infrastructure</w:t>
      </w:r>
      <w:r w:rsidR="00753111" w:rsidRPr="00AF264D">
        <w:rPr>
          <w:rFonts w:ascii="Times New Roman" w:hAnsi="Times New Roman" w:cs="Times New Roman"/>
        </w:rPr>
        <w:t xml:space="preserve"> has continuously been neglected </w:t>
      </w:r>
      <w:r w:rsidR="00534889" w:rsidRPr="00AF264D">
        <w:rPr>
          <w:rFonts w:ascii="Times New Roman" w:hAnsi="Times New Roman" w:cs="Times New Roman"/>
        </w:rPr>
        <w:t>fac</w:t>
      </w:r>
      <w:r w:rsidR="00753111" w:rsidRPr="00AF264D">
        <w:rPr>
          <w:rFonts w:ascii="Times New Roman" w:hAnsi="Times New Roman" w:cs="Times New Roman"/>
        </w:rPr>
        <w:t>e</w:t>
      </w:r>
      <w:r w:rsidR="00534889" w:rsidRPr="00AF264D">
        <w:rPr>
          <w:rFonts w:ascii="Times New Roman" w:hAnsi="Times New Roman" w:cs="Times New Roman"/>
        </w:rPr>
        <w:t xml:space="preserve"> the risk that this </w:t>
      </w:r>
      <w:r w:rsidR="005814B3">
        <w:rPr>
          <w:rFonts w:ascii="Times New Roman" w:hAnsi="Times New Roman" w:cs="Times New Roman"/>
        </w:rPr>
        <w:t>‘</w:t>
      </w:r>
      <w:r w:rsidR="00534889" w:rsidRPr="00AF264D">
        <w:rPr>
          <w:rFonts w:ascii="Times New Roman" w:hAnsi="Times New Roman" w:cs="Times New Roman"/>
        </w:rPr>
        <w:t>country l</w:t>
      </w:r>
      <w:r w:rsidR="00FC1EE8">
        <w:rPr>
          <w:rFonts w:ascii="Times New Roman" w:hAnsi="Times New Roman" w:cs="Times New Roman"/>
        </w:rPr>
        <w:t>evel</w:t>
      </w:r>
      <w:r w:rsidR="005814B3">
        <w:rPr>
          <w:rFonts w:ascii="Times New Roman" w:hAnsi="Times New Roman" w:cs="Times New Roman"/>
        </w:rPr>
        <w:t>’</w:t>
      </w:r>
      <w:r w:rsidR="00FC1EE8">
        <w:rPr>
          <w:rFonts w:ascii="Times New Roman" w:hAnsi="Times New Roman" w:cs="Times New Roman"/>
        </w:rPr>
        <w:t xml:space="preserve"> contingency factor impact </w:t>
      </w:r>
      <w:r w:rsidR="00534889" w:rsidRPr="00AF264D">
        <w:rPr>
          <w:rFonts w:ascii="Times New Roman" w:hAnsi="Times New Roman" w:cs="Times New Roman"/>
        </w:rPr>
        <w:t xml:space="preserve">the likelihood of receiving ordered goods </w:t>
      </w:r>
      <w:r w:rsidR="00753111" w:rsidRPr="00AF264D">
        <w:rPr>
          <w:rFonts w:ascii="Times New Roman" w:hAnsi="Times New Roman" w:cs="Times New Roman"/>
        </w:rPr>
        <w:t>according to schedule</w:t>
      </w:r>
      <w:r w:rsidR="00534889" w:rsidRPr="00AF264D">
        <w:rPr>
          <w:rFonts w:ascii="Times New Roman" w:hAnsi="Times New Roman" w:cs="Times New Roman"/>
        </w:rPr>
        <w:t xml:space="preserve">, which may in turn disrupt the production process. </w:t>
      </w:r>
      <w:r w:rsidR="00E22F93" w:rsidRPr="00AF264D">
        <w:rPr>
          <w:rFonts w:ascii="Times New Roman" w:hAnsi="Times New Roman" w:cs="Times New Roman"/>
        </w:rPr>
        <w:t>Subsequently, we propose the following:</w:t>
      </w:r>
    </w:p>
    <w:p w14:paraId="4846D2E8" w14:textId="28A9D8E5" w:rsidR="00356027" w:rsidRDefault="00685425" w:rsidP="00DC4C96">
      <w:pPr>
        <w:spacing w:line="480" w:lineRule="auto"/>
        <w:ind w:firstLine="284"/>
        <w:jc w:val="both"/>
        <w:rPr>
          <w:rFonts w:ascii="Times New Roman" w:hAnsi="Times New Roman" w:cs="Times New Roman"/>
          <w:i/>
        </w:rPr>
      </w:pPr>
      <w:r w:rsidRPr="00685425">
        <w:rPr>
          <w:rFonts w:ascii="Times New Roman" w:hAnsi="Times New Roman" w:cs="Times New Roman"/>
          <w:b/>
        </w:rPr>
        <w:t xml:space="preserve">Hypothesis 2: </w:t>
      </w:r>
      <w:r w:rsidRPr="00685425">
        <w:rPr>
          <w:rFonts w:ascii="Times New Roman" w:hAnsi="Times New Roman" w:cs="Times New Roman"/>
          <w:i/>
        </w:rPr>
        <w:t>Firms situated in countries where the need for critical infrastructure and its development has continuously been neglected will experience significantly fewer upstream on-time deliveries.</w:t>
      </w:r>
    </w:p>
    <w:p w14:paraId="16F292A0" w14:textId="77777777" w:rsidR="00685425" w:rsidRPr="00AF264D" w:rsidRDefault="00685425" w:rsidP="00643908">
      <w:pPr>
        <w:spacing w:line="480" w:lineRule="auto"/>
        <w:rPr>
          <w:rFonts w:ascii="Times New Roman" w:hAnsi="Times New Roman" w:cs="Times New Roman"/>
          <w:b/>
        </w:rPr>
      </w:pPr>
    </w:p>
    <w:p w14:paraId="50918835" w14:textId="76FFDA83" w:rsidR="00356027" w:rsidRPr="00AF264D" w:rsidRDefault="00356027"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2.2. Cultural factors and delivery performance</w:t>
      </w:r>
    </w:p>
    <w:p w14:paraId="384176C0" w14:textId="288A0E9D" w:rsidR="009750E6" w:rsidRDefault="009750E6" w:rsidP="009750E6">
      <w:pPr>
        <w:spacing w:line="480" w:lineRule="auto"/>
        <w:ind w:firstLine="284"/>
        <w:jc w:val="both"/>
        <w:rPr>
          <w:rFonts w:ascii="Times New Roman" w:hAnsi="Times New Roman" w:cs="Times New Roman"/>
        </w:rPr>
      </w:pPr>
      <w:r w:rsidRPr="00AF264D">
        <w:rPr>
          <w:rFonts w:ascii="Times New Roman" w:hAnsi="Times New Roman" w:cs="Times New Roman"/>
        </w:rPr>
        <w:t>In addition to the institutional contextual factors, we now review and analyse the role of culture</w:t>
      </w:r>
      <w:r w:rsidR="008358E9" w:rsidRPr="00AF264D">
        <w:rPr>
          <w:rFonts w:ascii="Times New Roman" w:hAnsi="Times New Roman" w:cs="Times New Roman"/>
        </w:rPr>
        <w:t xml:space="preserve"> and its critical importance for the on-time delivery of orders</w:t>
      </w:r>
      <w:r w:rsidRPr="00AF264D">
        <w:rPr>
          <w:rFonts w:ascii="Times New Roman" w:hAnsi="Times New Roman" w:cs="Times New Roman"/>
        </w:rPr>
        <w:t xml:space="preserve">. Culture has been conceptualized and defined at various levels of analysis such as national culture, organizational, and group culture. In this paper we are particularly interested in the </w:t>
      </w:r>
      <w:r w:rsidRPr="00AF264D">
        <w:rPr>
          <w:rFonts w:ascii="Times New Roman" w:hAnsi="Times New Roman" w:cs="Times New Roman"/>
        </w:rPr>
        <w:lastRenderedPageBreak/>
        <w:t xml:space="preserve">conceptualization of culture at the national and organizational level of analysis. National culture can be defined as traits, beliefs, and preferences that members of a society share that shape their behaviour </w:t>
      </w:r>
      <w:r w:rsidR="009447BE" w:rsidRPr="00AF264D">
        <w:rPr>
          <w:rFonts w:ascii="Times New Roman" w:hAnsi="Times New Roman" w:cs="Times New Roman"/>
        </w:rPr>
        <w:t xml:space="preserve">(Hofstede, 1984; Wiengarten </w:t>
      </w:r>
      <w:r w:rsidR="009447BE" w:rsidRPr="003E75B7">
        <w:rPr>
          <w:rFonts w:ascii="Times New Roman" w:hAnsi="Times New Roman" w:cs="Times New Roman"/>
          <w:i/>
        </w:rPr>
        <w:t>et al.</w:t>
      </w:r>
      <w:r w:rsidR="009447BE" w:rsidRPr="00AF264D">
        <w:rPr>
          <w:rFonts w:ascii="Times New Roman" w:hAnsi="Times New Roman" w:cs="Times New Roman"/>
        </w:rPr>
        <w:t>, 2015</w:t>
      </w:r>
      <w:r w:rsidR="003A08CD">
        <w:rPr>
          <w:rFonts w:ascii="Times New Roman" w:hAnsi="Times New Roman" w:cs="Times New Roman"/>
        </w:rPr>
        <w:t>b</w:t>
      </w:r>
      <w:r w:rsidR="009447BE" w:rsidRPr="00AF264D">
        <w:rPr>
          <w:rFonts w:ascii="Times New Roman" w:hAnsi="Times New Roman" w:cs="Times New Roman"/>
        </w:rPr>
        <w:t>)</w:t>
      </w:r>
      <w:r w:rsidRPr="00AF264D">
        <w:rPr>
          <w:rFonts w:ascii="Times New Roman" w:hAnsi="Times New Roman" w:cs="Times New Roman"/>
        </w:rPr>
        <w:t xml:space="preserve">. Organizational culture on the other hand can be defined as the collective programming of the employees’ mind that sets members of one organization apart from the members of others </w:t>
      </w:r>
      <w:r w:rsidR="00AC71FE" w:rsidRPr="00AC71FE">
        <w:rPr>
          <w:rFonts w:ascii="Times New Roman" w:hAnsi="Times New Roman" w:cs="Times New Roman"/>
        </w:rPr>
        <w:t>(Hofstede et al., 1990; Hofstede, 1998)</w:t>
      </w:r>
      <w:r w:rsidRPr="00AF264D">
        <w:rPr>
          <w:rFonts w:ascii="Times New Roman" w:hAnsi="Times New Roman" w:cs="Times New Roman"/>
        </w:rPr>
        <w:t>.</w:t>
      </w:r>
      <w:r w:rsidR="00953AA9" w:rsidRPr="00AF264D">
        <w:rPr>
          <w:rFonts w:ascii="Times New Roman" w:hAnsi="Times New Roman" w:cs="Times New Roman"/>
        </w:rPr>
        <w:t xml:space="preserve"> Similarly, </w:t>
      </w:r>
      <w:r w:rsidR="009447BE" w:rsidRPr="00AF264D">
        <w:rPr>
          <w:rFonts w:ascii="Times New Roman" w:hAnsi="Times New Roman" w:cs="Times New Roman"/>
        </w:rPr>
        <w:t xml:space="preserve">Daft </w:t>
      </w:r>
      <w:r w:rsidR="00C36C28" w:rsidRPr="00AF264D">
        <w:rPr>
          <w:rFonts w:ascii="Times New Roman" w:hAnsi="Times New Roman" w:cs="Times New Roman"/>
        </w:rPr>
        <w:t>(</w:t>
      </w:r>
      <w:r w:rsidR="009447BE" w:rsidRPr="00AF264D">
        <w:rPr>
          <w:rFonts w:ascii="Times New Roman" w:hAnsi="Times New Roman" w:cs="Times New Roman"/>
        </w:rPr>
        <w:t>2012)</w:t>
      </w:r>
      <w:r w:rsidR="00953AA9" w:rsidRPr="00AF264D">
        <w:rPr>
          <w:rFonts w:ascii="Times New Roman" w:hAnsi="Times New Roman" w:cs="Times New Roman"/>
        </w:rPr>
        <w:t xml:space="preserve"> defined organizational culture as </w:t>
      </w:r>
      <w:r w:rsidR="00953AA9" w:rsidRPr="00AF264D">
        <w:rPr>
          <w:rFonts w:ascii="Times New Roman" w:hAnsi="Times New Roman" w:cs="Times New Roman"/>
          <w:i/>
        </w:rPr>
        <w:t xml:space="preserve">“the set of values, guiding beliefs, understandings, and ways of thinking that is shared by members of an organization and is taught to new members as correct” </w:t>
      </w:r>
      <w:r w:rsidR="00953AA9" w:rsidRPr="00AF264D">
        <w:rPr>
          <w:rFonts w:ascii="Times New Roman" w:hAnsi="Times New Roman" w:cs="Times New Roman"/>
        </w:rPr>
        <w:t>(p. 576).</w:t>
      </w:r>
    </w:p>
    <w:p w14:paraId="0AF41083" w14:textId="77777777" w:rsidR="003A08CD" w:rsidRPr="00AF264D" w:rsidRDefault="003A08CD" w:rsidP="009750E6">
      <w:pPr>
        <w:spacing w:line="480" w:lineRule="auto"/>
        <w:ind w:firstLine="284"/>
        <w:jc w:val="both"/>
        <w:rPr>
          <w:rFonts w:ascii="Times New Roman" w:hAnsi="Times New Roman" w:cs="Times New Roman"/>
        </w:rPr>
      </w:pPr>
    </w:p>
    <w:p w14:paraId="411A075C" w14:textId="52E23ADA" w:rsidR="007556D4" w:rsidRPr="00AF264D" w:rsidRDefault="007556D4" w:rsidP="007A1E11">
      <w:pPr>
        <w:pStyle w:val="Heading3"/>
        <w:spacing w:before="0" w:line="480" w:lineRule="auto"/>
        <w:rPr>
          <w:rFonts w:ascii="Times New Roman" w:hAnsi="Times New Roman" w:cs="Times New Roman"/>
          <w:b w:val="0"/>
          <w:i/>
          <w:color w:val="000000" w:themeColor="text1"/>
        </w:rPr>
      </w:pPr>
      <w:r w:rsidRPr="00AF264D">
        <w:rPr>
          <w:rFonts w:ascii="Times New Roman" w:hAnsi="Times New Roman" w:cs="Times New Roman"/>
          <w:b w:val="0"/>
          <w:i/>
          <w:color w:val="000000" w:themeColor="text1"/>
        </w:rPr>
        <w:t>2.2.1. National culture and delivery performance</w:t>
      </w:r>
    </w:p>
    <w:p w14:paraId="33BF3927" w14:textId="5641D31D" w:rsidR="00E4683E" w:rsidRPr="00AF264D" w:rsidRDefault="00E4683E" w:rsidP="00E4683E">
      <w:pPr>
        <w:spacing w:line="480" w:lineRule="auto"/>
        <w:ind w:firstLine="284"/>
        <w:jc w:val="both"/>
        <w:rPr>
          <w:rFonts w:ascii="Times New Roman" w:hAnsi="Times New Roman" w:cs="Times New Roman"/>
        </w:rPr>
      </w:pPr>
      <w:r w:rsidRPr="00AF264D">
        <w:rPr>
          <w:rFonts w:ascii="Times New Roman" w:hAnsi="Times New Roman" w:cs="Times New Roman"/>
        </w:rPr>
        <w:t xml:space="preserve">Various models of national and organizational culture have been developed that operationalize culture across multiple dimensions </w:t>
      </w:r>
      <w:r w:rsidR="00AC71FE" w:rsidRPr="004136B9">
        <w:rPr>
          <w:rFonts w:ascii="Times New Roman" w:hAnsi="Times New Roman" w:cs="Times New Roman"/>
          <w:lang w:val="en-US"/>
        </w:rPr>
        <w:t>(Hofstede et al., 1990; Hofstede, 1998; House et al., 2002; Schwartz, 1992; Trompenaars et al., 1998)</w:t>
      </w:r>
      <w:r w:rsidRPr="004136B9">
        <w:rPr>
          <w:rFonts w:ascii="Times New Roman" w:hAnsi="Times New Roman" w:cs="Times New Roman"/>
          <w:lang w:val="en-US"/>
        </w:rPr>
        <w:t xml:space="preserve">. </w:t>
      </w:r>
      <w:r w:rsidRPr="00AF264D">
        <w:rPr>
          <w:rFonts w:ascii="Times New Roman" w:hAnsi="Times New Roman" w:cs="Times New Roman"/>
        </w:rPr>
        <w:t>From the different dimensions considered (</w:t>
      </w:r>
      <w:r w:rsidR="00295F78">
        <w:rPr>
          <w:rFonts w:ascii="Times New Roman" w:hAnsi="Times New Roman" w:cs="Times New Roman"/>
        </w:rPr>
        <w:t>e.g.,</w:t>
      </w:r>
      <w:r w:rsidRPr="00AF264D">
        <w:rPr>
          <w:rFonts w:ascii="Times New Roman" w:hAnsi="Times New Roman" w:cs="Times New Roman"/>
        </w:rPr>
        <w:t xml:space="preserve"> power distance, individualism, masculinity, uncertainty avoidance), we focus on the national cultural trait of </w:t>
      </w:r>
      <w:r w:rsidR="00C921BE">
        <w:rPr>
          <w:rFonts w:ascii="Times New Roman" w:hAnsi="Times New Roman" w:cs="Times New Roman"/>
        </w:rPr>
        <w:t xml:space="preserve">Hofstede’s (1990) </w:t>
      </w:r>
      <w:r w:rsidRPr="00AF264D">
        <w:rPr>
          <w:rFonts w:ascii="Times New Roman" w:hAnsi="Times New Roman" w:cs="Times New Roman"/>
        </w:rPr>
        <w:t>uncertainty avoidance</w:t>
      </w:r>
      <w:r w:rsidR="00C921BE">
        <w:rPr>
          <w:rFonts w:ascii="Times New Roman" w:hAnsi="Times New Roman" w:cs="Times New Roman"/>
        </w:rPr>
        <w:t xml:space="preserve"> index</w:t>
      </w:r>
      <w:r w:rsidRPr="00AF264D">
        <w:rPr>
          <w:rFonts w:ascii="Times New Roman" w:hAnsi="Times New Roman" w:cs="Times New Roman"/>
        </w:rPr>
        <w:t xml:space="preserve"> (UAI). According to Pagell </w:t>
      </w:r>
      <w:r w:rsidRPr="003E75B7">
        <w:rPr>
          <w:rFonts w:ascii="Times New Roman" w:hAnsi="Times New Roman" w:cs="Times New Roman"/>
          <w:i/>
        </w:rPr>
        <w:t>et al.</w:t>
      </w:r>
      <w:r w:rsidRPr="00AF264D">
        <w:rPr>
          <w:rFonts w:ascii="Times New Roman" w:hAnsi="Times New Roman" w:cs="Times New Roman"/>
        </w:rPr>
        <w:t xml:space="preserve"> </w:t>
      </w:r>
      <w:r w:rsidR="00295F78">
        <w:rPr>
          <w:rFonts w:ascii="Times New Roman" w:hAnsi="Times New Roman" w:cs="Times New Roman"/>
        </w:rPr>
        <w:t>(</w:t>
      </w:r>
      <w:r w:rsidRPr="00AF264D">
        <w:rPr>
          <w:rFonts w:ascii="Times New Roman" w:hAnsi="Times New Roman" w:cs="Times New Roman"/>
        </w:rPr>
        <w:t xml:space="preserve">2005), </w:t>
      </w:r>
      <w:r w:rsidRPr="00AF264D">
        <w:rPr>
          <w:rFonts w:ascii="Times New Roman" w:hAnsi="Times New Roman" w:cs="Times New Roman"/>
          <w:i/>
        </w:rPr>
        <w:t>“UAI measures the extent to which countries deem the pursuit of certainty important”</w:t>
      </w:r>
      <w:r w:rsidRPr="00AF264D">
        <w:rPr>
          <w:rFonts w:ascii="Times New Roman" w:hAnsi="Times New Roman" w:cs="Times New Roman"/>
        </w:rPr>
        <w:t xml:space="preserve"> (p. 376). Nowadays the supply chain environment is widely characterized by shortening product life cycles, changes in consumer preferences</w:t>
      </w:r>
      <w:r w:rsidR="00DC11B7">
        <w:rPr>
          <w:rFonts w:ascii="Times New Roman" w:hAnsi="Times New Roman" w:cs="Times New Roman"/>
        </w:rPr>
        <w:t xml:space="preserve">, and larger product varieties </w:t>
      </w:r>
      <w:r w:rsidR="00DC11B7" w:rsidRPr="00DC11B7">
        <w:rPr>
          <w:rFonts w:ascii="Times New Roman" w:hAnsi="Times New Roman" w:cs="Times New Roman"/>
        </w:rPr>
        <w:t>(Ferdows, 1997; Jordan and Bak, 2016)</w:t>
      </w:r>
      <w:r w:rsidRPr="00AF264D">
        <w:rPr>
          <w:rFonts w:ascii="Times New Roman" w:hAnsi="Times New Roman" w:cs="Times New Roman"/>
        </w:rPr>
        <w:t xml:space="preserve">. This requires supply chains to be adaptable to changes and agile in the sense of being responsive, and aligned to every changing corporate strategies (Christopher and Towill, 2001; Lee, 2004). A so-called </w:t>
      </w:r>
      <w:r w:rsidRPr="00AF264D">
        <w:rPr>
          <w:rFonts w:ascii="Times New Roman" w:hAnsi="Times New Roman" w:cs="Times New Roman"/>
          <w:i/>
        </w:rPr>
        <w:t>Triple-A-Supply Chain</w:t>
      </w:r>
      <w:r w:rsidRPr="00AF264D">
        <w:rPr>
          <w:rFonts w:ascii="Times New Roman" w:hAnsi="Times New Roman" w:cs="Times New Roman"/>
        </w:rPr>
        <w:t xml:space="preserve"> (a supply chain that is agile, adaptable and aligned) would very likely result in more on-time deliveries and general improved operational and financial performance (Lee, 2004). However, this would also require the humans involved in orchestrating and running the supply </w:t>
      </w:r>
      <w:r w:rsidRPr="00AF264D">
        <w:rPr>
          <w:rFonts w:ascii="Times New Roman" w:hAnsi="Times New Roman" w:cs="Times New Roman"/>
        </w:rPr>
        <w:lastRenderedPageBreak/>
        <w:t>chain to be adaptable and agile, which requires individuals to be comfortable with uncertain situations (</w:t>
      </w:r>
      <w:r w:rsidR="00295F78">
        <w:rPr>
          <w:rFonts w:ascii="Times New Roman" w:hAnsi="Times New Roman" w:cs="Times New Roman"/>
        </w:rPr>
        <w:t>i.e.,</w:t>
      </w:r>
      <w:r w:rsidRPr="00AF264D">
        <w:rPr>
          <w:rFonts w:ascii="Times New Roman" w:hAnsi="Times New Roman" w:cs="Times New Roman"/>
        </w:rPr>
        <w:t xml:space="preserve"> </w:t>
      </w:r>
      <w:r w:rsidR="00FC1EE8">
        <w:rPr>
          <w:rFonts w:ascii="Times New Roman" w:hAnsi="Times New Roman" w:cs="Times New Roman"/>
        </w:rPr>
        <w:t>exhibits</w:t>
      </w:r>
      <w:r w:rsidRPr="00AF264D">
        <w:rPr>
          <w:rFonts w:ascii="Times New Roman" w:hAnsi="Times New Roman" w:cs="Times New Roman"/>
        </w:rPr>
        <w:t xml:space="preserve"> low levels of UAI). </w:t>
      </w:r>
    </w:p>
    <w:p w14:paraId="5F1A26E7" w14:textId="437718A0" w:rsidR="00A527C6" w:rsidRPr="00AF264D" w:rsidRDefault="009750E6" w:rsidP="008A6E19">
      <w:pPr>
        <w:widowControl w:val="0"/>
        <w:autoSpaceDE w:val="0"/>
        <w:autoSpaceDN w:val="0"/>
        <w:adjustRightInd w:val="0"/>
        <w:spacing w:line="480" w:lineRule="auto"/>
        <w:ind w:firstLine="284"/>
        <w:jc w:val="both"/>
        <w:rPr>
          <w:rFonts w:ascii="Times New Roman" w:hAnsi="Times New Roman" w:cs="Times New Roman"/>
        </w:rPr>
      </w:pPr>
      <w:r w:rsidRPr="00AF264D">
        <w:rPr>
          <w:rFonts w:ascii="Times New Roman" w:hAnsi="Times New Roman" w:cs="Times New Roman"/>
        </w:rPr>
        <w:t>Previous literature has extensively explored the role of national culture for the</w:t>
      </w:r>
      <w:r w:rsidR="008A6E19" w:rsidRPr="00AF264D">
        <w:rPr>
          <w:rFonts w:ascii="Times New Roman" w:hAnsi="Times New Roman" w:cs="Times New Roman"/>
        </w:rPr>
        <w:t xml:space="preserve"> level of </w:t>
      </w:r>
      <w:r w:rsidR="006D5694" w:rsidRPr="00AF264D">
        <w:rPr>
          <w:rFonts w:ascii="Times New Roman" w:hAnsi="Times New Roman" w:cs="Times New Roman"/>
        </w:rPr>
        <w:t xml:space="preserve">adoption </w:t>
      </w:r>
      <w:r w:rsidR="009447BE" w:rsidRPr="00AF264D">
        <w:rPr>
          <w:rFonts w:ascii="Times New Roman" w:hAnsi="Times New Roman" w:cs="Times New Roman"/>
        </w:rPr>
        <w:t xml:space="preserve">(Cagliano </w:t>
      </w:r>
      <w:r w:rsidR="009447BE" w:rsidRPr="003E75B7">
        <w:rPr>
          <w:rFonts w:ascii="Times New Roman" w:hAnsi="Times New Roman" w:cs="Times New Roman"/>
          <w:i/>
        </w:rPr>
        <w:t>et al.</w:t>
      </w:r>
      <w:r w:rsidR="009447BE" w:rsidRPr="00AF264D">
        <w:rPr>
          <w:rFonts w:ascii="Times New Roman" w:hAnsi="Times New Roman" w:cs="Times New Roman"/>
        </w:rPr>
        <w:t>, 2011)</w:t>
      </w:r>
      <w:r w:rsidR="008A6E19" w:rsidRPr="00AF264D">
        <w:rPr>
          <w:rFonts w:ascii="Times New Roman" w:hAnsi="Times New Roman" w:cs="Times New Roman"/>
        </w:rPr>
        <w:t xml:space="preserve"> and</w:t>
      </w:r>
      <w:r w:rsidRPr="00AF264D">
        <w:rPr>
          <w:rFonts w:ascii="Times New Roman" w:hAnsi="Times New Roman" w:cs="Times New Roman"/>
        </w:rPr>
        <w:t xml:space="preserve"> success of multiple operations and supply chain practices</w:t>
      </w:r>
      <w:r w:rsidR="008A6E19" w:rsidRPr="00AF264D">
        <w:rPr>
          <w:rFonts w:ascii="Times New Roman" w:hAnsi="Times New Roman" w:cs="Times New Roman"/>
        </w:rPr>
        <w:t xml:space="preserve"> </w:t>
      </w:r>
      <w:r w:rsidR="009447BE" w:rsidRPr="00AF264D">
        <w:rPr>
          <w:rFonts w:ascii="Times New Roman" w:hAnsi="Times New Roman" w:cs="Times New Roman"/>
        </w:rPr>
        <w:t>(Kull and Wacker, 2010)</w:t>
      </w:r>
      <w:r w:rsidRPr="00AF264D">
        <w:rPr>
          <w:rFonts w:ascii="Times New Roman" w:hAnsi="Times New Roman" w:cs="Times New Roman"/>
        </w:rPr>
        <w:t xml:space="preserve">. There is considerable evidence suggesting that certain characteristics of culture impact on the efficacy of selected operations and supply chain practices </w:t>
      </w:r>
      <w:r w:rsidR="003A08C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2015</w:t>
      </w:r>
      <w:r w:rsidR="003A08CD">
        <w:rPr>
          <w:rFonts w:ascii="Times New Roman" w:hAnsi="Times New Roman" w:cs="Times New Roman"/>
        </w:rPr>
        <w:t>b</w:t>
      </w:r>
      <w:r w:rsidR="009447BE" w:rsidRPr="00AF264D">
        <w:rPr>
          <w:rFonts w:ascii="Times New Roman" w:hAnsi="Times New Roman" w:cs="Times New Roman"/>
        </w:rPr>
        <w:t>)</w:t>
      </w:r>
      <w:r w:rsidRPr="00AF264D">
        <w:rPr>
          <w:rFonts w:ascii="Times New Roman" w:hAnsi="Times New Roman" w:cs="Times New Roman"/>
        </w:rPr>
        <w:t xml:space="preserve">. </w:t>
      </w:r>
      <w:r w:rsidR="00A527C6" w:rsidRPr="00AF264D">
        <w:rPr>
          <w:rFonts w:ascii="Times New Roman" w:hAnsi="Times New Roman" w:cs="Times New Roman"/>
        </w:rPr>
        <w:t>For example, recently</w:t>
      </w:r>
      <w:r w:rsidR="00F243F2" w:rsidRPr="00AF264D">
        <w:rPr>
          <w:rFonts w:ascii="Times New Roman" w:hAnsi="Times New Roman" w:cs="Times New Roman"/>
        </w:rPr>
        <w:t xml:space="preserve"> </w:t>
      </w:r>
      <w:r w:rsidR="009447BE" w:rsidRPr="00AF264D">
        <w:rPr>
          <w:rFonts w:ascii="Times New Roman" w:hAnsi="Times New Roman" w:cs="Times New Roman"/>
        </w:rPr>
        <w:t xml:space="preserve">Bockstedt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2015)</w:t>
      </w:r>
      <w:r w:rsidR="00A527C6" w:rsidRPr="00AF264D">
        <w:rPr>
          <w:rFonts w:ascii="Times New Roman" w:hAnsi="Times New Roman" w:cs="Times New Roman"/>
        </w:rPr>
        <w:t xml:space="preserve"> explored the role </w:t>
      </w:r>
      <w:r w:rsidR="00E4683E" w:rsidRPr="00AF264D">
        <w:rPr>
          <w:rFonts w:ascii="Times New Roman" w:hAnsi="Times New Roman" w:cs="Times New Roman"/>
        </w:rPr>
        <w:t xml:space="preserve">of </w:t>
      </w:r>
      <w:r w:rsidR="00A527C6" w:rsidRPr="00AF264D">
        <w:rPr>
          <w:rFonts w:ascii="Times New Roman" w:hAnsi="Times New Roman" w:cs="Times New Roman"/>
        </w:rPr>
        <w:t>national culture and wealth in the innovation context. Besides others they identified that UAI can have a negative (the effect weakens by an increase in national wealth) impact on problem solving efforts in terms of innovations.</w:t>
      </w:r>
      <w:r w:rsidR="008A6E19" w:rsidRPr="00AF264D">
        <w:rPr>
          <w:rFonts w:ascii="Times New Roman" w:hAnsi="Times New Roman" w:cs="Times New Roman"/>
        </w:rPr>
        <w:t xml:space="preserve"> At the supply chain level </w:t>
      </w:r>
      <w:r w:rsidR="009447BE" w:rsidRPr="00AF264D">
        <w:rPr>
          <w:rFonts w:ascii="Times New Roman" w:hAnsi="Times New Roman" w:cs="Times New Roman"/>
        </w:rPr>
        <w:t xml:space="preserve">Davis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2014)</w:t>
      </w:r>
      <w:r w:rsidR="008A6E19" w:rsidRPr="00AF264D">
        <w:rPr>
          <w:rFonts w:ascii="Times New Roman" w:hAnsi="Times New Roman" w:cs="Times New Roman"/>
        </w:rPr>
        <w:t xml:space="preserve"> identified that that the e-business value creation process is significantly enhanced in companies operating in national cultures that are characterized by cooperation and interdependence, and promote group-level interests over individual interests.</w:t>
      </w:r>
      <w:r w:rsidR="00A527C6" w:rsidRPr="00AF264D">
        <w:rPr>
          <w:rFonts w:ascii="Times New Roman" w:hAnsi="Times New Roman" w:cs="Times New Roman"/>
        </w:rPr>
        <w:t xml:space="preserve"> Furthermore,</w:t>
      </w:r>
      <w:r w:rsidR="00C8569E" w:rsidRPr="00AF264D">
        <w:rPr>
          <w:rFonts w:ascii="Times New Roman" w:hAnsi="Times New Roman" w:cs="Times New Roman"/>
        </w:rPr>
        <w:t xml:space="preserve"> multiple studies have confirmed that national culture impacts on the level of implementation and success of quality management practices and programs such as TQM, ISO 9001 and</w:t>
      </w:r>
      <w:r w:rsidR="00E4683E" w:rsidRPr="00AF264D">
        <w:rPr>
          <w:rFonts w:ascii="Times New Roman" w:hAnsi="Times New Roman" w:cs="Times New Roman"/>
        </w:rPr>
        <w:t xml:space="preserve"> the</w:t>
      </w:r>
      <w:r w:rsidR="00C8569E" w:rsidRPr="00AF264D">
        <w:rPr>
          <w:rFonts w:ascii="Times New Roman" w:hAnsi="Times New Roman" w:cs="Times New Roman"/>
        </w:rPr>
        <w:t xml:space="preserve"> likes </w:t>
      </w:r>
      <w:r w:rsidR="009447BE" w:rsidRPr="004136B9">
        <w:rPr>
          <w:rFonts w:ascii="Times New Roman" w:hAnsi="Times New Roman" w:cs="Times New Roman"/>
          <w:lang w:val="en-US"/>
        </w:rPr>
        <w:t>(</w:t>
      </w:r>
      <w:r w:rsidR="00295F78" w:rsidRPr="004136B9">
        <w:rPr>
          <w:rFonts w:ascii="Times New Roman" w:hAnsi="Times New Roman" w:cs="Times New Roman"/>
          <w:lang w:val="en-US"/>
        </w:rPr>
        <w:t xml:space="preserve">e.g., </w:t>
      </w:r>
      <w:r w:rsidR="009447BE" w:rsidRPr="004136B9">
        <w:rPr>
          <w:rFonts w:ascii="Times New Roman" w:hAnsi="Times New Roman" w:cs="Times New Roman"/>
          <w:lang w:val="en-US"/>
        </w:rPr>
        <w:t xml:space="preserve">Kull and Wacker, 2010; Power </w:t>
      </w:r>
      <w:r w:rsidR="009447BE" w:rsidRPr="004136B9">
        <w:rPr>
          <w:rFonts w:ascii="Times New Roman" w:hAnsi="Times New Roman" w:cs="Times New Roman"/>
          <w:i/>
          <w:lang w:val="en-US"/>
        </w:rPr>
        <w:t>et al.</w:t>
      </w:r>
      <w:r w:rsidR="009447BE" w:rsidRPr="004136B9">
        <w:rPr>
          <w:rFonts w:ascii="Times New Roman" w:hAnsi="Times New Roman" w:cs="Times New Roman"/>
          <w:lang w:val="en-US"/>
        </w:rPr>
        <w:t xml:space="preserve">, 2010; Wiengarten </w:t>
      </w:r>
      <w:r w:rsidR="009447BE" w:rsidRPr="004136B9">
        <w:rPr>
          <w:rFonts w:ascii="Times New Roman" w:hAnsi="Times New Roman" w:cs="Times New Roman"/>
          <w:i/>
          <w:lang w:val="en-US"/>
        </w:rPr>
        <w:t>et al.</w:t>
      </w:r>
      <w:r w:rsidR="009447BE" w:rsidRPr="004136B9">
        <w:rPr>
          <w:rFonts w:ascii="Times New Roman" w:hAnsi="Times New Roman" w:cs="Times New Roman"/>
          <w:lang w:val="en-US"/>
        </w:rPr>
        <w:t>, 2011)</w:t>
      </w:r>
      <w:r w:rsidR="00C8569E" w:rsidRPr="004136B9">
        <w:rPr>
          <w:rFonts w:ascii="Times New Roman" w:hAnsi="Times New Roman" w:cs="Times New Roman"/>
          <w:lang w:val="en-US"/>
        </w:rPr>
        <w:t>.</w:t>
      </w:r>
      <w:r w:rsidR="005B7BEB" w:rsidRPr="004136B9">
        <w:rPr>
          <w:rFonts w:ascii="Times New Roman" w:hAnsi="Times New Roman" w:cs="Times New Roman"/>
          <w:lang w:val="en-US"/>
        </w:rPr>
        <w:t xml:space="preserve"> </w:t>
      </w:r>
      <w:r w:rsidR="00814838" w:rsidRPr="00AF264D">
        <w:rPr>
          <w:rFonts w:ascii="Times New Roman" w:hAnsi="Times New Roman" w:cs="Times New Roman"/>
        </w:rPr>
        <w:t xml:space="preserve">For example,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2011)</w:t>
      </w:r>
      <w:r w:rsidR="00814838" w:rsidRPr="00AF264D">
        <w:rPr>
          <w:rFonts w:ascii="Times New Roman" w:hAnsi="Times New Roman" w:cs="Times New Roman"/>
        </w:rPr>
        <w:t xml:space="preserve"> explored the impact of various characteristics of national culture on the success of quality management practices (</w:t>
      </w:r>
      <w:r w:rsidR="00295F78">
        <w:rPr>
          <w:rFonts w:ascii="Times New Roman" w:hAnsi="Times New Roman" w:cs="Times New Roman"/>
        </w:rPr>
        <w:t>i.e.,</w:t>
      </w:r>
      <w:r w:rsidR="00814838" w:rsidRPr="00AF264D">
        <w:rPr>
          <w:rFonts w:ascii="Times New Roman" w:hAnsi="Times New Roman" w:cs="Times New Roman"/>
        </w:rPr>
        <w:t xml:space="preserve"> TQM, ISO 9000, SPC and Six Sigma). In terms of UAI they identify that quality management practices have a stronger positive effect on operational performance when plants are situated in countries </w:t>
      </w:r>
      <w:r w:rsidR="00A527C6" w:rsidRPr="00AF264D">
        <w:rPr>
          <w:rFonts w:ascii="Times New Roman" w:hAnsi="Times New Roman" w:cs="Times New Roman"/>
        </w:rPr>
        <w:t>characterized</w:t>
      </w:r>
      <w:r w:rsidR="00814838" w:rsidRPr="00AF264D">
        <w:rPr>
          <w:rFonts w:ascii="Times New Roman" w:hAnsi="Times New Roman" w:cs="Times New Roman"/>
        </w:rPr>
        <w:t xml:space="preserve"> by </w:t>
      </w:r>
      <w:r w:rsidR="00A527C6" w:rsidRPr="00AF264D">
        <w:rPr>
          <w:rFonts w:ascii="Times New Roman" w:hAnsi="Times New Roman" w:cs="Times New Roman"/>
        </w:rPr>
        <w:t>low levels of UAI</w:t>
      </w:r>
      <w:r w:rsidR="00F243F2" w:rsidRPr="00AF264D">
        <w:rPr>
          <w:rFonts w:ascii="Times New Roman" w:hAnsi="Times New Roman" w:cs="Times New Roman"/>
        </w:rPr>
        <w:t>.</w:t>
      </w:r>
    </w:p>
    <w:p w14:paraId="17E77025" w14:textId="531D7667" w:rsidR="001B7957" w:rsidRPr="00AF264D" w:rsidRDefault="00A527C6" w:rsidP="00EC071A">
      <w:pPr>
        <w:widowControl w:val="0"/>
        <w:autoSpaceDE w:val="0"/>
        <w:autoSpaceDN w:val="0"/>
        <w:adjustRightInd w:val="0"/>
        <w:spacing w:line="480" w:lineRule="auto"/>
        <w:ind w:firstLine="284"/>
        <w:jc w:val="both"/>
        <w:rPr>
          <w:rFonts w:ascii="Times New Roman" w:hAnsi="Times New Roman" w:cs="Times New Roman"/>
          <w:sz w:val="20"/>
          <w:szCs w:val="20"/>
        </w:rPr>
      </w:pPr>
      <w:r w:rsidRPr="00AF264D">
        <w:rPr>
          <w:rFonts w:ascii="Times New Roman" w:hAnsi="Times New Roman" w:cs="Times New Roman"/>
        </w:rPr>
        <w:t xml:space="preserve">In acknowledging the general findings in the international operations </w:t>
      </w:r>
      <w:r w:rsidR="00E4683E" w:rsidRPr="00AF264D">
        <w:rPr>
          <w:rFonts w:ascii="Times New Roman" w:hAnsi="Times New Roman" w:cs="Times New Roman"/>
        </w:rPr>
        <w:t xml:space="preserve">and </w:t>
      </w:r>
      <w:r w:rsidR="00C921BE">
        <w:rPr>
          <w:rFonts w:ascii="Times New Roman" w:hAnsi="Times New Roman" w:cs="Times New Roman"/>
        </w:rPr>
        <w:t>SCM</w:t>
      </w:r>
      <w:r w:rsidRPr="00AF264D">
        <w:rPr>
          <w:rFonts w:ascii="Times New Roman" w:hAnsi="Times New Roman" w:cs="Times New Roman"/>
        </w:rPr>
        <w:t xml:space="preserve"> literature and the particular finding by </w:t>
      </w:r>
      <w:r w:rsidR="009447BE" w:rsidRPr="00AF264D">
        <w:rPr>
          <w:rFonts w:ascii="Times New Roman" w:hAnsi="Times New Roman" w:cs="Times New Roman"/>
        </w:rPr>
        <w:t xml:space="preserve">Wiengarten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2011)</w:t>
      </w:r>
      <w:r w:rsidRPr="00AF264D">
        <w:rPr>
          <w:rFonts w:ascii="Times New Roman" w:hAnsi="Times New Roman" w:cs="Times New Roman"/>
        </w:rPr>
        <w:t xml:space="preserve"> with regard to quality management practices and UAI</w:t>
      </w:r>
      <w:r w:rsidR="000E632B">
        <w:rPr>
          <w:rFonts w:ascii="Times New Roman" w:hAnsi="Times New Roman" w:cs="Times New Roman"/>
        </w:rPr>
        <w:t>,</w:t>
      </w:r>
      <w:r w:rsidRPr="00AF264D">
        <w:rPr>
          <w:rFonts w:ascii="Times New Roman" w:hAnsi="Times New Roman" w:cs="Times New Roman"/>
        </w:rPr>
        <w:t xml:space="preserve"> it is reasonable to expect a similar result regarding delivery performance.</w:t>
      </w:r>
      <w:r w:rsidRPr="00AF264D">
        <w:rPr>
          <w:rFonts w:ascii="Times New Roman" w:hAnsi="Times New Roman" w:cs="Times New Roman"/>
          <w:sz w:val="20"/>
          <w:szCs w:val="20"/>
        </w:rPr>
        <w:t xml:space="preserve"> </w:t>
      </w:r>
      <w:r w:rsidR="001B7957" w:rsidRPr="00AF264D">
        <w:rPr>
          <w:rFonts w:ascii="Times New Roman" w:hAnsi="Times New Roman" w:cs="Times New Roman"/>
        </w:rPr>
        <w:t xml:space="preserve">Countries that </w:t>
      </w:r>
      <w:r w:rsidR="00FC1EE8">
        <w:rPr>
          <w:rFonts w:ascii="Times New Roman" w:hAnsi="Times New Roman" w:cs="Times New Roman"/>
        </w:rPr>
        <w:t>exhibit</w:t>
      </w:r>
      <w:r w:rsidR="001B7957" w:rsidRPr="00AF264D">
        <w:rPr>
          <w:rFonts w:ascii="Times New Roman" w:hAnsi="Times New Roman" w:cs="Times New Roman"/>
        </w:rPr>
        <w:t xml:space="preserve"> a </w:t>
      </w:r>
      <w:r w:rsidR="00C921BE">
        <w:rPr>
          <w:rFonts w:ascii="Times New Roman" w:hAnsi="Times New Roman" w:cs="Times New Roman"/>
        </w:rPr>
        <w:t>high</w:t>
      </w:r>
      <w:r w:rsidR="00C921BE" w:rsidRPr="00AF264D">
        <w:rPr>
          <w:rFonts w:ascii="Times New Roman" w:hAnsi="Times New Roman" w:cs="Times New Roman"/>
        </w:rPr>
        <w:t xml:space="preserve"> </w:t>
      </w:r>
      <w:r w:rsidR="001B7957" w:rsidRPr="00AF264D">
        <w:rPr>
          <w:rFonts w:ascii="Times New Roman" w:hAnsi="Times New Roman" w:cs="Times New Roman"/>
        </w:rPr>
        <w:t xml:space="preserve">tolerance of uncertainty and ambiguity (i.e., low UAI score) are </w:t>
      </w:r>
      <w:r w:rsidR="001B7957" w:rsidRPr="00AF264D">
        <w:rPr>
          <w:rFonts w:ascii="Times New Roman" w:hAnsi="Times New Roman" w:cs="Times New Roman"/>
        </w:rPr>
        <w:lastRenderedPageBreak/>
        <w:t>characterised by a culture that does not try to control the future, but rather let things happen</w:t>
      </w:r>
      <w:r w:rsidR="00E4683E" w:rsidRPr="00AF264D">
        <w:rPr>
          <w:rFonts w:ascii="Times New Roman" w:hAnsi="Times New Roman" w:cs="Times New Roman"/>
        </w:rPr>
        <w:t xml:space="preserve"> (Hofstede, 1984)</w:t>
      </w:r>
      <w:r w:rsidR="001B7957" w:rsidRPr="00AF264D">
        <w:rPr>
          <w:rFonts w:ascii="Times New Roman" w:hAnsi="Times New Roman" w:cs="Times New Roman"/>
        </w:rPr>
        <w:t>. As opposed to countries with a strong UAI, they maintain less rigid codes of behaviours and are amenable to</w:t>
      </w:r>
      <w:r w:rsidR="007945BD" w:rsidRPr="00AF264D">
        <w:rPr>
          <w:rFonts w:ascii="Times New Roman" w:hAnsi="Times New Roman" w:cs="Times New Roman"/>
        </w:rPr>
        <w:t>,</w:t>
      </w:r>
      <w:r w:rsidR="001B7957" w:rsidRPr="00AF264D">
        <w:rPr>
          <w:rFonts w:ascii="Times New Roman" w:hAnsi="Times New Roman" w:cs="Times New Roman"/>
        </w:rPr>
        <w:t xml:space="preserve"> sometimes</w:t>
      </w:r>
      <w:r w:rsidR="007945BD" w:rsidRPr="00AF264D">
        <w:rPr>
          <w:rFonts w:ascii="Times New Roman" w:hAnsi="Times New Roman" w:cs="Times New Roman"/>
        </w:rPr>
        <w:t>,</w:t>
      </w:r>
      <w:r w:rsidR="001B7957" w:rsidRPr="00AF264D">
        <w:rPr>
          <w:rFonts w:ascii="Times New Roman" w:hAnsi="Times New Roman" w:cs="Times New Roman"/>
        </w:rPr>
        <w:t xml:space="preserve"> unorthodox actions or ideas. Weak UAI societies are characterized by a more relaxed attitude in which practice counts more than </w:t>
      </w:r>
      <w:r w:rsidR="007945BD" w:rsidRPr="00AF264D">
        <w:rPr>
          <w:rFonts w:ascii="Times New Roman" w:hAnsi="Times New Roman" w:cs="Times New Roman"/>
        </w:rPr>
        <w:t>principles. We</w:t>
      </w:r>
      <w:r w:rsidR="001B7957" w:rsidRPr="00AF264D">
        <w:rPr>
          <w:rFonts w:ascii="Times New Roman" w:hAnsi="Times New Roman" w:cs="Times New Roman"/>
        </w:rPr>
        <w:t xml:space="preserve"> therefore assume that low UAI scores characterize societies that are more flexible to adjust established business process to avoid potential inbound delivery failures, while nations with high UAI scores tend to be less flexible to adjust to changes</w:t>
      </w:r>
      <w:r w:rsidR="00A41CC1" w:rsidRPr="00AF264D">
        <w:rPr>
          <w:rFonts w:ascii="Times New Roman" w:hAnsi="Times New Roman" w:cs="Times New Roman"/>
        </w:rPr>
        <w:t xml:space="preserve">, thus </w:t>
      </w:r>
      <w:r w:rsidR="0097026D" w:rsidRPr="00AF264D">
        <w:rPr>
          <w:rFonts w:ascii="Times New Roman" w:hAnsi="Times New Roman" w:cs="Times New Roman"/>
        </w:rPr>
        <w:t xml:space="preserve">not </w:t>
      </w:r>
      <w:r w:rsidR="00A41CC1" w:rsidRPr="00AF264D">
        <w:rPr>
          <w:rFonts w:ascii="Times New Roman" w:hAnsi="Times New Roman" w:cs="Times New Roman"/>
        </w:rPr>
        <w:t xml:space="preserve">meeting the agility and adaptability requirement for today’s supply chain environment </w:t>
      </w:r>
      <w:r w:rsidR="00C36C28" w:rsidRPr="00AF264D">
        <w:rPr>
          <w:rFonts w:ascii="Times New Roman" w:hAnsi="Times New Roman" w:cs="Times New Roman"/>
        </w:rPr>
        <w:t>(Lee, 2004)</w:t>
      </w:r>
      <w:r w:rsidR="001B7957" w:rsidRPr="00AF264D">
        <w:rPr>
          <w:rFonts w:ascii="Times New Roman" w:hAnsi="Times New Roman" w:cs="Times New Roman"/>
        </w:rPr>
        <w:t xml:space="preserve">. </w:t>
      </w:r>
      <w:r w:rsidR="00EC071A" w:rsidRPr="00AF264D">
        <w:rPr>
          <w:rFonts w:ascii="Times New Roman" w:hAnsi="Times New Roman" w:cs="Times New Roman"/>
        </w:rPr>
        <w:t>Subsequently, we propose the following:</w:t>
      </w:r>
    </w:p>
    <w:p w14:paraId="1D030C35" w14:textId="1ADD2717" w:rsidR="007556D4" w:rsidRDefault="00685425" w:rsidP="00685425">
      <w:pPr>
        <w:spacing w:line="480" w:lineRule="auto"/>
        <w:ind w:firstLine="284"/>
        <w:jc w:val="both"/>
        <w:rPr>
          <w:rFonts w:ascii="Times New Roman" w:hAnsi="Times New Roman" w:cs="Times New Roman"/>
          <w:i/>
        </w:rPr>
      </w:pPr>
      <w:r w:rsidRPr="00685425">
        <w:rPr>
          <w:rFonts w:ascii="Times New Roman" w:hAnsi="Times New Roman" w:cs="Times New Roman"/>
          <w:b/>
        </w:rPr>
        <w:t xml:space="preserve">Hypothesis 3a: </w:t>
      </w:r>
      <w:r w:rsidRPr="00685425">
        <w:rPr>
          <w:rFonts w:ascii="Times New Roman" w:hAnsi="Times New Roman" w:cs="Times New Roman"/>
          <w:i/>
        </w:rPr>
        <w:t>Firms situated in countries with high levels of uncertainty avoidance (UAI) at the national level will experience significantly fewer upstream on-time deliveries.</w:t>
      </w:r>
    </w:p>
    <w:p w14:paraId="2A3B6BCC" w14:textId="77777777" w:rsidR="007A1E11" w:rsidRDefault="007A1E11" w:rsidP="004136B9">
      <w:pPr>
        <w:spacing w:line="480" w:lineRule="auto"/>
        <w:jc w:val="both"/>
        <w:rPr>
          <w:rFonts w:ascii="Times New Roman" w:hAnsi="Times New Roman" w:cs="Times New Roman"/>
          <w:b/>
        </w:rPr>
      </w:pPr>
    </w:p>
    <w:p w14:paraId="6C1ED9DC" w14:textId="4BF8A5F2" w:rsidR="00C26172" w:rsidRPr="00AF264D" w:rsidRDefault="007556D4" w:rsidP="007A1E11">
      <w:pPr>
        <w:pStyle w:val="Heading3"/>
        <w:spacing w:before="0" w:line="480" w:lineRule="auto"/>
        <w:rPr>
          <w:rFonts w:ascii="Times New Roman" w:hAnsi="Times New Roman" w:cs="Times New Roman"/>
          <w:i/>
        </w:rPr>
      </w:pPr>
      <w:r w:rsidRPr="00AF264D">
        <w:rPr>
          <w:rFonts w:ascii="Times New Roman" w:hAnsi="Times New Roman" w:cs="Times New Roman"/>
          <w:b w:val="0"/>
          <w:i/>
          <w:color w:val="000000" w:themeColor="text1"/>
        </w:rPr>
        <w:t>2.2.2. Organisational culture and delivery performance</w:t>
      </w:r>
    </w:p>
    <w:p w14:paraId="2D55935E" w14:textId="6CB59452" w:rsidR="000E632B" w:rsidRDefault="00EC071A" w:rsidP="003E1348">
      <w:pPr>
        <w:widowControl w:val="0"/>
        <w:autoSpaceDE w:val="0"/>
        <w:autoSpaceDN w:val="0"/>
        <w:adjustRightInd w:val="0"/>
        <w:spacing w:line="480" w:lineRule="auto"/>
        <w:ind w:firstLine="284"/>
        <w:jc w:val="both"/>
        <w:rPr>
          <w:rFonts w:ascii="Times New Roman" w:hAnsi="Times New Roman" w:cs="Times New Roman"/>
        </w:rPr>
      </w:pPr>
      <w:r w:rsidRPr="00AF264D">
        <w:rPr>
          <w:rFonts w:ascii="Times New Roman" w:hAnsi="Times New Roman" w:cs="Times New Roman"/>
        </w:rPr>
        <w:t xml:space="preserve">In the previous section we argue on the pivotal role of national culture in terms of UAI for the occurrence of on-time or the risk of late deliveries. However, it is also reasonable to expect that this phenomenon is not solely bound to the national level but may </w:t>
      </w:r>
      <w:r w:rsidR="0018686B" w:rsidRPr="00AF264D">
        <w:rPr>
          <w:rFonts w:ascii="Times New Roman" w:hAnsi="Times New Roman" w:cs="Times New Roman"/>
        </w:rPr>
        <w:t xml:space="preserve">also </w:t>
      </w:r>
      <w:r w:rsidRPr="00AF264D">
        <w:rPr>
          <w:rFonts w:ascii="Times New Roman" w:hAnsi="Times New Roman" w:cs="Times New Roman"/>
        </w:rPr>
        <w:t xml:space="preserve">occur at the organizational level </w:t>
      </w:r>
      <w:r w:rsidR="009447BE" w:rsidRPr="00AF264D">
        <w:rPr>
          <w:rFonts w:ascii="Times New Roman" w:hAnsi="Times New Roman" w:cs="Times New Roman"/>
        </w:rPr>
        <w:t xml:space="preserve">(Naor </w:t>
      </w:r>
      <w:r w:rsidR="009447BE" w:rsidRPr="003E75B7">
        <w:rPr>
          <w:rFonts w:ascii="Times New Roman" w:hAnsi="Times New Roman" w:cs="Times New Roman"/>
          <w:i/>
        </w:rPr>
        <w:t>et al.</w:t>
      </w:r>
      <w:r w:rsidR="009447BE" w:rsidRPr="00AF264D">
        <w:rPr>
          <w:rFonts w:ascii="Times New Roman" w:hAnsi="Times New Roman" w:cs="Times New Roman"/>
        </w:rPr>
        <w:t>, 2010)</w:t>
      </w:r>
      <w:r w:rsidRPr="00AF264D">
        <w:rPr>
          <w:rFonts w:ascii="Times New Roman" w:hAnsi="Times New Roman" w:cs="Times New Roman"/>
        </w:rPr>
        <w:t xml:space="preserve">. </w:t>
      </w:r>
    </w:p>
    <w:p w14:paraId="431CFF35" w14:textId="0E64783C" w:rsidR="007D0BD7" w:rsidRPr="00AF264D" w:rsidRDefault="009447BE" w:rsidP="000E632B">
      <w:pPr>
        <w:widowControl w:val="0"/>
        <w:autoSpaceDE w:val="0"/>
        <w:autoSpaceDN w:val="0"/>
        <w:adjustRightInd w:val="0"/>
        <w:spacing w:line="480" w:lineRule="auto"/>
        <w:ind w:firstLine="284"/>
        <w:jc w:val="both"/>
        <w:rPr>
          <w:rFonts w:ascii="Times New Roman" w:hAnsi="Times New Roman" w:cs="Times New Roman"/>
        </w:rPr>
      </w:pPr>
      <w:r w:rsidRPr="00AF264D">
        <w:rPr>
          <w:rFonts w:ascii="Times New Roman" w:hAnsi="Times New Roman" w:cs="Times New Roman"/>
        </w:rPr>
        <w:t xml:space="preserve">Naor </w:t>
      </w:r>
      <w:r w:rsidRPr="003E75B7">
        <w:rPr>
          <w:rFonts w:ascii="Times New Roman" w:hAnsi="Times New Roman" w:cs="Times New Roman"/>
          <w:i/>
        </w:rPr>
        <w:t>et al.</w:t>
      </w:r>
      <w:r w:rsidRPr="00AF264D">
        <w:rPr>
          <w:rFonts w:ascii="Times New Roman" w:hAnsi="Times New Roman" w:cs="Times New Roman"/>
        </w:rPr>
        <w:t xml:space="preserve"> </w:t>
      </w:r>
      <w:r w:rsidR="00C36C28" w:rsidRPr="00AF264D">
        <w:rPr>
          <w:rFonts w:ascii="Times New Roman" w:hAnsi="Times New Roman" w:cs="Times New Roman"/>
        </w:rPr>
        <w:t>(</w:t>
      </w:r>
      <w:r w:rsidRPr="00AF264D">
        <w:rPr>
          <w:rFonts w:ascii="Times New Roman" w:hAnsi="Times New Roman" w:cs="Times New Roman"/>
        </w:rPr>
        <w:t>2010)</w:t>
      </w:r>
      <w:r w:rsidR="00D30CF4" w:rsidRPr="00AF264D">
        <w:rPr>
          <w:rFonts w:ascii="Times New Roman" w:hAnsi="Times New Roman" w:cs="Times New Roman"/>
        </w:rPr>
        <w:t xml:space="preserve"> </w:t>
      </w:r>
      <w:r w:rsidR="00CB2F26" w:rsidRPr="00AF264D">
        <w:rPr>
          <w:rFonts w:ascii="Times New Roman" w:hAnsi="Times New Roman" w:cs="Times New Roman"/>
        </w:rPr>
        <w:t>analysed</w:t>
      </w:r>
      <w:r w:rsidR="00EC071A" w:rsidRPr="00AF264D">
        <w:rPr>
          <w:rFonts w:ascii="Times New Roman" w:hAnsi="Times New Roman" w:cs="Times New Roman"/>
        </w:rPr>
        <w:t xml:space="preserve"> the impact of national and </w:t>
      </w:r>
      <w:r w:rsidR="00D30CF4" w:rsidRPr="00AF264D">
        <w:rPr>
          <w:rFonts w:ascii="Times New Roman" w:hAnsi="Times New Roman" w:cs="Times New Roman"/>
        </w:rPr>
        <w:t xml:space="preserve">organizational </w:t>
      </w:r>
      <w:r w:rsidR="00EC071A" w:rsidRPr="00AF264D">
        <w:rPr>
          <w:rFonts w:ascii="Times New Roman" w:hAnsi="Times New Roman" w:cs="Times New Roman"/>
        </w:rPr>
        <w:t xml:space="preserve">culture on manufacturing performance. </w:t>
      </w:r>
      <w:r w:rsidR="00D30CF4" w:rsidRPr="00AF264D">
        <w:rPr>
          <w:rFonts w:ascii="Times New Roman" w:hAnsi="Times New Roman" w:cs="Times New Roman"/>
        </w:rPr>
        <w:t xml:space="preserve">They conceptualized national culture using scores from the GLOBE </w:t>
      </w:r>
      <w:r w:rsidR="0018686B" w:rsidRPr="00AF264D">
        <w:rPr>
          <w:rFonts w:ascii="Times New Roman" w:hAnsi="Times New Roman" w:cs="Times New Roman"/>
        </w:rPr>
        <w:t xml:space="preserve">model </w:t>
      </w:r>
      <w:r w:rsidR="00D30CF4" w:rsidRPr="00AF264D">
        <w:rPr>
          <w:rFonts w:ascii="Times New Roman" w:hAnsi="Times New Roman" w:cs="Times New Roman"/>
        </w:rPr>
        <w:t xml:space="preserve">and compared the performance amongst firms </w:t>
      </w:r>
      <w:r w:rsidR="007061F1" w:rsidRPr="00AF264D">
        <w:rPr>
          <w:rFonts w:ascii="Times New Roman" w:hAnsi="Times New Roman" w:cs="Times New Roman"/>
        </w:rPr>
        <w:t>situated in Eastern and Western countries</w:t>
      </w:r>
      <w:r w:rsidR="00D30CF4" w:rsidRPr="00AF264D">
        <w:rPr>
          <w:rFonts w:ascii="Times New Roman" w:hAnsi="Times New Roman" w:cs="Times New Roman"/>
        </w:rPr>
        <w:t xml:space="preserve">. </w:t>
      </w:r>
      <w:r w:rsidR="00EC071A" w:rsidRPr="00AF264D">
        <w:rPr>
          <w:rFonts w:ascii="Times New Roman" w:hAnsi="Times New Roman" w:cs="Times New Roman"/>
        </w:rPr>
        <w:t xml:space="preserve">At the </w:t>
      </w:r>
      <w:r w:rsidR="007061F1" w:rsidRPr="00AF264D">
        <w:rPr>
          <w:rFonts w:ascii="Times New Roman" w:hAnsi="Times New Roman" w:cs="Times New Roman"/>
        </w:rPr>
        <w:t>organizational level they identified</w:t>
      </w:r>
      <w:r w:rsidR="00EC071A" w:rsidRPr="00AF264D">
        <w:rPr>
          <w:rFonts w:ascii="Times New Roman" w:hAnsi="Times New Roman" w:cs="Times New Roman"/>
        </w:rPr>
        <w:t xml:space="preserve"> that some</w:t>
      </w:r>
      <w:r w:rsidR="007061F1" w:rsidRPr="00AF264D">
        <w:rPr>
          <w:rFonts w:ascii="Times New Roman" w:hAnsi="Times New Roman" w:cs="Times New Roman"/>
        </w:rPr>
        <w:t xml:space="preserve"> selected </w:t>
      </w:r>
      <w:r w:rsidR="00EC071A" w:rsidRPr="00AF264D">
        <w:rPr>
          <w:rFonts w:ascii="Times New Roman" w:hAnsi="Times New Roman" w:cs="Times New Roman"/>
        </w:rPr>
        <w:t xml:space="preserve">traits of </w:t>
      </w:r>
      <w:r w:rsidR="007061F1" w:rsidRPr="00AF264D">
        <w:rPr>
          <w:rFonts w:ascii="Times New Roman" w:hAnsi="Times New Roman" w:cs="Times New Roman"/>
        </w:rPr>
        <w:t>organizational</w:t>
      </w:r>
      <w:r w:rsidR="00EC071A" w:rsidRPr="00AF264D">
        <w:rPr>
          <w:rFonts w:ascii="Times New Roman" w:hAnsi="Times New Roman" w:cs="Times New Roman"/>
        </w:rPr>
        <w:t xml:space="preserve"> culture (</w:t>
      </w:r>
      <w:r w:rsidR="00295F78">
        <w:rPr>
          <w:rFonts w:ascii="Times New Roman" w:hAnsi="Times New Roman" w:cs="Times New Roman"/>
        </w:rPr>
        <w:t>i.e.,</w:t>
      </w:r>
      <w:r w:rsidR="00EC071A" w:rsidRPr="00AF264D">
        <w:rPr>
          <w:rFonts w:ascii="Times New Roman" w:hAnsi="Times New Roman" w:cs="Times New Roman"/>
        </w:rPr>
        <w:t xml:space="preserve"> power distance, future orientation and performance</w:t>
      </w:r>
      <w:r w:rsidR="007061F1" w:rsidRPr="00AF264D">
        <w:rPr>
          <w:rFonts w:ascii="Times New Roman" w:hAnsi="Times New Roman" w:cs="Times New Roman"/>
        </w:rPr>
        <w:t xml:space="preserve"> </w:t>
      </w:r>
      <w:r w:rsidR="00EC071A" w:rsidRPr="00AF264D">
        <w:rPr>
          <w:rFonts w:ascii="Times New Roman" w:hAnsi="Times New Roman" w:cs="Times New Roman"/>
        </w:rPr>
        <w:t xml:space="preserve">orientation) between </w:t>
      </w:r>
      <w:r w:rsidR="007061F1" w:rsidRPr="00AF264D">
        <w:rPr>
          <w:rFonts w:ascii="Times New Roman" w:hAnsi="Times New Roman" w:cs="Times New Roman"/>
        </w:rPr>
        <w:t xml:space="preserve">companies </w:t>
      </w:r>
      <w:r w:rsidR="003E1348" w:rsidRPr="00AF264D">
        <w:rPr>
          <w:rFonts w:ascii="Times New Roman" w:hAnsi="Times New Roman" w:cs="Times New Roman"/>
        </w:rPr>
        <w:t>situated in Eastern and W</w:t>
      </w:r>
      <w:r w:rsidR="00EC071A" w:rsidRPr="00AF264D">
        <w:rPr>
          <w:rFonts w:ascii="Times New Roman" w:hAnsi="Times New Roman" w:cs="Times New Roman"/>
        </w:rPr>
        <w:t>estern</w:t>
      </w:r>
      <w:r w:rsidR="0039193E" w:rsidRPr="00AF264D">
        <w:rPr>
          <w:rFonts w:ascii="Times New Roman" w:hAnsi="Times New Roman" w:cs="Times New Roman"/>
        </w:rPr>
        <w:t xml:space="preserve"> countries differ significantly</w:t>
      </w:r>
      <w:r w:rsidR="00EC071A" w:rsidRPr="00AF264D">
        <w:rPr>
          <w:rFonts w:ascii="Times New Roman" w:hAnsi="Times New Roman" w:cs="Times New Roman"/>
        </w:rPr>
        <w:t>.</w:t>
      </w:r>
      <w:r w:rsidR="003E1348" w:rsidRPr="00AF264D">
        <w:rPr>
          <w:rFonts w:ascii="Times New Roman" w:hAnsi="Times New Roman" w:cs="Times New Roman"/>
        </w:rPr>
        <w:t xml:space="preserve"> </w:t>
      </w:r>
      <w:r w:rsidRPr="00AF264D">
        <w:rPr>
          <w:rFonts w:ascii="Times New Roman" w:hAnsi="Times New Roman" w:cs="Times New Roman"/>
        </w:rPr>
        <w:t xml:space="preserve">Pagell </w:t>
      </w:r>
      <w:r w:rsidR="00C36C28" w:rsidRPr="00AF264D">
        <w:rPr>
          <w:rFonts w:ascii="Times New Roman" w:hAnsi="Times New Roman" w:cs="Times New Roman"/>
        </w:rPr>
        <w:t>(</w:t>
      </w:r>
      <w:r w:rsidRPr="00AF264D">
        <w:rPr>
          <w:rFonts w:ascii="Times New Roman" w:hAnsi="Times New Roman" w:cs="Times New Roman"/>
        </w:rPr>
        <w:t>2004)</w:t>
      </w:r>
      <w:r w:rsidR="00EC568B" w:rsidRPr="00AF264D">
        <w:rPr>
          <w:rFonts w:ascii="Times New Roman" w:hAnsi="Times New Roman" w:cs="Times New Roman"/>
        </w:rPr>
        <w:t xml:space="preserve"> explored the role </w:t>
      </w:r>
      <w:r w:rsidR="000C6DA2" w:rsidRPr="00AF264D">
        <w:rPr>
          <w:rFonts w:ascii="Times New Roman" w:hAnsi="Times New Roman" w:cs="Times New Roman"/>
        </w:rPr>
        <w:t xml:space="preserve">culture as an enabler of internal integration. He identified key cultural traits </w:t>
      </w:r>
      <w:r w:rsidR="000C6DA2" w:rsidRPr="00AF264D">
        <w:rPr>
          <w:rFonts w:ascii="Times New Roman" w:hAnsi="Times New Roman" w:cs="Times New Roman"/>
        </w:rPr>
        <w:lastRenderedPageBreak/>
        <w:t xml:space="preserve">at the organizational </w:t>
      </w:r>
      <w:r w:rsidR="004136B9" w:rsidRPr="00AF264D">
        <w:rPr>
          <w:rFonts w:ascii="Times New Roman" w:hAnsi="Times New Roman" w:cs="Times New Roman"/>
        </w:rPr>
        <w:t>level, which</w:t>
      </w:r>
      <w:r w:rsidR="000C6DA2" w:rsidRPr="00AF264D">
        <w:rPr>
          <w:rFonts w:ascii="Times New Roman" w:hAnsi="Times New Roman" w:cs="Times New Roman"/>
        </w:rPr>
        <w:t xml:space="preserve"> lead to open communication and enable internal integration. </w:t>
      </w:r>
      <w:r w:rsidR="00947407" w:rsidRPr="00AF264D">
        <w:rPr>
          <w:rFonts w:ascii="Times New Roman" w:hAnsi="Times New Roman" w:cs="Times New Roman"/>
        </w:rPr>
        <w:t xml:space="preserve">Communication is also </w:t>
      </w:r>
      <w:r w:rsidR="00E542E0" w:rsidRPr="00AF264D">
        <w:rPr>
          <w:rFonts w:ascii="Times New Roman" w:hAnsi="Times New Roman" w:cs="Times New Roman"/>
        </w:rPr>
        <w:t xml:space="preserve">a </w:t>
      </w:r>
      <w:r w:rsidR="00947407" w:rsidRPr="00AF264D">
        <w:rPr>
          <w:rFonts w:ascii="Times New Roman" w:hAnsi="Times New Roman" w:cs="Times New Roman"/>
        </w:rPr>
        <w:t xml:space="preserve">key </w:t>
      </w:r>
      <w:r w:rsidR="00E542E0" w:rsidRPr="00AF264D">
        <w:rPr>
          <w:rFonts w:ascii="Times New Roman" w:hAnsi="Times New Roman" w:cs="Times New Roman"/>
        </w:rPr>
        <w:t xml:space="preserve">factor </w:t>
      </w:r>
      <w:r w:rsidR="00947407" w:rsidRPr="00AF264D">
        <w:rPr>
          <w:rFonts w:ascii="Times New Roman" w:hAnsi="Times New Roman" w:cs="Times New Roman"/>
        </w:rPr>
        <w:t>in achiev</w:t>
      </w:r>
      <w:r w:rsidR="000E632B">
        <w:rPr>
          <w:rFonts w:ascii="Times New Roman" w:hAnsi="Times New Roman" w:cs="Times New Roman"/>
        </w:rPr>
        <w:t>ing</w:t>
      </w:r>
      <w:r w:rsidR="00947407" w:rsidRPr="00AF264D">
        <w:rPr>
          <w:rFonts w:ascii="Times New Roman" w:hAnsi="Times New Roman" w:cs="Times New Roman"/>
        </w:rPr>
        <w:t xml:space="preserve"> on-time deliveries </w:t>
      </w:r>
      <w:r w:rsidR="004C0CE2" w:rsidRPr="00AF264D">
        <w:rPr>
          <w:rFonts w:ascii="Times New Roman" w:hAnsi="Times New Roman" w:cs="Times New Roman"/>
        </w:rPr>
        <w:t>(Wieland and Wallenburg, 2013)</w:t>
      </w:r>
      <w:r w:rsidR="00947407" w:rsidRPr="00AF264D">
        <w:rPr>
          <w:rFonts w:ascii="Times New Roman" w:hAnsi="Times New Roman" w:cs="Times New Roman"/>
        </w:rPr>
        <w:t xml:space="preserve">. </w:t>
      </w:r>
      <w:r w:rsidR="000E632B">
        <w:rPr>
          <w:rFonts w:ascii="Times New Roman" w:hAnsi="Times New Roman" w:cs="Times New Roman"/>
        </w:rPr>
        <w:t xml:space="preserve">It is </w:t>
      </w:r>
      <w:r w:rsidR="00E542E0" w:rsidRPr="00AF264D">
        <w:rPr>
          <w:rFonts w:ascii="Times New Roman" w:hAnsi="Times New Roman" w:cs="Times New Roman"/>
        </w:rPr>
        <w:t xml:space="preserve">important to </w:t>
      </w:r>
      <w:r w:rsidR="000E632B">
        <w:rPr>
          <w:rFonts w:ascii="Times New Roman" w:hAnsi="Times New Roman" w:cs="Times New Roman"/>
        </w:rPr>
        <w:t xml:space="preserve">the </w:t>
      </w:r>
      <w:r w:rsidR="00E542E0" w:rsidRPr="00AF264D">
        <w:rPr>
          <w:rFonts w:ascii="Times New Roman" w:hAnsi="Times New Roman" w:cs="Times New Roman"/>
        </w:rPr>
        <w:t>creat</w:t>
      </w:r>
      <w:r w:rsidR="000E632B">
        <w:rPr>
          <w:rFonts w:ascii="Times New Roman" w:hAnsi="Times New Roman" w:cs="Times New Roman"/>
        </w:rPr>
        <w:t>ion of</w:t>
      </w:r>
      <w:r w:rsidR="00E542E0" w:rsidRPr="00AF264D">
        <w:rPr>
          <w:rFonts w:ascii="Times New Roman" w:hAnsi="Times New Roman" w:cs="Times New Roman"/>
        </w:rPr>
        <w:t xml:space="preserve"> flexible supply chain</w:t>
      </w:r>
      <w:r w:rsidR="000E632B">
        <w:rPr>
          <w:rFonts w:ascii="Times New Roman" w:hAnsi="Times New Roman" w:cs="Times New Roman"/>
        </w:rPr>
        <w:t>s</w:t>
      </w:r>
      <w:r w:rsidR="00E542E0" w:rsidRPr="00AF264D">
        <w:rPr>
          <w:rFonts w:ascii="Times New Roman" w:hAnsi="Times New Roman" w:cs="Times New Roman"/>
        </w:rPr>
        <w:t xml:space="preserve"> (i.e., adaptable and agile processes) from</w:t>
      </w:r>
      <w:r w:rsidR="000E632B">
        <w:rPr>
          <w:rFonts w:ascii="Times New Roman" w:hAnsi="Times New Roman" w:cs="Times New Roman"/>
        </w:rPr>
        <w:t xml:space="preserve"> both</w:t>
      </w:r>
      <w:r w:rsidR="00E542E0" w:rsidRPr="00AF264D">
        <w:rPr>
          <w:rFonts w:ascii="Times New Roman" w:hAnsi="Times New Roman" w:cs="Times New Roman"/>
        </w:rPr>
        <w:t xml:space="preserve"> an internal and external integration perspective</w:t>
      </w:r>
      <w:r w:rsidR="00DC76AA" w:rsidRPr="00AF264D">
        <w:rPr>
          <w:rFonts w:ascii="Times New Roman" w:hAnsi="Times New Roman" w:cs="Times New Roman"/>
        </w:rPr>
        <w:t xml:space="preserve"> </w:t>
      </w:r>
      <w:r w:rsidRPr="00AF264D">
        <w:rPr>
          <w:rFonts w:ascii="Times New Roman" w:hAnsi="Times New Roman" w:cs="Times New Roman"/>
        </w:rPr>
        <w:t xml:space="preserve">(Cao </w:t>
      </w:r>
      <w:r w:rsidRPr="003E75B7">
        <w:rPr>
          <w:rFonts w:ascii="Times New Roman" w:hAnsi="Times New Roman" w:cs="Times New Roman"/>
          <w:i/>
        </w:rPr>
        <w:t>et al.</w:t>
      </w:r>
      <w:r w:rsidRPr="00AF264D">
        <w:rPr>
          <w:rFonts w:ascii="Times New Roman" w:hAnsi="Times New Roman" w:cs="Times New Roman"/>
        </w:rPr>
        <w:t>, 2015)</w:t>
      </w:r>
      <w:r w:rsidR="00E542E0" w:rsidRPr="00AF264D">
        <w:rPr>
          <w:rFonts w:ascii="Times New Roman" w:hAnsi="Times New Roman" w:cs="Times New Roman"/>
        </w:rPr>
        <w:t xml:space="preserve">. </w:t>
      </w:r>
      <w:r w:rsidR="000E632B">
        <w:rPr>
          <w:rFonts w:ascii="Times New Roman" w:hAnsi="Times New Roman" w:cs="Times New Roman"/>
        </w:rPr>
        <w:t>It</w:t>
      </w:r>
      <w:r w:rsidR="004B23EE" w:rsidRPr="00AF264D">
        <w:rPr>
          <w:rFonts w:ascii="Times New Roman" w:hAnsi="Times New Roman" w:cs="Times New Roman"/>
        </w:rPr>
        <w:t xml:space="preserve"> is key to </w:t>
      </w:r>
      <w:r w:rsidR="004C0CE2" w:rsidRPr="00AF264D">
        <w:rPr>
          <w:rFonts w:ascii="Times New Roman" w:hAnsi="Times New Roman" w:cs="Times New Roman"/>
        </w:rPr>
        <w:t>dealing</w:t>
      </w:r>
      <w:r w:rsidR="004B23EE" w:rsidRPr="00AF264D">
        <w:rPr>
          <w:rFonts w:ascii="Times New Roman" w:hAnsi="Times New Roman" w:cs="Times New Roman"/>
        </w:rPr>
        <w:t xml:space="preserve"> with uncertaint</w:t>
      </w:r>
      <w:r w:rsidR="00771E3E" w:rsidRPr="00AF264D">
        <w:rPr>
          <w:rFonts w:ascii="Times New Roman" w:hAnsi="Times New Roman" w:cs="Times New Roman"/>
        </w:rPr>
        <w:t>ies</w:t>
      </w:r>
      <w:r w:rsidR="004B23EE" w:rsidRPr="00AF264D">
        <w:rPr>
          <w:rFonts w:ascii="Times New Roman" w:hAnsi="Times New Roman" w:cs="Times New Roman"/>
        </w:rPr>
        <w:t xml:space="preserve"> that </w:t>
      </w:r>
      <w:r w:rsidR="00771E3E" w:rsidRPr="00AF264D">
        <w:rPr>
          <w:rFonts w:ascii="Times New Roman" w:hAnsi="Times New Roman" w:cs="Times New Roman"/>
        </w:rPr>
        <w:t>are</w:t>
      </w:r>
      <w:r w:rsidR="004B23EE" w:rsidRPr="00AF264D">
        <w:rPr>
          <w:rFonts w:ascii="Times New Roman" w:hAnsi="Times New Roman" w:cs="Times New Roman"/>
        </w:rPr>
        <w:t xml:space="preserve"> present in transnational manufacturing supply chains </w:t>
      </w:r>
      <w:r w:rsidRPr="00AF264D">
        <w:rPr>
          <w:rFonts w:ascii="Times New Roman" w:hAnsi="Times New Roman" w:cs="Times New Roman"/>
        </w:rPr>
        <w:t>(Ferdows, 1997)</w:t>
      </w:r>
      <w:r w:rsidR="004C0CE2" w:rsidRPr="00AF264D">
        <w:rPr>
          <w:rFonts w:ascii="Times New Roman" w:hAnsi="Times New Roman" w:cs="Times New Roman"/>
        </w:rPr>
        <w:t>, and may give the communicating</w:t>
      </w:r>
      <w:r w:rsidR="00F82F1C" w:rsidRPr="00AF264D">
        <w:rPr>
          <w:rFonts w:ascii="Times New Roman" w:hAnsi="Times New Roman" w:cs="Times New Roman"/>
        </w:rPr>
        <w:t xml:space="preserve"> partners a head start to respond to delivery issues </w:t>
      </w:r>
      <w:r w:rsidRPr="00AF264D">
        <w:rPr>
          <w:rFonts w:ascii="Times New Roman" w:hAnsi="Times New Roman" w:cs="Times New Roman"/>
        </w:rPr>
        <w:t xml:space="preserve">(Yang </w:t>
      </w:r>
      <w:r w:rsidRPr="003E75B7">
        <w:rPr>
          <w:rFonts w:ascii="Times New Roman" w:hAnsi="Times New Roman" w:cs="Times New Roman"/>
          <w:i/>
        </w:rPr>
        <w:t>et al.</w:t>
      </w:r>
      <w:r w:rsidRPr="00AF264D">
        <w:rPr>
          <w:rFonts w:ascii="Times New Roman" w:hAnsi="Times New Roman" w:cs="Times New Roman"/>
        </w:rPr>
        <w:t>, 2008)</w:t>
      </w:r>
      <w:r w:rsidR="004B23EE" w:rsidRPr="00AF264D">
        <w:rPr>
          <w:rFonts w:ascii="Times New Roman" w:hAnsi="Times New Roman" w:cs="Times New Roman"/>
        </w:rPr>
        <w:t xml:space="preserve">. </w:t>
      </w:r>
      <w:r w:rsidR="00C36C28" w:rsidRPr="00AF264D">
        <w:rPr>
          <w:rFonts w:ascii="Times New Roman" w:hAnsi="Times New Roman" w:cs="Times New Roman"/>
        </w:rPr>
        <w:t>Ritchie and Brindley</w:t>
      </w:r>
      <w:r w:rsidRPr="00AF264D">
        <w:rPr>
          <w:rFonts w:ascii="Times New Roman" w:hAnsi="Times New Roman" w:cs="Times New Roman"/>
        </w:rPr>
        <w:t xml:space="preserve"> </w:t>
      </w:r>
      <w:r w:rsidR="00C36C28" w:rsidRPr="00AF264D">
        <w:rPr>
          <w:rFonts w:ascii="Times New Roman" w:hAnsi="Times New Roman" w:cs="Times New Roman"/>
        </w:rPr>
        <w:t>(</w:t>
      </w:r>
      <w:r w:rsidRPr="00AF264D">
        <w:rPr>
          <w:rFonts w:ascii="Times New Roman" w:hAnsi="Times New Roman" w:cs="Times New Roman"/>
        </w:rPr>
        <w:t>2007)</w:t>
      </w:r>
      <w:r w:rsidR="00771E3E" w:rsidRPr="00AF264D">
        <w:rPr>
          <w:rFonts w:ascii="Times New Roman" w:hAnsi="Times New Roman" w:cs="Times New Roman"/>
        </w:rPr>
        <w:t xml:space="preserve">, for example, concluded from case studies that communicating partners commonly manage to resolve disagreements before they </w:t>
      </w:r>
      <w:r w:rsidR="004C0CE2" w:rsidRPr="00AF264D">
        <w:rPr>
          <w:rFonts w:ascii="Times New Roman" w:hAnsi="Times New Roman" w:cs="Times New Roman"/>
        </w:rPr>
        <w:t>turn into</w:t>
      </w:r>
      <w:r w:rsidR="00771E3E" w:rsidRPr="00AF264D">
        <w:rPr>
          <w:rFonts w:ascii="Times New Roman" w:hAnsi="Times New Roman" w:cs="Times New Roman"/>
        </w:rPr>
        <w:t xml:space="preserve"> a</w:t>
      </w:r>
      <w:r w:rsidR="004C0CE2" w:rsidRPr="00AF264D">
        <w:rPr>
          <w:rFonts w:ascii="Times New Roman" w:hAnsi="Times New Roman" w:cs="Times New Roman"/>
        </w:rPr>
        <w:t xml:space="preserve"> serious issue to supply chain operations</w:t>
      </w:r>
      <w:r w:rsidR="00771E3E" w:rsidRPr="00AF264D">
        <w:rPr>
          <w:rFonts w:ascii="Times New Roman" w:hAnsi="Times New Roman" w:cs="Times New Roman"/>
        </w:rPr>
        <w:t xml:space="preserve">. </w:t>
      </w:r>
      <w:r w:rsidRPr="00AF264D">
        <w:rPr>
          <w:rFonts w:ascii="Times New Roman" w:hAnsi="Times New Roman" w:cs="Times New Roman"/>
        </w:rPr>
        <w:t xml:space="preserve">Scholten and Schilder </w:t>
      </w:r>
      <w:r w:rsidR="00C36C28" w:rsidRPr="00AF264D">
        <w:rPr>
          <w:rFonts w:ascii="Times New Roman" w:hAnsi="Times New Roman" w:cs="Times New Roman"/>
        </w:rPr>
        <w:t>(</w:t>
      </w:r>
      <w:r w:rsidRPr="00AF264D">
        <w:rPr>
          <w:rFonts w:ascii="Times New Roman" w:hAnsi="Times New Roman" w:cs="Times New Roman"/>
        </w:rPr>
        <w:t>2015)</w:t>
      </w:r>
      <w:r w:rsidR="0098710C" w:rsidRPr="00AF264D">
        <w:rPr>
          <w:rFonts w:ascii="Times New Roman" w:hAnsi="Times New Roman" w:cs="Times New Roman"/>
        </w:rPr>
        <w:t xml:space="preserve"> highlight</w:t>
      </w:r>
      <w:r w:rsidR="004C0CE2" w:rsidRPr="00AF264D">
        <w:rPr>
          <w:rFonts w:ascii="Times New Roman" w:hAnsi="Times New Roman" w:cs="Times New Roman"/>
        </w:rPr>
        <w:t>ed</w:t>
      </w:r>
      <w:r w:rsidR="0098710C" w:rsidRPr="00AF264D">
        <w:rPr>
          <w:rFonts w:ascii="Times New Roman" w:hAnsi="Times New Roman" w:cs="Times New Roman"/>
        </w:rPr>
        <w:t xml:space="preserve"> </w:t>
      </w:r>
      <w:r w:rsidR="00C36C28" w:rsidRPr="00AF264D">
        <w:rPr>
          <w:rFonts w:ascii="Times New Roman" w:hAnsi="Times New Roman" w:cs="Times New Roman"/>
        </w:rPr>
        <w:t>from</w:t>
      </w:r>
      <w:r w:rsidR="0098710C" w:rsidRPr="00AF264D">
        <w:rPr>
          <w:rFonts w:ascii="Times New Roman" w:hAnsi="Times New Roman" w:cs="Times New Roman"/>
        </w:rPr>
        <w:t xml:space="preserve"> eight case studies that communication between buyer and supplier increases visibility and in turn velocity and flexibility to better deal with supply chain risks</w:t>
      </w:r>
      <w:r w:rsidR="00C36C28" w:rsidRPr="00AF264D">
        <w:rPr>
          <w:rFonts w:ascii="Times New Roman" w:hAnsi="Times New Roman" w:cs="Times New Roman"/>
        </w:rPr>
        <w:t xml:space="preserve">, summarizing our before depicted </w:t>
      </w:r>
      <w:r w:rsidR="004C0CE2" w:rsidRPr="00AF264D">
        <w:rPr>
          <w:rFonts w:ascii="Times New Roman" w:hAnsi="Times New Roman" w:cs="Times New Roman"/>
        </w:rPr>
        <w:t>line</w:t>
      </w:r>
      <w:r w:rsidR="00C36C28" w:rsidRPr="00AF264D">
        <w:rPr>
          <w:rFonts w:ascii="Times New Roman" w:hAnsi="Times New Roman" w:cs="Times New Roman"/>
        </w:rPr>
        <w:t xml:space="preserve"> of argument</w:t>
      </w:r>
      <w:r w:rsidR="0098710C" w:rsidRPr="00AF264D">
        <w:rPr>
          <w:rFonts w:ascii="Times New Roman" w:hAnsi="Times New Roman" w:cs="Times New Roman"/>
        </w:rPr>
        <w:t xml:space="preserve">. </w:t>
      </w:r>
      <w:r w:rsidR="008A6E19" w:rsidRPr="00AF264D">
        <w:rPr>
          <w:rFonts w:ascii="Times New Roman" w:hAnsi="Times New Roman" w:cs="Times New Roman"/>
        </w:rPr>
        <w:t xml:space="preserve">Based on these </w:t>
      </w:r>
      <w:r w:rsidR="004C0CE2" w:rsidRPr="00AF264D">
        <w:rPr>
          <w:rFonts w:ascii="Times New Roman" w:hAnsi="Times New Roman" w:cs="Times New Roman"/>
        </w:rPr>
        <w:t>studies</w:t>
      </w:r>
      <w:r w:rsidR="004B23EE" w:rsidRPr="00AF264D">
        <w:rPr>
          <w:rFonts w:ascii="Times New Roman" w:hAnsi="Times New Roman" w:cs="Times New Roman"/>
        </w:rPr>
        <w:t>, we propose the following:</w:t>
      </w:r>
    </w:p>
    <w:p w14:paraId="62DC9B77" w14:textId="151B2391" w:rsidR="007D0BD7" w:rsidRDefault="00685425" w:rsidP="00685425">
      <w:pPr>
        <w:spacing w:line="480" w:lineRule="auto"/>
        <w:ind w:firstLine="284"/>
        <w:jc w:val="both"/>
        <w:rPr>
          <w:rFonts w:ascii="Times New Roman" w:hAnsi="Times New Roman" w:cs="Times New Roman"/>
          <w:i/>
        </w:rPr>
      </w:pPr>
      <w:r w:rsidRPr="00685425">
        <w:rPr>
          <w:rFonts w:ascii="Times New Roman" w:hAnsi="Times New Roman" w:cs="Times New Roman"/>
          <w:b/>
        </w:rPr>
        <w:t>Hypothesis 3b:</w:t>
      </w:r>
      <w:r w:rsidRPr="00685425">
        <w:rPr>
          <w:rFonts w:ascii="Times New Roman" w:hAnsi="Times New Roman" w:cs="Times New Roman"/>
          <w:i/>
        </w:rPr>
        <w:t xml:space="preserve"> Firms practicing high levels of supplier communication at the organizational level will achieve more upstream on-time deliveries.</w:t>
      </w:r>
    </w:p>
    <w:p w14:paraId="4D3026F3" w14:textId="77777777" w:rsidR="00685425" w:rsidRPr="00AF264D" w:rsidRDefault="00685425" w:rsidP="00C33564">
      <w:pPr>
        <w:spacing w:line="480" w:lineRule="auto"/>
        <w:jc w:val="both"/>
        <w:rPr>
          <w:rFonts w:ascii="Times New Roman" w:hAnsi="Times New Roman" w:cs="Times New Roman"/>
          <w:i/>
        </w:rPr>
      </w:pPr>
    </w:p>
    <w:p w14:paraId="4A77C57C" w14:textId="3F654D2B" w:rsidR="00C33564" w:rsidRPr="00AF264D" w:rsidRDefault="00C33564" w:rsidP="007A1E11">
      <w:pPr>
        <w:pStyle w:val="Heading3"/>
        <w:spacing w:before="0" w:line="480" w:lineRule="auto"/>
        <w:rPr>
          <w:rFonts w:ascii="Times New Roman" w:hAnsi="Times New Roman" w:cs="Times New Roman"/>
          <w:b w:val="0"/>
          <w:i/>
          <w:color w:val="000000" w:themeColor="text1"/>
        </w:rPr>
      </w:pPr>
      <w:r w:rsidRPr="00AF264D">
        <w:rPr>
          <w:rFonts w:ascii="Times New Roman" w:hAnsi="Times New Roman" w:cs="Times New Roman"/>
          <w:b w:val="0"/>
          <w:i/>
          <w:color w:val="000000" w:themeColor="text1"/>
        </w:rPr>
        <w:t>2.2.</w:t>
      </w:r>
      <w:r w:rsidR="00993AA7">
        <w:rPr>
          <w:rFonts w:ascii="Times New Roman" w:hAnsi="Times New Roman" w:cs="Times New Roman"/>
          <w:b w:val="0"/>
          <w:i/>
          <w:color w:val="000000" w:themeColor="text1"/>
        </w:rPr>
        <w:t>3</w:t>
      </w:r>
      <w:r w:rsidRPr="00AF264D">
        <w:rPr>
          <w:rFonts w:ascii="Times New Roman" w:hAnsi="Times New Roman" w:cs="Times New Roman"/>
          <w:b w:val="0"/>
          <w:i/>
          <w:color w:val="000000" w:themeColor="text1"/>
        </w:rPr>
        <w:t>. National, organisational culture and delivery performance</w:t>
      </w:r>
    </w:p>
    <w:p w14:paraId="562D7662" w14:textId="0089DB67" w:rsidR="00700FF1" w:rsidRPr="00AF264D" w:rsidRDefault="00B1698D" w:rsidP="00700FF1">
      <w:pPr>
        <w:spacing w:line="480" w:lineRule="auto"/>
        <w:ind w:firstLine="284"/>
        <w:jc w:val="both"/>
        <w:rPr>
          <w:rFonts w:ascii="Times New Roman" w:hAnsi="Times New Roman" w:cs="Times New Roman"/>
        </w:rPr>
      </w:pPr>
      <w:r w:rsidRPr="00AF264D">
        <w:rPr>
          <w:rFonts w:ascii="Times New Roman" w:hAnsi="Times New Roman" w:cs="Times New Roman"/>
        </w:rPr>
        <w:t>In the previous two sections we proposed that</w:t>
      </w:r>
      <w:r w:rsidR="00AF264D" w:rsidRPr="00AF264D">
        <w:rPr>
          <w:rFonts w:ascii="Times New Roman" w:hAnsi="Times New Roman" w:cs="Times New Roman"/>
        </w:rPr>
        <w:t xml:space="preserve"> national as well as organis</w:t>
      </w:r>
      <w:r w:rsidRPr="00AF264D">
        <w:rPr>
          <w:rFonts w:ascii="Times New Roman" w:hAnsi="Times New Roman" w:cs="Times New Roman"/>
        </w:rPr>
        <w:t xml:space="preserve">ational culture </w:t>
      </w:r>
      <w:r w:rsidR="0060645A" w:rsidRPr="00AF264D">
        <w:rPr>
          <w:rFonts w:ascii="Times New Roman" w:hAnsi="Times New Roman" w:cs="Times New Roman"/>
        </w:rPr>
        <w:t xml:space="preserve">is related to upstream on-time delivery performance. </w:t>
      </w:r>
      <w:r w:rsidR="00700FF1" w:rsidRPr="00AF264D">
        <w:rPr>
          <w:rFonts w:ascii="Times New Roman" w:hAnsi="Times New Roman" w:cs="Times New Roman"/>
        </w:rPr>
        <w:t xml:space="preserve">Whilst this certainly is of great importance from a managerial perspective it might be </w:t>
      </w:r>
      <w:r w:rsidR="001273A7" w:rsidRPr="00AF264D">
        <w:rPr>
          <w:rFonts w:ascii="Times New Roman" w:hAnsi="Times New Roman" w:cs="Times New Roman"/>
        </w:rPr>
        <w:t>even</w:t>
      </w:r>
      <w:r w:rsidR="00700FF1" w:rsidRPr="00AF264D">
        <w:rPr>
          <w:rFonts w:ascii="Times New Roman" w:hAnsi="Times New Roman" w:cs="Times New Roman"/>
        </w:rPr>
        <w:t xml:space="preserve"> more important for managers to know whether they can overcome cultural disadvantages at the national level </w:t>
      </w:r>
      <w:r w:rsidR="005B0A06" w:rsidRPr="00AF264D">
        <w:rPr>
          <w:rFonts w:ascii="Times New Roman" w:hAnsi="Times New Roman" w:cs="Times New Roman"/>
        </w:rPr>
        <w:t>through organizational culture.</w:t>
      </w:r>
      <w:r w:rsidR="00700FF1" w:rsidRPr="00AF264D">
        <w:rPr>
          <w:rFonts w:ascii="Times New Roman" w:hAnsi="Times New Roman" w:cs="Times New Roman"/>
        </w:rPr>
        <w:t xml:space="preserve"> Or in other words</w:t>
      </w:r>
      <w:r w:rsidR="00F93890" w:rsidRPr="00AF264D">
        <w:rPr>
          <w:rFonts w:ascii="Times New Roman" w:hAnsi="Times New Roman" w:cs="Times New Roman"/>
          <w:i/>
        </w:rPr>
        <w:t xml:space="preserve"> to what extent can organizational practices counteract potential geographical disadvantageous traits in terms of on-time delivery failures?</w:t>
      </w:r>
      <w:r w:rsidR="00F93890" w:rsidRPr="00AF264D">
        <w:rPr>
          <w:rFonts w:ascii="Times New Roman" w:hAnsi="Times New Roman" w:cs="Times New Roman"/>
        </w:rPr>
        <w:t xml:space="preserve"> </w:t>
      </w:r>
      <w:r w:rsidR="005B0A06" w:rsidRPr="00AF264D">
        <w:rPr>
          <w:rFonts w:ascii="Times New Roman" w:hAnsi="Times New Roman" w:cs="Times New Roman"/>
        </w:rPr>
        <w:t xml:space="preserve">To explore our second research question we explore the interactions between organizational and national culture in </w:t>
      </w:r>
      <w:r w:rsidR="00630A1D" w:rsidRPr="00AF264D">
        <w:rPr>
          <w:rFonts w:ascii="Times New Roman" w:hAnsi="Times New Roman" w:cs="Times New Roman"/>
        </w:rPr>
        <w:t>terms</w:t>
      </w:r>
      <w:r w:rsidR="005B0A06" w:rsidRPr="00AF264D">
        <w:rPr>
          <w:rFonts w:ascii="Times New Roman" w:hAnsi="Times New Roman" w:cs="Times New Roman"/>
        </w:rPr>
        <w:t xml:space="preserve"> of UAI in relation to upstream on-time delivery performance. </w:t>
      </w:r>
    </w:p>
    <w:p w14:paraId="7487E488" w14:textId="0F26D56A" w:rsidR="00630A1D" w:rsidRPr="00AF264D" w:rsidRDefault="00630A1D" w:rsidP="00700FF1">
      <w:pPr>
        <w:spacing w:line="480" w:lineRule="auto"/>
        <w:ind w:firstLine="284"/>
        <w:jc w:val="both"/>
        <w:rPr>
          <w:rFonts w:ascii="Times New Roman" w:hAnsi="Times New Roman" w:cs="Times New Roman"/>
        </w:rPr>
      </w:pPr>
      <w:r w:rsidRPr="00AF264D">
        <w:rPr>
          <w:rFonts w:ascii="Times New Roman" w:hAnsi="Times New Roman" w:cs="Times New Roman"/>
        </w:rPr>
        <w:lastRenderedPageBreak/>
        <w:t xml:space="preserve">The interplay between organizational and national culture has frequently been categorized into the </w:t>
      </w:r>
      <w:r w:rsidR="008C2D8A" w:rsidRPr="00AF264D">
        <w:rPr>
          <w:rFonts w:ascii="Times New Roman" w:hAnsi="Times New Roman" w:cs="Times New Roman"/>
        </w:rPr>
        <w:t xml:space="preserve">convergence </w:t>
      </w:r>
      <w:r w:rsidRPr="00AF264D">
        <w:rPr>
          <w:rFonts w:ascii="Times New Roman" w:hAnsi="Times New Roman" w:cs="Times New Roman"/>
        </w:rPr>
        <w:t>hypothesis and national</w:t>
      </w:r>
      <w:r w:rsidR="008C2D8A" w:rsidRPr="00AF264D">
        <w:rPr>
          <w:rFonts w:ascii="Times New Roman" w:hAnsi="Times New Roman" w:cs="Times New Roman"/>
        </w:rPr>
        <w:t xml:space="preserve"> specificity argument</w:t>
      </w:r>
      <w:r w:rsidR="00C41FBB" w:rsidRPr="00AF264D">
        <w:rPr>
          <w:rFonts w:ascii="Times New Roman" w:hAnsi="Times New Roman" w:cs="Times New Roman"/>
        </w:rPr>
        <w:t xml:space="preserve"> </w:t>
      </w:r>
      <w:r w:rsidR="009447BE" w:rsidRPr="00AF264D">
        <w:rPr>
          <w:rFonts w:ascii="Times New Roman" w:hAnsi="Times New Roman" w:cs="Times New Roman"/>
        </w:rPr>
        <w:t xml:space="preserve">(Rungtusanatham </w:t>
      </w:r>
      <w:r w:rsidR="009447BE" w:rsidRPr="003E75B7">
        <w:rPr>
          <w:rFonts w:ascii="Times New Roman" w:hAnsi="Times New Roman" w:cs="Times New Roman"/>
          <w:i/>
        </w:rPr>
        <w:t>et al.</w:t>
      </w:r>
      <w:r w:rsidR="009447BE" w:rsidRPr="00AF264D">
        <w:rPr>
          <w:rFonts w:ascii="Times New Roman" w:hAnsi="Times New Roman" w:cs="Times New Roman"/>
        </w:rPr>
        <w:t>, 2005)</w:t>
      </w:r>
      <w:r w:rsidR="00C41FBB" w:rsidRPr="00AF264D">
        <w:rPr>
          <w:rFonts w:ascii="Times New Roman" w:hAnsi="Times New Roman" w:cs="Times New Roman"/>
        </w:rPr>
        <w:t xml:space="preserve"> </w:t>
      </w:r>
      <w:r w:rsidR="007324CA">
        <w:rPr>
          <w:rFonts w:ascii="Times New Roman" w:hAnsi="Times New Roman" w:cs="Times New Roman"/>
        </w:rPr>
        <w:t>suggesting</w:t>
      </w:r>
      <w:r w:rsidR="00C41FBB" w:rsidRPr="00AF264D">
        <w:rPr>
          <w:rFonts w:ascii="Times New Roman" w:hAnsi="Times New Roman" w:cs="Times New Roman"/>
        </w:rPr>
        <w:t xml:space="preserve"> a superior or inferior</w:t>
      </w:r>
      <w:r w:rsidR="00CB2F26">
        <w:rPr>
          <w:rFonts w:ascii="Times New Roman" w:hAnsi="Times New Roman" w:cs="Times New Roman"/>
        </w:rPr>
        <w:t xml:space="preserve"> role of national versus organis</w:t>
      </w:r>
      <w:r w:rsidR="00C41FBB" w:rsidRPr="00AF264D">
        <w:rPr>
          <w:rFonts w:ascii="Times New Roman" w:hAnsi="Times New Roman" w:cs="Times New Roman"/>
        </w:rPr>
        <w:t xml:space="preserve">ational culture. </w:t>
      </w:r>
      <w:r w:rsidR="001B0B0D" w:rsidRPr="00AF264D">
        <w:rPr>
          <w:rFonts w:ascii="Times New Roman" w:hAnsi="Times New Roman" w:cs="Times New Roman"/>
        </w:rPr>
        <w:t>The convergence hypothesis proposes that companies can influence and mitigate the potentially negative impact of national culture through their own practices and culture</w:t>
      </w:r>
      <w:r w:rsidR="00991810" w:rsidRPr="00AF264D">
        <w:rPr>
          <w:rFonts w:ascii="Times New Roman" w:hAnsi="Times New Roman" w:cs="Times New Roman"/>
        </w:rPr>
        <w:t xml:space="preserve"> </w:t>
      </w:r>
      <w:r w:rsidR="009447BE" w:rsidRPr="00AF264D">
        <w:rPr>
          <w:rFonts w:ascii="Times New Roman" w:hAnsi="Times New Roman" w:cs="Times New Roman"/>
        </w:rPr>
        <w:t xml:space="preserve">(Von Glinow </w:t>
      </w:r>
      <w:r w:rsidR="009447BE" w:rsidRPr="003E75B7">
        <w:rPr>
          <w:rFonts w:ascii="Times New Roman" w:hAnsi="Times New Roman" w:cs="Times New Roman"/>
          <w:i/>
        </w:rPr>
        <w:t>et al.</w:t>
      </w:r>
      <w:r w:rsidR="009447BE" w:rsidRPr="00AF264D">
        <w:rPr>
          <w:rFonts w:ascii="Times New Roman" w:hAnsi="Times New Roman" w:cs="Times New Roman"/>
        </w:rPr>
        <w:t>, 2002)</w:t>
      </w:r>
      <w:r w:rsidR="001B0B0D" w:rsidRPr="00AF264D">
        <w:rPr>
          <w:rFonts w:ascii="Times New Roman" w:hAnsi="Times New Roman" w:cs="Times New Roman"/>
        </w:rPr>
        <w:t xml:space="preserve">. </w:t>
      </w:r>
      <w:r w:rsidR="00BD32CA" w:rsidRPr="00AF264D">
        <w:rPr>
          <w:rFonts w:ascii="Times New Roman" w:hAnsi="Times New Roman" w:cs="Times New Roman"/>
        </w:rPr>
        <w:t>T</w:t>
      </w:r>
      <w:r w:rsidR="001B0B0D" w:rsidRPr="00AF264D">
        <w:rPr>
          <w:rFonts w:ascii="Times New Roman" w:hAnsi="Times New Roman" w:cs="Times New Roman"/>
        </w:rPr>
        <w:t>he divergence hypothesis</w:t>
      </w:r>
      <w:r w:rsidR="00BD32CA" w:rsidRPr="00AF264D">
        <w:rPr>
          <w:rFonts w:ascii="Times New Roman" w:hAnsi="Times New Roman" w:cs="Times New Roman"/>
        </w:rPr>
        <w:t>, on the other hand,</w:t>
      </w:r>
      <w:r w:rsidR="001B0B0D" w:rsidRPr="00AF264D">
        <w:rPr>
          <w:rFonts w:ascii="Times New Roman" w:hAnsi="Times New Roman" w:cs="Times New Roman"/>
        </w:rPr>
        <w:t xml:space="preserve"> proposes that national culture has the upper hand and plays the dominant role and thus organizational culture cannot overcome national cultural differ</w:t>
      </w:r>
      <w:r w:rsidR="00BD32CA" w:rsidRPr="00AF264D">
        <w:rPr>
          <w:rFonts w:ascii="Times New Roman" w:hAnsi="Times New Roman" w:cs="Times New Roman"/>
        </w:rPr>
        <w:t xml:space="preserve">ences </w:t>
      </w:r>
      <w:r w:rsidR="009447BE" w:rsidRPr="00AF264D">
        <w:rPr>
          <w:rFonts w:ascii="Times New Roman" w:hAnsi="Times New Roman" w:cs="Times New Roman"/>
        </w:rPr>
        <w:t>(Child and Keiser, 1979)</w:t>
      </w:r>
      <w:r w:rsidR="00BD32CA" w:rsidRPr="00AF264D">
        <w:rPr>
          <w:rFonts w:ascii="Times New Roman" w:hAnsi="Times New Roman" w:cs="Times New Roman"/>
        </w:rPr>
        <w:t>.</w:t>
      </w:r>
      <w:r w:rsidRPr="00AF264D">
        <w:rPr>
          <w:rFonts w:ascii="Times New Roman" w:hAnsi="Times New Roman" w:cs="Times New Roman"/>
        </w:rPr>
        <w:t xml:space="preserve"> </w:t>
      </w:r>
      <w:r w:rsidR="00BD32CA" w:rsidRPr="00AF264D">
        <w:rPr>
          <w:rFonts w:ascii="Times New Roman" w:hAnsi="Times New Roman" w:cs="Times New Roman"/>
        </w:rPr>
        <w:t xml:space="preserve">According to </w:t>
      </w:r>
      <w:r w:rsidR="009447BE" w:rsidRPr="00AF264D">
        <w:rPr>
          <w:rFonts w:ascii="Times New Roman" w:hAnsi="Times New Roman" w:cs="Times New Roman"/>
        </w:rPr>
        <w:t xml:space="preserve">Ralston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00C36C28" w:rsidRPr="00AF264D">
        <w:rPr>
          <w:rFonts w:ascii="Times New Roman" w:hAnsi="Times New Roman" w:cs="Times New Roman"/>
        </w:rPr>
        <w:t>(</w:t>
      </w:r>
      <w:r w:rsidR="009447BE" w:rsidRPr="00AF264D">
        <w:rPr>
          <w:rFonts w:ascii="Times New Roman" w:hAnsi="Times New Roman" w:cs="Times New Roman"/>
        </w:rPr>
        <w:t>1997)</w:t>
      </w:r>
      <w:r w:rsidR="00BD32CA" w:rsidRPr="00AF264D">
        <w:rPr>
          <w:rFonts w:ascii="Times New Roman" w:hAnsi="Times New Roman" w:cs="Times New Roman"/>
        </w:rPr>
        <w:t xml:space="preserve">, </w:t>
      </w:r>
      <w:r w:rsidR="00BD32CA" w:rsidRPr="00AF264D">
        <w:rPr>
          <w:rFonts w:ascii="Times New Roman" w:hAnsi="Times New Roman" w:cs="Times New Roman"/>
          <w:i/>
        </w:rPr>
        <w:t>“national culture, not industrialized practice, drives values, and that, even if the country becomes industrialized, the values systems in the work force remain largely unchanged”</w:t>
      </w:r>
      <w:r w:rsidR="00953AA9" w:rsidRPr="00AF264D">
        <w:rPr>
          <w:rFonts w:ascii="Times New Roman" w:hAnsi="Times New Roman" w:cs="Times New Roman"/>
          <w:i/>
        </w:rPr>
        <w:t xml:space="preserve"> (p. 183)</w:t>
      </w:r>
      <w:r w:rsidR="00BD32CA" w:rsidRPr="00AF264D">
        <w:rPr>
          <w:rFonts w:ascii="Times New Roman" w:hAnsi="Times New Roman" w:cs="Times New Roman"/>
          <w:i/>
        </w:rPr>
        <w:t>.</w:t>
      </w:r>
      <w:r w:rsidR="00BD32CA" w:rsidRPr="00AF264D">
        <w:rPr>
          <w:rFonts w:ascii="Times New Roman" w:hAnsi="Times New Roman" w:cs="Times New Roman"/>
        </w:rPr>
        <w:t xml:space="preserve"> Thus, if our findings indicate that organizational </w:t>
      </w:r>
      <w:r w:rsidR="00A4405F" w:rsidRPr="00AF264D">
        <w:rPr>
          <w:rFonts w:ascii="Times New Roman" w:hAnsi="Times New Roman" w:cs="Times New Roman"/>
        </w:rPr>
        <w:t>suppl</w:t>
      </w:r>
      <w:r w:rsidR="0095094D">
        <w:rPr>
          <w:rFonts w:ascii="Times New Roman" w:hAnsi="Times New Roman" w:cs="Times New Roman"/>
        </w:rPr>
        <w:t>i</w:t>
      </w:r>
      <w:r w:rsidR="00A4405F" w:rsidRPr="00AF264D">
        <w:rPr>
          <w:rFonts w:ascii="Times New Roman" w:hAnsi="Times New Roman" w:cs="Times New Roman"/>
        </w:rPr>
        <w:t>er communication</w:t>
      </w:r>
      <w:r w:rsidR="0095094D">
        <w:rPr>
          <w:rFonts w:ascii="Times New Roman" w:hAnsi="Times New Roman" w:cs="Times New Roman"/>
        </w:rPr>
        <w:t xml:space="preserve"> (UAI at the organizational level)</w:t>
      </w:r>
      <w:r w:rsidR="00BD32CA" w:rsidRPr="00AF264D">
        <w:rPr>
          <w:rFonts w:ascii="Times New Roman" w:hAnsi="Times New Roman" w:cs="Times New Roman"/>
        </w:rPr>
        <w:t xml:space="preserve"> moderates the impact of national </w:t>
      </w:r>
      <w:r w:rsidR="0095094D">
        <w:rPr>
          <w:rFonts w:ascii="Times New Roman" w:hAnsi="Times New Roman" w:cs="Times New Roman"/>
        </w:rPr>
        <w:t>UAI</w:t>
      </w:r>
      <w:r w:rsidR="00BD32CA" w:rsidRPr="00AF264D">
        <w:rPr>
          <w:rFonts w:ascii="Times New Roman" w:hAnsi="Times New Roman" w:cs="Times New Roman"/>
        </w:rPr>
        <w:t xml:space="preserve"> on upstream delivery performance we </w:t>
      </w:r>
      <w:r w:rsidR="006C7A6D">
        <w:rPr>
          <w:rFonts w:ascii="Times New Roman" w:hAnsi="Times New Roman" w:cs="Times New Roman"/>
        </w:rPr>
        <w:t>can</w:t>
      </w:r>
      <w:r w:rsidR="006C7A6D" w:rsidRPr="00AF264D">
        <w:rPr>
          <w:rFonts w:ascii="Times New Roman" w:hAnsi="Times New Roman" w:cs="Times New Roman"/>
        </w:rPr>
        <w:t xml:space="preserve"> </w:t>
      </w:r>
      <w:r w:rsidR="00BD32CA" w:rsidRPr="00AF264D">
        <w:rPr>
          <w:rFonts w:ascii="Times New Roman" w:hAnsi="Times New Roman" w:cs="Times New Roman"/>
        </w:rPr>
        <w:t xml:space="preserve">provide support for the convergence hypothesis. </w:t>
      </w:r>
      <w:r w:rsidR="00941448" w:rsidRPr="00AF264D">
        <w:rPr>
          <w:rFonts w:ascii="Times New Roman" w:hAnsi="Times New Roman" w:cs="Times New Roman"/>
        </w:rPr>
        <w:t xml:space="preserve">If </w:t>
      </w:r>
      <w:r w:rsidR="006C7A6D">
        <w:rPr>
          <w:rFonts w:ascii="Times New Roman" w:hAnsi="Times New Roman" w:cs="Times New Roman"/>
        </w:rPr>
        <w:t>this</w:t>
      </w:r>
      <w:r w:rsidR="006C7A6D" w:rsidRPr="00AF264D">
        <w:rPr>
          <w:rFonts w:ascii="Times New Roman" w:hAnsi="Times New Roman" w:cs="Times New Roman"/>
        </w:rPr>
        <w:t xml:space="preserve"> </w:t>
      </w:r>
      <w:r w:rsidR="006C7A6D">
        <w:rPr>
          <w:rFonts w:ascii="Times New Roman" w:hAnsi="Times New Roman" w:cs="Times New Roman"/>
        </w:rPr>
        <w:t>is</w:t>
      </w:r>
      <w:r w:rsidR="00941448" w:rsidRPr="00AF264D">
        <w:rPr>
          <w:rFonts w:ascii="Times New Roman" w:hAnsi="Times New Roman" w:cs="Times New Roman"/>
        </w:rPr>
        <w:t xml:space="preserve"> the case</w:t>
      </w:r>
      <w:r w:rsidR="006C7A6D">
        <w:rPr>
          <w:rFonts w:ascii="Times New Roman" w:hAnsi="Times New Roman" w:cs="Times New Roman"/>
        </w:rPr>
        <w:t>,</w:t>
      </w:r>
      <w:r w:rsidR="00941448" w:rsidRPr="00AF264D">
        <w:rPr>
          <w:rFonts w:ascii="Times New Roman" w:hAnsi="Times New Roman" w:cs="Times New Roman"/>
        </w:rPr>
        <w:t xml:space="preserve"> man</w:t>
      </w:r>
      <w:r w:rsidR="006148C5">
        <w:rPr>
          <w:rFonts w:ascii="Times New Roman" w:hAnsi="Times New Roman" w:cs="Times New Roman"/>
        </w:rPr>
        <w:t xml:space="preserve">agers </w:t>
      </w:r>
      <w:r w:rsidR="006C7A6D">
        <w:rPr>
          <w:rFonts w:ascii="Times New Roman" w:hAnsi="Times New Roman" w:cs="Times New Roman"/>
        </w:rPr>
        <w:t xml:space="preserve">will </w:t>
      </w:r>
      <w:r w:rsidR="006148C5">
        <w:rPr>
          <w:rFonts w:ascii="Times New Roman" w:hAnsi="Times New Roman" w:cs="Times New Roman"/>
        </w:rPr>
        <w:t>have a le</w:t>
      </w:r>
      <w:r w:rsidR="00941448" w:rsidRPr="00AF264D">
        <w:rPr>
          <w:rFonts w:ascii="Times New Roman" w:hAnsi="Times New Roman" w:cs="Times New Roman"/>
        </w:rPr>
        <w:t>ver to alter potential disadvantages</w:t>
      </w:r>
      <w:r w:rsidR="00BD32CA" w:rsidRPr="00AF264D">
        <w:rPr>
          <w:rFonts w:ascii="Times New Roman" w:hAnsi="Times New Roman" w:cs="Times New Roman"/>
        </w:rPr>
        <w:t xml:space="preserve"> </w:t>
      </w:r>
      <w:r w:rsidR="00941448" w:rsidRPr="00AF264D">
        <w:rPr>
          <w:rFonts w:ascii="Times New Roman" w:hAnsi="Times New Roman" w:cs="Times New Roman"/>
        </w:rPr>
        <w:t xml:space="preserve">from a national culture perspective. </w:t>
      </w:r>
    </w:p>
    <w:p w14:paraId="40EE597C" w14:textId="05AB0CF5" w:rsidR="00941448" w:rsidRPr="00AF264D" w:rsidRDefault="00C36C28" w:rsidP="00700FF1">
      <w:pPr>
        <w:spacing w:line="480" w:lineRule="auto"/>
        <w:ind w:firstLine="284"/>
        <w:jc w:val="both"/>
        <w:rPr>
          <w:rFonts w:ascii="Times New Roman" w:hAnsi="Times New Roman" w:cs="Times New Roman"/>
        </w:rPr>
      </w:pPr>
      <w:r w:rsidRPr="00AF264D">
        <w:rPr>
          <w:rFonts w:ascii="Times New Roman" w:hAnsi="Times New Roman" w:cs="Times New Roman"/>
        </w:rPr>
        <w:t xml:space="preserve">Wiengarten </w:t>
      </w:r>
      <w:r w:rsidRPr="003E75B7">
        <w:rPr>
          <w:rFonts w:ascii="Times New Roman" w:hAnsi="Times New Roman" w:cs="Times New Roman"/>
          <w:i/>
        </w:rPr>
        <w:t>et al.</w:t>
      </w:r>
      <w:r w:rsidRPr="00AF264D">
        <w:rPr>
          <w:rFonts w:ascii="Times New Roman" w:hAnsi="Times New Roman" w:cs="Times New Roman"/>
        </w:rPr>
        <w:t xml:space="preserve"> (2015</w:t>
      </w:r>
      <w:r w:rsidR="003A08CD">
        <w:rPr>
          <w:rFonts w:ascii="Times New Roman" w:hAnsi="Times New Roman" w:cs="Times New Roman"/>
        </w:rPr>
        <w:t>b</w:t>
      </w:r>
      <w:r w:rsidRPr="00AF264D">
        <w:rPr>
          <w:rFonts w:ascii="Times New Roman" w:hAnsi="Times New Roman" w:cs="Times New Roman"/>
        </w:rPr>
        <w:t>)</w:t>
      </w:r>
      <w:r w:rsidR="00111066" w:rsidRPr="00AF264D">
        <w:rPr>
          <w:rFonts w:ascii="Times New Roman" w:hAnsi="Times New Roman" w:cs="Times New Roman"/>
        </w:rPr>
        <w:t xml:space="preserve"> explored the interplay of national and organizational culture in terms of lean practices through exploring its efficacy levels in the realm of individualism/collectivism. Specifically</w:t>
      </w:r>
      <w:r w:rsidR="0095094D">
        <w:rPr>
          <w:rFonts w:ascii="Times New Roman" w:hAnsi="Times New Roman" w:cs="Times New Roman"/>
        </w:rPr>
        <w:t>,</w:t>
      </w:r>
      <w:r w:rsidR="00111066" w:rsidRPr="00AF264D">
        <w:rPr>
          <w:rFonts w:ascii="Times New Roman" w:hAnsi="Times New Roman" w:cs="Times New Roman"/>
        </w:rPr>
        <w:t xml:space="preserve"> the</w:t>
      </w:r>
      <w:r w:rsidR="00A4405F" w:rsidRPr="00AF264D">
        <w:rPr>
          <w:rFonts w:ascii="Times New Roman" w:hAnsi="Times New Roman" w:cs="Times New Roman"/>
        </w:rPr>
        <w:t>y</w:t>
      </w:r>
      <w:r w:rsidR="00111066" w:rsidRPr="00AF264D">
        <w:rPr>
          <w:rFonts w:ascii="Times New Roman" w:hAnsi="Times New Roman" w:cs="Times New Roman"/>
        </w:rPr>
        <w:t xml:space="preserve"> empirically tested whether plants situated in </w:t>
      </w:r>
      <w:r w:rsidR="00336AE3">
        <w:rPr>
          <w:rFonts w:ascii="Times New Roman" w:hAnsi="Times New Roman" w:cs="Times New Roman"/>
        </w:rPr>
        <w:t>countries</w:t>
      </w:r>
      <w:r w:rsidR="00111066" w:rsidRPr="00AF264D">
        <w:rPr>
          <w:rFonts w:ascii="Times New Roman" w:hAnsi="Times New Roman" w:cs="Times New Roman"/>
        </w:rPr>
        <w:t xml:space="preserve"> with a less favourable individualistic culture for lean practices can overcome these negative influences through practicing high levels of collectivistic organisational culture. Whilst their results showed a tendency that this might be the case</w:t>
      </w:r>
      <w:r w:rsidR="00A4405F" w:rsidRPr="00AF264D">
        <w:rPr>
          <w:rFonts w:ascii="Times New Roman" w:hAnsi="Times New Roman" w:cs="Times New Roman"/>
        </w:rPr>
        <w:t>,</w:t>
      </w:r>
      <w:r w:rsidR="00111066" w:rsidRPr="00AF264D">
        <w:rPr>
          <w:rFonts w:ascii="Times New Roman" w:hAnsi="Times New Roman" w:cs="Times New Roman"/>
        </w:rPr>
        <w:t xml:space="preserve"> they ultimately did not find support for their hypothesis.</w:t>
      </w:r>
      <w:r w:rsidR="00843CBF" w:rsidRPr="00AF264D">
        <w:rPr>
          <w:rFonts w:ascii="Times New Roman" w:hAnsi="Times New Roman" w:cs="Times New Roman"/>
        </w:rPr>
        <w:t xml:space="preserve"> </w:t>
      </w:r>
      <w:r w:rsidR="009447BE" w:rsidRPr="00AF264D">
        <w:rPr>
          <w:rFonts w:ascii="Times New Roman" w:hAnsi="Times New Roman" w:cs="Times New Roman"/>
        </w:rPr>
        <w:t xml:space="preserve">Naor </w:t>
      </w:r>
      <w:r w:rsidR="009447BE" w:rsidRPr="003E75B7">
        <w:rPr>
          <w:rFonts w:ascii="Times New Roman" w:hAnsi="Times New Roman" w:cs="Times New Roman"/>
          <w:i/>
        </w:rPr>
        <w:t>et al.</w:t>
      </w:r>
      <w:r w:rsidR="009447BE" w:rsidRPr="00AF264D">
        <w:rPr>
          <w:rFonts w:ascii="Times New Roman" w:hAnsi="Times New Roman" w:cs="Times New Roman"/>
        </w:rPr>
        <w:t xml:space="preserve"> </w:t>
      </w:r>
      <w:r w:rsidRPr="00AF264D">
        <w:rPr>
          <w:rFonts w:ascii="Times New Roman" w:hAnsi="Times New Roman" w:cs="Times New Roman"/>
        </w:rPr>
        <w:t>(</w:t>
      </w:r>
      <w:r w:rsidR="009447BE" w:rsidRPr="00AF264D">
        <w:rPr>
          <w:rFonts w:ascii="Times New Roman" w:hAnsi="Times New Roman" w:cs="Times New Roman"/>
        </w:rPr>
        <w:t>2010)</w:t>
      </w:r>
      <w:r w:rsidR="00941448" w:rsidRPr="00AF264D">
        <w:rPr>
          <w:rFonts w:ascii="Times New Roman" w:hAnsi="Times New Roman" w:cs="Times New Roman"/>
        </w:rPr>
        <w:t xml:space="preserve"> specifically explored the interplay between organizational and national culture from a manufacturing performance perspective. </w:t>
      </w:r>
      <w:r w:rsidR="00033907" w:rsidRPr="00AF264D">
        <w:rPr>
          <w:rFonts w:ascii="Times New Roman" w:hAnsi="Times New Roman" w:cs="Times New Roman"/>
        </w:rPr>
        <w:t xml:space="preserve">Their </w:t>
      </w:r>
      <w:r w:rsidR="0095094D">
        <w:rPr>
          <w:rFonts w:ascii="Times New Roman" w:hAnsi="Times New Roman" w:cs="Times New Roman"/>
        </w:rPr>
        <w:t>study</w:t>
      </w:r>
      <w:r w:rsidR="00033907" w:rsidRPr="00AF264D">
        <w:rPr>
          <w:rFonts w:ascii="Times New Roman" w:hAnsi="Times New Roman" w:cs="Times New Roman"/>
        </w:rPr>
        <w:t xml:space="preserve"> provided </w:t>
      </w:r>
      <w:r w:rsidR="0039193E" w:rsidRPr="00AF264D">
        <w:rPr>
          <w:rFonts w:ascii="Times New Roman" w:hAnsi="Times New Roman" w:cs="Times New Roman"/>
        </w:rPr>
        <w:t xml:space="preserve">mixed results and thus </w:t>
      </w:r>
      <w:r w:rsidR="00033907" w:rsidRPr="00AF264D">
        <w:rPr>
          <w:rFonts w:ascii="Times New Roman" w:hAnsi="Times New Roman" w:cs="Times New Roman"/>
        </w:rPr>
        <w:t xml:space="preserve">support for the </w:t>
      </w:r>
      <w:r w:rsidR="0039193E" w:rsidRPr="00AF264D">
        <w:rPr>
          <w:rFonts w:ascii="Times New Roman" w:hAnsi="Times New Roman" w:cs="Times New Roman"/>
        </w:rPr>
        <w:t>convergence and divergence perspective</w:t>
      </w:r>
      <w:r w:rsidR="00953AA9" w:rsidRPr="00AF264D">
        <w:rPr>
          <w:rFonts w:ascii="Times New Roman" w:hAnsi="Times New Roman" w:cs="Times New Roman"/>
        </w:rPr>
        <w:t xml:space="preserve"> </w:t>
      </w:r>
      <w:r w:rsidR="009447BE" w:rsidRPr="00AF264D">
        <w:rPr>
          <w:rFonts w:ascii="Times New Roman" w:hAnsi="Times New Roman" w:cs="Times New Roman"/>
        </w:rPr>
        <w:t xml:space="preserve">(Ralston </w:t>
      </w:r>
      <w:r w:rsidR="009447BE" w:rsidRPr="003E75B7">
        <w:rPr>
          <w:rFonts w:ascii="Times New Roman" w:hAnsi="Times New Roman" w:cs="Times New Roman"/>
          <w:i/>
        </w:rPr>
        <w:t>et al.</w:t>
      </w:r>
      <w:r w:rsidR="009447BE" w:rsidRPr="00AF264D">
        <w:rPr>
          <w:rFonts w:ascii="Times New Roman" w:hAnsi="Times New Roman" w:cs="Times New Roman"/>
        </w:rPr>
        <w:t>, 1997; Shenkar and Ronen, 1987)</w:t>
      </w:r>
      <w:r w:rsidR="0039193E" w:rsidRPr="00AF264D">
        <w:rPr>
          <w:rFonts w:ascii="Times New Roman" w:hAnsi="Times New Roman" w:cs="Times New Roman"/>
        </w:rPr>
        <w:t xml:space="preserve">. </w:t>
      </w:r>
    </w:p>
    <w:p w14:paraId="61341F5B" w14:textId="1ADB8E18" w:rsidR="00752237" w:rsidRPr="00AF264D" w:rsidRDefault="00111066" w:rsidP="00752237">
      <w:pPr>
        <w:spacing w:line="480" w:lineRule="auto"/>
        <w:ind w:firstLine="284"/>
        <w:jc w:val="both"/>
        <w:rPr>
          <w:rFonts w:ascii="Times New Roman" w:hAnsi="Times New Roman"/>
        </w:rPr>
      </w:pPr>
      <w:r w:rsidRPr="00AF264D">
        <w:rPr>
          <w:rFonts w:ascii="Times New Roman" w:hAnsi="Times New Roman" w:cs="Times New Roman"/>
        </w:rPr>
        <w:lastRenderedPageBreak/>
        <w:t xml:space="preserve">Whilst previous findings are mixed regarding the interplay of national and organisational culture empirical evidence is still relatively sparse. </w:t>
      </w:r>
      <w:r w:rsidR="00752237" w:rsidRPr="00AF264D">
        <w:rPr>
          <w:rFonts w:ascii="Times New Roman" w:hAnsi="Times New Roman"/>
        </w:rPr>
        <w:t xml:space="preserve">Therefore, without being biased towards either of the </w:t>
      </w:r>
      <w:r w:rsidR="001273A7">
        <w:rPr>
          <w:rFonts w:ascii="Times New Roman" w:hAnsi="Times New Roman"/>
        </w:rPr>
        <w:t>perspectives</w:t>
      </w:r>
      <w:r w:rsidR="00752237" w:rsidRPr="00AF264D">
        <w:rPr>
          <w:rFonts w:ascii="Times New Roman" w:hAnsi="Times New Roman"/>
        </w:rPr>
        <w:t xml:space="preserve"> we propose two alternative hypotheses:</w:t>
      </w:r>
    </w:p>
    <w:p w14:paraId="701A9AC2" w14:textId="77777777" w:rsidR="00685425" w:rsidRDefault="00685425" w:rsidP="003E75B7">
      <w:pPr>
        <w:spacing w:line="480" w:lineRule="auto"/>
        <w:ind w:firstLine="284"/>
        <w:jc w:val="both"/>
        <w:rPr>
          <w:rFonts w:ascii="Times New Roman" w:hAnsi="Times New Roman"/>
          <w:b/>
          <w:bCs/>
        </w:rPr>
      </w:pPr>
      <w:r w:rsidRPr="00685425">
        <w:rPr>
          <w:rFonts w:ascii="Times New Roman" w:hAnsi="Times New Roman"/>
          <w:b/>
          <w:bCs/>
        </w:rPr>
        <w:t xml:space="preserve">Hypothesis 4a: </w:t>
      </w:r>
      <w:r w:rsidRPr="00685425">
        <w:rPr>
          <w:rFonts w:ascii="Times New Roman" w:hAnsi="Times New Roman"/>
          <w:bCs/>
          <w:i/>
        </w:rPr>
        <w:t>Firms situated in countries with high levels of UAI can overcome these negative national culture influences through practicing high levels of supplier communication.</w:t>
      </w:r>
    </w:p>
    <w:p w14:paraId="54277CA2" w14:textId="47AFEA74" w:rsidR="00752237" w:rsidRPr="00AF264D" w:rsidRDefault="00752237" w:rsidP="00752237">
      <w:pPr>
        <w:spacing w:line="480" w:lineRule="auto"/>
        <w:jc w:val="both"/>
        <w:rPr>
          <w:rFonts w:ascii="Times New Roman" w:hAnsi="Times New Roman"/>
        </w:rPr>
      </w:pPr>
      <w:r w:rsidRPr="00AF264D">
        <w:rPr>
          <w:rFonts w:ascii="Times New Roman" w:hAnsi="Times New Roman"/>
        </w:rPr>
        <w:t>Conversely, we propose:</w:t>
      </w:r>
    </w:p>
    <w:p w14:paraId="74C2689C" w14:textId="37AD450B" w:rsidR="00752237" w:rsidRDefault="00685425" w:rsidP="007D0BD7">
      <w:pPr>
        <w:spacing w:line="480" w:lineRule="auto"/>
        <w:ind w:firstLine="284"/>
        <w:jc w:val="both"/>
        <w:rPr>
          <w:rFonts w:ascii="Times New Roman" w:hAnsi="Times New Roman"/>
          <w:b/>
          <w:bCs/>
        </w:rPr>
      </w:pPr>
      <w:r w:rsidRPr="00685425">
        <w:rPr>
          <w:rFonts w:ascii="Times New Roman" w:hAnsi="Times New Roman"/>
          <w:b/>
          <w:bCs/>
        </w:rPr>
        <w:t xml:space="preserve">Hypothesis 4b: </w:t>
      </w:r>
      <w:r w:rsidRPr="00685425">
        <w:rPr>
          <w:rFonts w:ascii="Times New Roman" w:hAnsi="Times New Roman"/>
          <w:bCs/>
          <w:i/>
        </w:rPr>
        <w:t>Firms situated in countries with high levels of UAI cannot overcome these negative national culture influences through practicing high levels of supplier communication.</w:t>
      </w:r>
    </w:p>
    <w:p w14:paraId="0D3E7C88" w14:textId="77777777" w:rsidR="00685425" w:rsidRPr="00AF264D" w:rsidRDefault="00685425" w:rsidP="007D0BD7">
      <w:pPr>
        <w:spacing w:line="480" w:lineRule="auto"/>
        <w:ind w:firstLine="284"/>
        <w:jc w:val="both"/>
        <w:rPr>
          <w:rFonts w:ascii="Times New Roman" w:hAnsi="Times New Roman" w:cs="Times New Roman"/>
        </w:rPr>
      </w:pPr>
    </w:p>
    <w:p w14:paraId="63AA89C5" w14:textId="36B0241B" w:rsidR="00643908" w:rsidRPr="00AF264D" w:rsidRDefault="00643908" w:rsidP="00954E31">
      <w:pPr>
        <w:pStyle w:val="Heading1"/>
        <w:spacing w:before="0"/>
        <w:rPr>
          <w:rFonts w:ascii="Times New Roman" w:hAnsi="Times New Roman"/>
        </w:rPr>
      </w:pPr>
      <w:r w:rsidRPr="00AF264D">
        <w:rPr>
          <w:rFonts w:ascii="Times New Roman" w:hAnsi="Times New Roman"/>
        </w:rPr>
        <w:t>3. Methodology</w:t>
      </w:r>
    </w:p>
    <w:p w14:paraId="3159AEB8" w14:textId="77777777" w:rsidR="004136B9" w:rsidRDefault="00752237" w:rsidP="00DE317D">
      <w:pPr>
        <w:spacing w:line="480" w:lineRule="auto"/>
        <w:ind w:firstLine="284"/>
        <w:jc w:val="both"/>
        <w:rPr>
          <w:rFonts w:ascii="Times New Roman" w:hAnsi="Times New Roman" w:cs="Times New Roman"/>
        </w:rPr>
      </w:pPr>
      <w:r w:rsidRPr="00AF264D">
        <w:rPr>
          <w:rFonts w:ascii="Times New Roman" w:hAnsi="Times New Roman" w:cs="Times New Roman"/>
        </w:rPr>
        <w:t>The following F</w:t>
      </w:r>
      <w:r w:rsidR="003F1CBC" w:rsidRPr="00AF264D">
        <w:rPr>
          <w:rFonts w:ascii="Times New Roman" w:hAnsi="Times New Roman" w:cs="Times New Roman"/>
        </w:rPr>
        <w:t xml:space="preserve">igure </w:t>
      </w:r>
      <w:r w:rsidRPr="00AF264D">
        <w:rPr>
          <w:rFonts w:ascii="Times New Roman" w:hAnsi="Times New Roman" w:cs="Times New Roman"/>
        </w:rPr>
        <w:t xml:space="preserve">1 </w:t>
      </w:r>
      <w:r w:rsidR="003F1CBC" w:rsidRPr="00AF264D">
        <w:rPr>
          <w:rFonts w:ascii="Times New Roman" w:hAnsi="Times New Roman" w:cs="Times New Roman"/>
        </w:rPr>
        <w:t xml:space="preserve">illustrates and summarizes our research model, including </w:t>
      </w:r>
      <w:r w:rsidRPr="00AF264D">
        <w:rPr>
          <w:rFonts w:ascii="Times New Roman" w:hAnsi="Times New Roman" w:cs="Times New Roman"/>
        </w:rPr>
        <w:t>the</w:t>
      </w:r>
      <w:r w:rsidR="003F1CBC" w:rsidRPr="00AF264D">
        <w:rPr>
          <w:rFonts w:ascii="Times New Roman" w:hAnsi="Times New Roman" w:cs="Times New Roman"/>
        </w:rPr>
        <w:t xml:space="preserve"> control variables.</w:t>
      </w:r>
    </w:p>
    <w:p w14:paraId="16648A64" w14:textId="77777777" w:rsidR="004136B9" w:rsidRDefault="004136B9" w:rsidP="00DE317D">
      <w:pPr>
        <w:spacing w:line="480" w:lineRule="auto"/>
        <w:ind w:firstLine="284"/>
        <w:jc w:val="both"/>
        <w:rPr>
          <w:rFonts w:ascii="Times New Roman" w:hAnsi="Times New Roman" w:cs="Times New Roman"/>
        </w:rPr>
      </w:pPr>
    </w:p>
    <w:p w14:paraId="640CF6C2" w14:textId="50ED0900" w:rsidR="003F1CBC" w:rsidRPr="00AF264D" w:rsidRDefault="004136B9" w:rsidP="00D61927">
      <w:pPr>
        <w:pStyle w:val="Caption"/>
        <w:keepNext/>
        <w:jc w:val="left"/>
      </w:pPr>
      <w:r w:rsidRPr="00DC4C96">
        <w:rPr>
          <w:rFonts w:ascii="Times New Roman" w:hAnsi="Times New Roman" w:cs="Times New Roman"/>
          <w:sz w:val="24"/>
          <w:lang w:val="en-GB"/>
        </w:rPr>
        <w:t>Figure 1</w:t>
      </w:r>
      <w:r>
        <w:rPr>
          <w:rFonts w:ascii="Times New Roman" w:hAnsi="Times New Roman" w:cs="Times New Roman"/>
          <w:sz w:val="24"/>
          <w:lang w:val="en-GB"/>
        </w:rPr>
        <w:t>:</w:t>
      </w:r>
      <w:r w:rsidRPr="00DC4C96">
        <w:rPr>
          <w:rFonts w:ascii="Times New Roman" w:hAnsi="Times New Roman" w:cs="Times New Roman"/>
          <w:b w:val="0"/>
          <w:sz w:val="24"/>
          <w:lang w:val="en-GB"/>
        </w:rPr>
        <w:t xml:space="preserve"> </w:t>
      </w:r>
      <w:r w:rsidRPr="00DC4C96">
        <w:rPr>
          <w:rFonts w:ascii="Times New Roman" w:hAnsi="Times New Roman" w:cs="Times New Roman"/>
          <w:b w:val="0"/>
          <w:sz w:val="24"/>
        </w:rPr>
        <w:t>Research model</w:t>
      </w:r>
    </w:p>
    <w:p w14:paraId="0462182F" w14:textId="16A4C7FF" w:rsidR="003F1CBC" w:rsidRDefault="00E81CD5" w:rsidP="003F1CBC">
      <w:pPr>
        <w:spacing w:line="480" w:lineRule="auto"/>
        <w:rPr>
          <w:rFonts w:ascii="Times New Roman" w:hAnsi="Times New Roman" w:cs="Times New Roman"/>
          <w:b/>
        </w:rPr>
      </w:pPr>
      <w:r w:rsidRPr="00AF264D">
        <w:rPr>
          <w:noProof/>
          <w:lang w:eastAsia="en-GB"/>
        </w:rPr>
        <w:drawing>
          <wp:inline distT="0" distB="0" distL="0" distR="0" wp14:anchorId="3569FF93" wp14:editId="25750DF2">
            <wp:extent cx="5426710" cy="32600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60090"/>
                    </a:xfrm>
                    <a:prstGeom prst="rect">
                      <a:avLst/>
                    </a:prstGeom>
                    <a:noFill/>
                    <a:ln>
                      <a:noFill/>
                    </a:ln>
                  </pic:spPr>
                </pic:pic>
              </a:graphicData>
            </a:graphic>
          </wp:inline>
        </w:drawing>
      </w:r>
    </w:p>
    <w:p w14:paraId="31F8B787" w14:textId="77777777" w:rsidR="003E75B7" w:rsidRPr="00AF264D" w:rsidRDefault="003E75B7" w:rsidP="003F1CBC">
      <w:pPr>
        <w:spacing w:line="480" w:lineRule="auto"/>
        <w:rPr>
          <w:rFonts w:ascii="Times New Roman" w:hAnsi="Times New Roman" w:cs="Times New Roman"/>
          <w:b/>
        </w:rPr>
      </w:pPr>
    </w:p>
    <w:p w14:paraId="42467DD1" w14:textId="77777777" w:rsidR="003F1CBC" w:rsidRPr="00AF264D" w:rsidRDefault="003F1CBC"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lastRenderedPageBreak/>
        <w:t>3.1. Dataset</w:t>
      </w:r>
    </w:p>
    <w:p w14:paraId="2555A45A" w14:textId="5FD5F170" w:rsidR="003F1CBC" w:rsidRPr="00AF264D" w:rsidRDefault="003F1CBC" w:rsidP="003F1CBC">
      <w:pPr>
        <w:spacing w:line="480" w:lineRule="auto"/>
        <w:ind w:firstLine="284"/>
        <w:jc w:val="both"/>
        <w:rPr>
          <w:rFonts w:ascii="Times New Roman" w:hAnsi="Times New Roman" w:cs="Times New Roman"/>
        </w:rPr>
      </w:pPr>
      <w:r w:rsidRPr="00AF264D">
        <w:rPr>
          <w:rFonts w:ascii="Times New Roman" w:hAnsi="Times New Roman" w:cs="Times New Roman"/>
        </w:rPr>
        <w:t xml:space="preserve">We used data collected during the fifth round of the GMRG’s survey to test our hypotheses. The data were collected between 2013 and 2014. The GMRG is a group of scholars that has collected data from manufacturing plants worldwide since 1985 </w:t>
      </w:r>
      <w:r w:rsidR="009447BE" w:rsidRPr="00AF264D">
        <w:rPr>
          <w:rFonts w:ascii="Times New Roman" w:hAnsi="Times New Roman" w:cs="Times New Roman"/>
        </w:rPr>
        <w:t>(Whybark, 1997)</w:t>
      </w:r>
      <w:r w:rsidRPr="00AF264D">
        <w:rPr>
          <w:rFonts w:ascii="Times New Roman" w:hAnsi="Times New Roman" w:cs="Times New Roman"/>
        </w:rPr>
        <w:t xml:space="preserve">. Various studies have been published that are based on the GMRG data set on topics such as </w:t>
      </w:r>
      <w:r w:rsidR="00C921BE">
        <w:rPr>
          <w:rFonts w:ascii="Times New Roman" w:hAnsi="Times New Roman" w:cs="Times New Roman"/>
        </w:rPr>
        <w:t>SCM</w:t>
      </w:r>
      <w:r w:rsidRPr="00AF264D">
        <w:rPr>
          <w:rFonts w:ascii="Times New Roman" w:hAnsi="Times New Roman" w:cs="Times New Roman"/>
        </w:rPr>
        <w:t xml:space="preserve">, operations strategy and global operations </w:t>
      </w:r>
      <w:r w:rsidR="009447BE" w:rsidRPr="00AF264D">
        <w:rPr>
          <w:rFonts w:ascii="Times New Roman" w:hAnsi="Times New Roman" w:cs="Times New Roman"/>
        </w:rPr>
        <w:t>(</w:t>
      </w:r>
      <w:r w:rsidR="00295F78">
        <w:rPr>
          <w:rFonts w:ascii="Times New Roman" w:hAnsi="Times New Roman" w:cs="Times New Roman"/>
        </w:rPr>
        <w:t>e.g.,</w:t>
      </w:r>
      <w:r w:rsidR="00C36C28" w:rsidRPr="00AF264D">
        <w:rPr>
          <w:rFonts w:ascii="Times New Roman" w:hAnsi="Times New Roman" w:cs="Times New Roman"/>
        </w:rPr>
        <w:t xml:space="preserve"> </w:t>
      </w:r>
      <w:r w:rsidR="009447BE" w:rsidRPr="00AF264D">
        <w:rPr>
          <w:rFonts w:ascii="Times New Roman" w:hAnsi="Times New Roman" w:cs="Times New Roman"/>
        </w:rPr>
        <w:t>Kull and Wacker, 2010; Schmenner and Vastag, 2006)</w:t>
      </w:r>
      <w:r w:rsidRPr="00AF264D">
        <w:rPr>
          <w:rFonts w:ascii="Times New Roman" w:hAnsi="Times New Roman" w:cs="Times New Roman"/>
        </w:rPr>
        <w:t>.</w:t>
      </w:r>
    </w:p>
    <w:p w14:paraId="618ED9F9" w14:textId="4BBDD278" w:rsidR="003F1CBC" w:rsidRPr="00AF264D" w:rsidRDefault="003F1CBC" w:rsidP="003F1CBC">
      <w:pPr>
        <w:spacing w:line="480" w:lineRule="auto"/>
        <w:ind w:firstLine="284"/>
        <w:jc w:val="both"/>
        <w:rPr>
          <w:rFonts w:ascii="Times New Roman" w:hAnsi="Times New Roman" w:cs="Times New Roman"/>
        </w:rPr>
      </w:pPr>
      <w:r w:rsidRPr="00AF264D">
        <w:rPr>
          <w:rFonts w:ascii="Times New Roman" w:hAnsi="Times New Roman" w:cs="Times New Roman"/>
        </w:rPr>
        <w:t xml:space="preserve">The unit of the analysis was the plant, and the target respondents were plant managers. The respondents were encouraged to seek input from other functions if they were deemed useful. </w:t>
      </w:r>
      <w:r w:rsidR="001273A7">
        <w:rPr>
          <w:rFonts w:ascii="Times New Roman" w:hAnsi="Times New Roman" w:cs="Times New Roman"/>
        </w:rPr>
        <w:t>As a result, for</w:t>
      </w:r>
      <w:r w:rsidR="00A06B95" w:rsidRPr="00AF264D">
        <w:rPr>
          <w:rFonts w:ascii="Times New Roman" w:hAnsi="Times New Roman" w:cs="Times New Roman"/>
        </w:rPr>
        <w:t xml:space="preserve"> each plant </w:t>
      </w:r>
      <w:r w:rsidRPr="00AF264D">
        <w:rPr>
          <w:rFonts w:ascii="Times New Roman" w:hAnsi="Times New Roman" w:cs="Times New Roman"/>
        </w:rPr>
        <w:t>up to six respondents were involved in filling in the questionnaire. The majority of the data were collected electronically through web surveys and email. Table</w:t>
      </w:r>
      <w:r w:rsidR="00AF1104">
        <w:rPr>
          <w:rFonts w:ascii="Times New Roman" w:hAnsi="Times New Roman" w:cs="Times New Roman"/>
        </w:rPr>
        <w:t>s</w:t>
      </w:r>
      <w:r w:rsidRPr="00AF264D">
        <w:rPr>
          <w:rFonts w:ascii="Times New Roman" w:hAnsi="Times New Roman" w:cs="Times New Roman"/>
        </w:rPr>
        <w:t xml:space="preserve"> 1</w:t>
      </w:r>
      <w:r w:rsidR="00AF1104">
        <w:rPr>
          <w:rFonts w:ascii="Times New Roman" w:hAnsi="Times New Roman" w:cs="Times New Roman"/>
        </w:rPr>
        <w:t>a and 1b</w:t>
      </w:r>
      <w:r w:rsidRPr="00AF264D">
        <w:rPr>
          <w:rFonts w:ascii="Times New Roman" w:hAnsi="Times New Roman" w:cs="Times New Roman"/>
        </w:rPr>
        <w:t xml:space="preserve"> provide an overview of the data set. Our sample comprises 647 responses from manufacturing plants across 12 countries (Table 2). </w:t>
      </w:r>
    </w:p>
    <w:p w14:paraId="404D1806" w14:textId="2D9C3CCA" w:rsidR="003F1CBC" w:rsidRPr="00AF264D" w:rsidRDefault="003F1CBC" w:rsidP="003F1CBC">
      <w:pPr>
        <w:spacing w:line="480" w:lineRule="auto"/>
        <w:ind w:firstLine="284"/>
        <w:jc w:val="both"/>
        <w:rPr>
          <w:rFonts w:ascii="Times New Roman" w:hAnsi="Times New Roman" w:cs="Times New Roman"/>
        </w:rPr>
      </w:pPr>
      <w:r w:rsidRPr="00AF264D">
        <w:rPr>
          <w:rFonts w:ascii="Times New Roman" w:hAnsi="Times New Roman" w:cs="Times New Roman"/>
        </w:rPr>
        <w:t xml:space="preserve">It is important to note that the fifth iteration of the GMRG survey had 1063 respondents in total. However, in addition to the core module of the survey, researchers were free to select specific sections from the innovation, sustainability, </w:t>
      </w:r>
      <w:r w:rsidR="00C921BE">
        <w:rPr>
          <w:rFonts w:ascii="Times New Roman" w:hAnsi="Times New Roman" w:cs="Times New Roman"/>
        </w:rPr>
        <w:t>SCM</w:t>
      </w:r>
      <w:r w:rsidRPr="00AF264D">
        <w:rPr>
          <w:rFonts w:ascii="Times New Roman" w:hAnsi="Times New Roman" w:cs="Times New Roman"/>
        </w:rPr>
        <w:t xml:space="preserve">, and facility culture modules. Since we used data collected from the </w:t>
      </w:r>
      <w:r w:rsidR="001273A7">
        <w:rPr>
          <w:rFonts w:ascii="Times New Roman" w:hAnsi="Times New Roman" w:cs="Times New Roman"/>
        </w:rPr>
        <w:t>supply chain module</w:t>
      </w:r>
      <w:r w:rsidRPr="00AF264D">
        <w:rPr>
          <w:rFonts w:ascii="Times New Roman" w:hAnsi="Times New Roman" w:cs="Times New Roman"/>
        </w:rPr>
        <w:t xml:space="preserve"> our sample size was significantly reduced. We thus tested for significant differences in terms of the number of employees and the percentage of foreign suppliers between the 647 and the 1063 respondents using independent sample t-test. The results indicate that mean scores for the number of employees (p=.236; t=1.186) and the percentage of foreign suppliers (p=.248; t=1,156) are not significantly different between the two samples. </w:t>
      </w:r>
    </w:p>
    <w:p w14:paraId="689F6D9A" w14:textId="77777777" w:rsidR="003F1CBC" w:rsidRPr="003E75B7" w:rsidRDefault="003F1CBC" w:rsidP="003F1CBC">
      <w:pPr>
        <w:jc w:val="center"/>
        <w:rPr>
          <w:rFonts w:ascii="Times New Roman" w:hAnsi="Times New Roman" w:cs="Times New Roman"/>
        </w:rPr>
      </w:pPr>
      <w:r w:rsidRPr="003E75B7">
        <w:rPr>
          <w:rFonts w:ascii="Times New Roman" w:hAnsi="Times New Roman" w:cs="Times New Roman"/>
        </w:rPr>
        <w:t>--------------------------------------</w:t>
      </w:r>
    </w:p>
    <w:p w14:paraId="473C9B77" w14:textId="521CC157" w:rsidR="003F1CBC" w:rsidRPr="003E75B7" w:rsidRDefault="003F1CBC" w:rsidP="003F1CBC">
      <w:pPr>
        <w:jc w:val="center"/>
        <w:rPr>
          <w:rFonts w:ascii="Times New Roman" w:hAnsi="Times New Roman" w:cs="Times New Roman"/>
        </w:rPr>
      </w:pPr>
      <w:r w:rsidRPr="003E75B7">
        <w:rPr>
          <w:rFonts w:ascii="Times New Roman" w:hAnsi="Times New Roman" w:cs="Times New Roman"/>
        </w:rPr>
        <w:t>Insert Table</w:t>
      </w:r>
      <w:r w:rsidR="00AF1104">
        <w:rPr>
          <w:rFonts w:ascii="Times New Roman" w:hAnsi="Times New Roman" w:cs="Times New Roman"/>
        </w:rPr>
        <w:t>s</w:t>
      </w:r>
      <w:r w:rsidRPr="003E75B7">
        <w:rPr>
          <w:rFonts w:ascii="Times New Roman" w:hAnsi="Times New Roman" w:cs="Times New Roman"/>
        </w:rPr>
        <w:t xml:space="preserve"> 1</w:t>
      </w:r>
      <w:r w:rsidR="00AF1104">
        <w:rPr>
          <w:rFonts w:ascii="Times New Roman" w:hAnsi="Times New Roman" w:cs="Times New Roman"/>
        </w:rPr>
        <w:t>a and 1b</w:t>
      </w:r>
      <w:r w:rsidRPr="003E75B7">
        <w:rPr>
          <w:rFonts w:ascii="Times New Roman" w:hAnsi="Times New Roman" w:cs="Times New Roman"/>
        </w:rPr>
        <w:t xml:space="preserve"> about here</w:t>
      </w:r>
    </w:p>
    <w:p w14:paraId="7B24FAFF" w14:textId="77777777" w:rsidR="003F1CBC" w:rsidRPr="003E75B7" w:rsidRDefault="003F1CBC" w:rsidP="003F1CBC">
      <w:pPr>
        <w:jc w:val="center"/>
        <w:rPr>
          <w:rFonts w:ascii="Times New Roman" w:hAnsi="Times New Roman" w:cs="Times New Roman"/>
        </w:rPr>
      </w:pPr>
      <w:r w:rsidRPr="003E75B7">
        <w:rPr>
          <w:rFonts w:ascii="Times New Roman" w:hAnsi="Times New Roman" w:cs="Times New Roman"/>
        </w:rPr>
        <w:t>----------------------------------------</w:t>
      </w:r>
    </w:p>
    <w:p w14:paraId="294576B3" w14:textId="77777777" w:rsidR="003E75B7" w:rsidRPr="003E75B7" w:rsidRDefault="003E75B7" w:rsidP="003E75B7">
      <w:pPr>
        <w:jc w:val="center"/>
        <w:rPr>
          <w:rFonts w:ascii="Times New Roman" w:hAnsi="Times New Roman" w:cs="Times New Roman"/>
        </w:rPr>
      </w:pPr>
      <w:r w:rsidRPr="003E75B7">
        <w:rPr>
          <w:rFonts w:ascii="Times New Roman" w:hAnsi="Times New Roman" w:cs="Times New Roman"/>
        </w:rPr>
        <w:lastRenderedPageBreak/>
        <w:t>--------------------------------------</w:t>
      </w:r>
    </w:p>
    <w:p w14:paraId="68E78339" w14:textId="53C26D41" w:rsidR="003E75B7" w:rsidRPr="003E75B7" w:rsidRDefault="003E75B7" w:rsidP="003E75B7">
      <w:pPr>
        <w:jc w:val="center"/>
        <w:rPr>
          <w:rFonts w:ascii="Times New Roman" w:hAnsi="Times New Roman" w:cs="Times New Roman"/>
        </w:rPr>
      </w:pPr>
      <w:r w:rsidRPr="003E75B7">
        <w:rPr>
          <w:rFonts w:ascii="Times New Roman" w:hAnsi="Times New Roman" w:cs="Times New Roman"/>
        </w:rPr>
        <w:t xml:space="preserve">Insert Table </w:t>
      </w:r>
      <w:r>
        <w:rPr>
          <w:rFonts w:ascii="Times New Roman" w:hAnsi="Times New Roman" w:cs="Times New Roman"/>
        </w:rPr>
        <w:t>2</w:t>
      </w:r>
      <w:r w:rsidRPr="003E75B7">
        <w:rPr>
          <w:rFonts w:ascii="Times New Roman" w:hAnsi="Times New Roman" w:cs="Times New Roman"/>
        </w:rPr>
        <w:t xml:space="preserve"> about here</w:t>
      </w:r>
    </w:p>
    <w:p w14:paraId="159A5D91" w14:textId="73FF9E13" w:rsidR="003F1CBC" w:rsidRPr="00AF264D" w:rsidRDefault="003E75B7" w:rsidP="00DC4C96">
      <w:pPr>
        <w:jc w:val="center"/>
        <w:rPr>
          <w:rFonts w:ascii="Times New Roman" w:hAnsi="Times New Roman" w:cs="Times New Roman"/>
        </w:rPr>
      </w:pPr>
      <w:r w:rsidRPr="003E75B7">
        <w:rPr>
          <w:rFonts w:ascii="Times New Roman" w:hAnsi="Times New Roman" w:cs="Times New Roman"/>
        </w:rPr>
        <w:t>----------------------------------------</w:t>
      </w:r>
    </w:p>
    <w:p w14:paraId="7D11A6EA" w14:textId="77777777" w:rsidR="003F1CBC" w:rsidRPr="00AF264D" w:rsidRDefault="003F1CBC" w:rsidP="003F1CBC">
      <w:pPr>
        <w:spacing w:line="480" w:lineRule="auto"/>
        <w:rPr>
          <w:rFonts w:ascii="Times New Roman" w:hAnsi="Times New Roman" w:cs="Times New Roman"/>
        </w:rPr>
      </w:pPr>
    </w:p>
    <w:p w14:paraId="293D5253" w14:textId="77777777" w:rsidR="003F1CBC" w:rsidRPr="00AF264D" w:rsidRDefault="003F1CBC"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3.2. Measures</w:t>
      </w:r>
    </w:p>
    <w:p w14:paraId="308C029C" w14:textId="2D1118B4" w:rsidR="003F1CBC" w:rsidRDefault="003F1CBC" w:rsidP="00B567E8">
      <w:pPr>
        <w:spacing w:line="480" w:lineRule="auto"/>
        <w:ind w:firstLine="284"/>
        <w:jc w:val="both"/>
        <w:rPr>
          <w:rFonts w:ascii="Times New Roman" w:hAnsi="Times New Roman" w:cs="Times New Roman"/>
        </w:rPr>
      </w:pPr>
      <w:r w:rsidRPr="00AF264D">
        <w:rPr>
          <w:rFonts w:ascii="Times New Roman" w:hAnsi="Times New Roman" w:cs="Times New Roman"/>
        </w:rPr>
        <w:t xml:space="preserve">To test the hypotheses in the prosed research model we deployed various measures. Regulatory environment of the country </w:t>
      </w:r>
      <w:r w:rsidR="001273A7">
        <w:rPr>
          <w:rFonts w:ascii="Times New Roman" w:hAnsi="Times New Roman" w:cs="Times New Roman"/>
        </w:rPr>
        <w:t>is</w:t>
      </w:r>
      <w:r w:rsidRPr="00AF264D">
        <w:rPr>
          <w:rFonts w:ascii="Times New Roman" w:hAnsi="Times New Roman" w:cs="Times New Roman"/>
        </w:rPr>
        <w:t xml:space="preserve"> assessed by using a composite index provided by the World Economic Forum and issued in the Global Enabling Trade report 2012 </w:t>
      </w:r>
      <w:r w:rsidR="009447BE" w:rsidRPr="00AF264D">
        <w:rPr>
          <w:rFonts w:ascii="Times New Roman" w:hAnsi="Times New Roman" w:cs="Times New Roman"/>
        </w:rPr>
        <w:t xml:space="preserve">(Lawrence </w:t>
      </w:r>
      <w:r w:rsidR="009447BE" w:rsidRPr="003E75B7">
        <w:rPr>
          <w:rFonts w:ascii="Times New Roman" w:hAnsi="Times New Roman" w:cs="Times New Roman"/>
          <w:i/>
        </w:rPr>
        <w:t>et al.</w:t>
      </w:r>
      <w:r w:rsidR="009447BE" w:rsidRPr="00AF264D">
        <w:rPr>
          <w:rFonts w:ascii="Times New Roman" w:hAnsi="Times New Roman" w:cs="Times New Roman"/>
        </w:rPr>
        <w:t>, 2012)</w:t>
      </w:r>
      <w:r w:rsidRPr="00AF264D">
        <w:rPr>
          <w:rFonts w:ascii="Times New Roman" w:hAnsi="Times New Roman" w:cs="Times New Roman"/>
        </w:rPr>
        <w:t xml:space="preserve">. The index is composed of eight </w:t>
      </w:r>
      <w:r w:rsidR="00A67F16">
        <w:rPr>
          <w:rFonts w:ascii="Times New Roman" w:hAnsi="Times New Roman" w:cs="Times New Roman"/>
        </w:rPr>
        <w:t>country level composite scores</w:t>
      </w:r>
      <w:r w:rsidRPr="00AF264D">
        <w:rPr>
          <w:rFonts w:ascii="Times New Roman" w:hAnsi="Times New Roman" w:cs="Times New Roman"/>
        </w:rPr>
        <w:t xml:space="preserve"> </w:t>
      </w:r>
      <w:r w:rsidR="00A67F16">
        <w:rPr>
          <w:rFonts w:ascii="Times New Roman" w:hAnsi="Times New Roman" w:cs="Times New Roman"/>
        </w:rPr>
        <w:t xml:space="preserve">and measures </w:t>
      </w:r>
      <w:r w:rsidR="00A67F16" w:rsidRPr="00AF264D">
        <w:rPr>
          <w:rFonts w:ascii="Times New Roman" w:hAnsi="Times New Roman" w:cs="Times New Roman"/>
        </w:rPr>
        <w:t>gauging</w:t>
      </w:r>
      <w:r w:rsidRPr="00AF264D">
        <w:rPr>
          <w:rFonts w:ascii="Times New Roman" w:hAnsi="Times New Roman" w:cs="Times New Roman"/>
        </w:rPr>
        <w:t xml:space="preserve"> </w:t>
      </w:r>
      <w:r w:rsidR="00A67F16">
        <w:rPr>
          <w:rFonts w:ascii="Times New Roman" w:hAnsi="Times New Roman" w:cs="Times New Roman"/>
        </w:rPr>
        <w:t>(see Table 3).</w:t>
      </w:r>
      <w:r w:rsidRPr="00AF264D">
        <w:rPr>
          <w:rFonts w:ascii="Times New Roman" w:hAnsi="Times New Roman" w:cs="Times New Roman"/>
        </w:rPr>
        <w:t xml:space="preserve"> Scores for the composite index range between 1 (</w:t>
      </w:r>
      <w:r w:rsidR="004136B9">
        <w:rPr>
          <w:rFonts w:ascii="Times New Roman" w:hAnsi="Times New Roman" w:cs="Times New Roman"/>
        </w:rPr>
        <w:t>=</w:t>
      </w:r>
      <w:r w:rsidRPr="00AF264D">
        <w:rPr>
          <w:rFonts w:ascii="Times New Roman" w:hAnsi="Times New Roman" w:cs="Times New Roman"/>
        </w:rPr>
        <w:t xml:space="preserve">worst performance) and 7 (=best performance). All sub-indices with the composite index were issued by the World Economic Forum and the International Trade Centre in the period 2011-2012 drawing on data collected in the Global Competitiveness Survey and the Trade Treaties Map. More detailed information regarding data collection in each of the sub-indices and the deployed measures can be obtained from </w:t>
      </w:r>
      <w:r w:rsidR="009447BE" w:rsidRPr="00AF264D">
        <w:rPr>
          <w:rFonts w:ascii="Times New Roman" w:hAnsi="Times New Roman" w:cs="Times New Roman"/>
        </w:rPr>
        <w:t xml:space="preserve">(Lawrence </w:t>
      </w:r>
      <w:r w:rsidR="009447BE" w:rsidRPr="003E75B7">
        <w:rPr>
          <w:rFonts w:ascii="Times New Roman" w:hAnsi="Times New Roman" w:cs="Times New Roman"/>
          <w:i/>
        </w:rPr>
        <w:t>et al.</w:t>
      </w:r>
      <w:r w:rsidR="009447BE" w:rsidRPr="00AF264D">
        <w:rPr>
          <w:rFonts w:ascii="Times New Roman" w:hAnsi="Times New Roman" w:cs="Times New Roman"/>
        </w:rPr>
        <w:t>, 2012)</w:t>
      </w:r>
      <w:r w:rsidRPr="00AF264D">
        <w:rPr>
          <w:rFonts w:ascii="Times New Roman" w:hAnsi="Times New Roman" w:cs="Times New Roman"/>
        </w:rPr>
        <w:t xml:space="preserve">. </w:t>
      </w:r>
    </w:p>
    <w:p w14:paraId="3DF2D988" w14:textId="77777777" w:rsidR="00B567E8" w:rsidRPr="003E75B7" w:rsidRDefault="00B567E8" w:rsidP="00B567E8">
      <w:pPr>
        <w:jc w:val="center"/>
        <w:rPr>
          <w:rFonts w:ascii="Times New Roman" w:hAnsi="Times New Roman" w:cs="Times New Roman"/>
        </w:rPr>
      </w:pPr>
      <w:r w:rsidRPr="003E75B7">
        <w:rPr>
          <w:rFonts w:ascii="Times New Roman" w:hAnsi="Times New Roman" w:cs="Times New Roman"/>
        </w:rPr>
        <w:t>--------------------------------------</w:t>
      </w:r>
    </w:p>
    <w:p w14:paraId="288FFF17" w14:textId="12580666" w:rsidR="00B567E8" w:rsidRPr="003E75B7" w:rsidRDefault="00B567E8" w:rsidP="00B567E8">
      <w:pPr>
        <w:jc w:val="center"/>
        <w:rPr>
          <w:rFonts w:ascii="Times New Roman" w:hAnsi="Times New Roman" w:cs="Times New Roman"/>
        </w:rPr>
      </w:pPr>
      <w:r w:rsidRPr="003E75B7">
        <w:rPr>
          <w:rFonts w:ascii="Times New Roman" w:hAnsi="Times New Roman" w:cs="Times New Roman"/>
        </w:rPr>
        <w:t xml:space="preserve">Insert Table </w:t>
      </w:r>
      <w:r>
        <w:rPr>
          <w:rFonts w:ascii="Times New Roman" w:hAnsi="Times New Roman" w:cs="Times New Roman"/>
        </w:rPr>
        <w:t>3</w:t>
      </w:r>
      <w:r w:rsidRPr="003E75B7">
        <w:rPr>
          <w:rFonts w:ascii="Times New Roman" w:hAnsi="Times New Roman" w:cs="Times New Roman"/>
        </w:rPr>
        <w:t xml:space="preserve"> about here</w:t>
      </w:r>
    </w:p>
    <w:p w14:paraId="3739D02D" w14:textId="77777777" w:rsidR="00B567E8" w:rsidRPr="00AF264D" w:rsidRDefault="00B567E8" w:rsidP="00B567E8">
      <w:pPr>
        <w:jc w:val="center"/>
        <w:rPr>
          <w:rFonts w:ascii="Times New Roman" w:hAnsi="Times New Roman" w:cs="Times New Roman"/>
        </w:rPr>
      </w:pPr>
      <w:r w:rsidRPr="003E75B7">
        <w:rPr>
          <w:rFonts w:ascii="Times New Roman" w:hAnsi="Times New Roman" w:cs="Times New Roman"/>
        </w:rPr>
        <w:t>----------------------------------------</w:t>
      </w:r>
    </w:p>
    <w:p w14:paraId="15C19160" w14:textId="77777777" w:rsidR="00B567E8" w:rsidRPr="00AF264D" w:rsidRDefault="00B567E8" w:rsidP="00B567E8">
      <w:pPr>
        <w:spacing w:line="480" w:lineRule="auto"/>
        <w:ind w:firstLine="284"/>
        <w:jc w:val="both"/>
        <w:rPr>
          <w:rFonts w:ascii="Times New Roman" w:hAnsi="Times New Roman" w:cs="Times New Roman"/>
        </w:rPr>
      </w:pPr>
    </w:p>
    <w:p w14:paraId="064CE6F4" w14:textId="03ED6EC3" w:rsidR="003F1CBC" w:rsidRPr="00AF264D" w:rsidRDefault="003F1CBC" w:rsidP="00DE317D">
      <w:pPr>
        <w:spacing w:line="480" w:lineRule="auto"/>
        <w:ind w:firstLine="284"/>
        <w:jc w:val="both"/>
        <w:rPr>
          <w:rFonts w:ascii="Times New Roman" w:hAnsi="Times New Roman" w:cs="Times New Roman"/>
        </w:rPr>
      </w:pPr>
      <w:r w:rsidRPr="00AF264D">
        <w:rPr>
          <w:rFonts w:ascii="Times New Roman" w:hAnsi="Times New Roman" w:cs="Times New Roman"/>
        </w:rPr>
        <w:t>The variable of “Prolonged neglect of critical infrastructure and its development needs” is a single i</w:t>
      </w:r>
      <w:r w:rsidR="001273A7">
        <w:rPr>
          <w:rFonts w:ascii="Times New Roman" w:hAnsi="Times New Roman" w:cs="Times New Roman"/>
        </w:rPr>
        <w:t>tem measure resulting from the E</w:t>
      </w:r>
      <w:r w:rsidRPr="00AF264D">
        <w:rPr>
          <w:rFonts w:ascii="Times New Roman" w:hAnsi="Times New Roman" w:cs="Times New Roman"/>
        </w:rPr>
        <w:t xml:space="preserve">xecutive </w:t>
      </w:r>
      <w:r w:rsidR="001273A7">
        <w:rPr>
          <w:rFonts w:ascii="Times New Roman" w:hAnsi="Times New Roman" w:cs="Times New Roman"/>
        </w:rPr>
        <w:t>Opinion S</w:t>
      </w:r>
      <w:r w:rsidRPr="00AF264D">
        <w:rPr>
          <w:rFonts w:ascii="Times New Roman" w:hAnsi="Times New Roman" w:cs="Times New Roman"/>
        </w:rPr>
        <w:t>urvey 2012 of the World Economic Forum. 13</w:t>
      </w:r>
      <w:r w:rsidR="00C921BE">
        <w:rPr>
          <w:rFonts w:ascii="Times New Roman" w:hAnsi="Times New Roman" w:cs="Times New Roman"/>
        </w:rPr>
        <w:t>,</w:t>
      </w:r>
      <w:r w:rsidRPr="00AF264D">
        <w:rPr>
          <w:rFonts w:ascii="Times New Roman" w:hAnsi="Times New Roman" w:cs="Times New Roman"/>
        </w:rPr>
        <w:t xml:space="preserve">000 executives in 144 countries were asked to assess whether they are concerned regarding the neglect of critical infrastructure and its development needs in the particular country. The scale ranged from 1 (=not concerned) to 19 (=highly concerned). The data is published in the Global Competitiveness Report 2014-2015. The interested reader is referred to the </w:t>
      </w:r>
      <w:r w:rsidR="009447BE" w:rsidRPr="00AF264D">
        <w:rPr>
          <w:rFonts w:ascii="Times New Roman" w:hAnsi="Times New Roman" w:cs="Times New Roman"/>
        </w:rPr>
        <w:t>(“Executive Opinion Survey 2012”, 2012)</w:t>
      </w:r>
    </w:p>
    <w:p w14:paraId="4F44CEAB" w14:textId="46BED940" w:rsidR="003F1CBC" w:rsidRPr="00AF264D" w:rsidRDefault="003F1CBC" w:rsidP="00DE317D">
      <w:pPr>
        <w:spacing w:line="480" w:lineRule="auto"/>
        <w:ind w:firstLine="284"/>
        <w:jc w:val="both"/>
        <w:rPr>
          <w:rFonts w:ascii="Times New Roman" w:hAnsi="Times New Roman" w:cs="Times New Roman"/>
        </w:rPr>
      </w:pPr>
      <w:r w:rsidRPr="00AF264D">
        <w:rPr>
          <w:rFonts w:ascii="Times New Roman" w:hAnsi="Times New Roman"/>
        </w:rPr>
        <w:lastRenderedPageBreak/>
        <w:t xml:space="preserve">Differences in national culture </w:t>
      </w:r>
      <w:r w:rsidR="00C921BE">
        <w:rPr>
          <w:rFonts w:ascii="Times New Roman" w:hAnsi="Times New Roman" w:cs="Times New Roman"/>
        </w:rPr>
        <w:t>UAI</w:t>
      </w:r>
      <w:r w:rsidRPr="00AF264D">
        <w:rPr>
          <w:rFonts w:ascii="Times New Roman" w:hAnsi="Times New Roman" w:cs="Times New Roman"/>
        </w:rPr>
        <w:t xml:space="preserve"> is measured through </w:t>
      </w:r>
      <w:r w:rsidR="009447BE" w:rsidRPr="00AF264D">
        <w:rPr>
          <w:rFonts w:ascii="Times New Roman" w:hAnsi="Times New Roman" w:cs="Times New Roman"/>
        </w:rPr>
        <w:t>(Hofstede, 1984)</w:t>
      </w:r>
      <w:r w:rsidRPr="00AF264D">
        <w:rPr>
          <w:rFonts w:ascii="Times New Roman" w:hAnsi="Times New Roman" w:cs="Times New Roman"/>
        </w:rPr>
        <w:t xml:space="preserve">. Hofstede’s model of cultural dimension was last updated in 2010. </w:t>
      </w:r>
    </w:p>
    <w:p w14:paraId="1DB96086" w14:textId="56DEBBB7" w:rsidR="003F1CBC" w:rsidRDefault="003F1CBC" w:rsidP="004136B9">
      <w:pPr>
        <w:spacing w:line="480" w:lineRule="auto"/>
        <w:ind w:firstLine="284"/>
        <w:rPr>
          <w:rFonts w:ascii="Times New Roman" w:hAnsi="Times New Roman" w:cs="Times New Roman"/>
        </w:rPr>
      </w:pPr>
      <w:r w:rsidRPr="00AF264D">
        <w:rPr>
          <w:rFonts w:ascii="Times New Roman" w:hAnsi="Times New Roman" w:cs="Times New Roman"/>
        </w:rPr>
        <w:t xml:space="preserve">The latent construct “supplier communication” is operationalized by three items </w:t>
      </w:r>
      <w:r w:rsidR="001273A7">
        <w:rPr>
          <w:rFonts w:ascii="Times New Roman" w:hAnsi="Times New Roman" w:cs="Times New Roman"/>
        </w:rPr>
        <w:t>from the GMRG survey</w:t>
      </w:r>
      <w:r w:rsidR="005814B3">
        <w:rPr>
          <w:rFonts w:ascii="Times New Roman" w:hAnsi="Times New Roman" w:cs="Times New Roman"/>
        </w:rPr>
        <w:t xml:space="preserve"> (7</w:t>
      </w:r>
      <w:r w:rsidR="005814B3" w:rsidRPr="004136B9">
        <w:rPr>
          <w:rFonts w:ascii="Times New Roman" w:hAnsi="Times New Roman" w:cs="Times New Roman"/>
        </w:rPr>
        <w:t>-point Likert scal</w:t>
      </w:r>
      <w:r w:rsidR="005814B3">
        <w:rPr>
          <w:rFonts w:ascii="Times New Roman" w:hAnsi="Times New Roman" w:cs="Times New Roman"/>
        </w:rPr>
        <w:t>e;</w:t>
      </w:r>
      <w:r w:rsidR="005814B3" w:rsidRPr="004136B9">
        <w:rPr>
          <w:rFonts w:ascii="Times New Roman" w:hAnsi="Times New Roman" w:cs="Times New Roman"/>
        </w:rPr>
        <w:t xml:space="preserve"> </w:t>
      </w:r>
      <w:r w:rsidR="005814B3">
        <w:rPr>
          <w:rFonts w:ascii="Times New Roman" w:hAnsi="Times New Roman" w:cs="Times New Roman"/>
        </w:rPr>
        <w:t>1 = not at all</w:t>
      </w:r>
      <w:r w:rsidR="00142475">
        <w:rPr>
          <w:rFonts w:ascii="Times New Roman" w:hAnsi="Times New Roman" w:cs="Times New Roman"/>
        </w:rPr>
        <w:t>;</w:t>
      </w:r>
      <w:r w:rsidR="005814B3">
        <w:rPr>
          <w:rFonts w:ascii="Times New Roman" w:hAnsi="Times New Roman" w:cs="Times New Roman"/>
        </w:rPr>
        <w:t xml:space="preserve"> 7 = great extend)</w:t>
      </w:r>
      <w:r w:rsidR="001273A7">
        <w:rPr>
          <w:rFonts w:ascii="Times New Roman" w:hAnsi="Times New Roman" w:cs="Times New Roman"/>
        </w:rPr>
        <w:t xml:space="preserve"> </w:t>
      </w:r>
      <w:r w:rsidRPr="00AF264D">
        <w:rPr>
          <w:rFonts w:ascii="Times New Roman" w:hAnsi="Times New Roman" w:cs="Times New Roman"/>
        </w:rPr>
        <w:t>tapping into the extent to which the buying firm and its key suppliers (a) exchange proprietary information, (b)</w:t>
      </w:r>
      <w:r w:rsidR="007D0A35">
        <w:rPr>
          <w:rFonts w:ascii="Times New Roman" w:hAnsi="Times New Roman" w:cs="Times New Roman"/>
        </w:rPr>
        <w:t xml:space="preserve"> </w:t>
      </w:r>
      <w:r w:rsidRPr="00AF264D">
        <w:rPr>
          <w:rFonts w:ascii="Times New Roman" w:hAnsi="Times New Roman" w:cs="Times New Roman"/>
        </w:rPr>
        <w:t>inform each other about events affecting the other party and (c) regularly exchange information of supply and demand forecast</w:t>
      </w:r>
      <w:r w:rsidR="005814B3">
        <w:rPr>
          <w:rFonts w:ascii="Times New Roman" w:hAnsi="Times New Roman" w:cs="Times New Roman"/>
        </w:rPr>
        <w:t xml:space="preserve"> </w:t>
      </w:r>
      <w:r w:rsidR="005814B3" w:rsidRPr="00AF264D">
        <w:rPr>
          <w:rFonts w:ascii="Times New Roman" w:hAnsi="Times New Roman" w:cs="Times New Roman"/>
        </w:rPr>
        <w:t xml:space="preserve">(Carr and Smeltzer, 1999; Paulraj </w:t>
      </w:r>
      <w:r w:rsidR="005814B3" w:rsidRPr="003E75B7">
        <w:rPr>
          <w:rFonts w:ascii="Times New Roman" w:hAnsi="Times New Roman" w:cs="Times New Roman"/>
          <w:i/>
        </w:rPr>
        <w:t>et al.</w:t>
      </w:r>
      <w:r w:rsidR="005814B3" w:rsidRPr="00AF264D">
        <w:rPr>
          <w:rFonts w:ascii="Times New Roman" w:hAnsi="Times New Roman" w:cs="Times New Roman"/>
        </w:rPr>
        <w:t>, 2008)</w:t>
      </w:r>
      <w:r w:rsidR="003131BB">
        <w:rPr>
          <w:rFonts w:ascii="Times New Roman" w:hAnsi="Times New Roman" w:cs="Times New Roman"/>
        </w:rPr>
        <w:t xml:space="preserve">, with </w:t>
      </w:r>
      <w:r w:rsidR="005814B3">
        <w:rPr>
          <w:rFonts w:ascii="Times New Roman" w:hAnsi="Times New Roman" w:cs="Times New Roman"/>
        </w:rPr>
        <w:t>standardized regression weights .421, .648 and item c as the marker</w:t>
      </w:r>
      <w:r w:rsidRPr="00AF264D">
        <w:rPr>
          <w:rFonts w:ascii="Times New Roman" w:hAnsi="Times New Roman" w:cs="Times New Roman"/>
        </w:rPr>
        <w:t xml:space="preserve">. </w:t>
      </w:r>
    </w:p>
    <w:p w14:paraId="12EB5582" w14:textId="723EE89A" w:rsidR="00C91315" w:rsidRDefault="003F1CBC" w:rsidP="00DE317D">
      <w:pPr>
        <w:spacing w:line="480" w:lineRule="auto"/>
        <w:ind w:firstLine="284"/>
        <w:jc w:val="both"/>
        <w:rPr>
          <w:rFonts w:ascii="Times New Roman" w:hAnsi="Times New Roman" w:cs="Times New Roman"/>
        </w:rPr>
      </w:pPr>
      <w:r w:rsidRPr="00AF264D">
        <w:rPr>
          <w:rFonts w:ascii="Times New Roman" w:hAnsi="Times New Roman" w:cs="Times New Roman"/>
        </w:rPr>
        <w:t xml:space="preserve">The dependent variable of “upstream on-time deliveries” also </w:t>
      </w:r>
      <w:r w:rsidR="00C710A8" w:rsidRPr="00AF264D">
        <w:rPr>
          <w:rFonts w:ascii="Times New Roman" w:hAnsi="Times New Roman" w:cs="Times New Roman"/>
        </w:rPr>
        <w:t>results</w:t>
      </w:r>
      <w:r w:rsidRPr="00AF264D">
        <w:rPr>
          <w:rFonts w:ascii="Times New Roman" w:hAnsi="Times New Roman" w:cs="Times New Roman"/>
        </w:rPr>
        <w:t xml:space="preserve"> from the GMRG survey’s fifth round (Table </w:t>
      </w:r>
      <w:r w:rsidR="00B567E8">
        <w:rPr>
          <w:rFonts w:ascii="Times New Roman" w:hAnsi="Times New Roman" w:cs="Times New Roman"/>
        </w:rPr>
        <w:t>4</w:t>
      </w:r>
      <w:r w:rsidRPr="00AF264D">
        <w:rPr>
          <w:rFonts w:ascii="Times New Roman" w:hAnsi="Times New Roman" w:cs="Times New Roman"/>
        </w:rPr>
        <w:t xml:space="preserve">). It is a </w:t>
      </w:r>
      <w:r w:rsidR="00C91315" w:rsidRPr="00AF264D">
        <w:rPr>
          <w:rFonts w:ascii="Times New Roman" w:hAnsi="Times New Roman" w:cs="Times New Roman"/>
        </w:rPr>
        <w:t xml:space="preserve">non-perceptual </w:t>
      </w:r>
      <w:r w:rsidRPr="00AF264D">
        <w:rPr>
          <w:rFonts w:ascii="Times New Roman" w:hAnsi="Times New Roman" w:cs="Times New Roman"/>
        </w:rPr>
        <w:t xml:space="preserve">single item variable that measures the percentage of late deliveries (reverse measure) at the respondent’s plant. </w:t>
      </w:r>
      <w:r w:rsidR="00C91315" w:rsidRPr="00AF264D">
        <w:rPr>
          <w:rFonts w:ascii="Times New Roman" w:hAnsi="Times New Roman" w:cs="Times New Roman"/>
        </w:rPr>
        <w:t xml:space="preserve">However, these data are not normally distributed and have an upper limit of 100%. </w:t>
      </w:r>
      <w:r w:rsidR="00505C8D" w:rsidRPr="00AF264D">
        <w:rPr>
          <w:rFonts w:ascii="Times New Roman" w:hAnsi="Times New Roman" w:cs="Times New Roman"/>
        </w:rPr>
        <w:t>Consistent</w:t>
      </w:r>
      <w:r w:rsidR="00C91315" w:rsidRPr="00AF264D">
        <w:rPr>
          <w:rFonts w:ascii="Times New Roman" w:hAnsi="Times New Roman" w:cs="Times New Roman"/>
        </w:rPr>
        <w:t xml:space="preserve"> with previous literature </w:t>
      </w:r>
      <w:r w:rsidR="009447BE" w:rsidRPr="00AF264D">
        <w:rPr>
          <w:rFonts w:ascii="Times New Roman" w:hAnsi="Times New Roman" w:cs="Times New Roman"/>
        </w:rPr>
        <w:t>(</w:t>
      </w:r>
      <w:r w:rsidR="00295F78">
        <w:rPr>
          <w:rFonts w:ascii="Times New Roman" w:hAnsi="Times New Roman" w:cs="Times New Roman"/>
        </w:rPr>
        <w:t>e.g.,</w:t>
      </w:r>
      <w:r w:rsidR="00C36C28" w:rsidRPr="00AF264D">
        <w:rPr>
          <w:rFonts w:ascii="Times New Roman" w:hAnsi="Times New Roman" w:cs="Times New Roman"/>
        </w:rPr>
        <w:t xml:space="preserve"> </w:t>
      </w:r>
      <w:r w:rsidR="009447BE" w:rsidRPr="00AF264D">
        <w:rPr>
          <w:rFonts w:ascii="Times New Roman" w:hAnsi="Times New Roman" w:cs="Times New Roman"/>
        </w:rPr>
        <w:t xml:space="preserve">Queenan </w:t>
      </w:r>
      <w:r w:rsidR="009447BE" w:rsidRPr="003E75B7">
        <w:rPr>
          <w:rFonts w:ascii="Times New Roman" w:hAnsi="Times New Roman" w:cs="Times New Roman"/>
          <w:i/>
        </w:rPr>
        <w:t>et al.</w:t>
      </w:r>
      <w:r w:rsidR="009447BE" w:rsidRPr="00AF264D">
        <w:rPr>
          <w:rFonts w:ascii="Times New Roman" w:hAnsi="Times New Roman" w:cs="Times New Roman"/>
        </w:rPr>
        <w:t>, 2016)</w:t>
      </w:r>
      <w:r w:rsidR="00C91315" w:rsidRPr="00AF264D">
        <w:rPr>
          <w:rFonts w:ascii="Times New Roman" w:hAnsi="Times New Roman" w:cs="Times New Roman"/>
        </w:rPr>
        <w:t xml:space="preserve">, and in order to meet normality assumptions required in our statistical analysis, we conduct a logit transformation of the data: </w:t>
      </w:r>
      <m:oMath>
        <m:sSub>
          <m:sSubPr>
            <m:ctrlPr>
              <w:rPr>
                <w:rFonts w:ascii="Cambria Math" w:hAnsi="Cambria Math" w:cs="Times New Roman"/>
                <w:i/>
              </w:rPr>
            </m:ctrlPr>
          </m:sSubPr>
          <m:e>
            <m:r>
              <w:rPr>
                <w:rFonts w:ascii="Cambria Math" w:hAnsi="Cambria Math" w:cs="Times New Roman"/>
              </w:rPr>
              <m:t>logit(p</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log⁡</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 (1-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m:t>
        </m:r>
      </m:oMath>
      <w:r w:rsidR="00686A98" w:rsidRPr="00AF264D">
        <w:rPr>
          <w:rFonts w:ascii="Times New Roman" w:hAnsi="Times New Roman" w:cs="Times New Roman"/>
        </w:rPr>
        <w:t xml:space="preserve">, where </w:t>
      </w:r>
      <w:r w:rsidR="0016296F" w:rsidRPr="006616C7">
        <w:rPr>
          <w:rFonts w:ascii="Times New Roman" w:hAnsi="Times New Roman" w:cs="Times New Roman"/>
          <w:i/>
        </w:rPr>
        <w:t>p</w:t>
      </w:r>
      <w:r w:rsidR="00686A98" w:rsidRPr="006616C7">
        <w:rPr>
          <w:rFonts w:ascii="Times New Roman" w:hAnsi="Times New Roman" w:cs="Times New Roman"/>
          <w:i/>
          <w:vertAlign w:val="subscript"/>
        </w:rPr>
        <w:t>i</w:t>
      </w:r>
      <w:r w:rsidR="00C91315" w:rsidRPr="00AF264D">
        <w:rPr>
          <w:rFonts w:ascii="Times New Roman" w:hAnsi="Times New Roman" w:cs="Times New Roman"/>
          <w:vertAlign w:val="subscript"/>
        </w:rPr>
        <w:t xml:space="preserve"> </w:t>
      </w:r>
      <w:r w:rsidR="00C91315" w:rsidRPr="00AF264D">
        <w:rPr>
          <w:rFonts w:ascii="Times New Roman" w:hAnsi="Times New Roman" w:cs="Times New Roman"/>
        </w:rPr>
        <w:t>is the log</w:t>
      </w:r>
      <w:r w:rsidR="00C36C28" w:rsidRPr="00AF264D">
        <w:rPr>
          <w:rFonts w:ascii="Times New Roman" w:hAnsi="Times New Roman" w:cs="Times New Roman"/>
        </w:rPr>
        <w:t>it</w:t>
      </w:r>
      <w:r w:rsidR="00C91315" w:rsidRPr="00AF264D">
        <w:rPr>
          <w:rFonts w:ascii="Times New Roman" w:hAnsi="Times New Roman" w:cs="Times New Roman"/>
        </w:rPr>
        <w:t xml:space="preserve"> transformed</w:t>
      </w:r>
      <w:r w:rsidR="00C91315" w:rsidRPr="00AF264D">
        <w:rPr>
          <w:rFonts w:ascii="Times New Roman" w:hAnsi="Times New Roman" w:cs="Times New Roman"/>
          <w:vertAlign w:val="subscript"/>
        </w:rPr>
        <w:t xml:space="preserve"> </w:t>
      </w:r>
      <w:r w:rsidR="00C91315" w:rsidRPr="00AF264D">
        <w:rPr>
          <w:rFonts w:ascii="Times New Roman" w:hAnsi="Times New Roman" w:cs="Times New Roman"/>
        </w:rPr>
        <w:t xml:space="preserve">late delivery measure. </w:t>
      </w:r>
    </w:p>
    <w:p w14:paraId="6DD7E412" w14:textId="77777777" w:rsidR="003E75B7" w:rsidRPr="003E75B7" w:rsidRDefault="003E75B7" w:rsidP="003E75B7">
      <w:pPr>
        <w:jc w:val="center"/>
        <w:rPr>
          <w:rFonts w:ascii="Times New Roman" w:hAnsi="Times New Roman" w:cs="Times New Roman"/>
        </w:rPr>
      </w:pPr>
      <w:r w:rsidRPr="003E75B7">
        <w:rPr>
          <w:rFonts w:ascii="Times New Roman" w:hAnsi="Times New Roman" w:cs="Times New Roman"/>
        </w:rPr>
        <w:t>--------------------------------------</w:t>
      </w:r>
    </w:p>
    <w:p w14:paraId="0E55682D" w14:textId="726E4465" w:rsidR="003E75B7" w:rsidRPr="003E75B7" w:rsidRDefault="003E75B7" w:rsidP="003E75B7">
      <w:pPr>
        <w:jc w:val="center"/>
        <w:rPr>
          <w:rFonts w:ascii="Times New Roman" w:hAnsi="Times New Roman" w:cs="Times New Roman"/>
        </w:rPr>
      </w:pPr>
      <w:r>
        <w:rPr>
          <w:rFonts w:ascii="Times New Roman" w:hAnsi="Times New Roman" w:cs="Times New Roman"/>
        </w:rPr>
        <w:t xml:space="preserve">Insert Table </w:t>
      </w:r>
      <w:r w:rsidR="00B567E8">
        <w:rPr>
          <w:rFonts w:ascii="Times New Roman" w:hAnsi="Times New Roman" w:cs="Times New Roman"/>
        </w:rPr>
        <w:t>4</w:t>
      </w:r>
      <w:r w:rsidRPr="003E75B7">
        <w:rPr>
          <w:rFonts w:ascii="Times New Roman" w:hAnsi="Times New Roman" w:cs="Times New Roman"/>
        </w:rPr>
        <w:t xml:space="preserve"> about here</w:t>
      </w:r>
    </w:p>
    <w:p w14:paraId="7D8A2D88" w14:textId="77777777" w:rsidR="003E75B7" w:rsidRPr="003E75B7" w:rsidRDefault="003E75B7" w:rsidP="003E75B7">
      <w:pPr>
        <w:jc w:val="center"/>
        <w:rPr>
          <w:rFonts w:ascii="Times New Roman" w:hAnsi="Times New Roman" w:cs="Times New Roman"/>
        </w:rPr>
      </w:pPr>
      <w:r w:rsidRPr="003E75B7">
        <w:rPr>
          <w:rFonts w:ascii="Times New Roman" w:hAnsi="Times New Roman" w:cs="Times New Roman"/>
        </w:rPr>
        <w:t>----------------------------------------</w:t>
      </w:r>
    </w:p>
    <w:p w14:paraId="64E6304D" w14:textId="77777777" w:rsidR="003E75B7" w:rsidRPr="00AF264D" w:rsidRDefault="003E75B7" w:rsidP="00DE317D">
      <w:pPr>
        <w:spacing w:line="480" w:lineRule="auto"/>
        <w:ind w:firstLine="284"/>
        <w:jc w:val="both"/>
        <w:rPr>
          <w:rFonts w:ascii="Times New Roman" w:hAnsi="Times New Roman" w:cs="Times New Roman"/>
        </w:rPr>
      </w:pPr>
    </w:p>
    <w:p w14:paraId="1BB183CC" w14:textId="23A0B5EC" w:rsidR="003F1CBC" w:rsidRDefault="003F1CBC" w:rsidP="00DE317D">
      <w:pPr>
        <w:spacing w:line="480" w:lineRule="auto"/>
        <w:ind w:firstLine="284"/>
        <w:jc w:val="both"/>
        <w:rPr>
          <w:rFonts w:ascii="Times New Roman" w:hAnsi="Times New Roman" w:cs="Times New Roman"/>
        </w:rPr>
      </w:pPr>
      <w:r w:rsidRPr="00AF264D">
        <w:rPr>
          <w:rFonts w:ascii="Times New Roman" w:hAnsi="Times New Roman" w:cs="Times New Roman"/>
        </w:rPr>
        <w:t>Four control vari</w:t>
      </w:r>
      <w:r w:rsidR="00872AAC">
        <w:rPr>
          <w:rFonts w:ascii="Times New Roman" w:hAnsi="Times New Roman" w:cs="Times New Roman"/>
        </w:rPr>
        <w:t>ables are added in the hypothese</w:t>
      </w:r>
      <w:r w:rsidRPr="00AF264D">
        <w:rPr>
          <w:rFonts w:ascii="Times New Roman" w:hAnsi="Times New Roman" w:cs="Times New Roman"/>
        </w:rPr>
        <w:t xml:space="preserve">s testing procedure. Industry type was </w:t>
      </w:r>
      <w:r w:rsidRPr="00AF264D">
        <w:rPr>
          <w:rFonts w:ascii="Times New Roman" w:hAnsi="Times New Roman"/>
        </w:rPr>
        <w:t>controlled for industry using 20 industry dummies, accounting for the effect of the 21 industry sectors within our sample. The plant’s s</w:t>
      </w:r>
      <w:r w:rsidRPr="00AF264D">
        <w:rPr>
          <w:rFonts w:ascii="Times New Roman" w:hAnsi="Times New Roman" w:cs="Times New Roman"/>
        </w:rPr>
        <w:t>upply chain position was included by measuring the percentage of sales to end-users. T</w:t>
      </w:r>
      <w:r w:rsidRPr="00AF264D">
        <w:rPr>
          <w:rFonts w:ascii="Times New Roman" w:hAnsi="Times New Roman"/>
        </w:rPr>
        <w:t>he size of the plant was controlled for, using the number of employees as a proxy measure. Lastly, t</w:t>
      </w:r>
      <w:r w:rsidRPr="00AF264D">
        <w:rPr>
          <w:rFonts w:ascii="Times New Roman" w:hAnsi="Times New Roman" w:cs="Times New Roman"/>
        </w:rPr>
        <w:t>he share of international supplies was assessed by measuring the percentage of purchases coming from foreign suppliers.</w:t>
      </w:r>
    </w:p>
    <w:p w14:paraId="0DBB2E70" w14:textId="77777777" w:rsidR="00680E1C" w:rsidRPr="00AF264D" w:rsidRDefault="00680E1C" w:rsidP="00DE317D">
      <w:pPr>
        <w:spacing w:line="480" w:lineRule="auto"/>
        <w:ind w:firstLine="284"/>
        <w:jc w:val="both"/>
        <w:rPr>
          <w:rFonts w:ascii="Times New Roman" w:hAnsi="Times New Roman" w:cs="Times New Roman"/>
        </w:rPr>
      </w:pPr>
    </w:p>
    <w:p w14:paraId="73FBA0F0" w14:textId="44FF80EC" w:rsidR="003F1CBC" w:rsidRPr="00AF264D" w:rsidRDefault="003F1CBC" w:rsidP="00680E1C">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3.</w:t>
      </w:r>
      <w:r w:rsidR="00680E1C">
        <w:rPr>
          <w:rFonts w:ascii="Times New Roman" w:hAnsi="Times New Roman" w:cs="Times New Roman"/>
          <w:b w:val="0"/>
          <w:i/>
          <w:color w:val="000000" w:themeColor="text1"/>
          <w:sz w:val="24"/>
          <w:szCs w:val="22"/>
        </w:rPr>
        <w:t>3</w:t>
      </w:r>
      <w:r w:rsidRPr="00AF264D">
        <w:rPr>
          <w:rFonts w:ascii="Times New Roman" w:hAnsi="Times New Roman" w:cs="Times New Roman"/>
          <w:b w:val="0"/>
          <w:i/>
          <w:color w:val="000000" w:themeColor="text1"/>
          <w:sz w:val="24"/>
          <w:szCs w:val="22"/>
        </w:rPr>
        <w:t>. Measure assessment</w:t>
      </w:r>
    </w:p>
    <w:p w14:paraId="175A1BF7" w14:textId="1717E3F5" w:rsidR="003F1CBC" w:rsidRPr="00AF264D" w:rsidRDefault="003F1CBC" w:rsidP="00DE317D">
      <w:pPr>
        <w:spacing w:line="480" w:lineRule="auto"/>
        <w:ind w:firstLine="284"/>
        <w:jc w:val="both"/>
        <w:rPr>
          <w:rFonts w:ascii="Times New Roman" w:hAnsi="Times New Roman" w:cs="Times New Roman"/>
          <w:i/>
        </w:rPr>
      </w:pPr>
      <w:r w:rsidRPr="00AF264D">
        <w:rPr>
          <w:rFonts w:ascii="Times New Roman" w:hAnsi="Times New Roman"/>
        </w:rPr>
        <w:t xml:space="preserve">During collection of company data by the GMRG group, a common research </w:t>
      </w:r>
      <w:r w:rsidR="00872AAC">
        <w:rPr>
          <w:rFonts w:ascii="Times New Roman" w:hAnsi="Times New Roman"/>
        </w:rPr>
        <w:t>procedure</w:t>
      </w:r>
      <w:r w:rsidRPr="00AF264D">
        <w:rPr>
          <w:rFonts w:ascii="Times New Roman" w:hAnsi="Times New Roman"/>
        </w:rPr>
        <w:t xml:space="preserve"> was used in each country. Following the process suggested by </w:t>
      </w:r>
      <w:r w:rsidR="009447BE" w:rsidRPr="00AF264D">
        <w:rPr>
          <w:rFonts w:ascii="Times New Roman" w:hAnsi="Times New Roman" w:cs="Times New Roman"/>
        </w:rPr>
        <w:t>Spe</w:t>
      </w:r>
      <w:r w:rsidR="00872AAC">
        <w:rPr>
          <w:rFonts w:ascii="Times New Roman" w:hAnsi="Times New Roman" w:cs="Times New Roman"/>
        </w:rPr>
        <w:t xml:space="preserve">rber </w:t>
      </w:r>
      <w:r w:rsidR="00872AAC" w:rsidRPr="003E75B7">
        <w:rPr>
          <w:rFonts w:ascii="Times New Roman" w:hAnsi="Times New Roman" w:cs="Times New Roman"/>
          <w:i/>
        </w:rPr>
        <w:t>et al.</w:t>
      </w:r>
      <w:r w:rsidR="009447BE" w:rsidRPr="00AF264D">
        <w:rPr>
          <w:rFonts w:ascii="Times New Roman" w:hAnsi="Times New Roman" w:cs="Times New Roman"/>
        </w:rPr>
        <w:t xml:space="preserve"> </w:t>
      </w:r>
      <w:r w:rsidR="00872AAC">
        <w:rPr>
          <w:rFonts w:ascii="Times New Roman" w:hAnsi="Times New Roman" w:cs="Times New Roman"/>
        </w:rPr>
        <w:t>(</w:t>
      </w:r>
      <w:r w:rsidR="009447BE" w:rsidRPr="00AF264D">
        <w:rPr>
          <w:rFonts w:ascii="Times New Roman" w:hAnsi="Times New Roman" w:cs="Times New Roman"/>
        </w:rPr>
        <w:t>1994)</w:t>
      </w:r>
      <w:r w:rsidRPr="00AF264D">
        <w:rPr>
          <w:rFonts w:ascii="Times New Roman" w:hAnsi="Times New Roman"/>
        </w:rPr>
        <w:t xml:space="preserve">, a double back translation of the original English construct items was conducted to adequately translate the items into the </w:t>
      </w:r>
      <w:r w:rsidR="00A06B95" w:rsidRPr="00AF264D">
        <w:rPr>
          <w:rFonts w:ascii="Times New Roman" w:hAnsi="Times New Roman"/>
        </w:rPr>
        <w:t>local</w:t>
      </w:r>
      <w:r w:rsidRPr="00AF264D">
        <w:rPr>
          <w:rFonts w:ascii="Times New Roman" w:hAnsi="Times New Roman"/>
        </w:rPr>
        <w:t xml:space="preserve"> language of each country. </w:t>
      </w:r>
      <w:r w:rsidR="00A06B95" w:rsidRPr="00AF264D">
        <w:rPr>
          <w:rFonts w:ascii="Times New Roman" w:hAnsi="Times New Roman"/>
        </w:rPr>
        <w:t xml:space="preserve">In this process, the questionnaire was translated into the local language by a member of the local research team. It was then back-translated into English by a different team member to assure the integrity of the translation. The questionnaire was then sent out to the plants. After responses had been returned to the local survey administrators, they were tested for non-response bias. Therefore </w:t>
      </w:r>
      <w:r w:rsidRPr="00AF264D">
        <w:rPr>
          <w:rFonts w:ascii="Times New Roman" w:hAnsi="Times New Roman"/>
        </w:rPr>
        <w:t xml:space="preserve">the means of all construct items </w:t>
      </w:r>
      <w:r w:rsidR="00A06B95" w:rsidRPr="00AF264D">
        <w:rPr>
          <w:rFonts w:ascii="Times New Roman" w:hAnsi="Times New Roman"/>
        </w:rPr>
        <w:t xml:space="preserve">were compared </w:t>
      </w:r>
      <w:r w:rsidRPr="00AF264D">
        <w:rPr>
          <w:rFonts w:ascii="Times New Roman" w:hAnsi="Times New Roman"/>
        </w:rPr>
        <w:t xml:space="preserve">via t-tests between the first and last third of responses </w:t>
      </w:r>
      <w:r w:rsidR="009447BE" w:rsidRPr="00AF264D">
        <w:rPr>
          <w:rFonts w:ascii="Times New Roman" w:hAnsi="Times New Roman" w:cs="Times New Roman"/>
        </w:rPr>
        <w:t>(Armstrong and Overton, 1977)</w:t>
      </w:r>
      <w:r w:rsidRPr="00AF264D">
        <w:rPr>
          <w:rFonts w:ascii="Times New Roman" w:hAnsi="Times New Roman"/>
        </w:rPr>
        <w:t>. No statistically significant differences between these groups were reported.</w:t>
      </w:r>
    </w:p>
    <w:p w14:paraId="76EF811C" w14:textId="0B42B8A0" w:rsidR="003F1CBC" w:rsidRPr="00AF264D" w:rsidRDefault="003F1CBC" w:rsidP="00DE317D">
      <w:pPr>
        <w:spacing w:line="480" w:lineRule="auto"/>
        <w:ind w:firstLine="284"/>
        <w:jc w:val="both"/>
        <w:rPr>
          <w:rFonts w:ascii="Times New Roman" w:hAnsi="Times New Roman" w:cs="Times New Roman"/>
        </w:rPr>
      </w:pPr>
      <w:r w:rsidRPr="00AF264D">
        <w:rPr>
          <w:rFonts w:ascii="Times New Roman" w:hAnsi="Times New Roman" w:cs="Times New Roman"/>
        </w:rPr>
        <w:t xml:space="preserve"> For the purpose of this study, all r</w:t>
      </w:r>
      <w:r w:rsidRPr="00AF264D">
        <w:rPr>
          <w:rFonts w:ascii="Times New Roman" w:hAnsi="Times New Roman"/>
        </w:rPr>
        <w:t xml:space="preserve">esponses with missing item values were removed. </w:t>
      </w:r>
      <w:r w:rsidRPr="00AF264D">
        <w:rPr>
          <w:rFonts w:ascii="Times New Roman" w:hAnsi="Times New Roman" w:cs="Times New Roman"/>
        </w:rPr>
        <w:t>In further screening the data, we als</w:t>
      </w:r>
      <w:r w:rsidR="00505C8D" w:rsidRPr="00AF264D">
        <w:rPr>
          <w:rFonts w:ascii="Times New Roman" w:hAnsi="Times New Roman" w:cs="Times New Roman"/>
        </w:rPr>
        <w:t>o removed unengaged respondents; leaving us with 647 usable responses.</w:t>
      </w:r>
      <w:r w:rsidRPr="00AF264D">
        <w:rPr>
          <w:rFonts w:ascii="Times New Roman" w:hAnsi="Times New Roman" w:cs="Times New Roman"/>
        </w:rPr>
        <w:t xml:space="preserve"> We then tested and confirmed unidimensionality of the latent construct measures of supplier communication. Reliability of the latent construct measures </w:t>
      </w:r>
      <w:r w:rsidR="00505C8D" w:rsidRPr="00AF264D">
        <w:rPr>
          <w:rFonts w:ascii="Times New Roman" w:hAnsi="Times New Roman" w:cs="Times New Roman"/>
        </w:rPr>
        <w:t>was</w:t>
      </w:r>
      <w:r w:rsidRPr="00AF264D">
        <w:rPr>
          <w:rFonts w:ascii="Times New Roman" w:hAnsi="Times New Roman" w:cs="Times New Roman"/>
        </w:rPr>
        <w:t xml:space="preserve"> estimated </w:t>
      </w:r>
      <w:r w:rsidR="00505C8D" w:rsidRPr="00AF264D">
        <w:rPr>
          <w:rFonts w:ascii="Times New Roman" w:hAnsi="Times New Roman" w:cs="Times New Roman"/>
        </w:rPr>
        <w:t>calculating</w:t>
      </w:r>
      <w:r w:rsidRPr="00AF264D">
        <w:rPr>
          <w:rFonts w:ascii="Times New Roman" w:hAnsi="Times New Roman" w:cs="Times New Roman"/>
        </w:rPr>
        <w:t xml:space="preserve"> Cronbach’s alpha (α=.757), indicating acceptable construct reliability. Further descriptive statistics for the employed measures and correlations are listed in Table </w:t>
      </w:r>
      <w:r w:rsidR="00B567E8">
        <w:rPr>
          <w:rFonts w:ascii="Times New Roman" w:hAnsi="Times New Roman" w:cs="Times New Roman"/>
        </w:rPr>
        <w:t>5</w:t>
      </w:r>
      <w:r w:rsidRPr="00AF264D">
        <w:rPr>
          <w:rFonts w:ascii="Times New Roman" w:hAnsi="Times New Roman" w:cs="Times New Roman"/>
        </w:rPr>
        <w:t xml:space="preserve">. </w:t>
      </w:r>
    </w:p>
    <w:p w14:paraId="5D38F9B8" w14:textId="77777777" w:rsidR="003F1CBC" w:rsidRPr="00AF264D" w:rsidRDefault="003F1CBC" w:rsidP="003F1CBC">
      <w:pPr>
        <w:rPr>
          <w:rFonts w:ascii="Times New Roman" w:hAnsi="Times New Roman" w:cs="Times New Roman"/>
        </w:rPr>
      </w:pPr>
    </w:p>
    <w:p w14:paraId="6DD0ED12" w14:textId="77777777" w:rsidR="003F1CBC" w:rsidRPr="00AF264D" w:rsidRDefault="003F1CBC" w:rsidP="003F1CBC">
      <w:pPr>
        <w:jc w:val="center"/>
        <w:rPr>
          <w:rFonts w:ascii="Times New Roman" w:hAnsi="Times New Roman" w:cs="Times New Roman"/>
        </w:rPr>
      </w:pPr>
      <w:r w:rsidRPr="00AF264D">
        <w:rPr>
          <w:rFonts w:ascii="Times New Roman" w:hAnsi="Times New Roman" w:cs="Times New Roman"/>
        </w:rPr>
        <w:t>--------------------------------------</w:t>
      </w:r>
    </w:p>
    <w:p w14:paraId="0323B498" w14:textId="19B19530" w:rsidR="003F1CBC" w:rsidRPr="00AF264D" w:rsidRDefault="003F1CBC" w:rsidP="003F1CBC">
      <w:pPr>
        <w:jc w:val="center"/>
        <w:rPr>
          <w:rFonts w:ascii="Times New Roman" w:hAnsi="Times New Roman" w:cs="Times New Roman"/>
        </w:rPr>
      </w:pPr>
      <w:r w:rsidRPr="00AF264D">
        <w:rPr>
          <w:rFonts w:ascii="Times New Roman" w:hAnsi="Times New Roman" w:cs="Times New Roman"/>
        </w:rPr>
        <w:t xml:space="preserve">Insert Table </w:t>
      </w:r>
      <w:r w:rsidR="00B567E8">
        <w:rPr>
          <w:rFonts w:ascii="Times New Roman" w:hAnsi="Times New Roman" w:cs="Times New Roman"/>
        </w:rPr>
        <w:t>5</w:t>
      </w:r>
      <w:r w:rsidRPr="00AF264D">
        <w:rPr>
          <w:rFonts w:ascii="Times New Roman" w:hAnsi="Times New Roman" w:cs="Times New Roman"/>
        </w:rPr>
        <w:t xml:space="preserve"> about here</w:t>
      </w:r>
    </w:p>
    <w:p w14:paraId="0BD3D1CF" w14:textId="77777777" w:rsidR="003F1CBC" w:rsidRPr="00AF264D" w:rsidRDefault="003F1CBC" w:rsidP="003F1CBC">
      <w:pPr>
        <w:jc w:val="center"/>
        <w:rPr>
          <w:rFonts w:ascii="Times New Roman" w:hAnsi="Times New Roman" w:cs="Times New Roman"/>
        </w:rPr>
      </w:pPr>
      <w:r w:rsidRPr="00AF264D">
        <w:rPr>
          <w:rFonts w:ascii="Times New Roman" w:hAnsi="Times New Roman" w:cs="Times New Roman"/>
        </w:rPr>
        <w:t>----------------------------------------</w:t>
      </w:r>
    </w:p>
    <w:p w14:paraId="1CF4E929" w14:textId="5AF52E0B" w:rsidR="00AC71FE" w:rsidRDefault="00AC71FE" w:rsidP="00697C8B">
      <w:pPr>
        <w:autoSpaceDE w:val="0"/>
        <w:autoSpaceDN w:val="0"/>
        <w:adjustRightInd w:val="0"/>
        <w:spacing w:line="480" w:lineRule="auto"/>
        <w:ind w:firstLine="284"/>
        <w:jc w:val="both"/>
        <w:rPr>
          <w:rFonts w:ascii="Times New Roman" w:hAnsi="Times New Roman" w:cs="Times New Roman"/>
        </w:rPr>
      </w:pPr>
      <w:r w:rsidRPr="00AC71FE">
        <w:rPr>
          <w:rFonts w:ascii="Times New Roman" w:hAnsi="Times New Roman" w:cs="Times New Roman"/>
        </w:rPr>
        <w:t>Addressing the potential for common method variance (CMV), respondents were ensured complete anonymity in order to address social desirability effects. The constructs used for this study were further mixed with construct items unrelated to this study.</w:t>
      </w:r>
      <w:r>
        <w:rPr>
          <w:rFonts w:ascii="Times New Roman" w:hAnsi="Times New Roman" w:cs="Times New Roman"/>
        </w:rPr>
        <w:t xml:space="preserve"> </w:t>
      </w:r>
      <w:r w:rsidRPr="00AC71FE">
        <w:rPr>
          <w:rFonts w:ascii="Times New Roman" w:hAnsi="Times New Roman" w:cs="Times New Roman"/>
        </w:rPr>
        <w:t xml:space="preserve">In addition, we assessed the extent to which </w:t>
      </w:r>
      <w:r w:rsidR="00133CE5">
        <w:rPr>
          <w:rFonts w:ascii="Times New Roman" w:hAnsi="Times New Roman" w:cs="Times New Roman"/>
        </w:rPr>
        <w:t>up-stream on-time delivery</w:t>
      </w:r>
      <w:r w:rsidRPr="00AC71FE">
        <w:rPr>
          <w:rFonts w:ascii="Times New Roman" w:hAnsi="Times New Roman" w:cs="Times New Roman"/>
        </w:rPr>
        <w:t xml:space="preserve"> co</w:t>
      </w:r>
      <w:r>
        <w:rPr>
          <w:rFonts w:ascii="Times New Roman" w:hAnsi="Times New Roman" w:cs="Times New Roman"/>
        </w:rPr>
        <w:t xml:space="preserve">-varies with the </w:t>
      </w:r>
      <w:r w:rsidR="00133CE5">
        <w:rPr>
          <w:rFonts w:ascii="Times New Roman" w:hAnsi="Times New Roman" w:cs="Times New Roman"/>
        </w:rPr>
        <w:t>s</w:t>
      </w:r>
      <w:r>
        <w:rPr>
          <w:rFonts w:ascii="Times New Roman" w:hAnsi="Times New Roman" w:cs="Times New Roman"/>
        </w:rPr>
        <w:t>upplier c</w:t>
      </w:r>
      <w:r w:rsidRPr="00AC71FE">
        <w:rPr>
          <w:rFonts w:ascii="Times New Roman" w:hAnsi="Times New Roman" w:cs="Times New Roman"/>
        </w:rPr>
        <w:t xml:space="preserve">ommunication </w:t>
      </w:r>
      <w:r w:rsidRPr="00AC71FE">
        <w:rPr>
          <w:rFonts w:ascii="Times New Roman" w:hAnsi="Times New Roman" w:cs="Times New Roman"/>
        </w:rPr>
        <w:lastRenderedPageBreak/>
        <w:t xml:space="preserve">measures. Including </w:t>
      </w:r>
      <w:r w:rsidR="00133CE5">
        <w:rPr>
          <w:rFonts w:ascii="Times New Roman" w:hAnsi="Times New Roman" w:cs="Times New Roman"/>
        </w:rPr>
        <w:t>u</w:t>
      </w:r>
      <w:r>
        <w:rPr>
          <w:rFonts w:ascii="Times New Roman" w:hAnsi="Times New Roman" w:cs="Times New Roman"/>
        </w:rPr>
        <w:t>p-stream on-time d</w:t>
      </w:r>
      <w:r w:rsidRPr="00AC71FE">
        <w:rPr>
          <w:rFonts w:ascii="Times New Roman" w:hAnsi="Times New Roman" w:cs="Times New Roman"/>
        </w:rPr>
        <w:t xml:space="preserve">elivery as a scale measure creates a composite scale with extremely poor reliability (e.g., α = </w:t>
      </w:r>
      <w:r w:rsidR="00133CE5">
        <w:rPr>
          <w:rFonts w:ascii="Times New Roman" w:hAnsi="Times New Roman" w:cs="Times New Roman"/>
        </w:rPr>
        <w:t xml:space="preserve">0.042), </w:t>
      </w:r>
      <w:r w:rsidR="00142475">
        <w:rPr>
          <w:rFonts w:ascii="Times New Roman" w:hAnsi="Times New Roman" w:cs="Times New Roman"/>
        </w:rPr>
        <w:t>indicating that</w:t>
      </w:r>
      <w:r w:rsidR="00133CE5">
        <w:rPr>
          <w:rFonts w:ascii="Times New Roman" w:hAnsi="Times New Roman" w:cs="Times New Roman"/>
        </w:rPr>
        <w:t xml:space="preserve"> s</w:t>
      </w:r>
      <w:r w:rsidRPr="00AC71FE">
        <w:rPr>
          <w:rFonts w:ascii="Times New Roman" w:hAnsi="Times New Roman" w:cs="Times New Roman"/>
        </w:rPr>
        <w:t xml:space="preserve">upplier communication </w:t>
      </w:r>
      <w:r w:rsidR="00142475">
        <w:rPr>
          <w:rFonts w:ascii="Times New Roman" w:hAnsi="Times New Roman" w:cs="Times New Roman"/>
        </w:rPr>
        <w:t>is a</w:t>
      </w:r>
      <w:r w:rsidR="00EB5D4C">
        <w:rPr>
          <w:rFonts w:ascii="Times New Roman" w:hAnsi="Times New Roman" w:cs="Times New Roman"/>
        </w:rPr>
        <w:t>n</w:t>
      </w:r>
      <w:r w:rsidRPr="00AC71FE">
        <w:rPr>
          <w:rFonts w:ascii="Times New Roman" w:hAnsi="Times New Roman" w:cs="Times New Roman"/>
        </w:rPr>
        <w:t xml:space="preserve"> independent measure. </w:t>
      </w:r>
    </w:p>
    <w:p w14:paraId="232BE4FC" w14:textId="4094191D" w:rsidR="00E81CD5" w:rsidRPr="00AF264D" w:rsidRDefault="003F1CBC" w:rsidP="00697C8B">
      <w:pPr>
        <w:autoSpaceDE w:val="0"/>
        <w:autoSpaceDN w:val="0"/>
        <w:adjustRightInd w:val="0"/>
        <w:spacing w:line="480" w:lineRule="auto"/>
        <w:ind w:firstLine="284"/>
        <w:jc w:val="both"/>
        <w:rPr>
          <w:rFonts w:ascii="Times New Roman" w:hAnsi="Times New Roman" w:cs="Times New Roman"/>
        </w:rPr>
      </w:pPr>
      <w:r w:rsidRPr="00AF264D">
        <w:rPr>
          <w:rFonts w:ascii="Times New Roman" w:hAnsi="Times New Roman" w:cs="Times New Roman"/>
        </w:rPr>
        <w:t>Curve estimation was th</w:t>
      </w:r>
      <w:r w:rsidR="006148C5">
        <w:rPr>
          <w:rFonts w:ascii="Times New Roman" w:hAnsi="Times New Roman" w:cs="Times New Roman"/>
        </w:rPr>
        <w:t>e</w:t>
      </w:r>
      <w:r w:rsidRPr="00AF264D">
        <w:rPr>
          <w:rFonts w:ascii="Times New Roman" w:hAnsi="Times New Roman" w:cs="Times New Roman"/>
        </w:rPr>
        <w:t xml:space="preserve">n conducted for all relationships in the model. All relationships were </w:t>
      </w:r>
      <w:r w:rsidR="003C20FA" w:rsidRPr="00AF264D">
        <w:rPr>
          <w:rFonts w:ascii="Times New Roman" w:hAnsi="Times New Roman" w:cs="Times New Roman"/>
        </w:rPr>
        <w:t xml:space="preserve">found to be </w:t>
      </w:r>
      <w:r w:rsidRPr="00AF264D">
        <w:rPr>
          <w:rFonts w:ascii="Times New Roman" w:hAnsi="Times New Roman" w:cs="Times New Roman"/>
        </w:rPr>
        <w:t>sufficiently linear to be tested in a covariance</w:t>
      </w:r>
      <w:r w:rsidR="0002000B">
        <w:rPr>
          <w:rFonts w:ascii="Times New Roman" w:hAnsi="Times New Roman" w:cs="Times New Roman"/>
        </w:rPr>
        <w:t>-</w:t>
      </w:r>
      <w:r w:rsidRPr="00AF264D">
        <w:rPr>
          <w:rFonts w:ascii="Times New Roman" w:hAnsi="Times New Roman" w:cs="Times New Roman"/>
        </w:rPr>
        <w:t>based structural equation model algorithm. Subsequently, multi-collinearity was tested and found to be no issue among the independent variables</w:t>
      </w:r>
      <w:r w:rsidR="00697C8B" w:rsidRPr="00AF264D">
        <w:rPr>
          <w:rFonts w:ascii="Times New Roman" w:hAnsi="Times New Roman" w:cs="Times New Roman"/>
        </w:rPr>
        <w:t>;</w:t>
      </w:r>
      <w:r w:rsidR="00A06B95" w:rsidRPr="00AF264D">
        <w:rPr>
          <w:rFonts w:ascii="Times New Roman" w:hAnsi="Times New Roman" w:cs="Times New Roman"/>
        </w:rPr>
        <w:t xml:space="preserve"> </w:t>
      </w:r>
      <w:r w:rsidR="00697C8B" w:rsidRPr="00AF264D">
        <w:rPr>
          <w:rFonts w:ascii="Times New Roman" w:hAnsi="Times New Roman" w:cs="Times New Roman"/>
        </w:rPr>
        <w:t xml:space="preserve">suggesting that the findings can be meaningfully interpreted. </w:t>
      </w:r>
      <w:r w:rsidR="00AC71FE" w:rsidRPr="00A21D6C">
        <w:rPr>
          <w:rFonts w:ascii="Times New Roman" w:hAnsi="Times New Roman" w:cs="Times New Roman"/>
        </w:rPr>
        <w:t xml:space="preserve">To assess cross-country </w:t>
      </w:r>
      <w:r w:rsidR="00142475">
        <w:rPr>
          <w:rFonts w:ascii="Times New Roman" w:hAnsi="Times New Roman" w:cs="Times New Roman"/>
        </w:rPr>
        <w:t xml:space="preserve">level </w:t>
      </w:r>
      <w:r w:rsidR="00AC71FE" w:rsidRPr="00A21D6C">
        <w:rPr>
          <w:rFonts w:ascii="Times New Roman" w:hAnsi="Times New Roman" w:cs="Times New Roman"/>
        </w:rPr>
        <w:t>measurement equivalence we follow</w:t>
      </w:r>
      <w:r w:rsidR="00AC71FE">
        <w:rPr>
          <w:rFonts w:ascii="Times New Roman" w:hAnsi="Times New Roman" w:cs="Times New Roman"/>
        </w:rPr>
        <w:t>ed</w:t>
      </w:r>
      <w:r w:rsidR="00AC71FE" w:rsidRPr="00A21D6C">
        <w:rPr>
          <w:rFonts w:ascii="Times New Roman" w:hAnsi="Times New Roman" w:cs="Times New Roman"/>
        </w:rPr>
        <w:t xml:space="preserve"> the </w:t>
      </w:r>
      <w:r w:rsidR="00AC71FE">
        <w:rPr>
          <w:rFonts w:ascii="Times New Roman" w:hAnsi="Times New Roman" w:cs="Times New Roman"/>
        </w:rPr>
        <w:t>c</w:t>
      </w:r>
      <w:r w:rsidR="00AC71FE">
        <w:rPr>
          <w:rStyle w:val="st"/>
        </w:rPr>
        <w:t>onfirmatory factor analysis</w:t>
      </w:r>
      <w:r w:rsidR="00AC71FE" w:rsidRPr="00A21D6C">
        <w:rPr>
          <w:rFonts w:ascii="Times New Roman" w:hAnsi="Times New Roman" w:cs="Times New Roman"/>
        </w:rPr>
        <w:t xml:space="preserve"> </w:t>
      </w:r>
      <w:r w:rsidR="00AC71FE">
        <w:rPr>
          <w:rFonts w:ascii="Times New Roman" w:hAnsi="Times New Roman" w:cs="Times New Roman"/>
        </w:rPr>
        <w:t>(</w:t>
      </w:r>
      <w:r w:rsidR="00AC71FE" w:rsidRPr="00A21D6C">
        <w:rPr>
          <w:rFonts w:ascii="Times New Roman" w:hAnsi="Times New Roman" w:cs="Times New Roman"/>
        </w:rPr>
        <w:t>CFA</w:t>
      </w:r>
      <w:r w:rsidR="00AC71FE">
        <w:rPr>
          <w:rFonts w:ascii="Times New Roman" w:hAnsi="Times New Roman" w:cs="Times New Roman"/>
        </w:rPr>
        <w:t>)</w:t>
      </w:r>
      <w:r w:rsidR="00AC71FE" w:rsidRPr="00A21D6C">
        <w:rPr>
          <w:rFonts w:ascii="Times New Roman" w:hAnsi="Times New Roman" w:cs="Times New Roman"/>
        </w:rPr>
        <w:t xml:space="preserve"> method </w:t>
      </w:r>
      <w:r w:rsidR="00133CE5">
        <w:rPr>
          <w:rFonts w:ascii="Times New Roman" w:hAnsi="Times New Roman" w:cs="Times New Roman"/>
        </w:rPr>
        <w:t xml:space="preserve">as </w:t>
      </w:r>
      <w:r w:rsidR="00AC71FE" w:rsidRPr="00A21D6C">
        <w:rPr>
          <w:rFonts w:ascii="Times New Roman" w:hAnsi="Times New Roman" w:cs="Times New Roman"/>
        </w:rPr>
        <w:t xml:space="preserve">outlined </w:t>
      </w:r>
      <w:r w:rsidR="00133CE5">
        <w:rPr>
          <w:rFonts w:ascii="Times New Roman" w:hAnsi="Times New Roman" w:cs="Times New Roman"/>
        </w:rPr>
        <w:t>in</w:t>
      </w:r>
      <w:r w:rsidR="00AC71FE">
        <w:rPr>
          <w:rFonts w:ascii="Times New Roman" w:hAnsi="Times New Roman" w:cs="Times New Roman"/>
        </w:rPr>
        <w:t xml:space="preserve"> </w:t>
      </w:r>
      <w:r w:rsidR="00AC71FE" w:rsidRPr="00AC71FE">
        <w:rPr>
          <w:rFonts w:ascii="Times New Roman" w:hAnsi="Times New Roman" w:cs="Times New Roman"/>
        </w:rPr>
        <w:t xml:space="preserve">Power </w:t>
      </w:r>
      <w:r w:rsidR="00AC71FE" w:rsidRPr="004136B9">
        <w:rPr>
          <w:rFonts w:ascii="Times New Roman" w:hAnsi="Times New Roman" w:cs="Times New Roman"/>
          <w:i/>
        </w:rPr>
        <w:t>et al.</w:t>
      </w:r>
      <w:r w:rsidR="00AC71FE" w:rsidRPr="00AC71FE">
        <w:rPr>
          <w:rFonts w:ascii="Times New Roman" w:hAnsi="Times New Roman" w:cs="Times New Roman"/>
        </w:rPr>
        <w:t xml:space="preserve"> </w:t>
      </w:r>
      <w:r w:rsidR="00AC71FE">
        <w:rPr>
          <w:rFonts w:ascii="Times New Roman" w:hAnsi="Times New Roman" w:cs="Times New Roman"/>
        </w:rPr>
        <w:t>(</w:t>
      </w:r>
      <w:r w:rsidR="00AC71FE" w:rsidRPr="00AC71FE">
        <w:rPr>
          <w:rFonts w:ascii="Times New Roman" w:hAnsi="Times New Roman" w:cs="Times New Roman"/>
        </w:rPr>
        <w:t>2015)</w:t>
      </w:r>
      <w:r w:rsidR="00AC71FE" w:rsidRPr="00A21D6C">
        <w:rPr>
          <w:rFonts w:ascii="Times New Roman" w:hAnsi="Times New Roman" w:cs="Times New Roman"/>
        </w:rPr>
        <w:t xml:space="preserve">. </w:t>
      </w:r>
      <w:r w:rsidR="00AC71FE">
        <w:rPr>
          <w:rFonts w:ascii="Times New Roman" w:hAnsi="Times New Roman" w:cs="Times New Roman"/>
        </w:rPr>
        <w:t>T</w:t>
      </w:r>
      <w:r w:rsidR="00AC71FE" w:rsidRPr="00A21D6C">
        <w:rPr>
          <w:rFonts w:ascii="Times New Roman" w:hAnsi="Times New Roman" w:cs="Times New Roman"/>
        </w:rPr>
        <w:t>he CFA method provides a rigorous approach to measurement equivalence assessmen</w:t>
      </w:r>
      <w:r w:rsidR="00AC71FE">
        <w:rPr>
          <w:rFonts w:ascii="Times New Roman" w:hAnsi="Times New Roman" w:cs="Times New Roman"/>
        </w:rPr>
        <w:t xml:space="preserve">t when </w:t>
      </w:r>
      <w:r w:rsidR="00AC71FE" w:rsidRPr="00A21D6C">
        <w:rPr>
          <w:rFonts w:ascii="Times New Roman" w:hAnsi="Times New Roman" w:cs="Times New Roman"/>
        </w:rPr>
        <w:t>relatively small sample</w:t>
      </w:r>
      <w:r w:rsidR="00AC71FE">
        <w:rPr>
          <w:rFonts w:ascii="Times New Roman" w:hAnsi="Times New Roman" w:cs="Times New Roman"/>
        </w:rPr>
        <w:t>s exist</w:t>
      </w:r>
      <w:r w:rsidR="00AC71FE" w:rsidRPr="00A21D6C">
        <w:rPr>
          <w:rFonts w:ascii="Times New Roman" w:hAnsi="Times New Roman" w:cs="Times New Roman"/>
        </w:rPr>
        <w:t xml:space="preserve"> within each country. </w:t>
      </w:r>
      <w:r w:rsidR="00AC71FE">
        <w:rPr>
          <w:rFonts w:ascii="Times New Roman" w:hAnsi="Times New Roman" w:cs="Times New Roman"/>
        </w:rPr>
        <w:t xml:space="preserve">It </w:t>
      </w:r>
      <w:r w:rsidR="00133CE5">
        <w:rPr>
          <w:rFonts w:ascii="Times New Roman" w:hAnsi="Times New Roman" w:cs="Times New Roman"/>
        </w:rPr>
        <w:t>was</w:t>
      </w:r>
      <w:r w:rsidR="00AC71FE">
        <w:rPr>
          <w:rFonts w:ascii="Times New Roman" w:hAnsi="Times New Roman" w:cs="Times New Roman"/>
        </w:rPr>
        <w:t xml:space="preserve"> used </w:t>
      </w:r>
      <w:r w:rsidR="00AC71FE" w:rsidRPr="00A21D6C">
        <w:rPr>
          <w:rFonts w:ascii="Times New Roman" w:hAnsi="Times New Roman" w:cs="Times New Roman"/>
        </w:rPr>
        <w:t>to identify whether a single factor is consistently present in each country (configural invariance) and whether the measurement items load similarly on this factor (metric invariance)</w:t>
      </w:r>
      <w:r w:rsidR="00AC71FE">
        <w:rPr>
          <w:rFonts w:ascii="Times New Roman" w:hAnsi="Times New Roman" w:cs="Times New Roman"/>
        </w:rPr>
        <w:t>.</w:t>
      </w:r>
      <w:r w:rsidR="00133CE5">
        <w:rPr>
          <w:rFonts w:ascii="Times New Roman" w:hAnsi="Times New Roman" w:cs="Times New Roman"/>
        </w:rPr>
        <w:t xml:space="preserve"> </w:t>
      </w:r>
      <w:r w:rsidR="00AC71FE">
        <w:rPr>
          <w:rFonts w:ascii="Times New Roman" w:hAnsi="Times New Roman" w:cs="Times New Roman"/>
        </w:rPr>
        <w:t>C</w:t>
      </w:r>
      <w:r w:rsidR="00AC71FE" w:rsidRPr="00A21D6C">
        <w:rPr>
          <w:rFonts w:ascii="Times New Roman" w:hAnsi="Times New Roman" w:cs="Times New Roman"/>
        </w:rPr>
        <w:t>onfigural invariance</w:t>
      </w:r>
      <w:r w:rsidR="00AC71FE">
        <w:rPr>
          <w:rFonts w:ascii="Times New Roman" w:hAnsi="Times New Roman" w:cs="Times New Roman"/>
        </w:rPr>
        <w:t xml:space="preserve"> was assessed</w:t>
      </w:r>
      <w:r w:rsidR="00AC71FE" w:rsidRPr="00A21D6C">
        <w:rPr>
          <w:rFonts w:ascii="Times New Roman" w:hAnsi="Times New Roman" w:cs="Times New Roman"/>
        </w:rPr>
        <w:t xml:space="preserve"> through conducting a multi-group CFA for the </w:t>
      </w:r>
      <w:r w:rsidR="00AC71FE">
        <w:rPr>
          <w:rFonts w:ascii="Times New Roman" w:hAnsi="Times New Roman" w:cs="Times New Roman"/>
        </w:rPr>
        <w:t>plant</w:t>
      </w:r>
      <w:r w:rsidR="00AC71FE" w:rsidRPr="00A21D6C">
        <w:rPr>
          <w:rFonts w:ascii="Times New Roman" w:hAnsi="Times New Roman" w:cs="Times New Roman"/>
        </w:rPr>
        <w:t xml:space="preserve"> level data. The resulting model fit indices are acceptable (χ²/df =1.785; CFI=.978; GFI=.970; RMSEA=.035; p-value=.010) suggesting configural invariance of the </w:t>
      </w:r>
      <w:r w:rsidR="00133CE5">
        <w:rPr>
          <w:rFonts w:ascii="Times New Roman" w:hAnsi="Times New Roman" w:cs="Times New Roman"/>
        </w:rPr>
        <w:t>12</w:t>
      </w:r>
      <w:r w:rsidR="00AC71FE" w:rsidRPr="00A21D6C">
        <w:rPr>
          <w:rFonts w:ascii="Times New Roman" w:hAnsi="Times New Roman" w:cs="Times New Roman"/>
        </w:rPr>
        <w:t xml:space="preserve"> country groups. Metric invariance was tested for by conducting a χ²</w:t>
      </w:r>
      <w:r w:rsidR="00AC71FE">
        <w:rPr>
          <w:rFonts w:ascii="Times New Roman" w:hAnsi="Times New Roman" w:cs="Times New Roman"/>
        </w:rPr>
        <w:t>-</w:t>
      </w:r>
      <w:r w:rsidR="00AC71FE" w:rsidRPr="00A21D6C">
        <w:rPr>
          <w:rFonts w:ascii="Times New Roman" w:hAnsi="Times New Roman" w:cs="Times New Roman"/>
        </w:rPr>
        <w:t>difference test of the model with constraint and unconstraint regression weights</w:t>
      </w:r>
      <w:r w:rsidR="00133CE5">
        <w:rPr>
          <w:rFonts w:ascii="Times New Roman" w:hAnsi="Times New Roman" w:cs="Times New Roman"/>
        </w:rPr>
        <w:t xml:space="preserve">. Results suggest that </w:t>
      </w:r>
      <w:r w:rsidR="00AC71FE" w:rsidRPr="00A21D6C">
        <w:rPr>
          <w:rFonts w:ascii="Times New Roman" w:hAnsi="Times New Roman" w:cs="Times New Roman"/>
        </w:rPr>
        <w:t xml:space="preserve">the groups are not different at the model level. </w:t>
      </w:r>
    </w:p>
    <w:p w14:paraId="300DB1F6" w14:textId="77777777" w:rsidR="00927784" w:rsidRDefault="00927784" w:rsidP="00D61927"/>
    <w:p w14:paraId="340C4CA6" w14:textId="7AEAFAB3" w:rsidR="00F1619F" w:rsidRPr="00AF264D" w:rsidRDefault="00F1619F" w:rsidP="00954E31">
      <w:pPr>
        <w:pStyle w:val="Heading1"/>
        <w:spacing w:before="0"/>
        <w:rPr>
          <w:rFonts w:ascii="Times New Roman" w:hAnsi="Times New Roman"/>
        </w:rPr>
      </w:pPr>
      <w:r w:rsidRPr="00AF264D">
        <w:rPr>
          <w:rFonts w:ascii="Times New Roman" w:hAnsi="Times New Roman"/>
        </w:rPr>
        <w:t xml:space="preserve">4. </w:t>
      </w:r>
      <w:r w:rsidR="00697C8B" w:rsidRPr="00AF264D">
        <w:rPr>
          <w:rFonts w:ascii="Times New Roman" w:hAnsi="Times New Roman"/>
        </w:rPr>
        <w:t xml:space="preserve">Analysis and </w:t>
      </w:r>
      <w:r w:rsidRPr="00AF264D">
        <w:rPr>
          <w:rFonts w:ascii="Times New Roman" w:hAnsi="Times New Roman"/>
        </w:rPr>
        <w:t>Results</w:t>
      </w:r>
    </w:p>
    <w:p w14:paraId="679BB8B2" w14:textId="3177290C" w:rsidR="00867290" w:rsidRPr="00AF264D" w:rsidRDefault="00686A98" w:rsidP="00867290">
      <w:pPr>
        <w:spacing w:line="480" w:lineRule="auto"/>
        <w:ind w:firstLine="284"/>
        <w:jc w:val="both"/>
        <w:rPr>
          <w:rFonts w:ascii="Times New Roman" w:hAnsi="Times New Roman" w:cs="Times New Roman"/>
        </w:rPr>
      </w:pPr>
      <w:r w:rsidRPr="00AF264D">
        <w:rPr>
          <w:rFonts w:ascii="Times New Roman" w:hAnsi="Times New Roman" w:cs="Times New Roman"/>
        </w:rPr>
        <w:t xml:space="preserve">Table </w:t>
      </w:r>
      <w:r w:rsidR="00B567E8">
        <w:rPr>
          <w:rFonts w:ascii="Times New Roman" w:hAnsi="Times New Roman" w:cs="Times New Roman"/>
        </w:rPr>
        <w:t>6</w:t>
      </w:r>
      <w:r w:rsidR="00697C8B" w:rsidRPr="00AF264D">
        <w:rPr>
          <w:rFonts w:ascii="Times New Roman" w:hAnsi="Times New Roman" w:cs="Times New Roman"/>
        </w:rPr>
        <w:t xml:space="preserve"> presents the results of the </w:t>
      </w:r>
      <w:r w:rsidR="004454F1" w:rsidRPr="00AF264D">
        <w:rPr>
          <w:rFonts w:ascii="Times New Roman" w:hAnsi="Times New Roman" w:cs="Times New Roman"/>
        </w:rPr>
        <w:t>covariance</w:t>
      </w:r>
      <w:r w:rsidR="0002000B">
        <w:rPr>
          <w:rFonts w:ascii="Times New Roman" w:hAnsi="Times New Roman" w:cs="Times New Roman"/>
        </w:rPr>
        <w:t>-</w:t>
      </w:r>
      <w:r w:rsidR="004454F1" w:rsidRPr="00AF264D">
        <w:rPr>
          <w:rFonts w:ascii="Times New Roman" w:hAnsi="Times New Roman" w:cs="Times New Roman"/>
        </w:rPr>
        <w:t xml:space="preserve">based </w:t>
      </w:r>
      <w:r w:rsidR="00697C8B" w:rsidRPr="00AF264D">
        <w:rPr>
          <w:rFonts w:ascii="Times New Roman" w:hAnsi="Times New Roman" w:cs="Times New Roman"/>
        </w:rPr>
        <w:t xml:space="preserve">structural equation model. </w:t>
      </w:r>
      <w:r w:rsidR="004454F1" w:rsidRPr="00AF264D">
        <w:rPr>
          <w:rFonts w:ascii="Times New Roman" w:hAnsi="Times New Roman" w:cs="Times New Roman"/>
        </w:rPr>
        <w:t xml:space="preserve">The </w:t>
      </w:r>
      <w:r w:rsidR="006250F0" w:rsidRPr="00AF264D">
        <w:rPr>
          <w:rFonts w:ascii="Times New Roman" w:hAnsi="Times New Roman" w:cs="Times New Roman"/>
        </w:rPr>
        <w:t xml:space="preserve">relationships </w:t>
      </w:r>
      <w:r w:rsidR="004454F1" w:rsidRPr="00AF264D">
        <w:rPr>
          <w:rFonts w:ascii="Times New Roman" w:hAnsi="Times New Roman" w:cs="Times New Roman"/>
        </w:rPr>
        <w:t xml:space="preserve">between country characteristics and company practises and outcomes were tested following </w:t>
      </w:r>
      <w:r w:rsidR="0004797C" w:rsidRPr="00AF264D">
        <w:rPr>
          <w:rFonts w:ascii="Times New Roman" w:hAnsi="Times New Roman" w:cs="Times New Roman"/>
        </w:rPr>
        <w:t xml:space="preserve">methodological </w:t>
      </w:r>
      <w:r w:rsidR="004454F1" w:rsidRPr="00F006CE">
        <w:rPr>
          <w:rFonts w:ascii="Times New Roman" w:hAnsi="Times New Roman" w:cs="Times New Roman"/>
        </w:rPr>
        <w:t xml:space="preserve">approaches taken in </w:t>
      </w:r>
      <w:r w:rsidR="0004797C" w:rsidRPr="00F006CE">
        <w:rPr>
          <w:rFonts w:ascii="Times New Roman" w:hAnsi="Times New Roman" w:cs="Times New Roman"/>
        </w:rPr>
        <w:t>Kaufmann and Carter (2006) and</w:t>
      </w:r>
      <w:r w:rsidR="007D0A35" w:rsidRPr="00F006CE">
        <w:rPr>
          <w:rFonts w:ascii="Times New Roman" w:hAnsi="Times New Roman" w:cs="Times New Roman"/>
        </w:rPr>
        <w:t xml:space="preserve"> </w:t>
      </w:r>
      <w:r w:rsidR="0004797C" w:rsidRPr="00F006CE">
        <w:rPr>
          <w:rFonts w:ascii="Times New Roman" w:hAnsi="Times New Roman" w:cs="Times New Roman"/>
        </w:rPr>
        <w:t xml:space="preserve">Wiengarten </w:t>
      </w:r>
      <w:r w:rsidR="0004797C" w:rsidRPr="003E75B7">
        <w:rPr>
          <w:rFonts w:ascii="Times New Roman" w:hAnsi="Times New Roman" w:cs="Times New Roman"/>
          <w:i/>
        </w:rPr>
        <w:t>et al.</w:t>
      </w:r>
      <w:r w:rsidR="0004797C" w:rsidRPr="00F006CE">
        <w:rPr>
          <w:rFonts w:ascii="Times New Roman" w:hAnsi="Times New Roman" w:cs="Times New Roman"/>
        </w:rPr>
        <w:t xml:space="preserve"> (2011, 2015</w:t>
      </w:r>
      <w:r w:rsidR="00F006CE">
        <w:rPr>
          <w:rFonts w:ascii="Times New Roman" w:hAnsi="Times New Roman" w:cs="Times New Roman"/>
        </w:rPr>
        <w:t>a</w:t>
      </w:r>
      <w:r w:rsidR="0004797C" w:rsidRPr="00F006CE">
        <w:rPr>
          <w:rFonts w:ascii="Times New Roman" w:hAnsi="Times New Roman" w:cs="Times New Roman"/>
        </w:rPr>
        <w:t>)</w:t>
      </w:r>
      <w:r w:rsidR="004454F1" w:rsidRPr="00F006CE">
        <w:rPr>
          <w:rFonts w:ascii="Times New Roman" w:hAnsi="Times New Roman" w:cs="Times New Roman"/>
        </w:rPr>
        <w:t>.</w:t>
      </w:r>
      <w:r w:rsidR="004454F1" w:rsidRPr="00AF264D">
        <w:rPr>
          <w:rFonts w:ascii="Times New Roman" w:hAnsi="Times New Roman" w:cs="Times New Roman"/>
        </w:rPr>
        <w:t xml:space="preserve"> </w:t>
      </w:r>
    </w:p>
    <w:p w14:paraId="6AB5C0DF" w14:textId="436E7039" w:rsidR="0016296F" w:rsidRPr="00AF264D" w:rsidRDefault="004454F1" w:rsidP="00867290">
      <w:pPr>
        <w:spacing w:line="480" w:lineRule="auto"/>
        <w:ind w:firstLine="284"/>
        <w:jc w:val="both"/>
        <w:rPr>
          <w:rFonts w:ascii="Times New Roman" w:hAnsi="Times New Roman" w:cs="Times New Roman"/>
        </w:rPr>
      </w:pPr>
      <w:r w:rsidRPr="00AF264D">
        <w:rPr>
          <w:rFonts w:ascii="Times New Roman" w:hAnsi="Times New Roman" w:cs="Times New Roman"/>
        </w:rPr>
        <w:lastRenderedPageBreak/>
        <w:t xml:space="preserve">The results, </w:t>
      </w:r>
      <w:r w:rsidR="00867290" w:rsidRPr="00AF264D">
        <w:rPr>
          <w:rFonts w:ascii="Times New Roman" w:hAnsi="Times New Roman" w:cs="Times New Roman"/>
        </w:rPr>
        <w:t xml:space="preserve">as presented in Table </w:t>
      </w:r>
      <w:r w:rsidR="00B567E8">
        <w:rPr>
          <w:rFonts w:ascii="Times New Roman" w:hAnsi="Times New Roman" w:cs="Times New Roman"/>
        </w:rPr>
        <w:t>6</w:t>
      </w:r>
      <w:r w:rsidRPr="00AF264D">
        <w:rPr>
          <w:rFonts w:ascii="Times New Roman" w:hAnsi="Times New Roman" w:cs="Times New Roman"/>
        </w:rPr>
        <w:t xml:space="preserve">, have to be </w:t>
      </w:r>
      <w:r w:rsidR="00106923" w:rsidRPr="00AF264D">
        <w:rPr>
          <w:rFonts w:ascii="Times New Roman" w:hAnsi="Times New Roman" w:cs="Times New Roman"/>
        </w:rPr>
        <w:t>interpreted</w:t>
      </w:r>
      <w:r w:rsidRPr="00AF264D">
        <w:rPr>
          <w:rFonts w:ascii="Times New Roman" w:hAnsi="Times New Roman" w:cs="Times New Roman"/>
        </w:rPr>
        <w:t xml:space="preserve"> </w:t>
      </w:r>
      <w:r w:rsidR="00867290" w:rsidRPr="00AF264D">
        <w:rPr>
          <w:rFonts w:ascii="Times New Roman" w:hAnsi="Times New Roman" w:cs="Times New Roman"/>
        </w:rPr>
        <w:t>considering that the</w:t>
      </w:r>
      <w:r w:rsidRPr="00AF264D">
        <w:rPr>
          <w:rFonts w:ascii="Times New Roman" w:hAnsi="Times New Roman" w:cs="Times New Roman"/>
        </w:rPr>
        <w:t xml:space="preserve"> </w:t>
      </w:r>
      <w:r w:rsidR="00ED3392">
        <w:rPr>
          <w:rFonts w:ascii="Times New Roman" w:hAnsi="Times New Roman" w:cs="Times New Roman"/>
        </w:rPr>
        <w:t>dependent</w:t>
      </w:r>
      <w:r w:rsidRPr="00AF264D">
        <w:rPr>
          <w:rFonts w:ascii="Times New Roman" w:hAnsi="Times New Roman" w:cs="Times New Roman"/>
        </w:rPr>
        <w:t xml:space="preserve"> variable, i.e. on-time del</w:t>
      </w:r>
      <w:r w:rsidR="00106923" w:rsidRPr="00AF264D">
        <w:rPr>
          <w:rFonts w:ascii="Times New Roman" w:hAnsi="Times New Roman" w:cs="Times New Roman"/>
        </w:rPr>
        <w:t xml:space="preserve">ivery, </w:t>
      </w:r>
      <w:r w:rsidR="00867290" w:rsidRPr="00AF264D">
        <w:rPr>
          <w:rFonts w:ascii="Times New Roman" w:hAnsi="Times New Roman" w:cs="Times New Roman"/>
        </w:rPr>
        <w:t>was</w:t>
      </w:r>
      <w:r w:rsidR="00106923" w:rsidRPr="00AF264D">
        <w:rPr>
          <w:rFonts w:ascii="Times New Roman" w:hAnsi="Times New Roman" w:cs="Times New Roman"/>
        </w:rPr>
        <w:t xml:space="preserve"> logit transformed in order to meet normality assumptions in our model. The transformation does not affect the general direction of the relationship,</w:t>
      </w:r>
      <w:r w:rsidR="00686A98" w:rsidRPr="00AF264D">
        <w:rPr>
          <w:rFonts w:ascii="Times New Roman" w:hAnsi="Times New Roman" w:cs="Times New Roman"/>
        </w:rPr>
        <w:t xml:space="preserve"> i.e. whether relationships between the independent variables and the dependent variable are negative or positive; h</w:t>
      </w:r>
      <w:r w:rsidR="00106923" w:rsidRPr="00AF264D">
        <w:rPr>
          <w:rFonts w:ascii="Times New Roman" w:hAnsi="Times New Roman" w:cs="Times New Roman"/>
        </w:rPr>
        <w:t xml:space="preserve">owever, </w:t>
      </w:r>
      <w:r w:rsidR="00686A98" w:rsidRPr="00AF264D">
        <w:rPr>
          <w:rFonts w:ascii="Times New Roman" w:hAnsi="Times New Roman" w:cs="Times New Roman"/>
        </w:rPr>
        <w:t xml:space="preserve">the </w:t>
      </w:r>
      <w:r w:rsidR="00867290" w:rsidRPr="00AF264D">
        <w:rPr>
          <w:rFonts w:ascii="Times New Roman" w:hAnsi="Times New Roman" w:cs="Times New Roman"/>
        </w:rPr>
        <w:t>degree</w:t>
      </w:r>
      <w:r w:rsidR="00ED3392">
        <w:rPr>
          <w:rFonts w:ascii="Times New Roman" w:hAnsi="Times New Roman" w:cs="Times New Roman"/>
        </w:rPr>
        <w:t>s</w:t>
      </w:r>
      <w:r w:rsidR="00867290" w:rsidRPr="00AF264D">
        <w:rPr>
          <w:rFonts w:ascii="Times New Roman" w:hAnsi="Times New Roman" w:cs="Times New Roman"/>
        </w:rPr>
        <w:t xml:space="preserve"> of these</w:t>
      </w:r>
      <w:r w:rsidR="00686A98" w:rsidRPr="00AF264D">
        <w:rPr>
          <w:rFonts w:ascii="Times New Roman" w:hAnsi="Times New Roman" w:cs="Times New Roman"/>
        </w:rPr>
        <w:t xml:space="preserve"> relationship</w:t>
      </w:r>
      <w:r w:rsidR="0016296F" w:rsidRPr="00AF264D">
        <w:rPr>
          <w:rFonts w:ascii="Times New Roman" w:hAnsi="Times New Roman" w:cs="Times New Roman"/>
        </w:rPr>
        <w:t>s</w:t>
      </w:r>
      <w:r w:rsidR="00686A98" w:rsidRPr="00AF264D">
        <w:rPr>
          <w:rFonts w:ascii="Times New Roman" w:hAnsi="Times New Roman" w:cs="Times New Roman"/>
        </w:rPr>
        <w:t xml:space="preserve"> </w:t>
      </w:r>
      <w:r w:rsidR="00ED3392">
        <w:rPr>
          <w:rFonts w:ascii="Times New Roman" w:hAnsi="Times New Roman" w:cs="Times New Roman"/>
        </w:rPr>
        <w:t xml:space="preserve">are </w:t>
      </w:r>
      <w:r w:rsidR="00686A98" w:rsidRPr="00AF264D">
        <w:rPr>
          <w:rFonts w:ascii="Times New Roman" w:hAnsi="Times New Roman" w:cs="Times New Roman"/>
        </w:rPr>
        <w:t xml:space="preserve">non-linear: </w:t>
      </w:r>
      <m:oMath>
        <m:r>
          <w:rPr>
            <w:rFonts w:ascii="Cambria Math" w:hAnsi="Cambria Math" w:cs="Times New Roman"/>
          </w:rPr>
          <m:t>logit (P)=</m:t>
        </m:r>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1</m:t>
            </m:r>
          </m:sub>
        </m:sSub>
      </m:oMath>
      <w:r w:rsidR="0016296F" w:rsidRPr="00AF264D">
        <w:rPr>
          <w:rFonts w:ascii="Times New Roman" w:hAnsi="Times New Roman" w:cs="Times New Roman"/>
        </w:rPr>
        <w:t>X</w:t>
      </w:r>
      <w:r w:rsidR="008B6479">
        <w:rPr>
          <w:rFonts w:ascii="Times New Roman" w:hAnsi="Times New Roman" w:cs="Times New Roman"/>
        </w:rPr>
        <w:t xml:space="preserve"> </w:t>
      </w:r>
      <w:r w:rsidR="0016296F" w:rsidRPr="00AF264D">
        <w:rPr>
          <w:rFonts w:ascii="Times New Roman" w:hAnsi="Times New Roman" w:cs="Times New Roman"/>
        </w:rPr>
        <w:t>where X is</w:t>
      </w:r>
      <w:r w:rsidR="0016296F" w:rsidRPr="00AF264D">
        <w:rPr>
          <w:rFonts w:ascii="Times New Roman" w:hAnsi="Times New Roman" w:cs="Times New Roman"/>
          <w:vertAlign w:val="subscript"/>
        </w:rPr>
        <w:t xml:space="preserve"> </w:t>
      </w:r>
      <w:r w:rsidR="0016296F" w:rsidRPr="00AF264D">
        <w:rPr>
          <w:rFonts w:ascii="Times New Roman" w:hAnsi="Times New Roman" w:cs="Times New Roman"/>
        </w:rPr>
        <w:t>any of the independent measures</w:t>
      </w:r>
      <w:r w:rsidR="008B6479">
        <w:rPr>
          <w:rFonts w:ascii="Times New Roman" w:hAnsi="Times New Roman" w:cs="Times New Roman"/>
        </w:rPr>
        <w:t xml:space="preserve"> and </w:t>
      </w:r>
      <m:oMath>
        <m:acc>
          <m:accPr>
            <m:ctrlPr>
              <w:rPr>
                <w:rFonts w:ascii="Cambria Math" w:hAnsi="Cambria Math" w:cs="Times New Roman"/>
                <w:i/>
              </w:rPr>
            </m:ctrlPr>
          </m:accPr>
          <m:e>
            <m:r>
              <w:rPr>
                <w:rFonts w:ascii="Cambria Math" w:hAnsi="Cambria Math" w:cs="Times New Roman"/>
              </w:rPr>
              <m:t>ε</m:t>
            </m:r>
          </m:e>
        </m:acc>
        <m:r>
          <w:rPr>
            <w:rFonts w:ascii="Cambria Math" w:hAnsi="Cambria Math" w:cs="Times New Roman"/>
          </w:rPr>
          <m:t>=0</m:t>
        </m:r>
      </m:oMath>
      <w:r w:rsidR="0016296F" w:rsidRPr="00AF264D">
        <w:rPr>
          <w:rFonts w:ascii="Times New Roman" w:hAnsi="Times New Roman" w:cs="Times New Roman"/>
        </w:rPr>
        <w:t xml:space="preserve">, or </w:t>
      </w:r>
      <w:r w:rsidR="00C2200F">
        <w:rPr>
          <w:rFonts w:ascii="Times New Roman" w:hAnsi="Times New Roman" w:cs="Times New Roman"/>
        </w:rPr>
        <w:t xml:space="preserve">with the formula </w:t>
      </w:r>
      <w:r w:rsidR="0016296F" w:rsidRPr="00AF264D">
        <w:rPr>
          <w:rFonts w:ascii="Times New Roman" w:hAnsi="Times New Roman" w:cs="Times New Roman"/>
        </w:rPr>
        <w:t>transformed</w:t>
      </w:r>
      <w:r w:rsidR="00C2200F">
        <w:rPr>
          <w:rFonts w:ascii="Times New Roman" w:hAnsi="Times New Roman" w:cs="Times New Roman"/>
        </w:rPr>
        <w:t xml:space="preserve"> as</w:t>
      </w:r>
      <w:r w:rsidR="0016296F" w:rsidRPr="00AF264D">
        <w:rPr>
          <w:rFonts w:ascii="Times New Roman" w:hAnsi="Times New Roman" w:cs="Times New Roman"/>
        </w:rPr>
        <w:t xml:space="preserve"> </w:t>
      </w:r>
      <m:oMath>
        <m:r>
          <w:rPr>
            <w:rFonts w:ascii="Cambria Math" w:hAnsi="Cambria Math" w:cs="Times New Roman"/>
          </w:rPr>
          <m:t>P=</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0</m:t>
                    </m:r>
                  </m:sub>
                </m:sSub>
              </m:sup>
            </m:sSup>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1</m:t>
                    </m:r>
                  </m:sub>
                </m:sSub>
                <m:r>
                  <w:rPr>
                    <w:rFonts w:ascii="Cambria Math" w:hAnsi="Cambria Math" w:cs="Times New Roman"/>
                  </w:rPr>
                  <m:t>X</m:t>
                </m:r>
              </m:sup>
            </m:sSup>
          </m:e>
        </m:d>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0</m:t>
                </m:r>
              </m:sub>
            </m:sSub>
          </m:sup>
        </m:sSup>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m:rPr>
                    <m:sty m:val="p"/>
                  </m:rPr>
                  <w:rPr>
                    <w:rFonts w:ascii="Cambria Math" w:hAnsi="Cambria Math" w:cs="Times New Roman"/>
                  </w:rPr>
                  <m:t>β</m:t>
                </m:r>
              </m:e>
              <m:sub>
                <m:r>
                  <w:rPr>
                    <w:rFonts w:ascii="Cambria Math" w:hAnsi="Cambria Math" w:cs="Times New Roman"/>
                  </w:rPr>
                  <m:t>1</m:t>
                </m:r>
              </m:sub>
            </m:sSub>
            <m:r>
              <w:rPr>
                <w:rFonts w:ascii="Cambria Math" w:hAnsi="Cambria Math" w:cs="Times New Roman"/>
              </w:rPr>
              <m:t>X</m:t>
            </m:r>
          </m:sup>
        </m:sSup>
        <m:r>
          <w:rPr>
            <w:rFonts w:ascii="Cambria Math" w:hAnsi="Cambria Math" w:cs="Times New Roman"/>
          </w:rPr>
          <m:t>]</m:t>
        </m:r>
      </m:oMath>
      <w:r w:rsidR="0016296F" w:rsidRPr="00AF264D">
        <w:rPr>
          <w:rFonts w:ascii="Times New Roman" w:hAnsi="Times New Roman" w:cs="Times New Roman"/>
        </w:rPr>
        <w:t>.</w:t>
      </w:r>
    </w:p>
    <w:p w14:paraId="11246D33" w14:textId="6A6761A4" w:rsidR="00E81CD5" w:rsidRPr="00AF264D" w:rsidRDefault="00E81CD5" w:rsidP="00867290">
      <w:pPr>
        <w:spacing w:line="480" w:lineRule="auto"/>
        <w:ind w:firstLine="284"/>
        <w:jc w:val="both"/>
        <w:rPr>
          <w:rFonts w:ascii="Times New Roman" w:hAnsi="Times New Roman" w:cs="Times New Roman"/>
          <w:b/>
        </w:rPr>
      </w:pPr>
      <w:r w:rsidRPr="00AF264D">
        <w:rPr>
          <w:rFonts w:ascii="Times New Roman" w:hAnsi="Times New Roman"/>
        </w:rPr>
        <w:t>Squared multiple correlations are .143 for the logit transforme</w:t>
      </w:r>
      <w:r w:rsidR="007D0A35">
        <w:rPr>
          <w:rFonts w:ascii="Times New Roman" w:hAnsi="Times New Roman"/>
        </w:rPr>
        <w:t>d dependent variable. The model</w:t>
      </w:r>
      <w:r w:rsidRPr="00AF264D">
        <w:rPr>
          <w:rFonts w:ascii="Times New Roman" w:hAnsi="Times New Roman"/>
        </w:rPr>
        <w:t xml:space="preserve"> exceed</w:t>
      </w:r>
      <w:r w:rsidR="007D0A35">
        <w:rPr>
          <w:rFonts w:ascii="Times New Roman" w:hAnsi="Times New Roman"/>
        </w:rPr>
        <w:t>s</w:t>
      </w:r>
      <w:r w:rsidRPr="00AF264D">
        <w:rPr>
          <w:rFonts w:ascii="Times New Roman" w:hAnsi="Times New Roman"/>
        </w:rPr>
        <w:t xml:space="preserve"> the recommended threshold for statistical power of .80 </w:t>
      </w:r>
      <w:r w:rsidR="009447BE" w:rsidRPr="00AF264D">
        <w:rPr>
          <w:rFonts w:ascii="Times New Roman" w:hAnsi="Times New Roman" w:cs="Times New Roman"/>
        </w:rPr>
        <w:t xml:space="preserve">(MacCallum </w:t>
      </w:r>
      <w:r w:rsidR="009447BE" w:rsidRPr="003E75B7">
        <w:rPr>
          <w:rFonts w:ascii="Times New Roman" w:hAnsi="Times New Roman" w:cs="Times New Roman"/>
          <w:i/>
        </w:rPr>
        <w:t>et al.</w:t>
      </w:r>
      <w:r w:rsidR="009447BE" w:rsidRPr="00AF264D">
        <w:rPr>
          <w:rFonts w:ascii="Times New Roman" w:hAnsi="Times New Roman" w:cs="Times New Roman"/>
        </w:rPr>
        <w:t>, 1996)</w:t>
      </w:r>
      <w:r w:rsidRPr="00AF264D">
        <w:rPr>
          <w:rFonts w:ascii="Times New Roman" w:hAnsi="Times New Roman"/>
        </w:rPr>
        <w:t>. Thus, we conclude that the sample size is adequate and the model has sufficient power to detect global model misspecification.</w:t>
      </w:r>
    </w:p>
    <w:p w14:paraId="39805A83" w14:textId="77777777" w:rsidR="0047718D" w:rsidRPr="00AF264D" w:rsidRDefault="0047718D" w:rsidP="0047718D">
      <w:pPr>
        <w:spacing w:line="360" w:lineRule="auto"/>
        <w:jc w:val="both"/>
        <w:rPr>
          <w:rFonts w:ascii="Times New Roman" w:hAnsi="Times New Roman" w:cs="Times New Roman"/>
        </w:rPr>
      </w:pPr>
    </w:p>
    <w:p w14:paraId="0C1D353A" w14:textId="77777777" w:rsidR="0047718D" w:rsidRPr="00AF264D" w:rsidRDefault="0047718D" w:rsidP="0047718D">
      <w:pPr>
        <w:jc w:val="center"/>
        <w:rPr>
          <w:rFonts w:ascii="Times New Roman" w:hAnsi="Times New Roman" w:cs="Times New Roman"/>
        </w:rPr>
      </w:pPr>
      <w:r w:rsidRPr="00AF264D">
        <w:rPr>
          <w:rFonts w:ascii="Times New Roman" w:hAnsi="Times New Roman" w:cs="Times New Roman"/>
        </w:rPr>
        <w:t>--------------------------------------</w:t>
      </w:r>
    </w:p>
    <w:p w14:paraId="578F992F" w14:textId="7ED423C1" w:rsidR="0047718D" w:rsidRPr="00AF264D" w:rsidRDefault="0047718D" w:rsidP="0047718D">
      <w:pPr>
        <w:jc w:val="center"/>
        <w:rPr>
          <w:rFonts w:ascii="Times New Roman" w:hAnsi="Times New Roman" w:cs="Times New Roman"/>
        </w:rPr>
      </w:pPr>
      <w:r w:rsidRPr="00AF264D">
        <w:rPr>
          <w:rFonts w:ascii="Times New Roman" w:hAnsi="Times New Roman" w:cs="Times New Roman"/>
        </w:rPr>
        <w:t xml:space="preserve">Insert Table </w:t>
      </w:r>
      <w:r w:rsidR="00B567E8">
        <w:rPr>
          <w:rFonts w:ascii="Times New Roman" w:hAnsi="Times New Roman" w:cs="Times New Roman"/>
        </w:rPr>
        <w:t>6</w:t>
      </w:r>
      <w:r w:rsidRPr="00AF264D">
        <w:rPr>
          <w:rFonts w:ascii="Times New Roman" w:hAnsi="Times New Roman" w:cs="Times New Roman"/>
        </w:rPr>
        <w:t xml:space="preserve"> about here</w:t>
      </w:r>
    </w:p>
    <w:p w14:paraId="3AF472DF" w14:textId="77777777" w:rsidR="0047718D" w:rsidRPr="00AF264D" w:rsidRDefault="0047718D" w:rsidP="0047718D">
      <w:pPr>
        <w:jc w:val="center"/>
        <w:rPr>
          <w:rFonts w:ascii="Times New Roman" w:hAnsi="Times New Roman" w:cs="Times New Roman"/>
        </w:rPr>
      </w:pPr>
      <w:r w:rsidRPr="00AF264D">
        <w:rPr>
          <w:rFonts w:ascii="Times New Roman" w:hAnsi="Times New Roman" w:cs="Times New Roman"/>
        </w:rPr>
        <w:t>----------------------------------------</w:t>
      </w:r>
    </w:p>
    <w:p w14:paraId="2CB8196F" w14:textId="77777777" w:rsidR="0047718D" w:rsidRPr="00AF264D" w:rsidRDefault="0047718D" w:rsidP="0047718D">
      <w:pPr>
        <w:spacing w:line="360" w:lineRule="auto"/>
        <w:jc w:val="both"/>
        <w:rPr>
          <w:rFonts w:ascii="Times New Roman" w:hAnsi="Times New Roman" w:cs="Times New Roman"/>
          <w:b/>
        </w:rPr>
      </w:pPr>
    </w:p>
    <w:p w14:paraId="268D9748" w14:textId="0572C19B" w:rsidR="00FF7D92" w:rsidRPr="00AF264D" w:rsidRDefault="00867290" w:rsidP="000C5B28">
      <w:pPr>
        <w:spacing w:line="480" w:lineRule="auto"/>
        <w:ind w:firstLine="284"/>
        <w:jc w:val="both"/>
        <w:rPr>
          <w:rFonts w:ascii="Times New Roman" w:hAnsi="Times New Roman" w:cs="Times New Roman"/>
        </w:rPr>
      </w:pPr>
      <w:r w:rsidRPr="00AF264D">
        <w:rPr>
          <w:rFonts w:ascii="Times New Roman" w:hAnsi="Times New Roman" w:cs="Times New Roman"/>
        </w:rPr>
        <w:t xml:space="preserve">In order to </w:t>
      </w:r>
      <w:r w:rsidR="00680E1C">
        <w:rPr>
          <w:rFonts w:ascii="Times New Roman" w:hAnsi="Times New Roman" w:cs="Times New Roman"/>
        </w:rPr>
        <w:t>explore</w:t>
      </w:r>
      <w:r w:rsidRPr="00AF264D">
        <w:rPr>
          <w:rFonts w:ascii="Times New Roman" w:hAnsi="Times New Roman" w:cs="Times New Roman"/>
        </w:rPr>
        <w:t xml:space="preserve"> the impact of institutional factors on delivery failures we proposed two hypotheses. In hypothesis 1 we proposed that firms situated in a</w:t>
      </w:r>
      <w:r w:rsidR="00106923" w:rsidRPr="00AF264D">
        <w:rPr>
          <w:rFonts w:ascii="Times New Roman" w:hAnsi="Times New Roman" w:cs="Times New Roman"/>
        </w:rPr>
        <w:t xml:space="preserve"> regulatory national environment that is conducive to trade</w:t>
      </w:r>
      <w:r w:rsidR="00E81CD5" w:rsidRPr="00AF264D">
        <w:rPr>
          <w:rFonts w:ascii="Times New Roman" w:hAnsi="Times New Roman" w:cs="Times New Roman"/>
        </w:rPr>
        <w:t>,</w:t>
      </w:r>
      <w:r w:rsidR="00106923" w:rsidRPr="00AF264D">
        <w:rPr>
          <w:rFonts w:ascii="Times New Roman" w:hAnsi="Times New Roman" w:cs="Times New Roman"/>
        </w:rPr>
        <w:t xml:space="preserve"> </w:t>
      </w:r>
      <w:r w:rsidRPr="00AF264D">
        <w:rPr>
          <w:rFonts w:ascii="Times New Roman" w:hAnsi="Times New Roman" w:cs="Times New Roman"/>
        </w:rPr>
        <w:t>experience more</w:t>
      </w:r>
      <w:r w:rsidR="00106923" w:rsidRPr="00AF264D">
        <w:rPr>
          <w:rFonts w:ascii="Times New Roman" w:hAnsi="Times New Roman" w:cs="Times New Roman"/>
        </w:rPr>
        <w:t xml:space="preserve"> on-time deliveries</w:t>
      </w:r>
      <w:r w:rsidRPr="00AF264D">
        <w:rPr>
          <w:rFonts w:ascii="Times New Roman" w:hAnsi="Times New Roman" w:cs="Times New Roman"/>
        </w:rPr>
        <w:t xml:space="preserve"> than firms situated in </w:t>
      </w:r>
      <w:r w:rsidR="0044740B">
        <w:rPr>
          <w:rFonts w:ascii="Times New Roman" w:hAnsi="Times New Roman" w:cs="Times New Roman"/>
        </w:rPr>
        <w:t>countries</w:t>
      </w:r>
      <w:r w:rsidRPr="00AF264D">
        <w:rPr>
          <w:rFonts w:ascii="Times New Roman" w:hAnsi="Times New Roman" w:cs="Times New Roman"/>
        </w:rPr>
        <w:t xml:space="preserve"> </w:t>
      </w:r>
      <w:r w:rsidR="007D0A35">
        <w:rPr>
          <w:rFonts w:ascii="Times New Roman" w:hAnsi="Times New Roman" w:cs="Times New Roman"/>
        </w:rPr>
        <w:t>were regulation is</w:t>
      </w:r>
      <w:r w:rsidRPr="00AF264D">
        <w:rPr>
          <w:rFonts w:ascii="Times New Roman" w:hAnsi="Times New Roman" w:cs="Times New Roman"/>
        </w:rPr>
        <w:t xml:space="preserve"> less conducive to trade. Similarly, in hypothesis 2 we proposed that firms situated in </w:t>
      </w:r>
      <w:r w:rsidR="0030476E">
        <w:rPr>
          <w:rFonts w:ascii="Times New Roman" w:hAnsi="Times New Roman" w:cs="Times New Roman"/>
        </w:rPr>
        <w:t>countries</w:t>
      </w:r>
      <w:r w:rsidRPr="00AF264D">
        <w:rPr>
          <w:rFonts w:ascii="Times New Roman" w:hAnsi="Times New Roman" w:cs="Times New Roman"/>
        </w:rPr>
        <w:t xml:space="preserve"> where the need for critical infrastructure and its development</w:t>
      </w:r>
      <w:r w:rsidR="00FF7D92" w:rsidRPr="00AF264D">
        <w:rPr>
          <w:rFonts w:ascii="Times New Roman" w:hAnsi="Times New Roman" w:cs="Times New Roman"/>
        </w:rPr>
        <w:t xml:space="preserve"> needs</w:t>
      </w:r>
      <w:r w:rsidRPr="00AF264D">
        <w:rPr>
          <w:rFonts w:ascii="Times New Roman" w:hAnsi="Times New Roman" w:cs="Times New Roman"/>
        </w:rPr>
        <w:t xml:space="preserve"> </w:t>
      </w:r>
      <w:r w:rsidR="00FF7D92" w:rsidRPr="00AF264D">
        <w:rPr>
          <w:rFonts w:ascii="Times New Roman" w:hAnsi="Times New Roman" w:cs="Times New Roman"/>
        </w:rPr>
        <w:t>have</w:t>
      </w:r>
      <w:r w:rsidRPr="00AF264D">
        <w:rPr>
          <w:rFonts w:ascii="Times New Roman" w:hAnsi="Times New Roman" w:cs="Times New Roman"/>
        </w:rPr>
        <w:t xml:space="preserve"> continuously been ignored</w:t>
      </w:r>
      <w:r w:rsidR="00E81CD5" w:rsidRPr="00AF264D">
        <w:rPr>
          <w:rFonts w:ascii="Times New Roman" w:hAnsi="Times New Roman" w:cs="Times New Roman"/>
        </w:rPr>
        <w:t>,</w:t>
      </w:r>
      <w:r w:rsidRPr="00AF264D">
        <w:rPr>
          <w:rFonts w:ascii="Times New Roman" w:hAnsi="Times New Roman" w:cs="Times New Roman"/>
        </w:rPr>
        <w:t xml:space="preserve"> experience significantly fewer upstream on-time deliveries</w:t>
      </w:r>
      <w:r w:rsidR="00FF7D92" w:rsidRPr="00AF264D">
        <w:rPr>
          <w:rFonts w:ascii="Times New Roman" w:hAnsi="Times New Roman" w:cs="Times New Roman"/>
        </w:rPr>
        <w:t xml:space="preserve"> than firms in </w:t>
      </w:r>
      <w:r w:rsidR="0044740B">
        <w:rPr>
          <w:rFonts w:ascii="Times New Roman" w:hAnsi="Times New Roman" w:cs="Times New Roman"/>
        </w:rPr>
        <w:t>countries</w:t>
      </w:r>
      <w:r w:rsidR="00FF7D92" w:rsidRPr="00AF264D">
        <w:rPr>
          <w:rFonts w:ascii="Times New Roman" w:hAnsi="Times New Roman" w:cs="Times New Roman"/>
        </w:rPr>
        <w:t xml:space="preserve"> where the critical infrastructure is continuously developed. The results indicate support for both hypotheses. A regulatory national environment that is conducive to trade helps companies to experience </w:t>
      </w:r>
      <w:r w:rsidR="006C3373">
        <w:rPr>
          <w:rFonts w:ascii="Times New Roman" w:hAnsi="Times New Roman" w:cs="Times New Roman"/>
        </w:rPr>
        <w:t>fewer</w:t>
      </w:r>
      <w:r w:rsidR="00FF7D92" w:rsidRPr="00AF264D">
        <w:rPr>
          <w:rFonts w:ascii="Times New Roman" w:hAnsi="Times New Roman" w:cs="Times New Roman"/>
        </w:rPr>
        <w:t xml:space="preserve"> late deliveries; while a national infrastructure that has continuously been neglected leads to more late deliveries. </w:t>
      </w:r>
    </w:p>
    <w:p w14:paraId="075C9D33" w14:textId="715DE4E6" w:rsidR="00FF7D92" w:rsidRPr="00AF264D" w:rsidRDefault="00FF7D92" w:rsidP="000C5B28">
      <w:pPr>
        <w:spacing w:line="480" w:lineRule="auto"/>
        <w:ind w:firstLine="284"/>
        <w:jc w:val="both"/>
        <w:rPr>
          <w:rFonts w:ascii="Times New Roman" w:hAnsi="Times New Roman" w:cs="Times New Roman"/>
        </w:rPr>
      </w:pPr>
      <w:r w:rsidRPr="00AF264D">
        <w:rPr>
          <w:rFonts w:ascii="Times New Roman" w:hAnsi="Times New Roman" w:cs="Times New Roman"/>
        </w:rPr>
        <w:lastRenderedPageBreak/>
        <w:t>In order to research the impact of cultural factors on upstream on-time deliveries we proposed two further hypotheses. In hypothesis 3a</w:t>
      </w:r>
      <w:r w:rsidR="00E81CD5" w:rsidRPr="00AF264D">
        <w:rPr>
          <w:rFonts w:ascii="Times New Roman" w:hAnsi="Times New Roman" w:cs="Times New Roman"/>
        </w:rPr>
        <w:t>,</w:t>
      </w:r>
      <w:r w:rsidRPr="00AF264D">
        <w:rPr>
          <w:rFonts w:ascii="Times New Roman" w:hAnsi="Times New Roman" w:cs="Times New Roman"/>
        </w:rPr>
        <w:t xml:space="preserve"> we proposed that that firms situated in countries with a national culture that </w:t>
      </w:r>
      <w:r w:rsidR="00FC1EE8">
        <w:rPr>
          <w:rFonts w:ascii="Times New Roman" w:hAnsi="Times New Roman" w:cs="Times New Roman"/>
        </w:rPr>
        <w:t>exhibits</w:t>
      </w:r>
      <w:r w:rsidRPr="00AF264D">
        <w:rPr>
          <w:rFonts w:ascii="Times New Roman" w:hAnsi="Times New Roman" w:cs="Times New Roman"/>
        </w:rPr>
        <w:t xml:space="preserve"> high levels of </w:t>
      </w:r>
      <w:r w:rsidR="00E81CD5" w:rsidRPr="00AF264D">
        <w:rPr>
          <w:rFonts w:ascii="Times New Roman" w:hAnsi="Times New Roman" w:cs="Times New Roman"/>
        </w:rPr>
        <w:t>UAI</w:t>
      </w:r>
      <w:r w:rsidRPr="00AF264D">
        <w:rPr>
          <w:rFonts w:ascii="Times New Roman" w:hAnsi="Times New Roman" w:cs="Times New Roman"/>
        </w:rPr>
        <w:t xml:space="preserve"> will experience more late deliveries</w:t>
      </w:r>
      <w:r w:rsidR="00E81CD5" w:rsidRPr="00AF264D">
        <w:rPr>
          <w:rFonts w:ascii="Times New Roman" w:hAnsi="Times New Roman" w:cs="Times New Roman"/>
        </w:rPr>
        <w:t>. C</w:t>
      </w:r>
      <w:r w:rsidR="00A4405F" w:rsidRPr="00AF264D">
        <w:rPr>
          <w:rFonts w:ascii="Times New Roman" w:hAnsi="Times New Roman" w:cs="Times New Roman"/>
        </w:rPr>
        <w:t xml:space="preserve">ountries </w:t>
      </w:r>
      <w:r w:rsidR="00E81CD5" w:rsidRPr="00AF264D">
        <w:rPr>
          <w:rFonts w:ascii="Times New Roman" w:hAnsi="Times New Roman" w:cs="Times New Roman"/>
        </w:rPr>
        <w:t xml:space="preserve">with high levels of UAI </w:t>
      </w:r>
      <w:r w:rsidR="00A4405F" w:rsidRPr="00AF264D">
        <w:rPr>
          <w:rFonts w:ascii="Times New Roman" w:hAnsi="Times New Roman" w:cs="Times New Roman"/>
        </w:rPr>
        <w:t>are characterized by a rather strong adherence to norms and agreements, as opposed to low UAI countries with a more relaxed attitude</w:t>
      </w:r>
      <w:r w:rsidRPr="00AF264D">
        <w:rPr>
          <w:rFonts w:ascii="Times New Roman" w:hAnsi="Times New Roman" w:cs="Times New Roman"/>
        </w:rPr>
        <w:t>.</w:t>
      </w:r>
      <w:r w:rsidR="00A4405F" w:rsidRPr="00AF264D">
        <w:rPr>
          <w:rFonts w:ascii="Times New Roman" w:hAnsi="Times New Roman" w:cs="Times New Roman"/>
        </w:rPr>
        <w:t xml:space="preserve"> In hypothesis 3b</w:t>
      </w:r>
      <w:r w:rsidR="00E81CD5" w:rsidRPr="00AF264D">
        <w:rPr>
          <w:rFonts w:ascii="Times New Roman" w:hAnsi="Times New Roman" w:cs="Times New Roman"/>
        </w:rPr>
        <w:t>,</w:t>
      </w:r>
      <w:r w:rsidR="00A4405F" w:rsidRPr="00AF264D">
        <w:rPr>
          <w:rFonts w:ascii="Times New Roman" w:hAnsi="Times New Roman" w:cs="Times New Roman"/>
        </w:rPr>
        <w:t xml:space="preserve"> we proposed that in general, firms practicing high levels of supplier communication at the organizational level will achieve more upstream on-time deliveries. We found support for both hypotheses, suggesting that both, the national culture in the form of national </w:t>
      </w:r>
      <w:r w:rsidR="00E81CD5" w:rsidRPr="00AF264D">
        <w:rPr>
          <w:rFonts w:ascii="Times New Roman" w:hAnsi="Times New Roman" w:cs="Times New Roman"/>
        </w:rPr>
        <w:t>UAI</w:t>
      </w:r>
      <w:r w:rsidR="00A4405F" w:rsidRPr="00AF264D">
        <w:rPr>
          <w:rFonts w:ascii="Times New Roman" w:hAnsi="Times New Roman" w:cs="Times New Roman"/>
        </w:rPr>
        <w:t xml:space="preserve"> and organizational practices, in the form supplier communication impact on the outcome of supply chain relationships in terms of on-time deliveries. </w:t>
      </w:r>
      <w:r w:rsidR="00927784">
        <w:rPr>
          <w:rFonts w:ascii="Times New Roman" w:hAnsi="Times New Roman" w:cs="Times New Roman"/>
        </w:rPr>
        <w:t>However, for hypothesis 3b we only</w:t>
      </w:r>
      <w:r w:rsidR="00793952">
        <w:rPr>
          <w:rFonts w:ascii="Times New Roman" w:hAnsi="Times New Roman" w:cs="Times New Roman"/>
        </w:rPr>
        <w:t xml:space="preserve"> found marginal support at the </w:t>
      </w:r>
      <w:r w:rsidR="00927784">
        <w:rPr>
          <w:rFonts w:ascii="Times New Roman" w:hAnsi="Times New Roman" w:cs="Times New Roman"/>
        </w:rPr>
        <w:t>.10 level in our results.</w:t>
      </w:r>
    </w:p>
    <w:p w14:paraId="41C96EFA" w14:textId="33817343" w:rsidR="00106923" w:rsidRDefault="00752237" w:rsidP="00BF3C1C">
      <w:pPr>
        <w:spacing w:line="480" w:lineRule="auto"/>
        <w:ind w:firstLine="284"/>
        <w:jc w:val="both"/>
        <w:rPr>
          <w:rFonts w:ascii="Times New Roman" w:hAnsi="Times New Roman" w:cs="Times New Roman"/>
        </w:rPr>
      </w:pPr>
      <w:r w:rsidRPr="00AF264D">
        <w:rPr>
          <w:rFonts w:ascii="Times New Roman" w:hAnsi="Times New Roman" w:cs="Times New Roman"/>
        </w:rPr>
        <w:t>In hypotheses 4a and 4b we propose</w:t>
      </w:r>
      <w:r w:rsidR="007D0A35">
        <w:rPr>
          <w:rFonts w:ascii="Times New Roman" w:hAnsi="Times New Roman" w:cs="Times New Roman"/>
        </w:rPr>
        <w:t>d</w:t>
      </w:r>
      <w:r w:rsidRPr="00AF264D">
        <w:rPr>
          <w:rFonts w:ascii="Times New Roman" w:hAnsi="Times New Roman" w:cs="Times New Roman"/>
        </w:rPr>
        <w:t xml:space="preserve"> two contradicting hypotheses. Hypothesis 4a followed the convergence stream of argument and proposed that firms situated in </w:t>
      </w:r>
      <w:r w:rsidR="0044740B">
        <w:rPr>
          <w:rFonts w:ascii="Times New Roman" w:hAnsi="Times New Roman" w:cs="Times New Roman"/>
        </w:rPr>
        <w:t>countries</w:t>
      </w:r>
      <w:r w:rsidRPr="00AF264D">
        <w:rPr>
          <w:rFonts w:ascii="Times New Roman" w:hAnsi="Times New Roman" w:cs="Times New Roman"/>
        </w:rPr>
        <w:t xml:space="preserve"> with high levels of UAI can overcome these negative national culture influences through practicing high levels of supplier communication. Hypothesis 4b suggested the contrary, proposing that this type of national culture cannot be moderated by </w:t>
      </w:r>
      <w:r w:rsidR="00675426" w:rsidRPr="00AF264D">
        <w:rPr>
          <w:rFonts w:ascii="Times New Roman" w:hAnsi="Times New Roman" w:cs="Times New Roman"/>
        </w:rPr>
        <w:t>supplier communication</w:t>
      </w:r>
      <w:r w:rsidRPr="00AF264D">
        <w:rPr>
          <w:rFonts w:ascii="Times New Roman" w:hAnsi="Times New Roman" w:cs="Times New Roman"/>
        </w:rPr>
        <w:t xml:space="preserve">, thereby </w:t>
      </w:r>
      <w:r w:rsidR="00675426" w:rsidRPr="00AF264D">
        <w:rPr>
          <w:rFonts w:ascii="Times New Roman" w:hAnsi="Times New Roman" w:cs="Times New Roman"/>
        </w:rPr>
        <w:t>drawing on</w:t>
      </w:r>
      <w:r w:rsidRPr="00AF264D">
        <w:rPr>
          <w:rFonts w:ascii="Times New Roman" w:hAnsi="Times New Roman" w:cs="Times New Roman"/>
        </w:rPr>
        <w:t xml:space="preserve"> the divergence stream of argument. Surprisingly, we found</w:t>
      </w:r>
      <w:r w:rsidR="00A4735B">
        <w:rPr>
          <w:rFonts w:ascii="Times New Roman" w:hAnsi="Times New Roman" w:cs="Times New Roman"/>
        </w:rPr>
        <w:t xml:space="preserve"> no support for both hypothese</w:t>
      </w:r>
      <w:r w:rsidRPr="00AF264D">
        <w:rPr>
          <w:rFonts w:ascii="Times New Roman" w:hAnsi="Times New Roman" w:cs="Times New Roman"/>
        </w:rPr>
        <w:t>s</w:t>
      </w:r>
      <w:r w:rsidR="00960D65">
        <w:rPr>
          <w:rFonts w:ascii="Times New Roman" w:hAnsi="Times New Roman" w:cs="Times New Roman"/>
        </w:rPr>
        <w:t xml:space="preserve">. The results suggest that </w:t>
      </w:r>
      <w:r w:rsidR="00A4735B">
        <w:rPr>
          <w:rFonts w:ascii="Times New Roman" w:hAnsi="Times New Roman" w:cs="Times New Roman"/>
        </w:rPr>
        <w:t>that national UAI culture can</w:t>
      </w:r>
      <w:r w:rsidR="00BF3C1C">
        <w:rPr>
          <w:rFonts w:ascii="Times New Roman" w:hAnsi="Times New Roman" w:cs="Times New Roman"/>
        </w:rPr>
        <w:t xml:space="preserve"> significantly</w:t>
      </w:r>
      <w:r w:rsidR="00A4735B">
        <w:rPr>
          <w:rFonts w:ascii="Times New Roman" w:hAnsi="Times New Roman" w:cs="Times New Roman"/>
        </w:rPr>
        <w:t xml:space="preserve"> impact buyer-supplier operations, </w:t>
      </w:r>
      <w:r w:rsidR="00BF3C1C">
        <w:rPr>
          <w:rFonts w:ascii="Times New Roman" w:hAnsi="Times New Roman" w:cs="Times New Roman"/>
        </w:rPr>
        <w:t>but the findings are different from our hypotheses</w:t>
      </w:r>
      <w:r w:rsidR="00960D65">
        <w:rPr>
          <w:rFonts w:ascii="Times New Roman" w:hAnsi="Times New Roman" w:cs="Times New Roman"/>
        </w:rPr>
        <w:t xml:space="preserve"> (Figure 2)</w:t>
      </w:r>
      <w:r w:rsidR="00BF3C1C">
        <w:rPr>
          <w:rFonts w:ascii="Times New Roman" w:hAnsi="Times New Roman" w:cs="Times New Roman"/>
        </w:rPr>
        <w:t>.</w:t>
      </w:r>
    </w:p>
    <w:p w14:paraId="5F0E3BEB" w14:textId="77777777" w:rsidR="004136B9" w:rsidRDefault="004136B9" w:rsidP="004136B9">
      <w:pPr>
        <w:pStyle w:val="Caption"/>
        <w:keepNext/>
        <w:jc w:val="left"/>
        <w:rPr>
          <w:rFonts w:ascii="Times New Roman" w:hAnsi="Times New Roman" w:cs="Times New Roman"/>
          <w:sz w:val="24"/>
          <w:lang w:val="en-GB"/>
        </w:rPr>
      </w:pPr>
    </w:p>
    <w:p w14:paraId="578A1855" w14:textId="6EF662E2" w:rsidR="004136B9" w:rsidRDefault="004136B9" w:rsidP="00D61927">
      <w:pPr>
        <w:pStyle w:val="Caption"/>
        <w:keepNext/>
        <w:jc w:val="left"/>
      </w:pPr>
      <w:r w:rsidRPr="00DC4C96">
        <w:rPr>
          <w:rFonts w:ascii="Times New Roman" w:hAnsi="Times New Roman" w:cs="Times New Roman"/>
          <w:sz w:val="24"/>
          <w:lang w:val="en-GB"/>
        </w:rPr>
        <w:t>Figure 2:</w:t>
      </w:r>
      <w:r w:rsidRPr="00DC4C96">
        <w:rPr>
          <w:rFonts w:ascii="Times New Roman" w:hAnsi="Times New Roman" w:cs="Times New Roman"/>
          <w:b w:val="0"/>
          <w:sz w:val="24"/>
          <w:lang w:val="en-GB"/>
        </w:rPr>
        <w:t xml:space="preserve"> </w:t>
      </w:r>
      <w:r w:rsidRPr="00DC4C96">
        <w:rPr>
          <w:rFonts w:ascii="Times New Roman" w:hAnsi="Times New Roman" w:cs="Times New Roman"/>
          <w:b w:val="0"/>
          <w:sz w:val="24"/>
        </w:rPr>
        <w:t>Significant interaction moderation (H4a and H4b)</w:t>
      </w:r>
    </w:p>
    <w:p w14:paraId="26B0B933" w14:textId="7D3C7B99" w:rsidR="00FC1EE8" w:rsidRPr="004136B9" w:rsidRDefault="008F5A59" w:rsidP="00634E6C">
      <w:pPr>
        <w:tabs>
          <w:tab w:val="left" w:pos="284"/>
        </w:tabs>
        <w:spacing w:line="480" w:lineRule="auto"/>
        <w:jc w:val="both"/>
        <w:rPr>
          <w:rFonts w:ascii="Times New Roman" w:hAnsi="Times New Roman"/>
        </w:rPr>
      </w:pPr>
      <w:r w:rsidRPr="008F5A59">
        <w:rPr>
          <w:noProof/>
          <w:lang w:eastAsia="en-GB"/>
        </w:rPr>
        <w:drawing>
          <wp:inline distT="0" distB="0" distL="0" distR="0" wp14:anchorId="67A1C631" wp14:editId="25B98EF3">
            <wp:extent cx="4293704" cy="281233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770" cy="2812382"/>
                    </a:xfrm>
                    <a:prstGeom prst="rect">
                      <a:avLst/>
                    </a:prstGeom>
                    <a:noFill/>
                    <a:ln>
                      <a:noFill/>
                    </a:ln>
                  </pic:spPr>
                </pic:pic>
              </a:graphicData>
            </a:graphic>
          </wp:inline>
        </w:drawing>
      </w:r>
    </w:p>
    <w:p w14:paraId="471293B6" w14:textId="77777777" w:rsidR="00FC1EE8" w:rsidRPr="00AF264D" w:rsidRDefault="00FC1EE8" w:rsidP="00FC1EE8">
      <w:pPr>
        <w:spacing w:line="360" w:lineRule="auto"/>
        <w:jc w:val="center"/>
        <w:rPr>
          <w:rFonts w:ascii="Times New Roman" w:hAnsi="Times New Roman" w:cs="Times New Roman"/>
          <w:i/>
        </w:rPr>
      </w:pPr>
    </w:p>
    <w:p w14:paraId="2EB97E1E" w14:textId="2784B85C" w:rsidR="00FC1EE8" w:rsidRDefault="00FC1EE8" w:rsidP="00FC1EE8">
      <w:pPr>
        <w:spacing w:line="360" w:lineRule="auto"/>
        <w:jc w:val="center"/>
        <w:rPr>
          <w:rFonts w:ascii="Times New Roman" w:hAnsi="Times New Roman" w:cs="Times New Roman"/>
          <w:i/>
        </w:rPr>
      </w:pPr>
    </w:p>
    <w:p w14:paraId="51DB18DF" w14:textId="77777777" w:rsidR="00FC1EE8" w:rsidRPr="004136B9" w:rsidRDefault="00FC1EE8" w:rsidP="00D61927">
      <w:pPr>
        <w:spacing w:line="480" w:lineRule="auto"/>
        <w:ind w:firstLine="284"/>
        <w:jc w:val="both"/>
        <w:rPr>
          <w:rFonts w:ascii="Times New Roman" w:hAnsi="Times New Roman"/>
        </w:rPr>
      </w:pPr>
    </w:p>
    <w:p w14:paraId="6DCE2FB3" w14:textId="0B6FAB41" w:rsidR="00BF3C1C" w:rsidRDefault="00960D65" w:rsidP="00BF3C1C">
      <w:pPr>
        <w:spacing w:line="480" w:lineRule="auto"/>
        <w:ind w:firstLine="284"/>
        <w:jc w:val="both"/>
        <w:rPr>
          <w:rFonts w:ascii="Times New Roman" w:hAnsi="Times New Roman" w:cs="Times New Roman"/>
        </w:rPr>
      </w:pPr>
      <w:r>
        <w:rPr>
          <w:rFonts w:ascii="Times New Roman" w:hAnsi="Times New Roman" w:cs="Times New Roman"/>
        </w:rPr>
        <w:t xml:space="preserve">Figure 2 suggests for </w:t>
      </w:r>
      <w:r w:rsidRPr="00CC66F2">
        <w:rPr>
          <w:rFonts w:ascii="Times New Roman" w:hAnsi="Times New Roman" w:cs="Times New Roman"/>
        </w:rPr>
        <w:t>companies situated in high</w:t>
      </w:r>
      <w:r>
        <w:rPr>
          <w:rFonts w:ascii="Times New Roman" w:hAnsi="Times New Roman" w:cs="Times New Roman"/>
        </w:rPr>
        <w:t xml:space="preserve"> </w:t>
      </w:r>
      <w:r w:rsidRPr="00CC66F2">
        <w:rPr>
          <w:rFonts w:ascii="Times New Roman" w:hAnsi="Times New Roman" w:cs="Times New Roman"/>
        </w:rPr>
        <w:t>UAI countries</w:t>
      </w:r>
      <w:r>
        <w:rPr>
          <w:rFonts w:ascii="Times New Roman" w:hAnsi="Times New Roman" w:cs="Times New Roman"/>
        </w:rPr>
        <w:t xml:space="preserve"> a negative impact of supplier communication, while the difference is marginal and may as well suggest indifference.  We interpret this finding</w:t>
      </w:r>
      <w:r w:rsidR="00BF3C1C" w:rsidRPr="00AF264D">
        <w:rPr>
          <w:rFonts w:ascii="Times New Roman" w:hAnsi="Times New Roman" w:cs="Times New Roman"/>
        </w:rPr>
        <w:t xml:space="preserve">, as </w:t>
      </w:r>
      <w:r w:rsidR="00BF3C1C">
        <w:rPr>
          <w:rFonts w:ascii="Times New Roman" w:hAnsi="Times New Roman" w:cs="Times New Roman"/>
        </w:rPr>
        <w:t xml:space="preserve">in </w:t>
      </w:r>
      <w:r w:rsidR="00BF3C1C" w:rsidRPr="00AF264D">
        <w:rPr>
          <w:rFonts w:ascii="Times New Roman" w:hAnsi="Times New Roman" w:cs="Times New Roman"/>
        </w:rPr>
        <w:t xml:space="preserve">countries </w:t>
      </w:r>
      <w:r w:rsidR="00BF3C1C">
        <w:rPr>
          <w:rFonts w:ascii="Times New Roman" w:hAnsi="Times New Roman" w:cs="Times New Roman"/>
        </w:rPr>
        <w:t xml:space="preserve">with </w:t>
      </w:r>
      <w:r w:rsidR="00BF3C1C" w:rsidRPr="00AF264D">
        <w:rPr>
          <w:rFonts w:ascii="Times New Roman" w:hAnsi="Times New Roman" w:cs="Times New Roman"/>
        </w:rPr>
        <w:t>high</w:t>
      </w:r>
      <w:r w:rsidR="00BF3C1C">
        <w:rPr>
          <w:rFonts w:ascii="Times New Roman" w:hAnsi="Times New Roman" w:cs="Times New Roman"/>
        </w:rPr>
        <w:t xml:space="preserve"> levels of</w:t>
      </w:r>
      <w:r w:rsidR="00BF3C1C" w:rsidRPr="00AF264D">
        <w:rPr>
          <w:rFonts w:ascii="Times New Roman" w:hAnsi="Times New Roman" w:cs="Times New Roman"/>
        </w:rPr>
        <w:t xml:space="preserve"> UAI</w:t>
      </w:r>
      <w:r w:rsidR="00BF3C1C">
        <w:rPr>
          <w:rFonts w:ascii="Times New Roman" w:hAnsi="Times New Roman" w:cs="Times New Roman"/>
        </w:rPr>
        <w:t xml:space="preserve"> (i.e.,</w:t>
      </w:r>
      <w:r w:rsidR="00BF3C1C" w:rsidRPr="00AF264D">
        <w:rPr>
          <w:rFonts w:ascii="Times New Roman" w:hAnsi="Times New Roman" w:cs="Times New Roman"/>
        </w:rPr>
        <w:t xml:space="preserve"> countries where the society tries to control the future and is less flexible to adjust to changes</w:t>
      </w:r>
      <w:r w:rsidR="00BF3C1C">
        <w:rPr>
          <w:rFonts w:ascii="Times New Roman" w:hAnsi="Times New Roman" w:cs="Times New Roman"/>
        </w:rPr>
        <w:t>), high levels of</w:t>
      </w:r>
      <w:r w:rsidR="00BF3C1C" w:rsidRPr="00AF264D">
        <w:rPr>
          <w:rFonts w:ascii="Times New Roman" w:hAnsi="Times New Roman" w:cs="Times New Roman"/>
        </w:rPr>
        <w:t xml:space="preserve"> </w:t>
      </w:r>
      <w:r w:rsidR="00BF3C1C">
        <w:rPr>
          <w:rFonts w:ascii="Times New Roman" w:hAnsi="Times New Roman" w:cs="Times New Roman"/>
        </w:rPr>
        <w:t>communication</w:t>
      </w:r>
      <w:r w:rsidR="00BF3C1C" w:rsidRPr="00AF264D">
        <w:rPr>
          <w:rFonts w:ascii="Times New Roman" w:hAnsi="Times New Roman" w:cs="Times New Roman"/>
        </w:rPr>
        <w:t xml:space="preserve"> with suppliers is a </w:t>
      </w:r>
      <w:r w:rsidR="00BF3C1C">
        <w:rPr>
          <w:rFonts w:ascii="Times New Roman" w:hAnsi="Times New Roman" w:cs="Times New Roman"/>
        </w:rPr>
        <w:t>sometimes</w:t>
      </w:r>
      <w:r w:rsidR="00BF3C1C" w:rsidRPr="00AF264D">
        <w:rPr>
          <w:rFonts w:ascii="Times New Roman" w:hAnsi="Times New Roman" w:cs="Times New Roman"/>
        </w:rPr>
        <w:t xml:space="preserve"> useless undertaking. Remember the VW example at the beginning of this paper. All three companies involved in </w:t>
      </w:r>
      <w:r w:rsidR="00BF3C1C">
        <w:rPr>
          <w:rFonts w:ascii="Times New Roman" w:hAnsi="Times New Roman" w:cs="Times New Roman"/>
        </w:rPr>
        <w:t>the described</w:t>
      </w:r>
      <w:r w:rsidR="00BF3C1C" w:rsidRPr="00AF264D">
        <w:rPr>
          <w:rFonts w:ascii="Times New Roman" w:hAnsi="Times New Roman" w:cs="Times New Roman"/>
        </w:rPr>
        <w:t xml:space="preserve"> </w:t>
      </w:r>
      <w:r w:rsidR="006148C5">
        <w:rPr>
          <w:rFonts w:ascii="Times New Roman" w:hAnsi="Times New Roman" w:cs="Times New Roman"/>
        </w:rPr>
        <w:t>dispute</w:t>
      </w:r>
      <w:r w:rsidR="00BF3C1C" w:rsidRPr="00AF264D">
        <w:rPr>
          <w:rFonts w:ascii="Times New Roman" w:hAnsi="Times New Roman" w:cs="Times New Roman"/>
        </w:rPr>
        <w:t xml:space="preserve"> are from Germany, a country with a relatively high UAI score of 65. Both suppliers demanded VW to stick to the contractual agreements, no matter how often VW tried to communicate the new market situation. </w:t>
      </w:r>
      <w:r w:rsidR="00BF3C1C">
        <w:rPr>
          <w:rFonts w:ascii="Times New Roman" w:hAnsi="Times New Roman" w:cs="Times New Roman"/>
        </w:rPr>
        <w:t xml:space="preserve">While this case arguably describes a disruption rather than a delay, it is still a prime example of how the national UAI culture can impact buyer-supplier operations.  </w:t>
      </w:r>
    </w:p>
    <w:p w14:paraId="0309CA74" w14:textId="4B2EB860" w:rsidR="0047718D" w:rsidRPr="00D61927" w:rsidRDefault="00960D65" w:rsidP="00FC1EE8">
      <w:pPr>
        <w:spacing w:line="480" w:lineRule="auto"/>
        <w:ind w:firstLine="284"/>
        <w:jc w:val="both"/>
        <w:rPr>
          <w:rFonts w:ascii="Times New Roman" w:hAnsi="Times New Roman"/>
          <w:b/>
        </w:rPr>
      </w:pPr>
      <w:r>
        <w:rPr>
          <w:rFonts w:ascii="Times New Roman" w:hAnsi="Times New Roman" w:cs="Times New Roman"/>
        </w:rPr>
        <w:t>From Figure 2</w:t>
      </w:r>
      <w:r w:rsidR="00BF3C1C" w:rsidRPr="00AF264D">
        <w:rPr>
          <w:rFonts w:ascii="Times New Roman" w:hAnsi="Times New Roman" w:cs="Times New Roman"/>
        </w:rPr>
        <w:t xml:space="preserve">, </w:t>
      </w:r>
      <w:r>
        <w:rPr>
          <w:rFonts w:ascii="Times New Roman" w:hAnsi="Times New Roman" w:cs="Times New Roman"/>
        </w:rPr>
        <w:t>however,</w:t>
      </w:r>
      <w:r w:rsidR="00BF3C1C" w:rsidRPr="00AF264D">
        <w:rPr>
          <w:rFonts w:ascii="Times New Roman" w:hAnsi="Times New Roman" w:cs="Times New Roman"/>
        </w:rPr>
        <w:t xml:space="preserve"> </w:t>
      </w:r>
      <w:r>
        <w:rPr>
          <w:rFonts w:ascii="Times New Roman" w:hAnsi="Times New Roman" w:cs="Times New Roman"/>
        </w:rPr>
        <w:t xml:space="preserve">we </w:t>
      </w:r>
      <w:r w:rsidR="002433A7">
        <w:rPr>
          <w:rFonts w:ascii="Times New Roman" w:hAnsi="Times New Roman" w:cs="Times New Roman"/>
        </w:rPr>
        <w:t xml:space="preserve">also </w:t>
      </w:r>
      <w:r>
        <w:rPr>
          <w:rFonts w:ascii="Times New Roman" w:hAnsi="Times New Roman" w:cs="Times New Roman"/>
        </w:rPr>
        <w:t xml:space="preserve">derive </w:t>
      </w:r>
      <w:r w:rsidR="00BF3C1C" w:rsidRPr="00AF264D">
        <w:rPr>
          <w:rFonts w:ascii="Times New Roman" w:hAnsi="Times New Roman" w:cs="Times New Roman"/>
        </w:rPr>
        <w:t>a significant interaction moderation</w:t>
      </w:r>
      <w:r w:rsidR="002433A7">
        <w:rPr>
          <w:rFonts w:ascii="Times New Roman" w:hAnsi="Times New Roman" w:cs="Times New Roman"/>
        </w:rPr>
        <w:t xml:space="preserve"> experienced in low UAI countries</w:t>
      </w:r>
      <w:r w:rsidR="00BF3C1C" w:rsidRPr="00AF264D">
        <w:rPr>
          <w:rFonts w:ascii="Times New Roman" w:hAnsi="Times New Roman" w:cs="Times New Roman"/>
        </w:rPr>
        <w:t xml:space="preserve">. It turns out that firms situated in nations with low levels of UAI can make </w:t>
      </w:r>
      <w:r w:rsidR="00BF3C1C" w:rsidRPr="00AF264D">
        <w:rPr>
          <w:rFonts w:ascii="Times New Roman" w:hAnsi="Times New Roman" w:cs="Times New Roman"/>
        </w:rPr>
        <w:lastRenderedPageBreak/>
        <w:t>a significant impact on on-time deliveries through supplier communication. Figure 2 suggest</w:t>
      </w:r>
      <w:r w:rsidR="00BF3C1C">
        <w:rPr>
          <w:rFonts w:ascii="Times New Roman" w:hAnsi="Times New Roman" w:cs="Times New Roman"/>
        </w:rPr>
        <w:t>s</w:t>
      </w:r>
      <w:r w:rsidR="00BF3C1C" w:rsidRPr="00AF264D">
        <w:rPr>
          <w:rFonts w:ascii="Times New Roman" w:hAnsi="Times New Roman" w:cs="Times New Roman"/>
        </w:rPr>
        <w:t xml:space="preserve"> that firms in low UAI countries need to establish higher levels of uncertainty avoidance practices (i.e., supplier communication) at the firm level in order to achieve more upstream on-time deliveries. We interpret these findings as</w:t>
      </w:r>
      <w:r w:rsidR="00BF3C1C">
        <w:rPr>
          <w:rFonts w:ascii="Times New Roman" w:hAnsi="Times New Roman" w:cs="Times New Roman"/>
        </w:rPr>
        <w:t>,</w:t>
      </w:r>
      <w:r w:rsidR="00BF3C1C" w:rsidRPr="00AF264D">
        <w:rPr>
          <w:rFonts w:ascii="Times New Roman" w:hAnsi="Times New Roman" w:cs="Times New Roman"/>
        </w:rPr>
        <w:t xml:space="preserve"> </w:t>
      </w:r>
      <w:r w:rsidR="00BF3C1C">
        <w:rPr>
          <w:rFonts w:ascii="Times New Roman" w:hAnsi="Times New Roman" w:cs="Times New Roman"/>
        </w:rPr>
        <w:t>since</w:t>
      </w:r>
      <w:r w:rsidR="00BF3C1C" w:rsidRPr="00AF264D">
        <w:rPr>
          <w:rFonts w:ascii="Times New Roman" w:hAnsi="Times New Roman" w:cs="Times New Roman"/>
        </w:rPr>
        <w:t xml:space="preserve"> countries with low UAI scores have</w:t>
      </w:r>
      <w:r w:rsidR="00BF3C1C">
        <w:rPr>
          <w:rFonts w:ascii="Times New Roman" w:hAnsi="Times New Roman" w:cs="Times New Roman"/>
        </w:rPr>
        <w:t xml:space="preserve"> less rigid codes of behaviours</w:t>
      </w:r>
      <w:r w:rsidR="00BF3C1C" w:rsidRPr="00AF264D">
        <w:rPr>
          <w:rFonts w:ascii="Times New Roman" w:hAnsi="Times New Roman" w:cs="Times New Roman"/>
        </w:rPr>
        <w:t xml:space="preserve">, </w:t>
      </w:r>
      <w:r w:rsidR="00BF3C1C">
        <w:rPr>
          <w:rFonts w:ascii="Times New Roman" w:hAnsi="Times New Roman" w:cs="Times New Roman"/>
        </w:rPr>
        <w:t xml:space="preserve">firms in these countries need </w:t>
      </w:r>
      <w:r w:rsidR="00BF3C1C" w:rsidRPr="00AF264D">
        <w:rPr>
          <w:rFonts w:ascii="Times New Roman" w:hAnsi="Times New Roman" w:cs="Times New Roman"/>
        </w:rPr>
        <w:t>to practice high levels of supplier communication</w:t>
      </w:r>
      <w:r w:rsidR="00BF3C1C">
        <w:rPr>
          <w:rFonts w:ascii="Times New Roman" w:hAnsi="Times New Roman" w:cs="Times New Roman"/>
        </w:rPr>
        <w:t xml:space="preserve"> </w:t>
      </w:r>
      <w:r w:rsidR="00BF3C1C" w:rsidRPr="00AF264D">
        <w:rPr>
          <w:rFonts w:ascii="Times New Roman" w:hAnsi="Times New Roman" w:cs="Times New Roman"/>
        </w:rPr>
        <w:t>in or</w:t>
      </w:r>
      <w:r w:rsidR="00BF3C1C">
        <w:rPr>
          <w:rFonts w:ascii="Times New Roman" w:hAnsi="Times New Roman" w:cs="Times New Roman"/>
        </w:rPr>
        <w:t>der to excel</w:t>
      </w:r>
      <w:r w:rsidR="00BF3C1C" w:rsidRPr="00AF264D">
        <w:rPr>
          <w:rFonts w:ascii="Times New Roman" w:hAnsi="Times New Roman" w:cs="Times New Roman"/>
        </w:rPr>
        <w:t xml:space="preserve">. If buying firms are unable to follow these regional demands </w:t>
      </w:r>
      <w:r w:rsidR="00BF3C1C">
        <w:rPr>
          <w:rFonts w:ascii="Times New Roman" w:hAnsi="Times New Roman" w:cs="Times New Roman"/>
        </w:rPr>
        <w:t>for</w:t>
      </w:r>
      <w:r w:rsidR="00BF3C1C" w:rsidRPr="00AF264D">
        <w:rPr>
          <w:rFonts w:ascii="Times New Roman" w:hAnsi="Times New Roman" w:cs="Times New Roman"/>
        </w:rPr>
        <w:t xml:space="preserve"> firm practices, they may be better advised to </w:t>
      </w:r>
      <w:r w:rsidR="00BF3C1C">
        <w:rPr>
          <w:rFonts w:ascii="Times New Roman" w:hAnsi="Times New Roman" w:cs="Times New Roman"/>
        </w:rPr>
        <w:t xml:space="preserve">move operations to </w:t>
      </w:r>
      <w:r w:rsidR="00BF3C1C" w:rsidRPr="00AF264D">
        <w:rPr>
          <w:rFonts w:ascii="Times New Roman" w:hAnsi="Times New Roman" w:cs="Times New Roman"/>
        </w:rPr>
        <w:t xml:space="preserve">countries with high levels of UAI. </w:t>
      </w:r>
      <w:r w:rsidR="002433A7">
        <w:rPr>
          <w:rFonts w:ascii="Times New Roman" w:hAnsi="Times New Roman" w:cs="Times New Roman"/>
        </w:rPr>
        <w:t xml:space="preserve">This suggests that, as opposed to what we would have initially expected from reviewing the literature, supplier communication does not provide a remedy for firms situated in high UAI countries but a success factor for firms situated in low UAI countries. </w:t>
      </w:r>
      <w:r w:rsidR="00BF3C1C" w:rsidRPr="00AF264D">
        <w:rPr>
          <w:rFonts w:ascii="Times New Roman" w:hAnsi="Times New Roman" w:cs="Times New Roman"/>
        </w:rPr>
        <w:t xml:space="preserve">We therefore </w:t>
      </w:r>
      <w:r w:rsidR="00886859">
        <w:rPr>
          <w:rFonts w:ascii="Times New Roman" w:hAnsi="Times New Roman" w:cs="Times New Roman"/>
        </w:rPr>
        <w:t>reject</w:t>
      </w:r>
      <w:r w:rsidR="00BF3C1C" w:rsidRPr="00AF264D">
        <w:rPr>
          <w:rFonts w:ascii="Times New Roman" w:hAnsi="Times New Roman" w:cs="Times New Roman"/>
        </w:rPr>
        <w:t xml:space="preserve"> hypothes</w:t>
      </w:r>
      <w:r w:rsidR="00886859">
        <w:rPr>
          <w:rFonts w:ascii="Times New Roman" w:hAnsi="Times New Roman" w:cs="Times New Roman"/>
        </w:rPr>
        <w:t>e</w:t>
      </w:r>
      <w:r w:rsidR="00BF3C1C" w:rsidRPr="00AF264D">
        <w:rPr>
          <w:rFonts w:ascii="Times New Roman" w:hAnsi="Times New Roman" w:cs="Times New Roman"/>
        </w:rPr>
        <w:t>s 4a</w:t>
      </w:r>
      <w:r w:rsidR="00886859">
        <w:rPr>
          <w:rFonts w:ascii="Times New Roman" w:hAnsi="Times New Roman" w:cs="Times New Roman"/>
        </w:rPr>
        <w:t xml:space="preserve"> and 4b. </w:t>
      </w:r>
    </w:p>
    <w:p w14:paraId="35DC09FD" w14:textId="3CE1A7BF" w:rsidR="00F1619F" w:rsidRDefault="00F1619F" w:rsidP="00954E31">
      <w:pPr>
        <w:pStyle w:val="Heading1"/>
        <w:spacing w:before="0"/>
        <w:rPr>
          <w:rFonts w:ascii="Times New Roman" w:hAnsi="Times New Roman"/>
        </w:rPr>
      </w:pPr>
      <w:r w:rsidRPr="00AF264D">
        <w:rPr>
          <w:rFonts w:ascii="Times New Roman" w:hAnsi="Times New Roman"/>
        </w:rPr>
        <w:t>5. Discussion</w:t>
      </w:r>
      <w:r w:rsidR="00B75E01">
        <w:rPr>
          <w:rFonts w:ascii="Times New Roman" w:hAnsi="Times New Roman"/>
        </w:rPr>
        <w:t xml:space="preserve"> and Implications</w:t>
      </w:r>
    </w:p>
    <w:p w14:paraId="014C4B47" w14:textId="35BFD1F7" w:rsidR="00B75E01" w:rsidRPr="00634E6C" w:rsidRDefault="00B75E01" w:rsidP="00D61927">
      <w:pPr>
        <w:pStyle w:val="Heading2"/>
        <w:spacing w:before="0" w:line="480" w:lineRule="auto"/>
        <w:rPr>
          <w:rFonts w:ascii="Times New Roman" w:hAnsi="Times New Roman"/>
          <w:b w:val="0"/>
          <w:i/>
          <w:color w:val="000000" w:themeColor="text1"/>
          <w:szCs w:val="22"/>
        </w:rPr>
      </w:pPr>
      <w:r w:rsidRPr="00D61927">
        <w:rPr>
          <w:rFonts w:ascii="Times New Roman" w:hAnsi="Times New Roman" w:cs="Times New Roman"/>
          <w:b w:val="0"/>
          <w:i/>
          <w:color w:val="000000" w:themeColor="text1"/>
          <w:sz w:val="24"/>
          <w:szCs w:val="22"/>
        </w:rPr>
        <w:t>5.1 Discussion of results</w:t>
      </w:r>
    </w:p>
    <w:p w14:paraId="44F9640F" w14:textId="3ED27AA4" w:rsidR="00B6663A" w:rsidRPr="00AF264D" w:rsidRDefault="000F5082" w:rsidP="000F5082">
      <w:pPr>
        <w:spacing w:line="480" w:lineRule="auto"/>
        <w:ind w:firstLine="284"/>
        <w:jc w:val="both"/>
        <w:rPr>
          <w:rFonts w:ascii="Times New Roman" w:hAnsi="Times New Roman" w:cs="Times New Roman"/>
        </w:rPr>
      </w:pPr>
      <w:r w:rsidRPr="00AF264D">
        <w:rPr>
          <w:rFonts w:ascii="Times New Roman" w:hAnsi="Times New Roman" w:cs="Times New Roman"/>
        </w:rPr>
        <w:t>This study investigates the impact of geographical traits on the occurrence of supplier late deliveries. Specifically</w:t>
      </w:r>
      <w:r w:rsidR="00680E1C">
        <w:rPr>
          <w:rFonts w:ascii="Times New Roman" w:hAnsi="Times New Roman" w:cs="Times New Roman"/>
        </w:rPr>
        <w:t>,</w:t>
      </w:r>
      <w:r w:rsidRPr="00AF264D">
        <w:rPr>
          <w:rFonts w:ascii="Times New Roman" w:hAnsi="Times New Roman" w:cs="Times New Roman"/>
        </w:rPr>
        <w:t xml:space="preserve"> the following two interrelated research questions have been prompted and explored: </w:t>
      </w:r>
      <w:r w:rsidR="00B12C95" w:rsidRPr="00AF264D">
        <w:rPr>
          <w:rFonts w:ascii="Times New Roman" w:hAnsi="Times New Roman" w:cs="Times New Roman"/>
          <w:i/>
        </w:rPr>
        <w:t>(1) To what extent do geographical traits (i.e., institutional and cultural factors) lead to supply delays? And (2), to what extent can organizational practices counteract potential geographical disadvantageous traits in terms of on-time deliveries?</w:t>
      </w:r>
      <w:r w:rsidR="00B12C95" w:rsidRPr="00AF264D">
        <w:rPr>
          <w:rFonts w:ascii="Times New Roman" w:hAnsi="Times New Roman" w:cs="Times New Roman"/>
        </w:rPr>
        <w:t xml:space="preserve"> </w:t>
      </w:r>
      <w:r w:rsidRPr="00AF264D">
        <w:rPr>
          <w:rFonts w:ascii="Times New Roman" w:hAnsi="Times New Roman" w:cs="Times New Roman"/>
        </w:rPr>
        <w:t xml:space="preserve">The results of this study </w:t>
      </w:r>
      <w:r w:rsidR="008C7FF2" w:rsidRPr="00AF264D">
        <w:rPr>
          <w:rFonts w:ascii="Times New Roman" w:hAnsi="Times New Roman" w:cs="Times New Roman"/>
        </w:rPr>
        <w:t xml:space="preserve">lead to the conclusion that, in terms of the first question, geographical traits do matter when it comes to analysing the likelihood of supply chain </w:t>
      </w:r>
      <w:r w:rsidR="00B12C95" w:rsidRPr="00AF264D">
        <w:rPr>
          <w:rFonts w:ascii="Times New Roman" w:hAnsi="Times New Roman" w:cs="Times New Roman"/>
        </w:rPr>
        <w:t>failures</w:t>
      </w:r>
      <w:r w:rsidR="008C7FF2" w:rsidRPr="00AF264D">
        <w:rPr>
          <w:rFonts w:ascii="Times New Roman" w:hAnsi="Times New Roman" w:cs="Times New Roman"/>
        </w:rPr>
        <w:t xml:space="preserve"> in terms of upstream on-time delivery failures. Specifical</w:t>
      </w:r>
      <w:r w:rsidR="00107AE3">
        <w:rPr>
          <w:rFonts w:ascii="Times New Roman" w:hAnsi="Times New Roman" w:cs="Times New Roman"/>
        </w:rPr>
        <w:t xml:space="preserve">ly, our results indicate that </w:t>
      </w:r>
      <w:r w:rsidR="008C7FF2" w:rsidRPr="00AF264D">
        <w:rPr>
          <w:rFonts w:ascii="Times New Roman" w:hAnsi="Times New Roman" w:cs="Times New Roman"/>
        </w:rPr>
        <w:t>low levels</w:t>
      </w:r>
      <w:r w:rsidR="00107AE3">
        <w:rPr>
          <w:rFonts w:ascii="Times New Roman" w:hAnsi="Times New Roman" w:cs="Times New Roman"/>
        </w:rPr>
        <w:t xml:space="preserve"> of</w:t>
      </w:r>
      <w:r w:rsidR="008C7FF2" w:rsidRPr="00AF264D">
        <w:rPr>
          <w:rFonts w:ascii="Times New Roman" w:hAnsi="Times New Roman" w:cs="Times New Roman"/>
        </w:rPr>
        <w:t xml:space="preserve"> regulatory environment </w:t>
      </w:r>
      <w:r w:rsidR="00107AE3">
        <w:rPr>
          <w:rFonts w:ascii="Times New Roman" w:hAnsi="Times New Roman" w:cs="Times New Roman"/>
        </w:rPr>
        <w:t xml:space="preserve">(H1) </w:t>
      </w:r>
      <w:r w:rsidR="008C7FF2" w:rsidRPr="00AF264D">
        <w:rPr>
          <w:rFonts w:ascii="Times New Roman" w:hAnsi="Times New Roman" w:cs="Times New Roman"/>
        </w:rPr>
        <w:t xml:space="preserve">and a lack of infrastructure </w:t>
      </w:r>
      <w:r w:rsidR="00107AE3">
        <w:rPr>
          <w:rFonts w:ascii="Times New Roman" w:hAnsi="Times New Roman" w:cs="Times New Roman"/>
        </w:rPr>
        <w:t xml:space="preserve">(H2) </w:t>
      </w:r>
      <w:r w:rsidR="008C7FF2" w:rsidRPr="00AF264D">
        <w:rPr>
          <w:rFonts w:ascii="Times New Roman" w:hAnsi="Times New Roman" w:cs="Times New Roman"/>
        </w:rPr>
        <w:t xml:space="preserve">increases the risk of supply chain </w:t>
      </w:r>
      <w:r w:rsidR="00B12C95" w:rsidRPr="00AF264D">
        <w:rPr>
          <w:rFonts w:ascii="Times New Roman" w:hAnsi="Times New Roman" w:cs="Times New Roman"/>
        </w:rPr>
        <w:t>failures</w:t>
      </w:r>
      <w:r w:rsidR="008C7FF2" w:rsidRPr="00AF264D">
        <w:rPr>
          <w:rFonts w:ascii="Times New Roman" w:hAnsi="Times New Roman" w:cs="Times New Roman"/>
        </w:rPr>
        <w:t xml:space="preserve"> in terms of receiving late deliveries from suppliers. Furthermore, from a cultural perspective our results indicate that the risk of late upstream deliveries </w:t>
      </w:r>
      <w:r w:rsidR="00B6663A" w:rsidRPr="00AF264D">
        <w:rPr>
          <w:rFonts w:ascii="Times New Roman" w:hAnsi="Times New Roman" w:cs="Times New Roman"/>
        </w:rPr>
        <w:t>increases</w:t>
      </w:r>
      <w:r w:rsidR="008C7FF2" w:rsidRPr="00AF264D">
        <w:rPr>
          <w:rFonts w:ascii="Times New Roman" w:hAnsi="Times New Roman" w:cs="Times New Roman"/>
        </w:rPr>
        <w:t xml:space="preserve"> when the focal company is </w:t>
      </w:r>
      <w:r w:rsidR="00680E1C">
        <w:rPr>
          <w:rFonts w:ascii="Times New Roman" w:hAnsi="Times New Roman" w:cs="Times New Roman"/>
        </w:rPr>
        <w:t>located</w:t>
      </w:r>
      <w:r w:rsidR="008C7FF2" w:rsidRPr="00AF264D">
        <w:rPr>
          <w:rFonts w:ascii="Times New Roman" w:hAnsi="Times New Roman" w:cs="Times New Roman"/>
        </w:rPr>
        <w:t xml:space="preserve"> </w:t>
      </w:r>
      <w:r w:rsidR="008C7FF2" w:rsidRPr="00AF264D">
        <w:rPr>
          <w:rFonts w:ascii="Times New Roman" w:hAnsi="Times New Roman" w:cs="Times New Roman"/>
        </w:rPr>
        <w:lastRenderedPageBreak/>
        <w:t xml:space="preserve">in a country characterized by </w:t>
      </w:r>
      <w:r w:rsidR="00B6663A" w:rsidRPr="00AF264D">
        <w:rPr>
          <w:rFonts w:ascii="Times New Roman" w:hAnsi="Times New Roman" w:cs="Times New Roman"/>
        </w:rPr>
        <w:t xml:space="preserve">high scores of </w:t>
      </w:r>
      <w:r w:rsidR="00C921BE">
        <w:rPr>
          <w:rFonts w:ascii="Times New Roman" w:hAnsi="Times New Roman" w:cs="Times New Roman"/>
        </w:rPr>
        <w:t>UAI</w:t>
      </w:r>
      <w:r w:rsidR="00107AE3">
        <w:rPr>
          <w:rFonts w:ascii="Times New Roman" w:hAnsi="Times New Roman" w:cs="Times New Roman"/>
        </w:rPr>
        <w:t xml:space="preserve"> </w:t>
      </w:r>
      <w:r w:rsidR="00107AE3" w:rsidRPr="00AF264D">
        <w:rPr>
          <w:rFonts w:ascii="Times New Roman" w:hAnsi="Times New Roman" w:cs="Times New Roman"/>
        </w:rPr>
        <w:t>(H3a)</w:t>
      </w:r>
      <w:r w:rsidR="00B6663A" w:rsidRPr="00AF264D">
        <w:rPr>
          <w:rFonts w:ascii="Times New Roman" w:hAnsi="Times New Roman" w:cs="Times New Roman"/>
        </w:rPr>
        <w:t xml:space="preserve">. It seems that a national culture that is more flexible and adapts practices and principles as required (i.e., low UAI scores) are better equipped to deal with </w:t>
      </w:r>
      <w:r w:rsidR="00B12C95" w:rsidRPr="00AF264D">
        <w:rPr>
          <w:rFonts w:ascii="Times New Roman" w:hAnsi="Times New Roman" w:cs="Times New Roman"/>
        </w:rPr>
        <w:t>delivery issues</w:t>
      </w:r>
      <w:r w:rsidR="00B6663A" w:rsidRPr="00AF264D">
        <w:rPr>
          <w:rFonts w:ascii="Times New Roman" w:hAnsi="Times New Roman" w:cs="Times New Roman"/>
        </w:rPr>
        <w:t xml:space="preserve">. </w:t>
      </w:r>
    </w:p>
    <w:p w14:paraId="18BB0420" w14:textId="5A77AF0B" w:rsidR="009A4DEE" w:rsidRDefault="00B6663A" w:rsidP="000F5082">
      <w:pPr>
        <w:spacing w:line="480" w:lineRule="auto"/>
        <w:ind w:firstLine="284"/>
        <w:jc w:val="both"/>
        <w:rPr>
          <w:rFonts w:ascii="Times New Roman" w:hAnsi="Times New Roman" w:cs="Times New Roman"/>
        </w:rPr>
      </w:pPr>
      <w:r w:rsidRPr="00AF264D">
        <w:rPr>
          <w:rFonts w:ascii="Times New Roman" w:hAnsi="Times New Roman" w:cs="Times New Roman"/>
        </w:rPr>
        <w:t xml:space="preserve">Additionally, through our second research question </w:t>
      </w:r>
      <w:r w:rsidR="009654B3" w:rsidRPr="00AF264D">
        <w:rPr>
          <w:rFonts w:ascii="Times New Roman" w:hAnsi="Times New Roman" w:cs="Times New Roman"/>
        </w:rPr>
        <w:t xml:space="preserve">we explored the interactions between national and organizational culture from an UAI perspective. </w:t>
      </w:r>
      <w:r w:rsidR="0014617F" w:rsidRPr="00AF264D">
        <w:rPr>
          <w:rFonts w:ascii="Times New Roman" w:hAnsi="Times New Roman" w:cs="Times New Roman"/>
        </w:rPr>
        <w:t>Answering</w:t>
      </w:r>
      <w:r w:rsidR="009A4DEE" w:rsidRPr="00AF264D">
        <w:rPr>
          <w:rFonts w:ascii="Times New Roman" w:hAnsi="Times New Roman" w:cs="Times New Roman"/>
        </w:rPr>
        <w:t xml:space="preserve"> t</w:t>
      </w:r>
      <w:r w:rsidR="0014617F" w:rsidRPr="00AF264D">
        <w:rPr>
          <w:rFonts w:ascii="Times New Roman" w:hAnsi="Times New Roman" w:cs="Times New Roman"/>
        </w:rPr>
        <w:t>he second research question will inform us about whether or</w:t>
      </w:r>
      <w:r w:rsidR="00B12C95" w:rsidRPr="00AF264D">
        <w:rPr>
          <w:rFonts w:ascii="Times New Roman" w:hAnsi="Times New Roman" w:cs="Times New Roman"/>
        </w:rPr>
        <w:t xml:space="preserve"> not </w:t>
      </w:r>
      <w:r w:rsidR="0014617F" w:rsidRPr="00AF264D">
        <w:rPr>
          <w:rFonts w:ascii="Times New Roman" w:hAnsi="Times New Roman" w:cs="Times New Roman"/>
        </w:rPr>
        <w:t>implemented uncertainty avoidance practices</w:t>
      </w:r>
      <w:r w:rsidR="004D1EB8" w:rsidRPr="00AF264D">
        <w:rPr>
          <w:rFonts w:ascii="Times New Roman" w:hAnsi="Times New Roman" w:cs="Times New Roman"/>
        </w:rPr>
        <w:t xml:space="preserve"> (</w:t>
      </w:r>
      <w:r w:rsidR="00295F78">
        <w:rPr>
          <w:rFonts w:ascii="Times New Roman" w:hAnsi="Times New Roman" w:cs="Times New Roman"/>
        </w:rPr>
        <w:t>i.e.,</w:t>
      </w:r>
      <w:r w:rsidR="004D1EB8" w:rsidRPr="00AF264D">
        <w:rPr>
          <w:rFonts w:ascii="Times New Roman" w:hAnsi="Times New Roman" w:cs="Times New Roman"/>
        </w:rPr>
        <w:t xml:space="preserve"> supplier communication</w:t>
      </w:r>
      <w:r w:rsidR="00107AE3">
        <w:rPr>
          <w:rFonts w:ascii="Times New Roman" w:hAnsi="Times New Roman" w:cs="Times New Roman"/>
        </w:rPr>
        <w:t xml:space="preserve"> – H3b</w:t>
      </w:r>
      <w:r w:rsidR="004D1EB8" w:rsidRPr="00AF264D">
        <w:rPr>
          <w:rFonts w:ascii="Times New Roman" w:hAnsi="Times New Roman" w:cs="Times New Roman"/>
        </w:rPr>
        <w:t>)</w:t>
      </w:r>
      <w:r w:rsidR="0014617F" w:rsidRPr="00AF264D">
        <w:rPr>
          <w:rFonts w:ascii="Times New Roman" w:hAnsi="Times New Roman" w:cs="Times New Roman"/>
        </w:rPr>
        <w:t xml:space="preserve"> at the company level can help managers to reduce the negative cultural implications at the national level. Our results</w:t>
      </w:r>
      <w:r w:rsidR="00B12C95" w:rsidRPr="00AF264D">
        <w:rPr>
          <w:rFonts w:ascii="Times New Roman" w:hAnsi="Times New Roman" w:cs="Times New Roman"/>
        </w:rPr>
        <w:t xml:space="preserve"> </w:t>
      </w:r>
      <w:r w:rsidR="00886859">
        <w:rPr>
          <w:rFonts w:ascii="Times New Roman" w:hAnsi="Times New Roman" w:cs="Times New Roman"/>
        </w:rPr>
        <w:t>reject</w:t>
      </w:r>
      <w:r w:rsidR="0014617F" w:rsidRPr="00AF264D">
        <w:rPr>
          <w:rFonts w:ascii="Times New Roman" w:hAnsi="Times New Roman" w:cs="Times New Roman"/>
        </w:rPr>
        <w:t xml:space="preserve"> the proposed hypothes</w:t>
      </w:r>
      <w:r w:rsidR="00886859">
        <w:rPr>
          <w:rFonts w:ascii="Times New Roman" w:hAnsi="Times New Roman" w:cs="Times New Roman"/>
        </w:rPr>
        <w:t>e</w:t>
      </w:r>
      <w:r w:rsidR="0014617F" w:rsidRPr="00AF264D">
        <w:rPr>
          <w:rFonts w:ascii="Times New Roman" w:hAnsi="Times New Roman" w:cs="Times New Roman"/>
        </w:rPr>
        <w:t>s (H</w:t>
      </w:r>
      <w:r w:rsidR="00B12C95" w:rsidRPr="00AF264D">
        <w:rPr>
          <w:rFonts w:ascii="Times New Roman" w:hAnsi="Times New Roman" w:cs="Times New Roman"/>
        </w:rPr>
        <w:t>4a</w:t>
      </w:r>
      <w:r w:rsidR="00886859">
        <w:rPr>
          <w:rFonts w:ascii="Times New Roman" w:hAnsi="Times New Roman" w:cs="Times New Roman"/>
        </w:rPr>
        <w:t xml:space="preserve"> and H4b</w:t>
      </w:r>
      <w:r w:rsidR="0014617F" w:rsidRPr="00AF264D">
        <w:rPr>
          <w:rFonts w:ascii="Times New Roman" w:hAnsi="Times New Roman" w:cs="Times New Roman"/>
        </w:rPr>
        <w:t xml:space="preserve">). </w:t>
      </w:r>
      <w:r w:rsidR="00886859">
        <w:rPr>
          <w:rFonts w:ascii="Times New Roman" w:hAnsi="Times New Roman" w:cs="Times New Roman"/>
        </w:rPr>
        <w:t>Contrary to our proposition, it is not the companies in high UAI countries that need to practice high levels of supplier communication to excel in their cultural environment in term of increasing up-stream on-time deliveries, but the companies situated in low UAI countries.</w:t>
      </w:r>
      <w:r w:rsidR="0014617F" w:rsidRPr="00AF264D">
        <w:rPr>
          <w:rFonts w:ascii="Times New Roman" w:hAnsi="Times New Roman" w:cs="Times New Roman"/>
        </w:rPr>
        <w:t xml:space="preserve"> </w:t>
      </w:r>
      <w:r w:rsidR="009A4DEE" w:rsidRPr="00AF264D">
        <w:rPr>
          <w:rFonts w:ascii="Times New Roman" w:hAnsi="Times New Roman" w:cs="Times New Roman"/>
        </w:rPr>
        <w:t xml:space="preserve">We will discuss the theoretical and practical implications of these findings in the following subsections. </w:t>
      </w:r>
    </w:p>
    <w:p w14:paraId="502A37A6" w14:textId="77777777" w:rsidR="003A08CD" w:rsidRPr="00AF264D" w:rsidRDefault="003A08CD" w:rsidP="000F5082">
      <w:pPr>
        <w:spacing w:line="480" w:lineRule="auto"/>
        <w:ind w:firstLine="284"/>
        <w:jc w:val="both"/>
        <w:rPr>
          <w:rFonts w:ascii="Times New Roman" w:hAnsi="Times New Roman" w:cs="Times New Roman"/>
        </w:rPr>
      </w:pPr>
    </w:p>
    <w:p w14:paraId="752BCB00" w14:textId="3C832A70" w:rsidR="00F1619F" w:rsidRPr="00AF264D" w:rsidRDefault="00F1619F"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5.</w:t>
      </w:r>
      <w:r w:rsidR="00B75E01">
        <w:rPr>
          <w:rFonts w:ascii="Times New Roman" w:hAnsi="Times New Roman" w:cs="Times New Roman"/>
          <w:b w:val="0"/>
          <w:i/>
          <w:color w:val="000000" w:themeColor="text1"/>
          <w:sz w:val="24"/>
          <w:szCs w:val="22"/>
        </w:rPr>
        <w:t>2</w:t>
      </w:r>
      <w:r w:rsidRPr="00AF264D">
        <w:rPr>
          <w:rFonts w:ascii="Times New Roman" w:hAnsi="Times New Roman" w:cs="Times New Roman"/>
          <w:b w:val="0"/>
          <w:i/>
          <w:color w:val="000000" w:themeColor="text1"/>
          <w:sz w:val="24"/>
          <w:szCs w:val="22"/>
        </w:rPr>
        <w:t xml:space="preserve"> Implication for theory</w:t>
      </w:r>
    </w:p>
    <w:p w14:paraId="0BBB812A" w14:textId="0EFFE4AE" w:rsidR="009A4DEE" w:rsidRPr="00AF264D" w:rsidRDefault="009A4DEE" w:rsidP="005A0D25">
      <w:pPr>
        <w:spacing w:line="480" w:lineRule="auto"/>
        <w:ind w:firstLine="284"/>
        <w:jc w:val="both"/>
        <w:rPr>
          <w:rFonts w:ascii="Times New Roman" w:hAnsi="Times New Roman" w:cs="Times New Roman"/>
        </w:rPr>
      </w:pPr>
      <w:r w:rsidRPr="00AF264D">
        <w:rPr>
          <w:rFonts w:ascii="Times New Roman" w:hAnsi="Times New Roman" w:cs="Times New Roman"/>
        </w:rPr>
        <w:t xml:space="preserve">Our study contributes to </w:t>
      </w:r>
      <w:r w:rsidR="00107AE3">
        <w:rPr>
          <w:rFonts w:ascii="Times New Roman" w:hAnsi="Times New Roman" w:cs="Times New Roman"/>
        </w:rPr>
        <w:t xml:space="preserve">the </w:t>
      </w:r>
      <w:r w:rsidR="00131688" w:rsidRPr="00AF264D">
        <w:rPr>
          <w:rFonts w:ascii="Times New Roman" w:hAnsi="Times New Roman" w:cs="Times New Roman"/>
        </w:rPr>
        <w:t>on-going</w:t>
      </w:r>
      <w:r w:rsidRPr="00AF264D">
        <w:rPr>
          <w:rFonts w:ascii="Times New Roman" w:hAnsi="Times New Roman" w:cs="Times New Roman"/>
        </w:rPr>
        <w:t xml:space="preserve"> and lively debate o</w:t>
      </w:r>
      <w:r w:rsidR="00680E1C">
        <w:rPr>
          <w:rFonts w:ascii="Times New Roman" w:hAnsi="Times New Roman" w:cs="Times New Roman"/>
        </w:rPr>
        <w:t>n</w:t>
      </w:r>
      <w:r w:rsidRPr="00AF264D">
        <w:rPr>
          <w:rFonts w:ascii="Times New Roman" w:hAnsi="Times New Roman" w:cs="Times New Roman"/>
        </w:rPr>
        <w:t xml:space="preserve"> the role of </w:t>
      </w:r>
      <w:r w:rsidR="005A0D25" w:rsidRPr="00AF264D">
        <w:rPr>
          <w:rFonts w:ascii="Times New Roman" w:hAnsi="Times New Roman" w:cs="Times New Roman"/>
        </w:rPr>
        <w:t xml:space="preserve">country </w:t>
      </w:r>
      <w:r w:rsidRPr="00AF264D">
        <w:rPr>
          <w:rFonts w:ascii="Times New Roman" w:hAnsi="Times New Roman" w:cs="Times New Roman"/>
        </w:rPr>
        <w:t xml:space="preserve">contingency factors </w:t>
      </w:r>
      <w:r w:rsidR="005A0D25" w:rsidRPr="00AF264D">
        <w:rPr>
          <w:rFonts w:ascii="Times New Roman" w:hAnsi="Times New Roman" w:cs="Times New Roman"/>
        </w:rPr>
        <w:t xml:space="preserve">in transnational </w:t>
      </w:r>
      <w:r w:rsidR="00C921BE">
        <w:rPr>
          <w:rFonts w:ascii="Times New Roman" w:hAnsi="Times New Roman" w:cs="Times New Roman"/>
        </w:rPr>
        <w:t>SCM</w:t>
      </w:r>
      <w:r w:rsidR="005A0D25" w:rsidRPr="00AF264D">
        <w:rPr>
          <w:rFonts w:ascii="Times New Roman" w:hAnsi="Times New Roman" w:cs="Times New Roman"/>
        </w:rPr>
        <w:t xml:space="preserve"> </w:t>
      </w:r>
      <w:r w:rsidR="009447BE" w:rsidRPr="00AF264D">
        <w:rPr>
          <w:rFonts w:ascii="Times New Roman" w:hAnsi="Times New Roman" w:cs="Times New Roman"/>
        </w:rPr>
        <w:t>(</w:t>
      </w:r>
      <w:r w:rsidR="00295F78">
        <w:rPr>
          <w:rFonts w:ascii="Times New Roman" w:hAnsi="Times New Roman" w:cs="Times New Roman"/>
        </w:rPr>
        <w:t>e.g.,</w:t>
      </w:r>
      <w:r w:rsidR="00107AE3">
        <w:rPr>
          <w:rFonts w:ascii="Times New Roman" w:hAnsi="Times New Roman" w:cs="Times New Roman"/>
        </w:rPr>
        <w:t xml:space="preserve"> </w:t>
      </w:r>
      <w:r w:rsidR="009447BE" w:rsidRPr="00AF264D">
        <w:rPr>
          <w:rFonts w:ascii="Times New Roman" w:hAnsi="Times New Roman" w:cs="Times New Roman"/>
        </w:rPr>
        <w:t>Ferdows, 1997; Sousa and Voss, 2008)</w:t>
      </w:r>
      <w:r w:rsidR="005A0D25" w:rsidRPr="00AF264D">
        <w:rPr>
          <w:rFonts w:ascii="Times New Roman" w:hAnsi="Times New Roman" w:cs="Times New Roman"/>
        </w:rPr>
        <w:t xml:space="preserve">. Multiple </w:t>
      </w:r>
      <w:r w:rsidR="00206B62" w:rsidRPr="00AF264D">
        <w:rPr>
          <w:rFonts w:ascii="Times New Roman" w:hAnsi="Times New Roman" w:cs="Times New Roman"/>
        </w:rPr>
        <w:t xml:space="preserve">studies </w:t>
      </w:r>
      <w:r w:rsidR="005A0D25" w:rsidRPr="00AF264D">
        <w:rPr>
          <w:rFonts w:ascii="Times New Roman" w:hAnsi="Times New Roman" w:cs="Times New Roman"/>
        </w:rPr>
        <w:t xml:space="preserve">have confirmed the role of contingency factors at the country level on operational </w:t>
      </w:r>
      <w:r w:rsidR="001C1C41" w:rsidRPr="00AF264D">
        <w:rPr>
          <w:rFonts w:ascii="Times New Roman" w:hAnsi="Times New Roman" w:cs="Times New Roman"/>
        </w:rPr>
        <w:t>performance</w:t>
      </w:r>
      <w:r w:rsidR="005A0D25" w:rsidRPr="00AF264D">
        <w:rPr>
          <w:rFonts w:ascii="Times New Roman" w:hAnsi="Times New Roman" w:cs="Times New Roman"/>
        </w:rPr>
        <w:t xml:space="preserve"> (</w:t>
      </w:r>
      <w:r w:rsidR="00295F78">
        <w:rPr>
          <w:rFonts w:ascii="Times New Roman" w:hAnsi="Times New Roman" w:cs="Times New Roman"/>
        </w:rPr>
        <w:t>e.g.,</w:t>
      </w:r>
      <w:r w:rsidR="009447BE" w:rsidRPr="00AF264D">
        <w:rPr>
          <w:rFonts w:ascii="Times New Roman" w:hAnsi="Times New Roman" w:cs="Times New Roman"/>
        </w:rPr>
        <w:t xml:space="preserve"> Kull and Wacker, 2010; Power </w:t>
      </w:r>
      <w:r w:rsidR="009447BE" w:rsidRPr="003E75B7">
        <w:rPr>
          <w:rFonts w:ascii="Times New Roman" w:hAnsi="Times New Roman" w:cs="Times New Roman"/>
          <w:i/>
        </w:rPr>
        <w:t>et al.</w:t>
      </w:r>
      <w:r w:rsidR="009447BE" w:rsidRPr="00AF264D">
        <w:rPr>
          <w:rFonts w:ascii="Times New Roman" w:hAnsi="Times New Roman" w:cs="Times New Roman"/>
        </w:rPr>
        <w:t>, 2010)</w:t>
      </w:r>
      <w:r w:rsidR="005A0D25" w:rsidRPr="00AF264D">
        <w:rPr>
          <w:rFonts w:ascii="Times New Roman" w:hAnsi="Times New Roman" w:cs="Times New Roman"/>
        </w:rPr>
        <w:t xml:space="preserve"> and the efficacy of operational and supply chain practices (</w:t>
      </w:r>
      <w:r w:rsidR="00295F78">
        <w:rPr>
          <w:rFonts w:ascii="Times New Roman" w:hAnsi="Times New Roman" w:cs="Times New Roman"/>
        </w:rPr>
        <w:t>e.g.,</w:t>
      </w:r>
      <w:r w:rsidR="00E039D3" w:rsidRPr="00AF264D">
        <w:rPr>
          <w:rFonts w:ascii="Times New Roman" w:hAnsi="Times New Roman" w:cs="Times New Roman"/>
        </w:rPr>
        <w:t xml:space="preserve"> </w:t>
      </w:r>
      <w:r w:rsidR="009447BE" w:rsidRPr="00AF264D">
        <w:rPr>
          <w:rFonts w:ascii="Times New Roman" w:hAnsi="Times New Roman" w:cs="Times New Roman"/>
        </w:rPr>
        <w:t xml:space="preserve">Kaufmann and Carter, 2006; Wiengarten </w:t>
      </w:r>
      <w:r w:rsidR="009447BE" w:rsidRPr="003E75B7">
        <w:rPr>
          <w:rFonts w:ascii="Times New Roman" w:hAnsi="Times New Roman" w:cs="Times New Roman"/>
          <w:i/>
        </w:rPr>
        <w:t>et al.</w:t>
      </w:r>
      <w:r w:rsidR="009447BE" w:rsidRPr="00AF264D">
        <w:rPr>
          <w:rFonts w:ascii="Times New Roman" w:hAnsi="Times New Roman" w:cs="Times New Roman"/>
        </w:rPr>
        <w:t>, 2015</w:t>
      </w:r>
      <w:r w:rsidR="00F006CE">
        <w:rPr>
          <w:rFonts w:ascii="Times New Roman" w:hAnsi="Times New Roman" w:cs="Times New Roman"/>
        </w:rPr>
        <w:t>b</w:t>
      </w:r>
      <w:r w:rsidR="009447BE" w:rsidRPr="00AF264D">
        <w:rPr>
          <w:rFonts w:ascii="Times New Roman" w:hAnsi="Times New Roman" w:cs="Times New Roman"/>
        </w:rPr>
        <w:t>)</w:t>
      </w:r>
      <w:r w:rsidR="005A0D25" w:rsidRPr="00AF264D">
        <w:rPr>
          <w:rFonts w:ascii="Times New Roman" w:hAnsi="Times New Roman" w:cs="Times New Roman"/>
        </w:rPr>
        <w:t xml:space="preserve">. This current study further develops this field of research through </w:t>
      </w:r>
      <w:r w:rsidR="001C1C41" w:rsidRPr="00AF264D">
        <w:rPr>
          <w:rFonts w:ascii="Times New Roman" w:hAnsi="Times New Roman" w:cs="Times New Roman"/>
        </w:rPr>
        <w:t xml:space="preserve">specifically focusing on supply chain </w:t>
      </w:r>
      <w:r w:rsidR="00206B62" w:rsidRPr="00AF264D">
        <w:rPr>
          <w:rFonts w:ascii="Times New Roman" w:hAnsi="Times New Roman" w:cs="Times New Roman"/>
        </w:rPr>
        <w:t>failures</w:t>
      </w:r>
      <w:r w:rsidR="001C1C41" w:rsidRPr="00AF264D">
        <w:rPr>
          <w:rFonts w:ascii="Times New Roman" w:hAnsi="Times New Roman" w:cs="Times New Roman"/>
        </w:rPr>
        <w:t xml:space="preserve"> in terms of upstream on-time delivery performance. Previous research has </w:t>
      </w:r>
      <w:r w:rsidR="00206B62" w:rsidRPr="00AF264D">
        <w:rPr>
          <w:rFonts w:ascii="Times New Roman" w:hAnsi="Times New Roman" w:cs="Times New Roman"/>
        </w:rPr>
        <w:t xml:space="preserve">discussed and </w:t>
      </w:r>
      <w:r w:rsidR="001C1C41" w:rsidRPr="00AF264D">
        <w:rPr>
          <w:rFonts w:ascii="Times New Roman" w:hAnsi="Times New Roman" w:cs="Times New Roman"/>
        </w:rPr>
        <w:t xml:space="preserve">identified multiple reasons that lead to </w:t>
      </w:r>
      <w:r w:rsidR="00206B62" w:rsidRPr="00AF264D">
        <w:rPr>
          <w:rFonts w:ascii="Times New Roman" w:hAnsi="Times New Roman" w:cs="Times New Roman"/>
        </w:rPr>
        <w:t>delivery failures</w:t>
      </w:r>
      <w:r w:rsidR="005A0D25" w:rsidRPr="00AF264D">
        <w:rPr>
          <w:rFonts w:ascii="Times New Roman" w:hAnsi="Times New Roman" w:cs="Times New Roman"/>
        </w:rPr>
        <w:t xml:space="preserve"> </w:t>
      </w:r>
      <w:r w:rsidR="001C1C41" w:rsidRPr="00AF264D">
        <w:rPr>
          <w:rFonts w:ascii="Times New Roman" w:hAnsi="Times New Roman" w:cs="Times New Roman"/>
        </w:rPr>
        <w:t>in terms of inventory levels, lean pra</w:t>
      </w:r>
      <w:r w:rsidR="009447BE" w:rsidRPr="00AF264D">
        <w:rPr>
          <w:rFonts w:ascii="Times New Roman" w:hAnsi="Times New Roman" w:cs="Times New Roman"/>
        </w:rPr>
        <w:t xml:space="preserve">ctices, or supplier management (Ho </w:t>
      </w:r>
      <w:r w:rsidR="009447BE" w:rsidRPr="003E75B7">
        <w:rPr>
          <w:rFonts w:ascii="Times New Roman" w:hAnsi="Times New Roman" w:cs="Times New Roman"/>
          <w:i/>
        </w:rPr>
        <w:t>et al.</w:t>
      </w:r>
      <w:r w:rsidR="009447BE" w:rsidRPr="00AF264D">
        <w:rPr>
          <w:rFonts w:ascii="Times New Roman" w:hAnsi="Times New Roman" w:cs="Times New Roman"/>
        </w:rPr>
        <w:t>, 2015)</w:t>
      </w:r>
      <w:r w:rsidR="001C1C41" w:rsidRPr="00AF264D">
        <w:rPr>
          <w:rFonts w:ascii="Times New Roman" w:hAnsi="Times New Roman" w:cs="Times New Roman"/>
        </w:rPr>
        <w:t xml:space="preserve">. However, country level factors have been </w:t>
      </w:r>
      <w:r w:rsidR="001C1C41" w:rsidRPr="00AF264D">
        <w:rPr>
          <w:rFonts w:ascii="Times New Roman" w:hAnsi="Times New Roman" w:cs="Times New Roman"/>
        </w:rPr>
        <w:lastRenderedPageBreak/>
        <w:t xml:space="preserve">largely ignored in that respect. Our results confirm previous research in the sense that cultural and institutional factors matter in terms of operational or supply chain performance. The regulatory environment, infrastructure and national culture in terms of uncertainty avoidance impact on delivery performance and thus on supply chain performance. </w:t>
      </w:r>
    </w:p>
    <w:p w14:paraId="5A5042F1" w14:textId="09F4A076" w:rsidR="00E6222F" w:rsidRDefault="001C1C41" w:rsidP="00E6222F">
      <w:pPr>
        <w:spacing w:line="480" w:lineRule="auto"/>
        <w:ind w:firstLine="284"/>
        <w:jc w:val="both"/>
        <w:rPr>
          <w:rFonts w:ascii="Times New Roman" w:hAnsi="Times New Roman" w:cs="Times New Roman"/>
        </w:rPr>
      </w:pPr>
      <w:r w:rsidRPr="00AF264D">
        <w:rPr>
          <w:rFonts w:ascii="Times New Roman" w:hAnsi="Times New Roman" w:cs="Times New Roman"/>
        </w:rPr>
        <w:t xml:space="preserve">Additionally, </w:t>
      </w:r>
      <w:r w:rsidR="00E6222F" w:rsidRPr="00AF264D">
        <w:rPr>
          <w:rFonts w:ascii="Times New Roman" w:hAnsi="Times New Roman" w:cs="Times New Roman"/>
        </w:rPr>
        <w:t xml:space="preserve">we empirically tested the validity of the convergence hypothesis and national specificity argument. To do so we tested the impact of UAI practices at the organizational level in terms of supplier communication. Supplier communication was introduced as a moderating variable to potentially dampen the negative impact of UAI at the national level on upstream on-time delivery performance. Our results indicate that companies situated in countries with low levels of UAI can </w:t>
      </w:r>
      <w:r w:rsidR="00107AE3">
        <w:rPr>
          <w:rFonts w:ascii="Times New Roman" w:hAnsi="Times New Roman" w:cs="Times New Roman"/>
        </w:rPr>
        <w:t>and should</w:t>
      </w:r>
      <w:r w:rsidR="00E6222F" w:rsidRPr="00AF264D">
        <w:rPr>
          <w:rFonts w:ascii="Times New Roman" w:hAnsi="Times New Roman" w:cs="Times New Roman"/>
        </w:rPr>
        <w:t xml:space="preserve"> rely on uncertainty avoidance practices in terms of supplier communication at the firm level. </w:t>
      </w:r>
      <w:r w:rsidR="00107AE3">
        <w:rPr>
          <w:rFonts w:ascii="Times New Roman" w:hAnsi="Times New Roman" w:cs="Times New Roman"/>
        </w:rPr>
        <w:t xml:space="preserve">However, the results also indicate that the firm level </w:t>
      </w:r>
      <w:r w:rsidR="00680E1C">
        <w:rPr>
          <w:rFonts w:ascii="Times New Roman" w:hAnsi="Times New Roman" w:cs="Times New Roman"/>
        </w:rPr>
        <w:t>culture</w:t>
      </w:r>
      <w:r w:rsidR="00107AE3">
        <w:rPr>
          <w:rFonts w:ascii="Times New Roman" w:hAnsi="Times New Roman" w:cs="Times New Roman"/>
        </w:rPr>
        <w:t xml:space="preserve"> (</w:t>
      </w:r>
      <w:r w:rsidR="00295F78">
        <w:rPr>
          <w:rFonts w:ascii="Times New Roman" w:hAnsi="Times New Roman" w:cs="Times New Roman"/>
        </w:rPr>
        <w:t>i.e.,</w:t>
      </w:r>
      <w:r w:rsidR="00107AE3">
        <w:rPr>
          <w:rFonts w:ascii="Times New Roman" w:hAnsi="Times New Roman" w:cs="Times New Roman"/>
        </w:rPr>
        <w:t xml:space="preserve"> supplier communication) does not help to excel in countries with high UAI levels. </w:t>
      </w:r>
      <w:r w:rsidR="00E6222F" w:rsidRPr="00AF264D">
        <w:rPr>
          <w:rFonts w:ascii="Times New Roman" w:hAnsi="Times New Roman" w:cs="Times New Roman"/>
        </w:rPr>
        <w:t xml:space="preserve">Subsequently, </w:t>
      </w:r>
      <w:r w:rsidR="003D2E47">
        <w:rPr>
          <w:rFonts w:ascii="Times New Roman" w:hAnsi="Times New Roman" w:cs="Times New Roman"/>
        </w:rPr>
        <w:t>we</w:t>
      </w:r>
      <w:r w:rsidR="00F467FC" w:rsidRPr="00AF264D">
        <w:rPr>
          <w:rFonts w:ascii="Times New Roman" w:hAnsi="Times New Roman" w:cs="Times New Roman"/>
        </w:rPr>
        <w:t xml:space="preserve"> further</w:t>
      </w:r>
      <w:r w:rsidR="006B5AB0" w:rsidRPr="00AF264D">
        <w:rPr>
          <w:rFonts w:ascii="Times New Roman" w:hAnsi="Times New Roman" w:cs="Times New Roman"/>
        </w:rPr>
        <w:t xml:space="preserve"> develop </w:t>
      </w:r>
      <w:r w:rsidR="003D2E47">
        <w:rPr>
          <w:rFonts w:ascii="Times New Roman" w:hAnsi="Times New Roman" w:cs="Times New Roman"/>
        </w:rPr>
        <w:t>the</w:t>
      </w:r>
      <w:r w:rsidR="006B5AB0" w:rsidRPr="00AF264D">
        <w:rPr>
          <w:rFonts w:ascii="Times New Roman" w:hAnsi="Times New Roman" w:cs="Times New Roman"/>
        </w:rPr>
        <w:t xml:space="preserve"> lively </w:t>
      </w:r>
      <w:r w:rsidR="003D2E47" w:rsidRPr="00AF264D">
        <w:rPr>
          <w:rFonts w:ascii="Times New Roman" w:hAnsi="Times New Roman" w:cs="Times New Roman"/>
        </w:rPr>
        <w:t>convergence</w:t>
      </w:r>
      <w:r w:rsidR="003D2E47">
        <w:rPr>
          <w:rFonts w:ascii="Times New Roman" w:hAnsi="Times New Roman" w:cs="Times New Roman"/>
        </w:rPr>
        <w:t xml:space="preserve">/divergence </w:t>
      </w:r>
      <w:r w:rsidR="006B5AB0" w:rsidRPr="00AF264D">
        <w:rPr>
          <w:rFonts w:ascii="Times New Roman" w:hAnsi="Times New Roman" w:cs="Times New Roman"/>
        </w:rPr>
        <w:t xml:space="preserve">discussion by providing </w:t>
      </w:r>
      <w:r w:rsidR="00717F30" w:rsidRPr="00AF264D">
        <w:rPr>
          <w:rFonts w:ascii="Times New Roman" w:hAnsi="Times New Roman" w:cs="Times New Roman"/>
        </w:rPr>
        <w:t xml:space="preserve">additional </w:t>
      </w:r>
      <w:r w:rsidR="006B5AB0" w:rsidRPr="00AF264D">
        <w:rPr>
          <w:rFonts w:ascii="Times New Roman" w:hAnsi="Times New Roman" w:cs="Times New Roman"/>
        </w:rPr>
        <w:t xml:space="preserve">empirical </w:t>
      </w:r>
      <w:r w:rsidR="00886859">
        <w:rPr>
          <w:rFonts w:ascii="Times New Roman" w:hAnsi="Times New Roman" w:cs="Times New Roman"/>
        </w:rPr>
        <w:t>insights</w:t>
      </w:r>
      <w:r w:rsidR="00886859" w:rsidRPr="00AF264D">
        <w:rPr>
          <w:rFonts w:ascii="Times New Roman" w:hAnsi="Times New Roman" w:cs="Times New Roman"/>
        </w:rPr>
        <w:t xml:space="preserve"> </w:t>
      </w:r>
      <w:r w:rsidR="009447BE" w:rsidRPr="00AF264D">
        <w:rPr>
          <w:rFonts w:ascii="Times New Roman" w:hAnsi="Times New Roman" w:cs="Times New Roman"/>
        </w:rPr>
        <w:t xml:space="preserve">(Naor </w:t>
      </w:r>
      <w:r w:rsidR="009447BE" w:rsidRPr="003E75B7">
        <w:rPr>
          <w:rFonts w:ascii="Times New Roman" w:hAnsi="Times New Roman" w:cs="Times New Roman"/>
          <w:i/>
        </w:rPr>
        <w:t>et al.</w:t>
      </w:r>
      <w:r w:rsidR="009447BE" w:rsidRPr="00AF264D">
        <w:rPr>
          <w:rFonts w:ascii="Times New Roman" w:hAnsi="Times New Roman" w:cs="Times New Roman"/>
        </w:rPr>
        <w:t xml:space="preserve">, 2010; Wiengarten </w:t>
      </w:r>
      <w:r w:rsidR="009447BE" w:rsidRPr="003E75B7">
        <w:rPr>
          <w:rFonts w:ascii="Times New Roman" w:hAnsi="Times New Roman" w:cs="Times New Roman"/>
          <w:i/>
        </w:rPr>
        <w:t>et al.</w:t>
      </w:r>
      <w:r w:rsidR="009447BE" w:rsidRPr="00AF264D">
        <w:rPr>
          <w:rFonts w:ascii="Times New Roman" w:hAnsi="Times New Roman" w:cs="Times New Roman"/>
        </w:rPr>
        <w:t>, 2015</w:t>
      </w:r>
      <w:r w:rsidR="00F006CE">
        <w:rPr>
          <w:rFonts w:ascii="Times New Roman" w:hAnsi="Times New Roman" w:cs="Times New Roman"/>
        </w:rPr>
        <w:t>b</w:t>
      </w:r>
      <w:r w:rsidR="009447BE" w:rsidRPr="00AF264D">
        <w:rPr>
          <w:rFonts w:ascii="Times New Roman" w:hAnsi="Times New Roman" w:cs="Times New Roman"/>
        </w:rPr>
        <w:t>)</w:t>
      </w:r>
      <w:r w:rsidR="006B5AB0" w:rsidRPr="00AF264D">
        <w:rPr>
          <w:rFonts w:ascii="Times New Roman" w:hAnsi="Times New Roman" w:cs="Times New Roman"/>
        </w:rPr>
        <w:t>.</w:t>
      </w:r>
    </w:p>
    <w:p w14:paraId="7EA5AEC5" w14:textId="77777777" w:rsidR="003A08CD" w:rsidRPr="00AF264D" w:rsidRDefault="003A08CD" w:rsidP="00E6222F">
      <w:pPr>
        <w:spacing w:line="480" w:lineRule="auto"/>
        <w:ind w:firstLine="284"/>
        <w:jc w:val="both"/>
        <w:rPr>
          <w:rFonts w:ascii="Times New Roman" w:hAnsi="Times New Roman" w:cs="Times New Roman"/>
        </w:rPr>
      </w:pPr>
    </w:p>
    <w:p w14:paraId="2725D305" w14:textId="08BC79A8" w:rsidR="00F1619F" w:rsidRPr="00AF264D" w:rsidRDefault="00F1619F" w:rsidP="00954E31">
      <w:pPr>
        <w:pStyle w:val="Heading2"/>
        <w:spacing w:before="0" w:line="480" w:lineRule="auto"/>
        <w:rPr>
          <w:rFonts w:ascii="Times New Roman" w:hAnsi="Times New Roman" w:cs="Times New Roman"/>
          <w:b w:val="0"/>
          <w:i/>
          <w:color w:val="000000" w:themeColor="text1"/>
          <w:sz w:val="24"/>
          <w:szCs w:val="22"/>
        </w:rPr>
      </w:pPr>
      <w:r w:rsidRPr="00AF264D">
        <w:rPr>
          <w:rFonts w:ascii="Times New Roman" w:hAnsi="Times New Roman" w:cs="Times New Roman"/>
          <w:b w:val="0"/>
          <w:i/>
          <w:color w:val="000000" w:themeColor="text1"/>
          <w:sz w:val="24"/>
          <w:szCs w:val="22"/>
        </w:rPr>
        <w:t>5.</w:t>
      </w:r>
      <w:r w:rsidR="00B75E01">
        <w:rPr>
          <w:rFonts w:ascii="Times New Roman" w:hAnsi="Times New Roman" w:cs="Times New Roman"/>
          <w:b w:val="0"/>
          <w:i/>
          <w:color w:val="000000" w:themeColor="text1"/>
          <w:sz w:val="24"/>
          <w:szCs w:val="22"/>
        </w:rPr>
        <w:t>3</w:t>
      </w:r>
      <w:r w:rsidRPr="00AF264D">
        <w:rPr>
          <w:rFonts w:ascii="Times New Roman" w:hAnsi="Times New Roman" w:cs="Times New Roman"/>
          <w:b w:val="0"/>
          <w:i/>
          <w:color w:val="000000" w:themeColor="text1"/>
          <w:sz w:val="24"/>
          <w:szCs w:val="22"/>
        </w:rPr>
        <w:t xml:space="preserve"> Implication for practice</w:t>
      </w:r>
    </w:p>
    <w:p w14:paraId="2F3BDA18" w14:textId="4373DB88" w:rsidR="00F95E3B" w:rsidRPr="00AF264D" w:rsidRDefault="0086759B" w:rsidP="0086759B">
      <w:pPr>
        <w:spacing w:line="480" w:lineRule="auto"/>
        <w:ind w:firstLine="284"/>
        <w:jc w:val="both"/>
        <w:rPr>
          <w:rFonts w:ascii="Times New Roman" w:hAnsi="Times New Roman" w:cs="Times New Roman"/>
        </w:rPr>
      </w:pPr>
      <w:r w:rsidRPr="00AF264D">
        <w:rPr>
          <w:rFonts w:ascii="Times New Roman" w:hAnsi="Times New Roman" w:cs="Times New Roman"/>
        </w:rPr>
        <w:t xml:space="preserve">Whilst the findings and results of this study are certainly of importance from a theoretical perspective they might be even more so from a practical perspective. Companies have designed their global supply network taking multiple contingencies into considerations such as the availability of suppliers, skilled workforce, or the proximity to potential customers. Managers have set-up production facilities </w:t>
      </w:r>
      <w:r w:rsidR="008F1BE0" w:rsidRPr="00AF264D">
        <w:rPr>
          <w:rFonts w:ascii="Times New Roman" w:hAnsi="Times New Roman" w:cs="Times New Roman"/>
        </w:rPr>
        <w:t xml:space="preserve">making location decisions with the goal of cost reduction, differentiation and the confidence of developing a robust supply chain that is resilient towards disruptions. </w:t>
      </w:r>
      <w:r w:rsidR="00F95E3B" w:rsidRPr="00AF264D">
        <w:rPr>
          <w:rFonts w:ascii="Times New Roman" w:hAnsi="Times New Roman" w:cs="Times New Roman"/>
        </w:rPr>
        <w:t xml:space="preserve">We provide managers with additional factors that need to be considered when </w:t>
      </w:r>
      <w:r w:rsidR="00F95E3B" w:rsidRPr="00AF264D">
        <w:rPr>
          <w:rFonts w:ascii="Times New Roman" w:hAnsi="Times New Roman" w:cs="Times New Roman"/>
        </w:rPr>
        <w:lastRenderedPageBreak/>
        <w:t xml:space="preserve">designing a global supply chain that keeps it delivery promises in terms of </w:t>
      </w:r>
      <w:r w:rsidR="007D0BD7" w:rsidRPr="00AF264D">
        <w:rPr>
          <w:rFonts w:ascii="Times New Roman" w:hAnsi="Times New Roman" w:cs="Times New Roman"/>
        </w:rPr>
        <w:t>regulatory, infrastructural</w:t>
      </w:r>
      <w:r w:rsidR="00F95E3B" w:rsidRPr="00AF264D">
        <w:rPr>
          <w:rFonts w:ascii="Times New Roman" w:hAnsi="Times New Roman" w:cs="Times New Roman"/>
        </w:rPr>
        <w:t xml:space="preserve"> and cultural factors. </w:t>
      </w:r>
    </w:p>
    <w:p w14:paraId="1BF007AC" w14:textId="1C948A4A" w:rsidR="0086759B" w:rsidRPr="00AF264D" w:rsidRDefault="00F95E3B" w:rsidP="0086759B">
      <w:pPr>
        <w:spacing w:line="480" w:lineRule="auto"/>
        <w:ind w:firstLine="284"/>
        <w:jc w:val="both"/>
        <w:rPr>
          <w:rFonts w:ascii="Times New Roman" w:hAnsi="Times New Roman" w:cs="Times New Roman"/>
        </w:rPr>
      </w:pPr>
      <w:r w:rsidRPr="00AF264D">
        <w:rPr>
          <w:rFonts w:ascii="Times New Roman" w:hAnsi="Times New Roman" w:cs="Times New Roman"/>
        </w:rPr>
        <w:t xml:space="preserve">Furthermore, when benchmarking the performance </w:t>
      </w:r>
      <w:r w:rsidR="00AB0A1D">
        <w:rPr>
          <w:rFonts w:ascii="Times New Roman" w:hAnsi="Times New Roman" w:cs="Times New Roman"/>
        </w:rPr>
        <w:t xml:space="preserve">of </w:t>
      </w:r>
      <w:r w:rsidR="007D0BD7" w:rsidRPr="00AF264D">
        <w:rPr>
          <w:rFonts w:ascii="Times New Roman" w:hAnsi="Times New Roman" w:cs="Times New Roman"/>
        </w:rPr>
        <w:t>certain production facilities it is important to take into consideration the potential negative implications of being situated in a country characterized by low l</w:t>
      </w:r>
      <w:r w:rsidR="00C03CA8" w:rsidRPr="00AF264D">
        <w:rPr>
          <w:rFonts w:ascii="Times New Roman" w:hAnsi="Times New Roman" w:cs="Times New Roman"/>
        </w:rPr>
        <w:t>evels of regulatory system, inf</w:t>
      </w:r>
      <w:r w:rsidR="007D0BD7" w:rsidRPr="00AF264D">
        <w:rPr>
          <w:rFonts w:ascii="Times New Roman" w:hAnsi="Times New Roman" w:cs="Times New Roman"/>
        </w:rPr>
        <w:t>rastructure and high levels of UAI</w:t>
      </w:r>
      <w:r w:rsidR="00C03CA8" w:rsidRPr="00AF264D">
        <w:rPr>
          <w:rFonts w:ascii="Times New Roman" w:hAnsi="Times New Roman" w:cs="Times New Roman"/>
        </w:rPr>
        <w:t>.</w:t>
      </w:r>
      <w:r w:rsidRPr="00AF264D">
        <w:rPr>
          <w:rFonts w:ascii="Times New Roman" w:hAnsi="Times New Roman" w:cs="Times New Roman"/>
        </w:rPr>
        <w:t xml:space="preserve"> </w:t>
      </w:r>
      <w:r w:rsidR="00976F82" w:rsidRPr="00AF264D">
        <w:rPr>
          <w:rFonts w:ascii="Times New Roman" w:hAnsi="Times New Roman" w:cs="Times New Roman"/>
        </w:rPr>
        <w:t xml:space="preserve">This is an important consideration since the upstream supplier can at least to some extent not solely be blamed for late deliveries. If a managers sets up a production facility in a country with </w:t>
      </w:r>
      <w:r w:rsidR="00AB0A1D">
        <w:rPr>
          <w:rFonts w:ascii="Times New Roman" w:hAnsi="Times New Roman" w:cs="Times New Roman"/>
        </w:rPr>
        <w:t>inferior</w:t>
      </w:r>
      <w:r w:rsidR="00976F82" w:rsidRPr="00AF264D">
        <w:rPr>
          <w:rFonts w:ascii="Times New Roman" w:hAnsi="Times New Roman" w:cs="Times New Roman"/>
        </w:rPr>
        <w:t xml:space="preserve"> infrastructure, regulatory systems and high levels of UAI to, for example, gain cost advantages they need to be aware that the on-time delivery performance of their suppliers will drop and thus production disruptions may occur. </w:t>
      </w:r>
    </w:p>
    <w:p w14:paraId="6B347C09" w14:textId="4193CAA5" w:rsidR="00976F82" w:rsidRPr="00AF264D" w:rsidRDefault="00976F82" w:rsidP="00717F30">
      <w:pPr>
        <w:spacing w:line="480" w:lineRule="auto"/>
        <w:ind w:firstLine="284"/>
        <w:jc w:val="both"/>
        <w:rPr>
          <w:rFonts w:ascii="Times New Roman" w:hAnsi="Times New Roman" w:cs="Times New Roman"/>
        </w:rPr>
      </w:pPr>
      <w:r w:rsidRPr="00AF264D">
        <w:rPr>
          <w:rFonts w:ascii="Times New Roman" w:hAnsi="Times New Roman" w:cs="Times New Roman"/>
        </w:rPr>
        <w:t xml:space="preserve">However, this current study also tested whether </w:t>
      </w:r>
      <w:r w:rsidR="00F741D2" w:rsidRPr="00AF264D">
        <w:rPr>
          <w:rFonts w:ascii="Times New Roman" w:hAnsi="Times New Roman" w:cs="Times New Roman"/>
        </w:rPr>
        <w:t xml:space="preserve">organizational practices </w:t>
      </w:r>
      <w:r w:rsidRPr="00AF264D">
        <w:rPr>
          <w:rFonts w:ascii="Times New Roman" w:hAnsi="Times New Roman" w:cs="Times New Roman"/>
        </w:rPr>
        <w:t xml:space="preserve">can potentially dampen the negative effect of a locational disadvantage in terms of national culture through implementing uncertainty avoidance practices at the organizational level. </w:t>
      </w:r>
      <w:r w:rsidR="00F741D2" w:rsidRPr="00AF264D">
        <w:rPr>
          <w:rFonts w:ascii="Times New Roman" w:hAnsi="Times New Roman" w:cs="Times New Roman"/>
        </w:rPr>
        <w:t>The r</w:t>
      </w:r>
      <w:r w:rsidRPr="00AF264D">
        <w:rPr>
          <w:rFonts w:ascii="Times New Roman" w:hAnsi="Times New Roman" w:cs="Times New Roman"/>
        </w:rPr>
        <w:t xml:space="preserve">esults indicate that implementing supplier </w:t>
      </w:r>
      <w:r w:rsidR="00F741D2" w:rsidRPr="00AF264D">
        <w:rPr>
          <w:rFonts w:ascii="Times New Roman" w:hAnsi="Times New Roman" w:cs="Times New Roman"/>
        </w:rPr>
        <w:t>communication</w:t>
      </w:r>
      <w:r w:rsidRPr="00AF264D">
        <w:rPr>
          <w:rFonts w:ascii="Times New Roman" w:hAnsi="Times New Roman" w:cs="Times New Roman"/>
        </w:rPr>
        <w:t xml:space="preserve"> processes presents </w:t>
      </w:r>
      <w:r w:rsidR="00AB0A1D">
        <w:rPr>
          <w:rFonts w:ascii="Times New Roman" w:hAnsi="Times New Roman" w:cs="Times New Roman"/>
        </w:rPr>
        <w:t>an important</w:t>
      </w:r>
      <w:r w:rsidR="00717F30" w:rsidRPr="00AF264D">
        <w:rPr>
          <w:rFonts w:ascii="Times New Roman" w:hAnsi="Times New Roman" w:cs="Times New Roman"/>
        </w:rPr>
        <w:t xml:space="preserve"> need to be successful in countries with low levels of UAI.</w:t>
      </w:r>
      <w:r w:rsidR="00886859">
        <w:rPr>
          <w:rFonts w:ascii="Times New Roman" w:hAnsi="Times New Roman" w:cs="Times New Roman"/>
        </w:rPr>
        <w:t xml:space="preserve"> It is a potential </w:t>
      </w:r>
      <w:r w:rsidR="002433A7">
        <w:rPr>
          <w:rFonts w:ascii="Times New Roman" w:hAnsi="Times New Roman" w:cs="Times New Roman"/>
        </w:rPr>
        <w:t xml:space="preserve">success factor to excel in low UAI country environments with </w:t>
      </w:r>
      <w:r w:rsidR="00886859">
        <w:rPr>
          <w:rFonts w:ascii="Times New Roman" w:hAnsi="Times New Roman" w:cs="Times New Roman"/>
        </w:rPr>
        <w:t>sometimes unstruct</w:t>
      </w:r>
      <w:r w:rsidR="002433A7">
        <w:rPr>
          <w:rFonts w:ascii="Times New Roman" w:hAnsi="Times New Roman" w:cs="Times New Roman"/>
        </w:rPr>
        <w:t>ur</w:t>
      </w:r>
      <w:r w:rsidR="00886859">
        <w:rPr>
          <w:rFonts w:ascii="Times New Roman" w:hAnsi="Times New Roman" w:cs="Times New Roman"/>
        </w:rPr>
        <w:t>ed processes</w:t>
      </w:r>
      <w:r w:rsidR="002433A7">
        <w:rPr>
          <w:rFonts w:ascii="Times New Roman" w:hAnsi="Times New Roman" w:cs="Times New Roman"/>
        </w:rPr>
        <w:t xml:space="preserve"> and undefined</w:t>
      </w:r>
      <w:r w:rsidR="002433A7" w:rsidRPr="002433A7">
        <w:rPr>
          <w:rFonts w:ascii="Times New Roman" w:hAnsi="Times New Roman" w:cs="Times New Roman"/>
        </w:rPr>
        <w:t xml:space="preserve"> actions or ideas</w:t>
      </w:r>
      <w:r w:rsidR="00886859">
        <w:rPr>
          <w:rFonts w:ascii="Times New Roman" w:hAnsi="Times New Roman" w:cs="Times New Roman"/>
        </w:rPr>
        <w:t xml:space="preserve">. </w:t>
      </w:r>
      <w:r w:rsidR="00717F30" w:rsidRPr="00AF264D">
        <w:rPr>
          <w:rFonts w:ascii="Times New Roman" w:hAnsi="Times New Roman" w:cs="Times New Roman"/>
        </w:rPr>
        <w:t xml:space="preserve">However, the results also indicate the supplier communication is unfortunately not a remedy to </w:t>
      </w:r>
      <w:r w:rsidRPr="00AF264D">
        <w:rPr>
          <w:rFonts w:ascii="Times New Roman" w:hAnsi="Times New Roman" w:cs="Times New Roman"/>
        </w:rPr>
        <w:t xml:space="preserve">overcome the locational disadvantage </w:t>
      </w:r>
      <w:r w:rsidR="00AB0A1D">
        <w:rPr>
          <w:rFonts w:ascii="Times New Roman" w:hAnsi="Times New Roman" w:cs="Times New Roman"/>
        </w:rPr>
        <w:t>posed by</w:t>
      </w:r>
      <w:r w:rsidRPr="00AF264D">
        <w:rPr>
          <w:rFonts w:ascii="Times New Roman" w:hAnsi="Times New Roman" w:cs="Times New Roman"/>
        </w:rPr>
        <w:t xml:space="preserve"> </w:t>
      </w:r>
      <w:r w:rsidR="00A406D7" w:rsidRPr="00AF264D">
        <w:rPr>
          <w:rFonts w:ascii="Times New Roman" w:hAnsi="Times New Roman" w:cs="Times New Roman"/>
        </w:rPr>
        <w:t>countr</w:t>
      </w:r>
      <w:r w:rsidR="00AB0A1D">
        <w:rPr>
          <w:rFonts w:ascii="Times New Roman" w:hAnsi="Times New Roman" w:cs="Times New Roman"/>
        </w:rPr>
        <w:t>ies</w:t>
      </w:r>
      <w:r w:rsidR="00A406D7" w:rsidRPr="00AF264D">
        <w:rPr>
          <w:rFonts w:ascii="Times New Roman" w:hAnsi="Times New Roman" w:cs="Times New Roman"/>
        </w:rPr>
        <w:t xml:space="preserve"> with high levels of UAI. </w:t>
      </w:r>
      <w:r w:rsidR="00717F30" w:rsidRPr="00AF264D">
        <w:rPr>
          <w:rFonts w:ascii="Times New Roman" w:hAnsi="Times New Roman" w:cs="Times New Roman"/>
        </w:rPr>
        <w:t>While this finding is not what we hoped to give managers to take along, it still</w:t>
      </w:r>
      <w:r w:rsidR="00A406D7" w:rsidRPr="00AF264D">
        <w:rPr>
          <w:rFonts w:ascii="Times New Roman" w:hAnsi="Times New Roman" w:cs="Times New Roman"/>
        </w:rPr>
        <w:t xml:space="preserve"> provides managers with more leeway as well as additional tools when deciding on where to locate their production facilities.</w:t>
      </w:r>
      <w:r w:rsidR="007D0A35">
        <w:rPr>
          <w:rFonts w:ascii="Times New Roman" w:hAnsi="Times New Roman" w:cs="Times New Roman"/>
        </w:rPr>
        <w:t xml:space="preserve"> </w:t>
      </w:r>
      <w:r w:rsidRPr="00AF264D">
        <w:rPr>
          <w:rFonts w:ascii="Times New Roman" w:hAnsi="Times New Roman" w:cs="Times New Roman"/>
        </w:rPr>
        <w:t xml:space="preserve"> </w:t>
      </w:r>
    </w:p>
    <w:p w14:paraId="5530EEFE" w14:textId="77777777" w:rsidR="00976F82" w:rsidRPr="00AF264D" w:rsidRDefault="00976F82" w:rsidP="0086759B">
      <w:pPr>
        <w:spacing w:line="480" w:lineRule="auto"/>
        <w:ind w:firstLine="284"/>
        <w:jc w:val="both"/>
        <w:rPr>
          <w:rFonts w:ascii="Times New Roman" w:hAnsi="Times New Roman" w:cs="Times New Roman"/>
        </w:rPr>
      </w:pPr>
    </w:p>
    <w:p w14:paraId="07CAFB4A" w14:textId="77777777" w:rsidR="00F1619F" w:rsidRPr="00AF264D" w:rsidRDefault="00F1619F" w:rsidP="00954E31">
      <w:pPr>
        <w:pStyle w:val="Heading1"/>
        <w:spacing w:before="0"/>
        <w:rPr>
          <w:rFonts w:ascii="Times New Roman" w:hAnsi="Times New Roman"/>
        </w:rPr>
      </w:pPr>
      <w:r w:rsidRPr="00AF264D">
        <w:rPr>
          <w:rFonts w:ascii="Times New Roman" w:hAnsi="Times New Roman"/>
        </w:rPr>
        <w:lastRenderedPageBreak/>
        <w:t>6. Conclusion</w:t>
      </w:r>
    </w:p>
    <w:p w14:paraId="37673287" w14:textId="5DD1E0A6" w:rsidR="00643908" w:rsidRPr="00AF264D" w:rsidRDefault="00B62842" w:rsidP="00B62842">
      <w:pPr>
        <w:spacing w:line="480" w:lineRule="auto"/>
        <w:ind w:firstLine="284"/>
        <w:jc w:val="both"/>
        <w:rPr>
          <w:rFonts w:ascii="Times New Roman" w:hAnsi="Times New Roman" w:cs="Times New Roman"/>
        </w:rPr>
      </w:pPr>
      <w:r w:rsidRPr="00AF264D">
        <w:rPr>
          <w:rFonts w:ascii="Times New Roman" w:hAnsi="Times New Roman" w:cs="Times New Roman"/>
        </w:rPr>
        <w:t xml:space="preserve">These results add </w:t>
      </w:r>
      <w:r w:rsidR="00AB0A1D">
        <w:rPr>
          <w:rFonts w:ascii="Times New Roman" w:hAnsi="Times New Roman" w:cs="Times New Roman"/>
        </w:rPr>
        <w:t xml:space="preserve">to </w:t>
      </w:r>
      <w:r w:rsidRPr="00AF264D">
        <w:rPr>
          <w:rFonts w:ascii="Times New Roman" w:hAnsi="Times New Roman" w:cs="Times New Roman"/>
        </w:rPr>
        <w:t xml:space="preserve">the on-going discussion of the importance of contingency factors at the country level when setting up global supply chains. Furthermore, this study </w:t>
      </w:r>
      <w:r w:rsidR="00AB0A1D">
        <w:rPr>
          <w:rFonts w:ascii="Times New Roman" w:hAnsi="Times New Roman" w:cs="Times New Roman"/>
        </w:rPr>
        <w:t>h</w:t>
      </w:r>
      <w:r w:rsidR="006148C5">
        <w:rPr>
          <w:rFonts w:ascii="Times New Roman" w:hAnsi="Times New Roman" w:cs="Times New Roman"/>
        </w:rPr>
        <w:t>as identified a potential le</w:t>
      </w:r>
      <w:r w:rsidRPr="00AF264D">
        <w:rPr>
          <w:rFonts w:ascii="Times New Roman" w:hAnsi="Times New Roman" w:cs="Times New Roman"/>
        </w:rPr>
        <w:t>ver, in terms of supplier information sharing</w:t>
      </w:r>
      <w:r w:rsidR="00AB0A1D">
        <w:rPr>
          <w:rFonts w:ascii="Times New Roman" w:hAnsi="Times New Roman" w:cs="Times New Roman"/>
        </w:rPr>
        <w:t xml:space="preserve"> needed</w:t>
      </w:r>
      <w:r w:rsidRPr="00AF264D">
        <w:rPr>
          <w:rFonts w:ascii="Times New Roman" w:hAnsi="Times New Roman" w:cs="Times New Roman"/>
        </w:rPr>
        <w:t xml:space="preserve"> </w:t>
      </w:r>
      <w:r w:rsidR="00AB0A1D">
        <w:rPr>
          <w:rFonts w:ascii="Times New Roman" w:hAnsi="Times New Roman" w:cs="Times New Roman"/>
        </w:rPr>
        <w:t>to be successful, in terms of on-time delivery performance, in certain cultural environments</w:t>
      </w:r>
      <w:r w:rsidRPr="00AF264D">
        <w:rPr>
          <w:rFonts w:ascii="Times New Roman" w:hAnsi="Times New Roman" w:cs="Times New Roman"/>
        </w:rPr>
        <w:t xml:space="preserve">. However, as it is the case </w:t>
      </w:r>
      <w:r w:rsidR="00AB0A1D">
        <w:rPr>
          <w:rFonts w:ascii="Times New Roman" w:hAnsi="Times New Roman" w:cs="Times New Roman"/>
        </w:rPr>
        <w:t>with the majority of studies,</w:t>
      </w:r>
      <w:r w:rsidRPr="00AF264D">
        <w:rPr>
          <w:rFonts w:ascii="Times New Roman" w:hAnsi="Times New Roman" w:cs="Times New Roman"/>
        </w:rPr>
        <w:t xml:space="preserve"> our research suffers from multiple limitations that the reader needs to take into consideration when interpreting our findings. First, the GMRG dataset that we use in this study provides some trade-offs. Whilst we have the opportunity to analyse a truly global dataset it only provides limited information in terms of sampling and response rates, which is a severe limitation. Second, this study solely considers the location of the buying company when assessing the impact of country level contingency factors. </w:t>
      </w:r>
      <w:r w:rsidR="00C91D6E" w:rsidRPr="00AF264D">
        <w:rPr>
          <w:rFonts w:ascii="Times New Roman" w:hAnsi="Times New Roman" w:cs="Times New Roman"/>
        </w:rPr>
        <w:t xml:space="preserve">However, the location of the supplier might also likely to influence their on-time delivery performance in terms of the country specificities. </w:t>
      </w:r>
      <w:r w:rsidR="00AB0A1D" w:rsidRPr="00AB0A1D">
        <w:rPr>
          <w:rFonts w:ascii="Times New Roman" w:hAnsi="Times New Roman" w:cs="Times New Roman"/>
        </w:rPr>
        <w:t xml:space="preserve">We tried to partially take account for this limitation through considering the share of foreign supplies in the buyer’s </w:t>
      </w:r>
      <w:r w:rsidR="00295F78">
        <w:rPr>
          <w:rFonts w:ascii="Times New Roman" w:hAnsi="Times New Roman" w:cs="Times New Roman"/>
        </w:rPr>
        <w:t xml:space="preserve">supply </w:t>
      </w:r>
      <w:r w:rsidR="00AB0A1D" w:rsidRPr="00AB0A1D">
        <w:rPr>
          <w:rFonts w:ascii="Times New Roman" w:hAnsi="Times New Roman" w:cs="Times New Roman"/>
        </w:rPr>
        <w:t>portfolio as a control variable</w:t>
      </w:r>
      <w:r w:rsidR="00295F78">
        <w:rPr>
          <w:rFonts w:ascii="Times New Roman" w:hAnsi="Times New Roman" w:cs="Times New Roman"/>
        </w:rPr>
        <w:t xml:space="preserve"> in our model</w:t>
      </w:r>
      <w:r w:rsidR="00AB0A1D" w:rsidRPr="00AB0A1D">
        <w:rPr>
          <w:rFonts w:ascii="Times New Roman" w:hAnsi="Times New Roman" w:cs="Times New Roman"/>
        </w:rPr>
        <w:t>.</w:t>
      </w:r>
    </w:p>
    <w:p w14:paraId="2B7F643D" w14:textId="00CDBD69" w:rsidR="00C91D6E" w:rsidRPr="00AF264D" w:rsidRDefault="00C91D6E" w:rsidP="00B62842">
      <w:pPr>
        <w:spacing w:line="480" w:lineRule="auto"/>
        <w:ind w:firstLine="284"/>
        <w:jc w:val="both"/>
        <w:rPr>
          <w:rFonts w:ascii="Times New Roman" w:hAnsi="Times New Roman" w:cs="Times New Roman"/>
        </w:rPr>
      </w:pPr>
      <w:r w:rsidRPr="00AF264D">
        <w:rPr>
          <w:rFonts w:ascii="Times New Roman" w:hAnsi="Times New Roman" w:cs="Times New Roman"/>
        </w:rPr>
        <w:t xml:space="preserve">Nevertheless, despite these limitations this research provides new and important insights into the role of country level contingency factors in terms of institutional and cultural factors on supply chain </w:t>
      </w:r>
      <w:r w:rsidR="00AB0A1D">
        <w:rPr>
          <w:rFonts w:ascii="Times New Roman" w:hAnsi="Times New Roman" w:cs="Times New Roman"/>
        </w:rPr>
        <w:t>failures</w:t>
      </w:r>
      <w:r w:rsidRPr="00AF264D">
        <w:rPr>
          <w:rFonts w:ascii="Times New Roman" w:hAnsi="Times New Roman" w:cs="Times New Roman"/>
        </w:rPr>
        <w:t xml:space="preserve"> (i.e., delivery performance).</w:t>
      </w:r>
      <w:r w:rsidR="007D0A35">
        <w:rPr>
          <w:rFonts w:ascii="Times New Roman" w:hAnsi="Times New Roman" w:cs="Times New Roman"/>
        </w:rPr>
        <w:t xml:space="preserve"> </w:t>
      </w:r>
    </w:p>
    <w:p w14:paraId="089532CD" w14:textId="77777777" w:rsidR="00B62842" w:rsidRPr="00AF264D" w:rsidRDefault="00B62842" w:rsidP="00B62842">
      <w:pPr>
        <w:spacing w:line="480" w:lineRule="auto"/>
        <w:ind w:firstLine="284"/>
        <w:jc w:val="both"/>
        <w:rPr>
          <w:rFonts w:ascii="Times New Roman" w:hAnsi="Times New Roman" w:cs="Times New Roman"/>
          <w:sz w:val="28"/>
          <w:szCs w:val="32"/>
        </w:rPr>
      </w:pPr>
    </w:p>
    <w:p w14:paraId="4D5D1B15" w14:textId="77777777" w:rsidR="00276A6D" w:rsidRPr="00AF264D" w:rsidRDefault="00276A6D" w:rsidP="00843CBF">
      <w:pPr>
        <w:pStyle w:val="Heading1"/>
        <w:spacing w:before="0"/>
        <w:rPr>
          <w:rFonts w:ascii="Times New Roman" w:hAnsi="Times New Roman"/>
        </w:rPr>
      </w:pPr>
      <w:r w:rsidRPr="00AF264D">
        <w:rPr>
          <w:rFonts w:ascii="Times New Roman" w:hAnsi="Times New Roman"/>
        </w:rPr>
        <w:t>References</w:t>
      </w:r>
    </w:p>
    <w:p w14:paraId="4350F2C6" w14:textId="2FD36DCA"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Armstrong, S.J. and Overton, T.S. (1977), “Estimating Nonresponse Bias in Mail Surveys”, </w:t>
      </w:r>
      <w:r w:rsidRPr="00634E6C">
        <w:rPr>
          <w:rFonts w:ascii="Times New Roman" w:hAnsi="Times New Roman" w:cs="Times New Roman"/>
          <w:i/>
        </w:rPr>
        <w:t>Journal of Marketing Research</w:t>
      </w:r>
      <w:r w:rsidRPr="00634E6C">
        <w:rPr>
          <w:rFonts w:ascii="Times New Roman" w:hAnsi="Times New Roman" w:cs="Times New Roman"/>
        </w:rPr>
        <w:t>, Vol. 14, pp. 396–402.</w:t>
      </w:r>
    </w:p>
    <w:p w14:paraId="137E764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Bockstedt, J., Druehl, C. and Mishra, A. (2015), “Problem-solving effort and success in innovation contests: The role of national wealth and national culture”, </w:t>
      </w:r>
      <w:r w:rsidRPr="00634E6C">
        <w:rPr>
          <w:rFonts w:ascii="Times New Roman" w:hAnsi="Times New Roman" w:cs="Times New Roman"/>
          <w:i/>
        </w:rPr>
        <w:t>Journal of Operations Management</w:t>
      </w:r>
      <w:r w:rsidRPr="00634E6C">
        <w:rPr>
          <w:rFonts w:ascii="Times New Roman" w:hAnsi="Times New Roman" w:cs="Times New Roman"/>
        </w:rPr>
        <w:t>, Vol. 36, pp. 187–200.</w:t>
      </w:r>
    </w:p>
    <w:p w14:paraId="758CBEFC"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Bode, C. and Wagner, S.M. (2015), “Structural drivers of upstream supply chain complexity and the frequency of supply chain disruptions”, </w:t>
      </w:r>
      <w:r w:rsidRPr="00634E6C">
        <w:rPr>
          <w:rFonts w:ascii="Times New Roman" w:hAnsi="Times New Roman" w:cs="Times New Roman"/>
          <w:i/>
        </w:rPr>
        <w:t>Journal of Operations Management</w:t>
      </w:r>
      <w:r w:rsidRPr="00634E6C">
        <w:rPr>
          <w:rFonts w:ascii="Times New Roman" w:hAnsi="Times New Roman" w:cs="Times New Roman"/>
        </w:rPr>
        <w:t>, Vol. 36, pp. 215–228.</w:t>
      </w:r>
    </w:p>
    <w:p w14:paraId="3387BC0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Business Continuity Institute. (2014), </w:t>
      </w:r>
      <w:r w:rsidRPr="00634E6C">
        <w:rPr>
          <w:rFonts w:ascii="Times New Roman" w:hAnsi="Times New Roman" w:cs="Times New Roman"/>
          <w:i/>
        </w:rPr>
        <w:t>Supply Chain Resilience 2014</w:t>
      </w:r>
      <w:r w:rsidRPr="00634E6C">
        <w:rPr>
          <w:rFonts w:ascii="Times New Roman" w:hAnsi="Times New Roman" w:cs="Times New Roman"/>
        </w:rPr>
        <w:t>, available at: http://www.bcifiles.com/supply-chain.pdf (accessed 27 October 2016).</w:t>
      </w:r>
    </w:p>
    <w:p w14:paraId="79459416"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Busse, C., Schleper, M.C., Niu, M. and Wagner, S.M. (2016), “Supplier development for sustainability: contextual barriers in global supply chains”, </w:t>
      </w:r>
      <w:r w:rsidRPr="00634E6C">
        <w:rPr>
          <w:rFonts w:ascii="Times New Roman" w:hAnsi="Times New Roman" w:cs="Times New Roman"/>
          <w:i/>
        </w:rPr>
        <w:t>International Journal of Physical Distribution &amp; Logistics Management</w:t>
      </w:r>
      <w:r w:rsidRPr="00634E6C">
        <w:rPr>
          <w:rFonts w:ascii="Times New Roman" w:hAnsi="Times New Roman" w:cs="Times New Roman"/>
        </w:rPr>
        <w:t>, Vol. 46 No. 5, pp. 442–468.</w:t>
      </w:r>
    </w:p>
    <w:p w14:paraId="7D4F02A1"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Cadden, T., Marshall, D. and Cao, G. (2013), “Opposites attract: organisational culture and supply chain performance”, </w:t>
      </w:r>
      <w:r w:rsidRPr="00634E6C">
        <w:rPr>
          <w:rFonts w:ascii="Times New Roman" w:hAnsi="Times New Roman" w:cs="Times New Roman"/>
          <w:i/>
        </w:rPr>
        <w:t>Supply Chain Management: An International Journal</w:t>
      </w:r>
      <w:r w:rsidRPr="00634E6C">
        <w:rPr>
          <w:rFonts w:ascii="Times New Roman" w:hAnsi="Times New Roman" w:cs="Times New Roman"/>
        </w:rPr>
        <w:t>, Vol. 18 No. 1, pp. 86–103.</w:t>
      </w:r>
    </w:p>
    <w:p w14:paraId="5B24D764"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Cagliano, R., Caniato, F., Golini, R., Longoni, A. and Micelotta, E. (2011), “The impact of country culture on the adoption of new forms of work organization”,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31 No. 3, pp. 297–323.</w:t>
      </w:r>
    </w:p>
    <w:p w14:paraId="2F680FBD"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Cao, Z., Huo, B., Li, Y. and Zhao, X. (2015), “The impact of organizational culture on supply chain integration: a contingency and configuration approach”, </w:t>
      </w:r>
      <w:r w:rsidRPr="00634E6C">
        <w:rPr>
          <w:rFonts w:ascii="Times New Roman" w:hAnsi="Times New Roman" w:cs="Times New Roman"/>
          <w:i/>
        </w:rPr>
        <w:t>Supply Chain Management: An International Journal</w:t>
      </w:r>
      <w:r w:rsidRPr="00634E6C">
        <w:rPr>
          <w:rFonts w:ascii="Times New Roman" w:hAnsi="Times New Roman" w:cs="Times New Roman"/>
        </w:rPr>
        <w:t>, Vol. 20 No. 1, pp. 24–41.</w:t>
      </w:r>
    </w:p>
    <w:p w14:paraId="46309B87"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Carr, A.S. and Smeltzer, L.R. (1999), “The relationship of strategic purchasing to supply chain management”, </w:t>
      </w:r>
      <w:r w:rsidRPr="00634E6C">
        <w:rPr>
          <w:rFonts w:ascii="Times New Roman" w:hAnsi="Times New Roman" w:cs="Times New Roman"/>
          <w:i/>
        </w:rPr>
        <w:t>European Journal of Purchasing &amp; Supply Management</w:t>
      </w:r>
      <w:r w:rsidRPr="00634E6C">
        <w:rPr>
          <w:rFonts w:ascii="Times New Roman" w:hAnsi="Times New Roman" w:cs="Times New Roman"/>
        </w:rPr>
        <w:t>, Vol. 5 No. 1, pp. 43–51.</w:t>
      </w:r>
    </w:p>
    <w:p w14:paraId="03AF5C2C"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Child, J.D. and Keiser, D.J. (1979), “Organizational and managerial roles in British and West German companies: An examination of the culture-free thesis”, </w:t>
      </w:r>
      <w:r w:rsidRPr="00634E6C">
        <w:rPr>
          <w:rFonts w:ascii="Times New Roman" w:hAnsi="Times New Roman" w:cs="Times New Roman"/>
          <w:i/>
        </w:rPr>
        <w:t>Organizations Alike and Unlike: International and Inter- Institutional Studies in the Sociology of Organizations</w:t>
      </w:r>
      <w:r w:rsidRPr="00634E6C">
        <w:rPr>
          <w:rFonts w:ascii="Times New Roman" w:hAnsi="Times New Roman" w:cs="Times New Roman"/>
        </w:rPr>
        <w:t>, Routledge &amp; Kegan Paul, London.</w:t>
      </w:r>
    </w:p>
    <w:p w14:paraId="796FBE5A" w14:textId="04B4B0A1" w:rsidR="00AC71FE" w:rsidRPr="00634E6C" w:rsidRDefault="00AC71FE" w:rsidP="00634E6C">
      <w:pPr>
        <w:pStyle w:val="Bibliography"/>
        <w:spacing w:line="360" w:lineRule="auto"/>
        <w:jc w:val="both"/>
        <w:rPr>
          <w:rFonts w:ascii="Times New Roman" w:hAnsi="Times New Roman" w:cs="Times New Roman"/>
        </w:rPr>
      </w:pPr>
      <w:r w:rsidRPr="00634E6C">
        <w:rPr>
          <w:rFonts w:ascii="Times New Roman" w:hAnsi="Times New Roman" w:cs="Times New Roman"/>
        </w:rPr>
        <w:t xml:space="preserve">Chopra, S. and Sodhi, M.S. (2004), “Managing </w:t>
      </w:r>
      <w:r w:rsidR="00CA207C" w:rsidRPr="00634E6C">
        <w:rPr>
          <w:rFonts w:ascii="Times New Roman" w:hAnsi="Times New Roman" w:cs="Times New Roman"/>
        </w:rPr>
        <w:t>r</w:t>
      </w:r>
      <w:r w:rsidR="00DC11B7" w:rsidRPr="00634E6C">
        <w:rPr>
          <w:rFonts w:ascii="Times New Roman" w:hAnsi="Times New Roman" w:cs="Times New Roman"/>
        </w:rPr>
        <w:t xml:space="preserve">isk </w:t>
      </w:r>
      <w:r w:rsidR="00CA207C" w:rsidRPr="00634E6C">
        <w:rPr>
          <w:rFonts w:ascii="Times New Roman" w:hAnsi="Times New Roman" w:cs="Times New Roman"/>
        </w:rPr>
        <w:t>t</w:t>
      </w:r>
      <w:r w:rsidR="00DC11B7" w:rsidRPr="00634E6C">
        <w:rPr>
          <w:rFonts w:ascii="Times New Roman" w:hAnsi="Times New Roman" w:cs="Times New Roman"/>
        </w:rPr>
        <w:t xml:space="preserve">o </w:t>
      </w:r>
      <w:r w:rsidR="00CA207C" w:rsidRPr="00634E6C">
        <w:rPr>
          <w:rFonts w:ascii="Times New Roman" w:hAnsi="Times New Roman" w:cs="Times New Roman"/>
        </w:rPr>
        <w:t>a</w:t>
      </w:r>
      <w:r w:rsidR="00DC11B7" w:rsidRPr="00634E6C">
        <w:rPr>
          <w:rFonts w:ascii="Times New Roman" w:hAnsi="Times New Roman" w:cs="Times New Roman"/>
        </w:rPr>
        <w:t xml:space="preserve">void </w:t>
      </w:r>
      <w:r w:rsidR="00CA207C" w:rsidRPr="00634E6C">
        <w:rPr>
          <w:rFonts w:ascii="Times New Roman" w:hAnsi="Times New Roman" w:cs="Times New Roman"/>
        </w:rPr>
        <w:t>s</w:t>
      </w:r>
      <w:r w:rsidR="00DC11B7" w:rsidRPr="00634E6C">
        <w:rPr>
          <w:rFonts w:ascii="Times New Roman" w:hAnsi="Times New Roman" w:cs="Times New Roman"/>
        </w:rPr>
        <w:t>upply-</w:t>
      </w:r>
      <w:r w:rsidR="00CA207C" w:rsidRPr="00634E6C">
        <w:rPr>
          <w:rFonts w:ascii="Times New Roman" w:hAnsi="Times New Roman" w:cs="Times New Roman"/>
        </w:rPr>
        <w:t>c</w:t>
      </w:r>
      <w:r w:rsidR="00DC11B7" w:rsidRPr="00634E6C">
        <w:rPr>
          <w:rFonts w:ascii="Times New Roman" w:hAnsi="Times New Roman" w:cs="Times New Roman"/>
        </w:rPr>
        <w:t xml:space="preserve">hain </w:t>
      </w:r>
      <w:r w:rsidR="00CA207C" w:rsidRPr="00634E6C">
        <w:rPr>
          <w:rFonts w:ascii="Times New Roman" w:hAnsi="Times New Roman" w:cs="Times New Roman"/>
        </w:rPr>
        <w:t>b</w:t>
      </w:r>
      <w:r w:rsidR="00DC11B7" w:rsidRPr="00634E6C">
        <w:rPr>
          <w:rFonts w:ascii="Times New Roman" w:hAnsi="Times New Roman" w:cs="Times New Roman"/>
        </w:rPr>
        <w:t>reakdown”,</w:t>
      </w:r>
      <w:r w:rsidRPr="00634E6C">
        <w:rPr>
          <w:rFonts w:ascii="Times New Roman" w:hAnsi="Times New Roman" w:cs="Times New Roman"/>
        </w:rPr>
        <w:t xml:space="preserve"> </w:t>
      </w:r>
      <w:r w:rsidRPr="00634E6C">
        <w:rPr>
          <w:rFonts w:ascii="Times New Roman" w:hAnsi="Times New Roman" w:cs="Times New Roman"/>
          <w:i/>
        </w:rPr>
        <w:t>MIT Sloan Management Review</w:t>
      </w:r>
      <w:r w:rsidRPr="00634E6C">
        <w:rPr>
          <w:rFonts w:ascii="Times New Roman" w:hAnsi="Times New Roman" w:cs="Times New Roman"/>
        </w:rPr>
        <w:t>, Vol. 46 No. 1, pp. 53–62.</w:t>
      </w:r>
    </w:p>
    <w:p w14:paraId="4EE66FA4"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Christopher, M. and Towill, D. (2001), “An integrated model for the design of agile supply chains”, </w:t>
      </w:r>
      <w:r w:rsidRPr="00634E6C">
        <w:rPr>
          <w:rFonts w:ascii="Times New Roman" w:hAnsi="Times New Roman" w:cs="Times New Roman"/>
          <w:i/>
        </w:rPr>
        <w:t>International Journal of Physical Distribution &amp; Logistics Management</w:t>
      </w:r>
      <w:r w:rsidRPr="00634E6C">
        <w:rPr>
          <w:rFonts w:ascii="Times New Roman" w:hAnsi="Times New Roman" w:cs="Times New Roman"/>
        </w:rPr>
        <w:t>, Vol. 31 No. 4, pp. 235–246.</w:t>
      </w:r>
    </w:p>
    <w:p w14:paraId="7955C49C" w14:textId="45320655"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Craighead, C.W., Blackhurst, J., Rungtusanatham, M.J. and Handfield, R.B. (2007), “The </w:t>
      </w:r>
      <w:r w:rsidR="00E304B0" w:rsidRPr="00634E6C">
        <w:rPr>
          <w:rFonts w:ascii="Times New Roman" w:hAnsi="Times New Roman" w:cs="Times New Roman"/>
        </w:rPr>
        <w:t>s</w:t>
      </w:r>
      <w:r w:rsidR="00DC11B7" w:rsidRPr="00634E6C">
        <w:rPr>
          <w:rFonts w:ascii="Times New Roman" w:hAnsi="Times New Roman" w:cs="Times New Roman"/>
        </w:rPr>
        <w:t>everity</w:t>
      </w:r>
      <w:r w:rsidRPr="00634E6C">
        <w:rPr>
          <w:rFonts w:ascii="Times New Roman" w:hAnsi="Times New Roman" w:cs="Times New Roman"/>
        </w:rPr>
        <w:t xml:space="preserve"> of </w:t>
      </w:r>
      <w:r w:rsidR="00E304B0" w:rsidRPr="00634E6C">
        <w:rPr>
          <w:rFonts w:ascii="Times New Roman" w:hAnsi="Times New Roman" w:cs="Times New Roman"/>
        </w:rPr>
        <w:t>s</w:t>
      </w:r>
      <w:r w:rsidR="00DC11B7" w:rsidRPr="00634E6C">
        <w:rPr>
          <w:rFonts w:ascii="Times New Roman" w:hAnsi="Times New Roman" w:cs="Times New Roman"/>
        </w:rPr>
        <w:t xml:space="preserve">upply </w:t>
      </w:r>
      <w:r w:rsidR="00E304B0" w:rsidRPr="00634E6C">
        <w:rPr>
          <w:rFonts w:ascii="Times New Roman" w:hAnsi="Times New Roman" w:cs="Times New Roman"/>
        </w:rPr>
        <w:t>c</w:t>
      </w:r>
      <w:r w:rsidR="00DC11B7" w:rsidRPr="00634E6C">
        <w:rPr>
          <w:rFonts w:ascii="Times New Roman" w:hAnsi="Times New Roman" w:cs="Times New Roman"/>
        </w:rPr>
        <w:t xml:space="preserve">hain </w:t>
      </w:r>
      <w:r w:rsidR="00E304B0" w:rsidRPr="00634E6C">
        <w:rPr>
          <w:rFonts w:ascii="Times New Roman" w:hAnsi="Times New Roman" w:cs="Times New Roman"/>
        </w:rPr>
        <w:t>d</w:t>
      </w:r>
      <w:r w:rsidR="00DC11B7" w:rsidRPr="00634E6C">
        <w:rPr>
          <w:rFonts w:ascii="Times New Roman" w:hAnsi="Times New Roman" w:cs="Times New Roman"/>
        </w:rPr>
        <w:t>isruptions</w:t>
      </w:r>
      <w:r w:rsidRPr="00634E6C">
        <w:rPr>
          <w:rFonts w:ascii="Times New Roman" w:hAnsi="Times New Roman" w:cs="Times New Roman"/>
        </w:rPr>
        <w:t xml:space="preserve">: Design </w:t>
      </w:r>
      <w:r w:rsidR="00E304B0" w:rsidRPr="00634E6C">
        <w:rPr>
          <w:rFonts w:ascii="Times New Roman" w:hAnsi="Times New Roman" w:cs="Times New Roman"/>
        </w:rPr>
        <w:t>c</w:t>
      </w:r>
      <w:r w:rsidR="00DC11B7" w:rsidRPr="00634E6C">
        <w:rPr>
          <w:rFonts w:ascii="Times New Roman" w:hAnsi="Times New Roman" w:cs="Times New Roman"/>
        </w:rPr>
        <w:t>haracteristics</w:t>
      </w:r>
      <w:r w:rsidRPr="00634E6C">
        <w:rPr>
          <w:rFonts w:ascii="Times New Roman" w:hAnsi="Times New Roman" w:cs="Times New Roman"/>
        </w:rPr>
        <w:t xml:space="preserve"> and </w:t>
      </w:r>
      <w:r w:rsidR="00E304B0" w:rsidRPr="00634E6C">
        <w:rPr>
          <w:rFonts w:ascii="Times New Roman" w:hAnsi="Times New Roman" w:cs="Times New Roman"/>
        </w:rPr>
        <w:t>m</w:t>
      </w:r>
      <w:r w:rsidR="00DC11B7" w:rsidRPr="00634E6C">
        <w:rPr>
          <w:rFonts w:ascii="Times New Roman" w:hAnsi="Times New Roman" w:cs="Times New Roman"/>
        </w:rPr>
        <w:t xml:space="preserve">itigation </w:t>
      </w:r>
      <w:r w:rsidR="00E304B0" w:rsidRPr="00634E6C">
        <w:rPr>
          <w:rFonts w:ascii="Times New Roman" w:hAnsi="Times New Roman" w:cs="Times New Roman"/>
        </w:rPr>
        <w:t>c</w:t>
      </w:r>
      <w:r w:rsidR="00DC11B7" w:rsidRPr="00634E6C">
        <w:rPr>
          <w:rFonts w:ascii="Times New Roman" w:hAnsi="Times New Roman" w:cs="Times New Roman"/>
        </w:rPr>
        <w:t>apabilities”,</w:t>
      </w:r>
      <w:r w:rsidRPr="00634E6C">
        <w:rPr>
          <w:rFonts w:ascii="Times New Roman" w:hAnsi="Times New Roman" w:cs="Times New Roman"/>
        </w:rPr>
        <w:t xml:space="preserve"> </w:t>
      </w:r>
      <w:r w:rsidRPr="00634E6C">
        <w:rPr>
          <w:rFonts w:ascii="Times New Roman" w:hAnsi="Times New Roman" w:cs="Times New Roman"/>
          <w:i/>
        </w:rPr>
        <w:t>Decision Sciences</w:t>
      </w:r>
      <w:r w:rsidRPr="00634E6C">
        <w:rPr>
          <w:rFonts w:ascii="Times New Roman" w:hAnsi="Times New Roman" w:cs="Times New Roman"/>
        </w:rPr>
        <w:t>, Vol. 38 No. 1, pp. 131–156.</w:t>
      </w:r>
    </w:p>
    <w:p w14:paraId="6A64934C" w14:textId="7A2DB261"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Daft, R.L. (2012), </w:t>
      </w:r>
      <w:r w:rsidRPr="00634E6C">
        <w:rPr>
          <w:rFonts w:ascii="Times New Roman" w:hAnsi="Times New Roman" w:cs="Times New Roman"/>
          <w:i/>
        </w:rPr>
        <w:t xml:space="preserve">Organization </w:t>
      </w:r>
      <w:r w:rsidR="00E304B0" w:rsidRPr="00634E6C">
        <w:rPr>
          <w:rFonts w:ascii="Times New Roman" w:hAnsi="Times New Roman" w:cs="Times New Roman"/>
          <w:i/>
          <w:iCs/>
        </w:rPr>
        <w:t>t</w:t>
      </w:r>
      <w:r w:rsidR="00DC11B7" w:rsidRPr="00634E6C">
        <w:rPr>
          <w:rFonts w:ascii="Times New Roman" w:hAnsi="Times New Roman" w:cs="Times New Roman"/>
          <w:i/>
          <w:iCs/>
        </w:rPr>
        <w:t>heory</w:t>
      </w:r>
      <w:r w:rsidRPr="00634E6C">
        <w:rPr>
          <w:rFonts w:ascii="Times New Roman" w:hAnsi="Times New Roman" w:cs="Times New Roman"/>
          <w:i/>
        </w:rPr>
        <w:t xml:space="preserve"> and </w:t>
      </w:r>
      <w:r w:rsidR="00E304B0" w:rsidRPr="00634E6C">
        <w:rPr>
          <w:rFonts w:ascii="Times New Roman" w:hAnsi="Times New Roman" w:cs="Times New Roman"/>
          <w:i/>
          <w:iCs/>
        </w:rPr>
        <w:t>d</w:t>
      </w:r>
      <w:r w:rsidR="00DC11B7" w:rsidRPr="00634E6C">
        <w:rPr>
          <w:rFonts w:ascii="Times New Roman" w:hAnsi="Times New Roman" w:cs="Times New Roman"/>
          <w:i/>
          <w:iCs/>
        </w:rPr>
        <w:t>esign</w:t>
      </w:r>
      <w:r w:rsidRPr="00634E6C">
        <w:rPr>
          <w:rFonts w:ascii="Times New Roman" w:hAnsi="Times New Roman" w:cs="Times New Roman"/>
        </w:rPr>
        <w:t>, 11th ed., South-Western College Publishing, Mason, OH.</w:t>
      </w:r>
    </w:p>
    <w:p w14:paraId="2F73C9E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Davis, J.M., Mora-Monge, C., Quesada, G. and Gonzalez, M. (2014), “Cross-cultural influences on e-value creation in supply chains”, </w:t>
      </w:r>
      <w:r w:rsidRPr="00634E6C">
        <w:rPr>
          <w:rFonts w:ascii="Times New Roman" w:hAnsi="Times New Roman" w:cs="Times New Roman"/>
          <w:i/>
        </w:rPr>
        <w:t>Supply Chain Management: An International Journal</w:t>
      </w:r>
      <w:r w:rsidRPr="00634E6C">
        <w:rPr>
          <w:rFonts w:ascii="Times New Roman" w:hAnsi="Times New Roman" w:cs="Times New Roman"/>
        </w:rPr>
        <w:t>, Vol. 19 No. 2, pp. 187–199.</w:t>
      </w:r>
    </w:p>
    <w:p w14:paraId="0815E0C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Disney, S.M. and Towill, D.R. (2006), “A methodology for benchmarking replenishment-induced bullwhip.”, </w:t>
      </w:r>
      <w:r w:rsidRPr="00634E6C">
        <w:rPr>
          <w:rFonts w:ascii="Times New Roman" w:hAnsi="Times New Roman" w:cs="Times New Roman"/>
          <w:i/>
        </w:rPr>
        <w:t>Supply Chain Management: An International Journal,</w:t>
      </w:r>
      <w:r w:rsidRPr="00634E6C">
        <w:rPr>
          <w:rFonts w:ascii="Times New Roman" w:hAnsi="Times New Roman" w:cs="Times New Roman"/>
        </w:rPr>
        <w:t xml:space="preserve"> Vol. 11 No. 2, pp. 160–168.</w:t>
      </w:r>
    </w:p>
    <w:p w14:paraId="4A5D6380"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Durach, C.F., Wieland, A. and Machuca, J.A.D. (2015), “Antecedents and dimensions of supply chain robustness: a systematic literature review”, </w:t>
      </w:r>
      <w:r w:rsidRPr="00634E6C">
        <w:rPr>
          <w:rFonts w:ascii="Times New Roman" w:hAnsi="Times New Roman" w:cs="Times New Roman"/>
          <w:i/>
        </w:rPr>
        <w:t>International Journal of Physical Distribution &amp; Logistics Management</w:t>
      </w:r>
      <w:r w:rsidRPr="00634E6C">
        <w:rPr>
          <w:rFonts w:ascii="Times New Roman" w:hAnsi="Times New Roman" w:cs="Times New Roman"/>
        </w:rPr>
        <w:t>, Vol. 45 No. 1/2, pp. 118–137.</w:t>
      </w:r>
    </w:p>
    <w:p w14:paraId="7BBEEF3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Ekici, Ş.Ö., Kabak, Ö. and Ülengin, F. (2016), “Linking to compete: Logistics and global competitiveness interaction”, </w:t>
      </w:r>
      <w:r w:rsidRPr="00634E6C">
        <w:rPr>
          <w:rFonts w:ascii="Times New Roman" w:hAnsi="Times New Roman" w:cs="Times New Roman"/>
          <w:i/>
        </w:rPr>
        <w:t>Transport Policy</w:t>
      </w:r>
      <w:r w:rsidRPr="00634E6C">
        <w:rPr>
          <w:rFonts w:ascii="Times New Roman" w:hAnsi="Times New Roman" w:cs="Times New Roman"/>
        </w:rPr>
        <w:t>, Vol. 48, pp. 117–128.</w:t>
      </w:r>
    </w:p>
    <w:p w14:paraId="66EC7A15"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“Executive Opinion Survey 2012”. (2012), </w:t>
      </w:r>
      <w:r w:rsidRPr="00634E6C">
        <w:rPr>
          <w:rFonts w:ascii="Times New Roman" w:hAnsi="Times New Roman" w:cs="Times New Roman"/>
          <w:i/>
        </w:rPr>
        <w:t>Global Risks 2015</w:t>
      </w:r>
      <w:r w:rsidRPr="00634E6C">
        <w:rPr>
          <w:rFonts w:ascii="Times New Roman" w:hAnsi="Times New Roman" w:cs="Times New Roman"/>
        </w:rPr>
        <w:t>, available at: http://wef.ch/1ucGQnx (accessed 25 October 2016).</w:t>
      </w:r>
    </w:p>
    <w:p w14:paraId="191454C4" w14:textId="30EE8EFD"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Ferdows, K. (1997), “Made in the </w:t>
      </w:r>
      <w:r w:rsidR="00E304B0" w:rsidRPr="00634E6C">
        <w:rPr>
          <w:rFonts w:ascii="Times New Roman" w:hAnsi="Times New Roman" w:cs="Times New Roman"/>
        </w:rPr>
        <w:t>w</w:t>
      </w:r>
      <w:r w:rsidR="00DC11B7" w:rsidRPr="00634E6C">
        <w:rPr>
          <w:rFonts w:ascii="Times New Roman" w:hAnsi="Times New Roman" w:cs="Times New Roman"/>
        </w:rPr>
        <w:t>orld</w:t>
      </w:r>
      <w:r w:rsidRPr="00634E6C">
        <w:rPr>
          <w:rFonts w:ascii="Times New Roman" w:hAnsi="Times New Roman" w:cs="Times New Roman"/>
        </w:rPr>
        <w:t xml:space="preserve">: The </w:t>
      </w:r>
      <w:r w:rsidR="00E304B0" w:rsidRPr="00634E6C">
        <w:rPr>
          <w:rFonts w:ascii="Times New Roman" w:hAnsi="Times New Roman" w:cs="Times New Roman"/>
        </w:rPr>
        <w:t>g</w:t>
      </w:r>
      <w:r w:rsidR="00DC11B7" w:rsidRPr="00634E6C">
        <w:rPr>
          <w:rFonts w:ascii="Times New Roman" w:hAnsi="Times New Roman" w:cs="Times New Roman"/>
        </w:rPr>
        <w:t xml:space="preserve">lobal </w:t>
      </w:r>
      <w:r w:rsidR="00E304B0" w:rsidRPr="00634E6C">
        <w:rPr>
          <w:rFonts w:ascii="Times New Roman" w:hAnsi="Times New Roman" w:cs="Times New Roman"/>
        </w:rPr>
        <w:t>s</w:t>
      </w:r>
      <w:r w:rsidR="00DC11B7" w:rsidRPr="00634E6C">
        <w:rPr>
          <w:rFonts w:ascii="Times New Roman" w:hAnsi="Times New Roman" w:cs="Times New Roman"/>
        </w:rPr>
        <w:t>pread</w:t>
      </w:r>
      <w:r w:rsidRPr="00634E6C">
        <w:rPr>
          <w:rFonts w:ascii="Times New Roman" w:hAnsi="Times New Roman" w:cs="Times New Roman"/>
        </w:rPr>
        <w:t xml:space="preserve"> of </w:t>
      </w:r>
      <w:r w:rsidR="00E304B0" w:rsidRPr="00634E6C">
        <w:rPr>
          <w:rFonts w:ascii="Times New Roman" w:hAnsi="Times New Roman" w:cs="Times New Roman"/>
        </w:rPr>
        <w:t>p</w:t>
      </w:r>
      <w:r w:rsidR="00DC11B7" w:rsidRPr="00634E6C">
        <w:rPr>
          <w:rFonts w:ascii="Times New Roman" w:hAnsi="Times New Roman" w:cs="Times New Roman"/>
        </w:rPr>
        <w:t>roduction</w:t>
      </w:r>
      <w:r w:rsidRPr="00634E6C">
        <w:rPr>
          <w:rFonts w:ascii="Times New Roman" w:hAnsi="Times New Roman" w:cs="Times New Roman"/>
        </w:rPr>
        <w:t xml:space="preserve">”, </w:t>
      </w:r>
      <w:r w:rsidRPr="00634E6C">
        <w:rPr>
          <w:rFonts w:ascii="Times New Roman" w:hAnsi="Times New Roman" w:cs="Times New Roman"/>
          <w:i/>
        </w:rPr>
        <w:t>Production and Operations Management</w:t>
      </w:r>
      <w:r w:rsidRPr="00634E6C">
        <w:rPr>
          <w:rFonts w:ascii="Times New Roman" w:hAnsi="Times New Roman" w:cs="Times New Roman"/>
        </w:rPr>
        <w:t>, Vol. 6 No. 2, pp. 102–109.</w:t>
      </w:r>
    </w:p>
    <w:p w14:paraId="3C04B493"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Freeman, S. and Browne, E. (2004), “The influence of national culture on dissolution communication strategies in Western versus Asian business relationships: a theoretical model”, </w:t>
      </w:r>
      <w:r w:rsidRPr="00634E6C">
        <w:rPr>
          <w:rFonts w:ascii="Times New Roman" w:hAnsi="Times New Roman" w:cs="Times New Roman"/>
          <w:i/>
        </w:rPr>
        <w:t>Supply Chain Management: An International Journal</w:t>
      </w:r>
      <w:r w:rsidRPr="00634E6C">
        <w:rPr>
          <w:rFonts w:ascii="Times New Roman" w:hAnsi="Times New Roman" w:cs="Times New Roman"/>
        </w:rPr>
        <w:t>, Vol. 9 No. 2, pp. 169–182.</w:t>
      </w:r>
    </w:p>
    <w:p w14:paraId="1B904F49"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Ho, W., Zheng, T., Yildiz, H. and Talluri, S. (2015), “Supply chain risk management: a literature review”, </w:t>
      </w:r>
      <w:r w:rsidRPr="00634E6C">
        <w:rPr>
          <w:rFonts w:ascii="Times New Roman" w:hAnsi="Times New Roman" w:cs="Times New Roman"/>
          <w:i/>
        </w:rPr>
        <w:t>International Journal of Production Research</w:t>
      </w:r>
      <w:r w:rsidRPr="00634E6C">
        <w:rPr>
          <w:rFonts w:ascii="Times New Roman" w:hAnsi="Times New Roman" w:cs="Times New Roman"/>
        </w:rPr>
        <w:t>, Vol. 53 No. 16, pp. 5031–5069.</w:t>
      </w:r>
    </w:p>
    <w:p w14:paraId="0A3E5BDF" w14:textId="7E73D73F"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Hofstede, G. </w:t>
      </w:r>
      <w:r w:rsidR="00DC11B7" w:rsidRPr="00634E6C">
        <w:rPr>
          <w:rFonts w:ascii="Times New Roman" w:hAnsi="Times New Roman" w:cs="Times New Roman"/>
        </w:rPr>
        <w:t xml:space="preserve">(1984), </w:t>
      </w:r>
      <w:r w:rsidR="00DC11B7" w:rsidRPr="00634E6C">
        <w:rPr>
          <w:rFonts w:ascii="Times New Roman" w:hAnsi="Times New Roman" w:cs="Times New Roman"/>
          <w:i/>
          <w:iCs/>
        </w:rPr>
        <w:t>H</w:t>
      </w:r>
      <w:r w:rsidR="00E304B0" w:rsidRPr="00634E6C">
        <w:rPr>
          <w:rFonts w:ascii="Times New Roman" w:hAnsi="Times New Roman" w:cs="Times New Roman"/>
          <w:i/>
          <w:iCs/>
        </w:rPr>
        <w:t>ofstede</w:t>
      </w:r>
      <w:r w:rsidR="00DC11B7" w:rsidRPr="00634E6C">
        <w:rPr>
          <w:rFonts w:ascii="Times New Roman" w:hAnsi="Times New Roman" w:cs="Times New Roman"/>
          <w:i/>
          <w:iCs/>
        </w:rPr>
        <w:t xml:space="preserve">: </w:t>
      </w:r>
      <w:r w:rsidR="00E304B0" w:rsidRPr="00634E6C">
        <w:rPr>
          <w:rFonts w:ascii="Times New Roman" w:hAnsi="Times New Roman" w:cs="Times New Roman"/>
          <w:i/>
          <w:iCs/>
        </w:rPr>
        <w:t>culture's</w:t>
      </w:r>
      <w:r w:rsidR="00DC11B7" w:rsidRPr="00634E6C">
        <w:rPr>
          <w:rFonts w:ascii="Times New Roman" w:hAnsi="Times New Roman" w:cs="Times New Roman"/>
          <w:i/>
          <w:iCs/>
        </w:rPr>
        <w:t xml:space="preserve"> </w:t>
      </w:r>
      <w:r w:rsidR="00E304B0" w:rsidRPr="00634E6C">
        <w:rPr>
          <w:rFonts w:ascii="Times New Roman" w:hAnsi="Times New Roman" w:cs="Times New Roman"/>
          <w:i/>
          <w:iCs/>
        </w:rPr>
        <w:t>consequences</w:t>
      </w:r>
      <w:r w:rsidR="00DC11B7" w:rsidRPr="00634E6C">
        <w:rPr>
          <w:rFonts w:ascii="Times New Roman" w:hAnsi="Times New Roman" w:cs="Times New Roman"/>
          <w:i/>
          <w:iCs/>
        </w:rPr>
        <w:t xml:space="preserve">, </w:t>
      </w:r>
      <w:r w:rsidR="00E304B0" w:rsidRPr="00634E6C">
        <w:rPr>
          <w:rFonts w:ascii="Times New Roman" w:hAnsi="Times New Roman" w:cs="Times New Roman"/>
          <w:i/>
          <w:iCs/>
        </w:rPr>
        <w:t>abridged</w:t>
      </w:r>
      <w:r w:rsidR="00DC11B7" w:rsidRPr="00634E6C">
        <w:rPr>
          <w:rFonts w:ascii="Times New Roman" w:hAnsi="Times New Roman" w:cs="Times New Roman"/>
        </w:rPr>
        <w:t>,</w:t>
      </w:r>
      <w:r w:rsidRPr="00634E6C">
        <w:rPr>
          <w:rFonts w:ascii="Times New Roman" w:hAnsi="Times New Roman" w:cs="Times New Roman"/>
        </w:rPr>
        <w:t xml:space="preserve"> Sage Publications, Incorporated, Beverly Hills.</w:t>
      </w:r>
    </w:p>
    <w:p w14:paraId="15571DE8" w14:textId="386C7216"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Hofstede, G. (1998), “Attitudes, </w:t>
      </w:r>
      <w:r w:rsidR="00E304B0" w:rsidRPr="00634E6C">
        <w:rPr>
          <w:rFonts w:ascii="Times New Roman" w:hAnsi="Times New Roman" w:cs="Times New Roman"/>
        </w:rPr>
        <w:t>v</w:t>
      </w:r>
      <w:r w:rsidR="00DC11B7" w:rsidRPr="00634E6C">
        <w:rPr>
          <w:rFonts w:ascii="Times New Roman" w:hAnsi="Times New Roman" w:cs="Times New Roman"/>
        </w:rPr>
        <w:t>alues</w:t>
      </w:r>
      <w:r w:rsidRPr="00634E6C">
        <w:rPr>
          <w:rFonts w:ascii="Times New Roman" w:hAnsi="Times New Roman" w:cs="Times New Roman"/>
        </w:rPr>
        <w:t xml:space="preserve"> and </w:t>
      </w:r>
      <w:r w:rsidR="00E304B0" w:rsidRPr="00634E6C">
        <w:rPr>
          <w:rFonts w:ascii="Times New Roman" w:hAnsi="Times New Roman" w:cs="Times New Roman"/>
        </w:rPr>
        <w:t>o</w:t>
      </w:r>
      <w:r w:rsidR="00DC11B7" w:rsidRPr="00634E6C">
        <w:rPr>
          <w:rFonts w:ascii="Times New Roman" w:hAnsi="Times New Roman" w:cs="Times New Roman"/>
        </w:rPr>
        <w:t xml:space="preserve">rganizational </w:t>
      </w:r>
      <w:r w:rsidR="00E304B0" w:rsidRPr="00634E6C">
        <w:rPr>
          <w:rFonts w:ascii="Times New Roman" w:hAnsi="Times New Roman" w:cs="Times New Roman"/>
        </w:rPr>
        <w:t>c</w:t>
      </w:r>
      <w:r w:rsidR="00DC11B7" w:rsidRPr="00634E6C">
        <w:rPr>
          <w:rFonts w:ascii="Times New Roman" w:hAnsi="Times New Roman" w:cs="Times New Roman"/>
        </w:rPr>
        <w:t>ulture</w:t>
      </w:r>
      <w:r w:rsidRPr="00634E6C">
        <w:rPr>
          <w:rFonts w:ascii="Times New Roman" w:hAnsi="Times New Roman" w:cs="Times New Roman"/>
        </w:rPr>
        <w:t xml:space="preserve">: Disentangling the </w:t>
      </w:r>
      <w:r w:rsidR="00E304B0" w:rsidRPr="00634E6C">
        <w:rPr>
          <w:rFonts w:ascii="Times New Roman" w:hAnsi="Times New Roman" w:cs="Times New Roman"/>
        </w:rPr>
        <w:t>c</w:t>
      </w:r>
      <w:r w:rsidR="00DC11B7" w:rsidRPr="00634E6C">
        <w:rPr>
          <w:rFonts w:ascii="Times New Roman" w:hAnsi="Times New Roman" w:cs="Times New Roman"/>
        </w:rPr>
        <w:t>oncepts</w:t>
      </w:r>
      <w:r w:rsidRPr="00634E6C">
        <w:rPr>
          <w:rFonts w:ascii="Times New Roman" w:hAnsi="Times New Roman" w:cs="Times New Roman"/>
        </w:rPr>
        <w:t xml:space="preserve">”, </w:t>
      </w:r>
      <w:r w:rsidRPr="00634E6C">
        <w:rPr>
          <w:rFonts w:ascii="Times New Roman" w:hAnsi="Times New Roman" w:cs="Times New Roman"/>
          <w:i/>
        </w:rPr>
        <w:t>Organization Studies</w:t>
      </w:r>
      <w:r w:rsidRPr="00634E6C">
        <w:rPr>
          <w:rFonts w:ascii="Times New Roman" w:hAnsi="Times New Roman" w:cs="Times New Roman"/>
        </w:rPr>
        <w:t>, Vol. 19 No. 3, pp. 477–493.</w:t>
      </w:r>
    </w:p>
    <w:p w14:paraId="4A2300FB" w14:textId="16ED3B9C"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Hofstede, G., Neuijen, B., Ohayv, D.D. and Sanders, G. (1990), “Measuring </w:t>
      </w:r>
      <w:r w:rsidR="001A13C5" w:rsidRPr="00634E6C">
        <w:rPr>
          <w:rFonts w:ascii="Times New Roman" w:hAnsi="Times New Roman" w:cs="Times New Roman"/>
        </w:rPr>
        <w:t>o</w:t>
      </w:r>
      <w:r w:rsidR="00DC11B7" w:rsidRPr="00634E6C">
        <w:rPr>
          <w:rFonts w:ascii="Times New Roman" w:hAnsi="Times New Roman" w:cs="Times New Roman"/>
        </w:rPr>
        <w:t xml:space="preserve">rganizational </w:t>
      </w:r>
      <w:r w:rsidR="001A13C5" w:rsidRPr="00634E6C">
        <w:rPr>
          <w:rFonts w:ascii="Times New Roman" w:hAnsi="Times New Roman" w:cs="Times New Roman"/>
        </w:rPr>
        <w:t>c</w:t>
      </w:r>
      <w:r w:rsidR="00DC11B7" w:rsidRPr="00634E6C">
        <w:rPr>
          <w:rFonts w:ascii="Times New Roman" w:hAnsi="Times New Roman" w:cs="Times New Roman"/>
        </w:rPr>
        <w:t>ultures</w:t>
      </w:r>
      <w:r w:rsidRPr="00634E6C">
        <w:rPr>
          <w:rFonts w:ascii="Times New Roman" w:hAnsi="Times New Roman" w:cs="Times New Roman"/>
        </w:rPr>
        <w:t xml:space="preserve">: A </w:t>
      </w:r>
      <w:r w:rsidR="001A13C5" w:rsidRPr="00634E6C">
        <w:rPr>
          <w:rFonts w:ascii="Times New Roman" w:hAnsi="Times New Roman" w:cs="Times New Roman"/>
        </w:rPr>
        <w:t>q</w:t>
      </w:r>
      <w:r w:rsidR="00DC11B7" w:rsidRPr="00634E6C">
        <w:rPr>
          <w:rFonts w:ascii="Times New Roman" w:hAnsi="Times New Roman" w:cs="Times New Roman"/>
        </w:rPr>
        <w:t>ualitative</w:t>
      </w:r>
      <w:r w:rsidRPr="00634E6C">
        <w:rPr>
          <w:rFonts w:ascii="Times New Roman" w:hAnsi="Times New Roman" w:cs="Times New Roman"/>
        </w:rPr>
        <w:t xml:space="preserve"> and </w:t>
      </w:r>
      <w:r w:rsidR="001A13C5" w:rsidRPr="00634E6C">
        <w:rPr>
          <w:rFonts w:ascii="Times New Roman" w:hAnsi="Times New Roman" w:cs="Times New Roman"/>
        </w:rPr>
        <w:t>q</w:t>
      </w:r>
      <w:r w:rsidR="00DC11B7" w:rsidRPr="00634E6C">
        <w:rPr>
          <w:rFonts w:ascii="Times New Roman" w:hAnsi="Times New Roman" w:cs="Times New Roman"/>
        </w:rPr>
        <w:t xml:space="preserve">uantitative </w:t>
      </w:r>
      <w:r w:rsidR="001A13C5" w:rsidRPr="00634E6C">
        <w:rPr>
          <w:rFonts w:ascii="Times New Roman" w:hAnsi="Times New Roman" w:cs="Times New Roman"/>
        </w:rPr>
        <w:t>s</w:t>
      </w:r>
      <w:r w:rsidR="00DC11B7" w:rsidRPr="00634E6C">
        <w:rPr>
          <w:rFonts w:ascii="Times New Roman" w:hAnsi="Times New Roman" w:cs="Times New Roman"/>
        </w:rPr>
        <w:t xml:space="preserve">tudy </w:t>
      </w:r>
      <w:r w:rsidR="001A13C5" w:rsidRPr="00634E6C">
        <w:rPr>
          <w:rFonts w:ascii="Times New Roman" w:hAnsi="Times New Roman" w:cs="Times New Roman"/>
        </w:rPr>
        <w:t>a</w:t>
      </w:r>
      <w:r w:rsidR="00DC11B7" w:rsidRPr="00634E6C">
        <w:rPr>
          <w:rFonts w:ascii="Times New Roman" w:hAnsi="Times New Roman" w:cs="Times New Roman"/>
        </w:rPr>
        <w:t xml:space="preserve">cross </w:t>
      </w:r>
      <w:r w:rsidR="001A13C5" w:rsidRPr="00634E6C">
        <w:rPr>
          <w:rFonts w:ascii="Times New Roman" w:hAnsi="Times New Roman" w:cs="Times New Roman"/>
        </w:rPr>
        <w:t>t</w:t>
      </w:r>
      <w:r w:rsidR="00DC11B7" w:rsidRPr="00634E6C">
        <w:rPr>
          <w:rFonts w:ascii="Times New Roman" w:hAnsi="Times New Roman" w:cs="Times New Roman"/>
        </w:rPr>
        <w:t xml:space="preserve">wenty </w:t>
      </w:r>
      <w:r w:rsidR="001A13C5" w:rsidRPr="00634E6C">
        <w:rPr>
          <w:rFonts w:ascii="Times New Roman" w:hAnsi="Times New Roman" w:cs="Times New Roman"/>
        </w:rPr>
        <w:t>c</w:t>
      </w:r>
      <w:r w:rsidR="00DC11B7" w:rsidRPr="00634E6C">
        <w:rPr>
          <w:rFonts w:ascii="Times New Roman" w:hAnsi="Times New Roman" w:cs="Times New Roman"/>
        </w:rPr>
        <w:t>ases</w:t>
      </w:r>
      <w:r w:rsidRPr="00634E6C">
        <w:rPr>
          <w:rFonts w:ascii="Times New Roman" w:hAnsi="Times New Roman" w:cs="Times New Roman"/>
        </w:rPr>
        <w:t xml:space="preserve">”, </w:t>
      </w:r>
      <w:r w:rsidRPr="00634E6C">
        <w:rPr>
          <w:rFonts w:ascii="Times New Roman" w:hAnsi="Times New Roman" w:cs="Times New Roman"/>
          <w:i/>
        </w:rPr>
        <w:t>Administrative Science Quarterly</w:t>
      </w:r>
      <w:r w:rsidRPr="00634E6C">
        <w:rPr>
          <w:rFonts w:ascii="Times New Roman" w:hAnsi="Times New Roman" w:cs="Times New Roman"/>
        </w:rPr>
        <w:t>, Vol. 35 No. 2, pp. 286–316.</w:t>
      </w:r>
    </w:p>
    <w:p w14:paraId="3BE983C3" w14:textId="06680CA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Holweg, M. and </w:t>
      </w:r>
      <w:r w:rsidR="004C4AC7" w:rsidRPr="00634E6C">
        <w:rPr>
          <w:rFonts w:ascii="Times New Roman" w:hAnsi="Times New Roman" w:cs="Times New Roman"/>
        </w:rPr>
        <w:t>Oliver</w:t>
      </w:r>
      <w:r w:rsidR="00DC11B7" w:rsidRPr="00634E6C">
        <w:rPr>
          <w:rFonts w:ascii="Times New Roman" w:hAnsi="Times New Roman" w:cs="Times New Roman"/>
        </w:rPr>
        <w:t xml:space="preserve">, </w:t>
      </w:r>
      <w:r w:rsidR="004C4AC7" w:rsidRPr="00634E6C">
        <w:rPr>
          <w:rFonts w:ascii="Times New Roman" w:hAnsi="Times New Roman" w:cs="Times New Roman"/>
        </w:rPr>
        <w:t>N</w:t>
      </w:r>
      <w:r w:rsidR="00DC11B7" w:rsidRPr="00634E6C">
        <w:rPr>
          <w:rFonts w:ascii="Times New Roman" w:hAnsi="Times New Roman" w:cs="Times New Roman"/>
        </w:rPr>
        <w:t>. (201</w:t>
      </w:r>
      <w:r w:rsidR="005575F5" w:rsidRPr="00634E6C">
        <w:rPr>
          <w:rFonts w:ascii="Times New Roman" w:hAnsi="Times New Roman" w:cs="Times New Roman"/>
        </w:rPr>
        <w:t>6</w:t>
      </w:r>
      <w:r w:rsidR="00DC11B7" w:rsidRPr="00634E6C">
        <w:rPr>
          <w:rFonts w:ascii="Times New Roman" w:hAnsi="Times New Roman" w:cs="Times New Roman"/>
        </w:rPr>
        <w:t xml:space="preserve">), </w:t>
      </w:r>
      <w:r w:rsidR="004C4AC7" w:rsidRPr="00634E6C">
        <w:rPr>
          <w:rFonts w:ascii="Times New Roman" w:hAnsi="Times New Roman" w:cs="Times New Roman"/>
          <w:i/>
          <w:iCs/>
        </w:rPr>
        <w:t>Crisis, resilience and survival: Lessons from</w:t>
      </w:r>
      <w:r w:rsidRPr="00634E6C">
        <w:rPr>
          <w:rFonts w:ascii="Times New Roman" w:hAnsi="Times New Roman" w:cs="Times New Roman"/>
          <w:i/>
        </w:rPr>
        <w:t xml:space="preserve"> the </w:t>
      </w:r>
      <w:r w:rsidR="004C4AC7" w:rsidRPr="00634E6C">
        <w:rPr>
          <w:rFonts w:ascii="Times New Roman" w:hAnsi="Times New Roman" w:cs="Times New Roman"/>
          <w:i/>
          <w:iCs/>
        </w:rPr>
        <w:t>global auto industry</w:t>
      </w:r>
      <w:r w:rsidR="00DC11B7" w:rsidRPr="00634E6C">
        <w:rPr>
          <w:rFonts w:ascii="Times New Roman" w:hAnsi="Times New Roman" w:cs="Times New Roman"/>
        </w:rPr>
        <w:t xml:space="preserve">, </w:t>
      </w:r>
      <w:r w:rsidR="004C4AC7" w:rsidRPr="00634E6C">
        <w:rPr>
          <w:rFonts w:ascii="Times New Roman" w:hAnsi="Times New Roman" w:cs="Times New Roman"/>
        </w:rPr>
        <w:t>Cambridge University Press</w:t>
      </w:r>
      <w:r w:rsidR="00DC11B7" w:rsidRPr="00634E6C">
        <w:rPr>
          <w:rFonts w:ascii="Times New Roman" w:hAnsi="Times New Roman" w:cs="Times New Roman"/>
        </w:rPr>
        <w:t xml:space="preserve">, </w:t>
      </w:r>
      <w:r w:rsidR="004C4AC7" w:rsidRPr="00634E6C">
        <w:rPr>
          <w:rFonts w:ascii="Times New Roman" w:hAnsi="Times New Roman" w:cs="Times New Roman"/>
        </w:rPr>
        <w:t>Cambridge</w:t>
      </w:r>
      <w:r w:rsidRPr="00634E6C">
        <w:rPr>
          <w:rFonts w:ascii="Times New Roman" w:hAnsi="Times New Roman" w:cs="Times New Roman"/>
        </w:rPr>
        <w:t>, U.K.</w:t>
      </w:r>
    </w:p>
    <w:p w14:paraId="08709CDF"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House, R., Javidan, M., Hanges, P. and Dorfman, P. (2002), “Understanding cultures and implicit leadership theories across the globe: an introduction to project GLOBE”, </w:t>
      </w:r>
      <w:r w:rsidRPr="00634E6C">
        <w:rPr>
          <w:rFonts w:ascii="Times New Roman" w:hAnsi="Times New Roman" w:cs="Times New Roman"/>
          <w:i/>
        </w:rPr>
        <w:t>Journal of World Business</w:t>
      </w:r>
      <w:r w:rsidRPr="00634E6C">
        <w:rPr>
          <w:rFonts w:ascii="Times New Roman" w:hAnsi="Times New Roman" w:cs="Times New Roman"/>
        </w:rPr>
        <w:t>, Vol. 37 No. 1, pp. 3–10.</w:t>
      </w:r>
    </w:p>
    <w:p w14:paraId="633EBFFF"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Jordan, C. and Bak, O. (2016), “The growing scale and scope of the supply chain: a reflection on supply chain graduate skills”, </w:t>
      </w:r>
      <w:r w:rsidRPr="00634E6C">
        <w:rPr>
          <w:rFonts w:ascii="Times New Roman" w:hAnsi="Times New Roman" w:cs="Times New Roman"/>
          <w:i/>
        </w:rPr>
        <w:t>Supply Chain Management: An International Journal</w:t>
      </w:r>
      <w:r w:rsidRPr="00634E6C">
        <w:rPr>
          <w:rFonts w:ascii="Times New Roman" w:hAnsi="Times New Roman" w:cs="Times New Roman"/>
        </w:rPr>
        <w:t>, Vol. 21 No. 5, pp. 610–626.</w:t>
      </w:r>
    </w:p>
    <w:p w14:paraId="7958812F"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Kaufmann, L. and Carter, C.R. (2006), “International supply relationships and non-financial performance—A comparison of U.S. and German practices”, </w:t>
      </w:r>
      <w:r w:rsidRPr="00634E6C">
        <w:rPr>
          <w:rFonts w:ascii="Times New Roman" w:hAnsi="Times New Roman" w:cs="Times New Roman"/>
          <w:i/>
        </w:rPr>
        <w:t>Journal of Operations Management</w:t>
      </w:r>
      <w:r w:rsidRPr="00634E6C">
        <w:rPr>
          <w:rFonts w:ascii="Times New Roman" w:hAnsi="Times New Roman" w:cs="Times New Roman"/>
        </w:rPr>
        <w:t>, Vol. 24 No. 5, pp. 653–675.</w:t>
      </w:r>
    </w:p>
    <w:p w14:paraId="5360E953"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Kraay, A., Kaufmann, D. and Mastruzzi, M. (2010), “The worldwide governance indicators : methodology and analytical issues”, </w:t>
      </w:r>
      <w:r w:rsidRPr="00634E6C">
        <w:rPr>
          <w:rFonts w:ascii="Times New Roman" w:hAnsi="Times New Roman" w:cs="Times New Roman"/>
          <w:i/>
        </w:rPr>
        <w:t>Policy Research Working Papers</w:t>
      </w:r>
      <w:r w:rsidRPr="00634E6C">
        <w:rPr>
          <w:rFonts w:ascii="Times New Roman" w:hAnsi="Times New Roman" w:cs="Times New Roman"/>
        </w:rPr>
        <w:t>, Vol. 5430, pp. 1–29.</w:t>
      </w:r>
    </w:p>
    <w:p w14:paraId="47E3FBBB"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Kull, T.J. and Wacker, J.G. (2010), “Quality management effectiveness in Asia: The influence of culture”, </w:t>
      </w:r>
      <w:r w:rsidRPr="00634E6C">
        <w:rPr>
          <w:rFonts w:ascii="Times New Roman" w:hAnsi="Times New Roman" w:cs="Times New Roman"/>
          <w:i/>
        </w:rPr>
        <w:t>Journal of Operations Management</w:t>
      </w:r>
      <w:r w:rsidRPr="00634E6C">
        <w:rPr>
          <w:rFonts w:ascii="Times New Roman" w:hAnsi="Times New Roman" w:cs="Times New Roman"/>
        </w:rPr>
        <w:t>, Vol. 28 No. 3, pp. 223–239.</w:t>
      </w:r>
    </w:p>
    <w:p w14:paraId="103D01F7"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Lawrence, R.J., Hanouz, M.D. and Doherty, S. (2012), </w:t>
      </w:r>
      <w:r w:rsidRPr="00634E6C">
        <w:rPr>
          <w:rFonts w:ascii="Times New Roman" w:hAnsi="Times New Roman" w:cs="Times New Roman"/>
          <w:i/>
        </w:rPr>
        <w:t>The Global Enabling Trade Report 2012</w:t>
      </w:r>
      <w:r w:rsidRPr="00634E6C">
        <w:rPr>
          <w:rFonts w:ascii="Times New Roman" w:hAnsi="Times New Roman" w:cs="Times New Roman"/>
        </w:rPr>
        <w:t>, Insight Report, World Economic Forum, Geneva, pp. 1–405.</w:t>
      </w:r>
    </w:p>
    <w:p w14:paraId="0F8109B8"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Lee, H.L. (2004), “The Triple-A Supply Chain”, </w:t>
      </w:r>
      <w:r w:rsidRPr="00634E6C">
        <w:rPr>
          <w:rFonts w:ascii="Times New Roman" w:hAnsi="Times New Roman" w:cs="Times New Roman"/>
          <w:i/>
        </w:rPr>
        <w:t>Harvard Business Review</w:t>
      </w:r>
      <w:r w:rsidRPr="00634E6C">
        <w:rPr>
          <w:rFonts w:ascii="Times New Roman" w:hAnsi="Times New Roman" w:cs="Times New Roman"/>
        </w:rPr>
        <w:t>, Vol. 82 No. 10, pp. 102–112.</w:t>
      </w:r>
    </w:p>
    <w:p w14:paraId="645E9908"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Lorentz, H., Töyli, J., Solakivi, T., Hälinen, H. and Ojala, L. (2012), “Effects of geographic dispersion on intra</w:t>
      </w:r>
      <w:r w:rsidRPr="00634E6C">
        <w:rPr>
          <w:rFonts w:ascii="American Typewriter Light" w:hAnsi="American Typewriter Light" w:cs="American Typewriter Light"/>
        </w:rPr>
        <w:t>‐</w:t>
      </w:r>
      <w:r w:rsidRPr="00634E6C">
        <w:rPr>
          <w:rFonts w:ascii="Times New Roman" w:hAnsi="Times New Roman" w:cs="Times New Roman"/>
        </w:rPr>
        <w:t xml:space="preserve">firm supply chain performance”, </w:t>
      </w:r>
      <w:r w:rsidRPr="00634E6C">
        <w:rPr>
          <w:rFonts w:ascii="Times New Roman" w:hAnsi="Times New Roman" w:cs="Times New Roman"/>
          <w:i/>
        </w:rPr>
        <w:t>Supply Chain Management: An International Journal</w:t>
      </w:r>
      <w:r w:rsidRPr="00634E6C">
        <w:rPr>
          <w:rFonts w:ascii="Times New Roman" w:hAnsi="Times New Roman" w:cs="Times New Roman"/>
        </w:rPr>
        <w:t>, Vol. 17 No. 6, pp. 611–626.</w:t>
      </w:r>
    </w:p>
    <w:p w14:paraId="1C21A2CC"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MacCallum, R.C., Browne, M.W. and Sugawara, H.M. (1996), “Power analysis and determination of sample size for covariance structure modeling”, </w:t>
      </w:r>
      <w:r w:rsidRPr="00634E6C">
        <w:rPr>
          <w:rFonts w:ascii="Times New Roman" w:hAnsi="Times New Roman" w:cs="Times New Roman"/>
          <w:i/>
        </w:rPr>
        <w:t>Psychological Methods</w:t>
      </w:r>
      <w:r w:rsidRPr="00634E6C">
        <w:rPr>
          <w:rFonts w:ascii="Times New Roman" w:hAnsi="Times New Roman" w:cs="Times New Roman"/>
        </w:rPr>
        <w:t>, Vol. 1 No. 2, pp. 130–149.</w:t>
      </w:r>
    </w:p>
    <w:p w14:paraId="516F2C3F"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Naor, M., Linderman, K. and Schroeder, R. (2010), “The globalization of operations in Eastern and Western countries: Unpacking the relationship between national and organizational culture and its impact on manufacturing performance”, </w:t>
      </w:r>
      <w:r w:rsidRPr="00634E6C">
        <w:rPr>
          <w:rFonts w:ascii="Times New Roman" w:hAnsi="Times New Roman" w:cs="Times New Roman"/>
          <w:i/>
        </w:rPr>
        <w:t>Journal of Operations Management</w:t>
      </w:r>
      <w:r w:rsidRPr="00634E6C">
        <w:rPr>
          <w:rFonts w:ascii="Times New Roman" w:hAnsi="Times New Roman" w:cs="Times New Roman"/>
        </w:rPr>
        <w:t>, Vol. 28 No. 3, pp. 194–205.</w:t>
      </w:r>
    </w:p>
    <w:p w14:paraId="3101594F"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Pagell, M. (2004), “Understanding the factors that enable and inhibit the integration of operations, purchasing and logistics”, </w:t>
      </w:r>
      <w:r w:rsidRPr="00634E6C">
        <w:rPr>
          <w:rFonts w:ascii="Times New Roman" w:hAnsi="Times New Roman" w:cs="Times New Roman"/>
          <w:i/>
        </w:rPr>
        <w:t>Journal of Operations Management</w:t>
      </w:r>
      <w:r w:rsidRPr="00634E6C">
        <w:rPr>
          <w:rFonts w:ascii="Times New Roman" w:hAnsi="Times New Roman" w:cs="Times New Roman"/>
        </w:rPr>
        <w:t>, Vol. 22 No. 5, pp. 459–487.</w:t>
      </w:r>
    </w:p>
    <w:p w14:paraId="1BCBFF2C" w14:textId="5FD90520"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Pagell, M., </w:t>
      </w:r>
      <w:r w:rsidR="00DC11B7" w:rsidRPr="00634E6C">
        <w:rPr>
          <w:rFonts w:ascii="Times New Roman" w:hAnsi="Times New Roman" w:cs="Times New Roman"/>
        </w:rPr>
        <w:t xml:space="preserve">Jeffrey P. </w:t>
      </w:r>
      <w:r w:rsidRPr="00634E6C">
        <w:rPr>
          <w:rFonts w:ascii="Times New Roman" w:hAnsi="Times New Roman" w:cs="Times New Roman"/>
        </w:rPr>
        <w:t xml:space="preserve">Katz and </w:t>
      </w:r>
      <w:r w:rsidR="00DC11B7" w:rsidRPr="00634E6C">
        <w:rPr>
          <w:rFonts w:ascii="Times New Roman" w:hAnsi="Times New Roman" w:cs="Times New Roman"/>
        </w:rPr>
        <w:t xml:space="preserve">Chwen </w:t>
      </w:r>
      <w:r w:rsidRPr="00634E6C">
        <w:rPr>
          <w:rFonts w:ascii="Times New Roman" w:hAnsi="Times New Roman" w:cs="Times New Roman"/>
        </w:rPr>
        <w:t xml:space="preserve">Sheu. (2005), “The importance of national culture in operations management research”,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25 No. 4, pp. 371–394.</w:t>
      </w:r>
    </w:p>
    <w:p w14:paraId="7C08FBCB"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Pagell, M., Wiengarten, F. and Fynes, B. (2013), “Institutional effects and the decision to make environmental investments”, </w:t>
      </w:r>
      <w:r w:rsidRPr="00634E6C">
        <w:rPr>
          <w:rFonts w:ascii="Times New Roman" w:hAnsi="Times New Roman" w:cs="Times New Roman"/>
          <w:i/>
        </w:rPr>
        <w:t>International Journal of Production Research</w:t>
      </w:r>
      <w:r w:rsidRPr="00634E6C">
        <w:rPr>
          <w:rFonts w:ascii="Times New Roman" w:hAnsi="Times New Roman" w:cs="Times New Roman"/>
        </w:rPr>
        <w:t>, Vol. 51 No. 2, pp. 427–446.</w:t>
      </w:r>
    </w:p>
    <w:p w14:paraId="7FB09F84"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Paulraj, A., Lado, A.A. and Chen, I.J. (2008), “Inter-organizational communication as a relational competency: Antecedents and performance outcomes in collaborative buyer–supplier relationships”, </w:t>
      </w:r>
      <w:r w:rsidRPr="00634E6C">
        <w:rPr>
          <w:rFonts w:ascii="Times New Roman" w:hAnsi="Times New Roman" w:cs="Times New Roman"/>
          <w:i/>
        </w:rPr>
        <w:t>Journal of Operations Management</w:t>
      </w:r>
      <w:r w:rsidRPr="00634E6C">
        <w:rPr>
          <w:rFonts w:ascii="Times New Roman" w:hAnsi="Times New Roman" w:cs="Times New Roman"/>
        </w:rPr>
        <w:t>, Vol. 26 No. 1, pp. 45–64.</w:t>
      </w:r>
    </w:p>
    <w:p w14:paraId="1AF7D813" w14:textId="2C2121A8"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Power, D., Klassen, R., Kull, T.J. and Simpson, D. (2015), “Competitive </w:t>
      </w:r>
      <w:r w:rsidR="00025294" w:rsidRPr="00634E6C">
        <w:rPr>
          <w:rFonts w:ascii="Times New Roman" w:hAnsi="Times New Roman" w:cs="Times New Roman"/>
        </w:rPr>
        <w:t>g</w:t>
      </w:r>
      <w:r w:rsidRPr="00634E6C">
        <w:rPr>
          <w:rFonts w:ascii="Times New Roman" w:hAnsi="Times New Roman" w:cs="Times New Roman"/>
        </w:rPr>
        <w:t xml:space="preserve">oals and </w:t>
      </w:r>
      <w:r w:rsidR="00025294" w:rsidRPr="00634E6C">
        <w:rPr>
          <w:rFonts w:ascii="Times New Roman" w:hAnsi="Times New Roman" w:cs="Times New Roman"/>
        </w:rPr>
        <w:t>p</w:t>
      </w:r>
      <w:r w:rsidRPr="00634E6C">
        <w:rPr>
          <w:rFonts w:ascii="Times New Roman" w:hAnsi="Times New Roman" w:cs="Times New Roman"/>
        </w:rPr>
        <w:t xml:space="preserve">lant </w:t>
      </w:r>
      <w:r w:rsidR="00025294" w:rsidRPr="00634E6C">
        <w:rPr>
          <w:rFonts w:ascii="Times New Roman" w:hAnsi="Times New Roman" w:cs="Times New Roman"/>
        </w:rPr>
        <w:t>i</w:t>
      </w:r>
      <w:r w:rsidRPr="00634E6C">
        <w:rPr>
          <w:rFonts w:ascii="Times New Roman" w:hAnsi="Times New Roman" w:cs="Times New Roman"/>
        </w:rPr>
        <w:t xml:space="preserve">nvestment in </w:t>
      </w:r>
      <w:r w:rsidR="00025294" w:rsidRPr="00634E6C">
        <w:rPr>
          <w:rFonts w:ascii="Times New Roman" w:hAnsi="Times New Roman" w:cs="Times New Roman"/>
        </w:rPr>
        <w:t>e</w:t>
      </w:r>
      <w:r w:rsidRPr="00634E6C">
        <w:rPr>
          <w:rFonts w:ascii="Times New Roman" w:hAnsi="Times New Roman" w:cs="Times New Roman"/>
        </w:rPr>
        <w:t xml:space="preserve">nvironment and </w:t>
      </w:r>
      <w:r w:rsidR="00025294" w:rsidRPr="00634E6C">
        <w:rPr>
          <w:rFonts w:ascii="Times New Roman" w:hAnsi="Times New Roman" w:cs="Times New Roman"/>
        </w:rPr>
        <w:t>s</w:t>
      </w:r>
      <w:r w:rsidRPr="00634E6C">
        <w:rPr>
          <w:rFonts w:ascii="Times New Roman" w:hAnsi="Times New Roman" w:cs="Times New Roman"/>
        </w:rPr>
        <w:t xml:space="preserve">afety </w:t>
      </w:r>
      <w:r w:rsidR="00025294" w:rsidRPr="00634E6C">
        <w:rPr>
          <w:rFonts w:ascii="Times New Roman" w:hAnsi="Times New Roman" w:cs="Times New Roman"/>
        </w:rPr>
        <w:t>p</w:t>
      </w:r>
      <w:r w:rsidRPr="00634E6C">
        <w:rPr>
          <w:rFonts w:ascii="Times New Roman" w:hAnsi="Times New Roman" w:cs="Times New Roman"/>
        </w:rPr>
        <w:t xml:space="preserve">ractices: Moderating </w:t>
      </w:r>
      <w:r w:rsidR="00025294" w:rsidRPr="00634E6C">
        <w:rPr>
          <w:rFonts w:ascii="Times New Roman" w:hAnsi="Times New Roman" w:cs="Times New Roman"/>
        </w:rPr>
        <w:t>e</w:t>
      </w:r>
      <w:r w:rsidRPr="00634E6C">
        <w:rPr>
          <w:rFonts w:ascii="Times New Roman" w:hAnsi="Times New Roman" w:cs="Times New Roman"/>
        </w:rPr>
        <w:t xml:space="preserve">ffect of </w:t>
      </w:r>
      <w:r w:rsidR="00025294" w:rsidRPr="00634E6C">
        <w:rPr>
          <w:rFonts w:ascii="Times New Roman" w:hAnsi="Times New Roman" w:cs="Times New Roman"/>
        </w:rPr>
        <w:t>n</w:t>
      </w:r>
      <w:r w:rsidRPr="00634E6C">
        <w:rPr>
          <w:rFonts w:ascii="Times New Roman" w:hAnsi="Times New Roman" w:cs="Times New Roman"/>
        </w:rPr>
        <w:t xml:space="preserve">ational </w:t>
      </w:r>
      <w:r w:rsidR="00025294" w:rsidRPr="00634E6C">
        <w:rPr>
          <w:rFonts w:ascii="Times New Roman" w:hAnsi="Times New Roman" w:cs="Times New Roman"/>
        </w:rPr>
        <w:t>c</w:t>
      </w:r>
      <w:r w:rsidRPr="00634E6C">
        <w:rPr>
          <w:rFonts w:ascii="Times New Roman" w:hAnsi="Times New Roman" w:cs="Times New Roman"/>
        </w:rPr>
        <w:t xml:space="preserve">ulture”, </w:t>
      </w:r>
      <w:r w:rsidRPr="00634E6C">
        <w:rPr>
          <w:rFonts w:ascii="Times New Roman" w:hAnsi="Times New Roman" w:cs="Times New Roman"/>
          <w:i/>
          <w:iCs/>
        </w:rPr>
        <w:t>Decision Sciences</w:t>
      </w:r>
      <w:r w:rsidRPr="00634E6C">
        <w:rPr>
          <w:rFonts w:ascii="Times New Roman" w:hAnsi="Times New Roman" w:cs="Times New Roman"/>
        </w:rPr>
        <w:t>, Vol. 46 No. 1, pp. 63–100.</w:t>
      </w:r>
    </w:p>
    <w:p w14:paraId="31291696"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Power, D., Schoenherr, T. and Samson, D. (2010), “The cultural characteristic of individualism/collectivism: A comparative study of implications for investment in operations between emerging Asian and industrialized Western countries”, </w:t>
      </w:r>
      <w:r w:rsidRPr="00634E6C">
        <w:rPr>
          <w:rFonts w:ascii="Times New Roman" w:hAnsi="Times New Roman" w:cs="Times New Roman"/>
          <w:i/>
        </w:rPr>
        <w:t>Journal of Operations Management</w:t>
      </w:r>
      <w:r w:rsidRPr="00634E6C">
        <w:rPr>
          <w:rFonts w:ascii="Times New Roman" w:hAnsi="Times New Roman" w:cs="Times New Roman"/>
        </w:rPr>
        <w:t>, Vol. 28 No. 3, pp. 206–222.</w:t>
      </w:r>
    </w:p>
    <w:p w14:paraId="10544F7D" w14:textId="6912DD38"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Queenan, C.C., Kull, T.J. and Devaraj, S. (2016), “Complements or </w:t>
      </w:r>
      <w:r w:rsidR="00341F41" w:rsidRPr="00634E6C">
        <w:rPr>
          <w:rFonts w:ascii="Times New Roman" w:hAnsi="Times New Roman" w:cs="Times New Roman"/>
        </w:rPr>
        <w:t>s</w:t>
      </w:r>
      <w:r w:rsidR="00DC11B7" w:rsidRPr="00634E6C">
        <w:rPr>
          <w:rFonts w:ascii="Times New Roman" w:hAnsi="Times New Roman" w:cs="Times New Roman"/>
        </w:rPr>
        <w:t>ubstitutes</w:t>
      </w:r>
      <w:r w:rsidRPr="00634E6C">
        <w:rPr>
          <w:rFonts w:ascii="Times New Roman" w:hAnsi="Times New Roman" w:cs="Times New Roman"/>
        </w:rPr>
        <w:t>? Culture–</w:t>
      </w:r>
      <w:r w:rsidR="00341F41" w:rsidRPr="00634E6C">
        <w:rPr>
          <w:rFonts w:ascii="Times New Roman" w:hAnsi="Times New Roman" w:cs="Times New Roman"/>
        </w:rPr>
        <w:t>t</w:t>
      </w:r>
      <w:r w:rsidR="00DC11B7" w:rsidRPr="00634E6C">
        <w:rPr>
          <w:rFonts w:ascii="Times New Roman" w:hAnsi="Times New Roman" w:cs="Times New Roman"/>
        </w:rPr>
        <w:t xml:space="preserve">echnology </w:t>
      </w:r>
      <w:r w:rsidR="004C4AC7" w:rsidRPr="00634E6C">
        <w:rPr>
          <w:rFonts w:ascii="Times New Roman" w:hAnsi="Times New Roman" w:cs="Times New Roman"/>
        </w:rPr>
        <w:t>i</w:t>
      </w:r>
      <w:r w:rsidR="00DC11B7" w:rsidRPr="00634E6C">
        <w:rPr>
          <w:rFonts w:ascii="Times New Roman" w:hAnsi="Times New Roman" w:cs="Times New Roman"/>
        </w:rPr>
        <w:t>nteractions</w:t>
      </w:r>
      <w:r w:rsidRPr="00634E6C">
        <w:rPr>
          <w:rFonts w:ascii="Times New Roman" w:hAnsi="Times New Roman" w:cs="Times New Roman"/>
        </w:rPr>
        <w:t xml:space="preserve"> in </w:t>
      </w:r>
      <w:r w:rsidR="004C4AC7" w:rsidRPr="00634E6C">
        <w:rPr>
          <w:rFonts w:ascii="Times New Roman" w:hAnsi="Times New Roman" w:cs="Times New Roman"/>
        </w:rPr>
        <w:t>h</w:t>
      </w:r>
      <w:r w:rsidR="00DC11B7" w:rsidRPr="00634E6C">
        <w:rPr>
          <w:rFonts w:ascii="Times New Roman" w:hAnsi="Times New Roman" w:cs="Times New Roman"/>
        </w:rPr>
        <w:t>ealthcare</w:t>
      </w:r>
      <w:r w:rsidRPr="00634E6C">
        <w:rPr>
          <w:rFonts w:ascii="Times New Roman" w:hAnsi="Times New Roman" w:cs="Times New Roman"/>
        </w:rPr>
        <w:t xml:space="preserve">”, </w:t>
      </w:r>
      <w:r w:rsidRPr="00634E6C">
        <w:rPr>
          <w:rFonts w:ascii="Times New Roman" w:hAnsi="Times New Roman" w:cs="Times New Roman"/>
          <w:i/>
        </w:rPr>
        <w:t>Decision Sciences</w:t>
      </w:r>
      <w:r w:rsidRPr="00634E6C">
        <w:rPr>
          <w:rFonts w:ascii="Times New Roman" w:hAnsi="Times New Roman" w:cs="Times New Roman"/>
        </w:rPr>
        <w:t>, Vol. 47 No. 5, pp. 851–880.</w:t>
      </w:r>
    </w:p>
    <w:p w14:paraId="0D7A1D78" w14:textId="6EFD0C82"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Ralston, D.A., Holt, D.H., Terpstra, R.H. and Kai-Cheng, Y. (1997), “The </w:t>
      </w:r>
      <w:r w:rsidR="004C4AC7" w:rsidRPr="00634E6C">
        <w:rPr>
          <w:rFonts w:ascii="Times New Roman" w:hAnsi="Times New Roman" w:cs="Times New Roman"/>
        </w:rPr>
        <w:t>i</w:t>
      </w:r>
      <w:r w:rsidR="00DC11B7" w:rsidRPr="00634E6C">
        <w:rPr>
          <w:rFonts w:ascii="Times New Roman" w:hAnsi="Times New Roman" w:cs="Times New Roman"/>
        </w:rPr>
        <w:t>mpact</w:t>
      </w:r>
      <w:r w:rsidRPr="00634E6C">
        <w:rPr>
          <w:rFonts w:ascii="Times New Roman" w:hAnsi="Times New Roman" w:cs="Times New Roman"/>
        </w:rPr>
        <w:t xml:space="preserve"> of </w:t>
      </w:r>
      <w:r w:rsidR="004C4AC7" w:rsidRPr="00634E6C">
        <w:rPr>
          <w:rFonts w:ascii="Times New Roman" w:hAnsi="Times New Roman" w:cs="Times New Roman"/>
        </w:rPr>
        <w:t>n</w:t>
      </w:r>
      <w:r w:rsidR="00DC11B7" w:rsidRPr="00634E6C">
        <w:rPr>
          <w:rFonts w:ascii="Times New Roman" w:hAnsi="Times New Roman" w:cs="Times New Roman"/>
        </w:rPr>
        <w:t xml:space="preserve">ational </w:t>
      </w:r>
      <w:r w:rsidR="004C4AC7" w:rsidRPr="00634E6C">
        <w:rPr>
          <w:rFonts w:ascii="Times New Roman" w:hAnsi="Times New Roman" w:cs="Times New Roman"/>
        </w:rPr>
        <w:t>c</w:t>
      </w:r>
      <w:r w:rsidR="00DC11B7" w:rsidRPr="00634E6C">
        <w:rPr>
          <w:rFonts w:ascii="Times New Roman" w:hAnsi="Times New Roman" w:cs="Times New Roman"/>
        </w:rPr>
        <w:t>ulture</w:t>
      </w:r>
      <w:r w:rsidRPr="00634E6C">
        <w:rPr>
          <w:rFonts w:ascii="Times New Roman" w:hAnsi="Times New Roman" w:cs="Times New Roman"/>
        </w:rPr>
        <w:t xml:space="preserve"> and </w:t>
      </w:r>
      <w:r w:rsidR="004C4AC7" w:rsidRPr="00634E6C">
        <w:rPr>
          <w:rFonts w:ascii="Times New Roman" w:hAnsi="Times New Roman" w:cs="Times New Roman"/>
        </w:rPr>
        <w:t>e</w:t>
      </w:r>
      <w:r w:rsidR="00DC11B7" w:rsidRPr="00634E6C">
        <w:rPr>
          <w:rFonts w:ascii="Times New Roman" w:hAnsi="Times New Roman" w:cs="Times New Roman"/>
        </w:rPr>
        <w:t xml:space="preserve">conomic </w:t>
      </w:r>
      <w:r w:rsidR="004C4AC7" w:rsidRPr="00634E6C">
        <w:rPr>
          <w:rFonts w:ascii="Times New Roman" w:hAnsi="Times New Roman" w:cs="Times New Roman"/>
        </w:rPr>
        <w:t>i</w:t>
      </w:r>
      <w:r w:rsidR="00DC11B7" w:rsidRPr="00634E6C">
        <w:rPr>
          <w:rFonts w:ascii="Times New Roman" w:hAnsi="Times New Roman" w:cs="Times New Roman"/>
        </w:rPr>
        <w:t>deology</w:t>
      </w:r>
      <w:r w:rsidRPr="00634E6C">
        <w:rPr>
          <w:rFonts w:ascii="Times New Roman" w:hAnsi="Times New Roman" w:cs="Times New Roman"/>
        </w:rPr>
        <w:t xml:space="preserve"> on </w:t>
      </w:r>
      <w:r w:rsidR="004C4AC7" w:rsidRPr="00634E6C">
        <w:rPr>
          <w:rFonts w:ascii="Times New Roman" w:hAnsi="Times New Roman" w:cs="Times New Roman"/>
        </w:rPr>
        <w:t>m</w:t>
      </w:r>
      <w:r w:rsidR="00DC11B7" w:rsidRPr="00634E6C">
        <w:rPr>
          <w:rFonts w:ascii="Times New Roman" w:hAnsi="Times New Roman" w:cs="Times New Roman"/>
        </w:rPr>
        <w:t xml:space="preserve">anagerial </w:t>
      </w:r>
      <w:r w:rsidR="004C4AC7" w:rsidRPr="00634E6C">
        <w:rPr>
          <w:rFonts w:ascii="Times New Roman" w:hAnsi="Times New Roman" w:cs="Times New Roman"/>
        </w:rPr>
        <w:t>w</w:t>
      </w:r>
      <w:r w:rsidR="00DC11B7" w:rsidRPr="00634E6C">
        <w:rPr>
          <w:rFonts w:ascii="Times New Roman" w:hAnsi="Times New Roman" w:cs="Times New Roman"/>
        </w:rPr>
        <w:t xml:space="preserve">ork </w:t>
      </w:r>
      <w:r w:rsidR="004C4AC7" w:rsidRPr="00634E6C">
        <w:rPr>
          <w:rFonts w:ascii="Times New Roman" w:hAnsi="Times New Roman" w:cs="Times New Roman"/>
        </w:rPr>
        <w:t>v</w:t>
      </w:r>
      <w:r w:rsidR="00DC11B7" w:rsidRPr="00634E6C">
        <w:rPr>
          <w:rFonts w:ascii="Times New Roman" w:hAnsi="Times New Roman" w:cs="Times New Roman"/>
        </w:rPr>
        <w:t>alues</w:t>
      </w:r>
      <w:r w:rsidRPr="00634E6C">
        <w:rPr>
          <w:rFonts w:ascii="Times New Roman" w:hAnsi="Times New Roman" w:cs="Times New Roman"/>
        </w:rPr>
        <w:t xml:space="preserve">: A </w:t>
      </w:r>
      <w:r w:rsidR="004C4AC7" w:rsidRPr="00634E6C">
        <w:rPr>
          <w:rFonts w:ascii="Times New Roman" w:hAnsi="Times New Roman" w:cs="Times New Roman"/>
        </w:rPr>
        <w:t>s</w:t>
      </w:r>
      <w:r w:rsidR="00DC11B7" w:rsidRPr="00634E6C">
        <w:rPr>
          <w:rFonts w:ascii="Times New Roman" w:hAnsi="Times New Roman" w:cs="Times New Roman"/>
        </w:rPr>
        <w:t>tudy</w:t>
      </w:r>
      <w:r w:rsidRPr="00634E6C">
        <w:rPr>
          <w:rFonts w:ascii="Times New Roman" w:hAnsi="Times New Roman" w:cs="Times New Roman"/>
        </w:rPr>
        <w:t xml:space="preserve"> of the United States, Russia, Japan, and China”, </w:t>
      </w:r>
      <w:r w:rsidRPr="00634E6C">
        <w:rPr>
          <w:rFonts w:ascii="Times New Roman" w:hAnsi="Times New Roman" w:cs="Times New Roman"/>
          <w:i/>
        </w:rPr>
        <w:t>Journal of International Business Studies</w:t>
      </w:r>
      <w:r w:rsidRPr="00634E6C">
        <w:rPr>
          <w:rFonts w:ascii="Times New Roman" w:hAnsi="Times New Roman" w:cs="Times New Roman"/>
        </w:rPr>
        <w:t>, Vol. 28 No. 1, pp. 177–207.</w:t>
      </w:r>
    </w:p>
    <w:p w14:paraId="20C93AC5"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Ritchie, B. and Brindley, C. (2007), “Supply chain risk management and performance: A guiding framework for future development”,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27 No. 3, pp. 303–322.</w:t>
      </w:r>
    </w:p>
    <w:p w14:paraId="62E0578E"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Rungtusanatham, M., Forza, C., Koka, B.R., Salvador, F. and Nie, W. (2005), “TQM across multiple countries: Convergence Hypothesis versus National Specificity arguments”, </w:t>
      </w:r>
      <w:r w:rsidRPr="00634E6C">
        <w:rPr>
          <w:rFonts w:ascii="Times New Roman" w:hAnsi="Times New Roman" w:cs="Times New Roman"/>
          <w:i/>
        </w:rPr>
        <w:t>Journal of Operations Management</w:t>
      </w:r>
      <w:r w:rsidRPr="00634E6C">
        <w:rPr>
          <w:rFonts w:ascii="Times New Roman" w:hAnsi="Times New Roman" w:cs="Times New Roman"/>
        </w:rPr>
        <w:t>, Vol. 23 No. 1, pp. 43–63.</w:t>
      </w:r>
    </w:p>
    <w:p w14:paraId="538BC112"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Schmenner, R.W. and Vastag, G. (2006), “Revisiting the theory of production competence: Extensions and cross-validations”, </w:t>
      </w:r>
      <w:r w:rsidRPr="00634E6C">
        <w:rPr>
          <w:rFonts w:ascii="Times New Roman" w:hAnsi="Times New Roman" w:cs="Times New Roman"/>
          <w:i/>
        </w:rPr>
        <w:t>Journal of Operations Management</w:t>
      </w:r>
      <w:r w:rsidRPr="00634E6C">
        <w:rPr>
          <w:rFonts w:ascii="Times New Roman" w:hAnsi="Times New Roman" w:cs="Times New Roman"/>
        </w:rPr>
        <w:t>, Vol. 24 No. 6, pp. 893–909.</w:t>
      </w:r>
    </w:p>
    <w:p w14:paraId="337AAB41"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Schoenherr, T., Rao Tummala, V.M. and Harrison, T.P. (2008), “Assessing supply chain risks with the analytic hierarchy process: Providing decision support for the offshoring decision by a US manufacturing company”, </w:t>
      </w:r>
      <w:r w:rsidRPr="00634E6C">
        <w:rPr>
          <w:rFonts w:ascii="Times New Roman" w:hAnsi="Times New Roman" w:cs="Times New Roman"/>
          <w:i/>
        </w:rPr>
        <w:t>Journal of Purchasing and Supply Management</w:t>
      </w:r>
      <w:r w:rsidRPr="00634E6C">
        <w:rPr>
          <w:rFonts w:ascii="Times New Roman" w:hAnsi="Times New Roman" w:cs="Times New Roman"/>
        </w:rPr>
        <w:t>, Vol. 14 No. 2, pp. 100–111.</w:t>
      </w:r>
    </w:p>
    <w:p w14:paraId="04089CAE"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Scholten, K. and Schilder, S. (2015), “The role of collaboration in supply chain resilience”, </w:t>
      </w:r>
      <w:r w:rsidRPr="00634E6C">
        <w:rPr>
          <w:rFonts w:ascii="Times New Roman" w:hAnsi="Times New Roman" w:cs="Times New Roman"/>
          <w:i/>
        </w:rPr>
        <w:t>Supply Chain Management: An International Journal</w:t>
      </w:r>
      <w:r w:rsidRPr="00634E6C">
        <w:rPr>
          <w:rFonts w:ascii="Times New Roman" w:hAnsi="Times New Roman" w:cs="Times New Roman"/>
        </w:rPr>
        <w:t>, Vol. 20 No. 4, pp. 471–484.</w:t>
      </w:r>
    </w:p>
    <w:p w14:paraId="596F7E4D" w14:textId="30C12D62"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Schwartz, S.H. (1992), “Universals in the </w:t>
      </w:r>
      <w:r w:rsidR="004C4AC7" w:rsidRPr="00634E6C">
        <w:rPr>
          <w:rFonts w:ascii="Times New Roman" w:hAnsi="Times New Roman" w:cs="Times New Roman"/>
        </w:rPr>
        <w:t>c</w:t>
      </w:r>
      <w:r w:rsidR="00DC11B7" w:rsidRPr="00634E6C">
        <w:rPr>
          <w:rFonts w:ascii="Times New Roman" w:hAnsi="Times New Roman" w:cs="Times New Roman"/>
        </w:rPr>
        <w:t>ontent</w:t>
      </w:r>
      <w:r w:rsidRPr="00634E6C">
        <w:rPr>
          <w:rFonts w:ascii="Times New Roman" w:hAnsi="Times New Roman" w:cs="Times New Roman"/>
        </w:rPr>
        <w:t xml:space="preserve"> and </w:t>
      </w:r>
      <w:r w:rsidR="004C4AC7" w:rsidRPr="00634E6C">
        <w:rPr>
          <w:rFonts w:ascii="Times New Roman" w:hAnsi="Times New Roman" w:cs="Times New Roman"/>
        </w:rPr>
        <w:t>s</w:t>
      </w:r>
      <w:r w:rsidR="00DC11B7" w:rsidRPr="00634E6C">
        <w:rPr>
          <w:rFonts w:ascii="Times New Roman" w:hAnsi="Times New Roman" w:cs="Times New Roman"/>
        </w:rPr>
        <w:t>tructure</w:t>
      </w:r>
      <w:r w:rsidRPr="00634E6C">
        <w:rPr>
          <w:rFonts w:ascii="Times New Roman" w:hAnsi="Times New Roman" w:cs="Times New Roman"/>
        </w:rPr>
        <w:t xml:space="preserve"> of </w:t>
      </w:r>
      <w:r w:rsidR="004C4AC7" w:rsidRPr="00634E6C">
        <w:rPr>
          <w:rFonts w:ascii="Times New Roman" w:hAnsi="Times New Roman" w:cs="Times New Roman"/>
        </w:rPr>
        <w:t>v</w:t>
      </w:r>
      <w:r w:rsidR="00DC11B7" w:rsidRPr="00634E6C">
        <w:rPr>
          <w:rFonts w:ascii="Times New Roman" w:hAnsi="Times New Roman" w:cs="Times New Roman"/>
        </w:rPr>
        <w:t>alues</w:t>
      </w:r>
      <w:r w:rsidRPr="00634E6C">
        <w:rPr>
          <w:rFonts w:ascii="Times New Roman" w:hAnsi="Times New Roman" w:cs="Times New Roman"/>
        </w:rPr>
        <w:t xml:space="preserve">: Theoretical </w:t>
      </w:r>
      <w:r w:rsidR="004C4AC7" w:rsidRPr="00634E6C">
        <w:rPr>
          <w:rFonts w:ascii="Times New Roman" w:hAnsi="Times New Roman" w:cs="Times New Roman"/>
        </w:rPr>
        <w:t>a</w:t>
      </w:r>
      <w:r w:rsidR="00DC11B7" w:rsidRPr="00634E6C">
        <w:rPr>
          <w:rFonts w:ascii="Times New Roman" w:hAnsi="Times New Roman" w:cs="Times New Roman"/>
        </w:rPr>
        <w:t>dvances</w:t>
      </w:r>
      <w:r w:rsidRPr="00634E6C">
        <w:rPr>
          <w:rFonts w:ascii="Times New Roman" w:hAnsi="Times New Roman" w:cs="Times New Roman"/>
        </w:rPr>
        <w:t xml:space="preserve"> and </w:t>
      </w:r>
      <w:r w:rsidR="004C4AC7" w:rsidRPr="00634E6C">
        <w:rPr>
          <w:rFonts w:ascii="Times New Roman" w:hAnsi="Times New Roman" w:cs="Times New Roman"/>
        </w:rPr>
        <w:t>e</w:t>
      </w:r>
      <w:r w:rsidR="00DC11B7" w:rsidRPr="00634E6C">
        <w:rPr>
          <w:rFonts w:ascii="Times New Roman" w:hAnsi="Times New Roman" w:cs="Times New Roman"/>
        </w:rPr>
        <w:t xml:space="preserve">mpirical </w:t>
      </w:r>
      <w:r w:rsidR="004C4AC7" w:rsidRPr="00634E6C">
        <w:rPr>
          <w:rFonts w:ascii="Times New Roman" w:hAnsi="Times New Roman" w:cs="Times New Roman"/>
        </w:rPr>
        <w:t>t</w:t>
      </w:r>
      <w:r w:rsidR="00DC11B7" w:rsidRPr="00634E6C">
        <w:rPr>
          <w:rFonts w:ascii="Times New Roman" w:hAnsi="Times New Roman" w:cs="Times New Roman"/>
        </w:rPr>
        <w:t>ests</w:t>
      </w:r>
      <w:r w:rsidRPr="00634E6C">
        <w:rPr>
          <w:rFonts w:ascii="Times New Roman" w:hAnsi="Times New Roman" w:cs="Times New Roman"/>
        </w:rPr>
        <w:t xml:space="preserve"> in 20 </w:t>
      </w:r>
      <w:r w:rsidR="004C4AC7" w:rsidRPr="00634E6C">
        <w:rPr>
          <w:rFonts w:ascii="Times New Roman" w:hAnsi="Times New Roman" w:cs="Times New Roman"/>
        </w:rPr>
        <w:t>c</w:t>
      </w:r>
      <w:r w:rsidR="00DC11B7" w:rsidRPr="00634E6C">
        <w:rPr>
          <w:rFonts w:ascii="Times New Roman" w:hAnsi="Times New Roman" w:cs="Times New Roman"/>
        </w:rPr>
        <w:t>ountries</w:t>
      </w:r>
      <w:r w:rsidRPr="00634E6C">
        <w:rPr>
          <w:rFonts w:ascii="Times New Roman" w:hAnsi="Times New Roman" w:cs="Times New Roman"/>
        </w:rPr>
        <w:t xml:space="preserve">”, in Zanna, M.P. (Ed.), </w:t>
      </w:r>
      <w:r w:rsidRPr="00634E6C">
        <w:rPr>
          <w:rFonts w:ascii="Times New Roman" w:hAnsi="Times New Roman" w:cs="Times New Roman"/>
          <w:i/>
        </w:rPr>
        <w:t>Advances in Experimental Social Psychology</w:t>
      </w:r>
      <w:r w:rsidRPr="00634E6C">
        <w:rPr>
          <w:rFonts w:ascii="Times New Roman" w:hAnsi="Times New Roman" w:cs="Times New Roman"/>
        </w:rPr>
        <w:t>, Vol. 25, Academic Press, pp. 1–65.</w:t>
      </w:r>
    </w:p>
    <w:p w14:paraId="254D2791" w14:textId="13226841"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Shenkar, O. and Ronen, S. (1987), “Structure and </w:t>
      </w:r>
      <w:r w:rsidR="004C4AC7" w:rsidRPr="00634E6C">
        <w:rPr>
          <w:rFonts w:ascii="Times New Roman" w:hAnsi="Times New Roman" w:cs="Times New Roman"/>
        </w:rPr>
        <w:t>i</w:t>
      </w:r>
      <w:r w:rsidR="00DC11B7" w:rsidRPr="00634E6C">
        <w:rPr>
          <w:rFonts w:ascii="Times New Roman" w:hAnsi="Times New Roman" w:cs="Times New Roman"/>
        </w:rPr>
        <w:t>mportance</w:t>
      </w:r>
      <w:r w:rsidRPr="00634E6C">
        <w:rPr>
          <w:rFonts w:ascii="Times New Roman" w:hAnsi="Times New Roman" w:cs="Times New Roman"/>
        </w:rPr>
        <w:t xml:space="preserve"> of </w:t>
      </w:r>
      <w:r w:rsidR="004C4AC7" w:rsidRPr="00634E6C">
        <w:rPr>
          <w:rFonts w:ascii="Times New Roman" w:hAnsi="Times New Roman" w:cs="Times New Roman"/>
        </w:rPr>
        <w:t>w</w:t>
      </w:r>
      <w:r w:rsidR="00DC11B7" w:rsidRPr="00634E6C">
        <w:rPr>
          <w:rFonts w:ascii="Times New Roman" w:hAnsi="Times New Roman" w:cs="Times New Roman"/>
        </w:rPr>
        <w:t xml:space="preserve">ork </w:t>
      </w:r>
      <w:r w:rsidR="004C4AC7" w:rsidRPr="00634E6C">
        <w:rPr>
          <w:rFonts w:ascii="Times New Roman" w:hAnsi="Times New Roman" w:cs="Times New Roman"/>
        </w:rPr>
        <w:t>g</w:t>
      </w:r>
      <w:r w:rsidR="00DC11B7" w:rsidRPr="00634E6C">
        <w:rPr>
          <w:rFonts w:ascii="Times New Roman" w:hAnsi="Times New Roman" w:cs="Times New Roman"/>
        </w:rPr>
        <w:t>oals</w:t>
      </w:r>
      <w:r w:rsidRPr="00634E6C">
        <w:rPr>
          <w:rFonts w:ascii="Times New Roman" w:hAnsi="Times New Roman" w:cs="Times New Roman"/>
        </w:rPr>
        <w:t xml:space="preserve"> among </w:t>
      </w:r>
      <w:r w:rsidR="004C4AC7" w:rsidRPr="00634E6C">
        <w:rPr>
          <w:rFonts w:ascii="Times New Roman" w:hAnsi="Times New Roman" w:cs="Times New Roman"/>
        </w:rPr>
        <w:t>m</w:t>
      </w:r>
      <w:r w:rsidR="00DC11B7" w:rsidRPr="00634E6C">
        <w:rPr>
          <w:rFonts w:ascii="Times New Roman" w:hAnsi="Times New Roman" w:cs="Times New Roman"/>
        </w:rPr>
        <w:t>anagers</w:t>
      </w:r>
      <w:r w:rsidRPr="00634E6C">
        <w:rPr>
          <w:rFonts w:ascii="Times New Roman" w:hAnsi="Times New Roman" w:cs="Times New Roman"/>
        </w:rPr>
        <w:t xml:space="preserve"> in the </w:t>
      </w:r>
      <w:r w:rsidR="004C4AC7" w:rsidRPr="00634E6C">
        <w:rPr>
          <w:rFonts w:ascii="Times New Roman" w:hAnsi="Times New Roman" w:cs="Times New Roman"/>
        </w:rPr>
        <w:t>p</w:t>
      </w:r>
      <w:r w:rsidR="00DC11B7" w:rsidRPr="00634E6C">
        <w:rPr>
          <w:rFonts w:ascii="Times New Roman" w:hAnsi="Times New Roman" w:cs="Times New Roman"/>
        </w:rPr>
        <w:t xml:space="preserve">eople’s </w:t>
      </w:r>
      <w:r w:rsidR="004C4AC7" w:rsidRPr="00634E6C">
        <w:rPr>
          <w:rFonts w:ascii="Times New Roman" w:hAnsi="Times New Roman" w:cs="Times New Roman"/>
        </w:rPr>
        <w:t>r</w:t>
      </w:r>
      <w:r w:rsidR="00DC11B7" w:rsidRPr="00634E6C">
        <w:rPr>
          <w:rFonts w:ascii="Times New Roman" w:hAnsi="Times New Roman" w:cs="Times New Roman"/>
        </w:rPr>
        <w:t>epublic</w:t>
      </w:r>
      <w:r w:rsidRPr="00634E6C">
        <w:rPr>
          <w:rFonts w:ascii="Times New Roman" w:hAnsi="Times New Roman" w:cs="Times New Roman"/>
        </w:rPr>
        <w:t xml:space="preserve"> of China”, </w:t>
      </w:r>
      <w:r w:rsidRPr="00634E6C">
        <w:rPr>
          <w:rFonts w:ascii="Times New Roman" w:hAnsi="Times New Roman" w:cs="Times New Roman"/>
          <w:i/>
        </w:rPr>
        <w:t>The Academy of Management Journal</w:t>
      </w:r>
      <w:r w:rsidRPr="00634E6C">
        <w:rPr>
          <w:rFonts w:ascii="Times New Roman" w:hAnsi="Times New Roman" w:cs="Times New Roman"/>
        </w:rPr>
        <w:t>, Vol. 30 No. 3, pp. 564–576.</w:t>
      </w:r>
    </w:p>
    <w:p w14:paraId="1BF3A61E"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Sousa, R. and Voss, C.A. (2008), “Contingency research in operations management practices”, </w:t>
      </w:r>
      <w:r w:rsidRPr="00634E6C">
        <w:rPr>
          <w:rFonts w:ascii="Times New Roman" w:hAnsi="Times New Roman" w:cs="Times New Roman"/>
          <w:i/>
        </w:rPr>
        <w:t>Journal of Operations Management</w:t>
      </w:r>
      <w:r w:rsidRPr="00634E6C">
        <w:rPr>
          <w:rFonts w:ascii="Times New Roman" w:hAnsi="Times New Roman" w:cs="Times New Roman"/>
        </w:rPr>
        <w:t>, Vol. 26 No. 6, pp. 697–713.</w:t>
      </w:r>
    </w:p>
    <w:p w14:paraId="6D388877" w14:textId="4B479ED9"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Sperber, A.D., Devellis, R.F. and Boehlecke, B. (1994), “Cross-</w:t>
      </w:r>
      <w:r w:rsidR="004C4AC7" w:rsidRPr="00634E6C">
        <w:rPr>
          <w:rFonts w:ascii="Times New Roman" w:hAnsi="Times New Roman" w:cs="Times New Roman"/>
        </w:rPr>
        <w:t>c</w:t>
      </w:r>
      <w:r w:rsidR="00DC11B7" w:rsidRPr="00634E6C">
        <w:rPr>
          <w:rFonts w:ascii="Times New Roman" w:hAnsi="Times New Roman" w:cs="Times New Roman"/>
        </w:rPr>
        <w:t xml:space="preserve">ultural </w:t>
      </w:r>
      <w:r w:rsidR="004C4AC7" w:rsidRPr="00634E6C">
        <w:rPr>
          <w:rFonts w:ascii="Times New Roman" w:hAnsi="Times New Roman" w:cs="Times New Roman"/>
        </w:rPr>
        <w:t>t</w:t>
      </w:r>
      <w:r w:rsidR="00DC11B7" w:rsidRPr="00634E6C">
        <w:rPr>
          <w:rFonts w:ascii="Times New Roman" w:hAnsi="Times New Roman" w:cs="Times New Roman"/>
        </w:rPr>
        <w:t xml:space="preserve">ranslation </w:t>
      </w:r>
      <w:r w:rsidR="004C4AC7" w:rsidRPr="00634E6C">
        <w:rPr>
          <w:rFonts w:ascii="Times New Roman" w:hAnsi="Times New Roman" w:cs="Times New Roman"/>
        </w:rPr>
        <w:t>m</w:t>
      </w:r>
      <w:r w:rsidR="00DC11B7" w:rsidRPr="00634E6C">
        <w:rPr>
          <w:rFonts w:ascii="Times New Roman" w:hAnsi="Times New Roman" w:cs="Times New Roman"/>
        </w:rPr>
        <w:t>ethodology</w:t>
      </w:r>
      <w:r w:rsidRPr="00634E6C">
        <w:rPr>
          <w:rFonts w:ascii="Times New Roman" w:hAnsi="Times New Roman" w:cs="Times New Roman"/>
        </w:rPr>
        <w:t xml:space="preserve"> and </w:t>
      </w:r>
      <w:r w:rsidR="004C4AC7" w:rsidRPr="00634E6C">
        <w:rPr>
          <w:rFonts w:ascii="Times New Roman" w:hAnsi="Times New Roman" w:cs="Times New Roman"/>
        </w:rPr>
        <w:t>v</w:t>
      </w:r>
      <w:r w:rsidR="00DC11B7" w:rsidRPr="00634E6C">
        <w:rPr>
          <w:rFonts w:ascii="Times New Roman" w:hAnsi="Times New Roman" w:cs="Times New Roman"/>
        </w:rPr>
        <w:t>alidation</w:t>
      </w:r>
      <w:r w:rsidRPr="00634E6C">
        <w:rPr>
          <w:rFonts w:ascii="Times New Roman" w:hAnsi="Times New Roman" w:cs="Times New Roman"/>
        </w:rPr>
        <w:t xml:space="preserve">”, </w:t>
      </w:r>
      <w:r w:rsidRPr="00634E6C">
        <w:rPr>
          <w:rFonts w:ascii="Times New Roman" w:hAnsi="Times New Roman" w:cs="Times New Roman"/>
          <w:i/>
        </w:rPr>
        <w:t>Journal of Cross-Cultural Psychology</w:t>
      </w:r>
      <w:r w:rsidRPr="00634E6C">
        <w:rPr>
          <w:rFonts w:ascii="Times New Roman" w:hAnsi="Times New Roman" w:cs="Times New Roman"/>
        </w:rPr>
        <w:t>, Vol. 25 No. 4, pp. 501–524.</w:t>
      </w:r>
    </w:p>
    <w:p w14:paraId="2CD82695" w14:textId="41B3F082"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Talluri, S</w:t>
      </w:r>
      <w:r w:rsidR="00DC11B7" w:rsidRPr="00634E6C">
        <w:rPr>
          <w:rFonts w:ascii="Times New Roman" w:hAnsi="Times New Roman" w:cs="Times New Roman"/>
        </w:rPr>
        <w:t>.,</w:t>
      </w:r>
      <w:r w:rsidRPr="00634E6C">
        <w:rPr>
          <w:rFonts w:ascii="Times New Roman" w:hAnsi="Times New Roman" w:cs="Times New Roman"/>
        </w:rPr>
        <w:t xml:space="preserve"> Kull, T.J., Yildiz, H. and Yoon, J. (2013), “Assessing the </w:t>
      </w:r>
      <w:r w:rsidR="004C4AC7" w:rsidRPr="00634E6C">
        <w:rPr>
          <w:rFonts w:ascii="Times New Roman" w:hAnsi="Times New Roman" w:cs="Times New Roman"/>
        </w:rPr>
        <w:t>e</w:t>
      </w:r>
      <w:r w:rsidR="00DC11B7" w:rsidRPr="00634E6C">
        <w:rPr>
          <w:rFonts w:ascii="Times New Roman" w:hAnsi="Times New Roman" w:cs="Times New Roman"/>
        </w:rPr>
        <w:t>fficiency</w:t>
      </w:r>
      <w:r w:rsidRPr="00634E6C">
        <w:rPr>
          <w:rFonts w:ascii="Times New Roman" w:hAnsi="Times New Roman" w:cs="Times New Roman"/>
        </w:rPr>
        <w:t xml:space="preserve"> of </w:t>
      </w:r>
      <w:r w:rsidR="004C4AC7" w:rsidRPr="00634E6C">
        <w:rPr>
          <w:rFonts w:ascii="Times New Roman" w:hAnsi="Times New Roman" w:cs="Times New Roman"/>
        </w:rPr>
        <w:t>r</w:t>
      </w:r>
      <w:r w:rsidR="00DC11B7" w:rsidRPr="00634E6C">
        <w:rPr>
          <w:rFonts w:ascii="Times New Roman" w:hAnsi="Times New Roman" w:cs="Times New Roman"/>
        </w:rPr>
        <w:t xml:space="preserve">isk </w:t>
      </w:r>
      <w:r w:rsidR="004C4AC7" w:rsidRPr="00634E6C">
        <w:rPr>
          <w:rFonts w:ascii="Times New Roman" w:hAnsi="Times New Roman" w:cs="Times New Roman"/>
        </w:rPr>
        <w:t>m</w:t>
      </w:r>
      <w:r w:rsidR="00DC11B7" w:rsidRPr="00634E6C">
        <w:rPr>
          <w:rFonts w:ascii="Times New Roman" w:hAnsi="Times New Roman" w:cs="Times New Roman"/>
        </w:rPr>
        <w:t xml:space="preserve">itigation </w:t>
      </w:r>
      <w:r w:rsidR="004C4AC7" w:rsidRPr="00634E6C">
        <w:rPr>
          <w:rFonts w:ascii="Times New Roman" w:hAnsi="Times New Roman" w:cs="Times New Roman"/>
        </w:rPr>
        <w:t>s</w:t>
      </w:r>
      <w:r w:rsidR="00DC11B7" w:rsidRPr="00634E6C">
        <w:rPr>
          <w:rFonts w:ascii="Times New Roman" w:hAnsi="Times New Roman" w:cs="Times New Roman"/>
        </w:rPr>
        <w:t>trategies</w:t>
      </w:r>
      <w:r w:rsidRPr="00634E6C">
        <w:rPr>
          <w:rFonts w:ascii="Times New Roman" w:hAnsi="Times New Roman" w:cs="Times New Roman"/>
        </w:rPr>
        <w:t xml:space="preserve"> in </w:t>
      </w:r>
      <w:r w:rsidR="004C4AC7" w:rsidRPr="00634E6C">
        <w:rPr>
          <w:rFonts w:ascii="Times New Roman" w:hAnsi="Times New Roman" w:cs="Times New Roman"/>
        </w:rPr>
        <w:t>s</w:t>
      </w:r>
      <w:r w:rsidR="00DC11B7" w:rsidRPr="00634E6C">
        <w:rPr>
          <w:rFonts w:ascii="Times New Roman" w:hAnsi="Times New Roman" w:cs="Times New Roman"/>
        </w:rPr>
        <w:t xml:space="preserve">upply </w:t>
      </w:r>
      <w:r w:rsidR="004C4AC7" w:rsidRPr="00634E6C">
        <w:rPr>
          <w:rFonts w:ascii="Times New Roman" w:hAnsi="Times New Roman" w:cs="Times New Roman"/>
        </w:rPr>
        <w:t>c</w:t>
      </w:r>
      <w:r w:rsidR="00DC11B7" w:rsidRPr="00634E6C">
        <w:rPr>
          <w:rFonts w:ascii="Times New Roman" w:hAnsi="Times New Roman" w:cs="Times New Roman"/>
        </w:rPr>
        <w:t>hains</w:t>
      </w:r>
      <w:r w:rsidRPr="00634E6C">
        <w:rPr>
          <w:rFonts w:ascii="Times New Roman" w:hAnsi="Times New Roman" w:cs="Times New Roman"/>
        </w:rPr>
        <w:t xml:space="preserve">”, </w:t>
      </w:r>
      <w:r w:rsidRPr="00634E6C">
        <w:rPr>
          <w:rFonts w:ascii="Times New Roman" w:hAnsi="Times New Roman" w:cs="Times New Roman"/>
          <w:i/>
        </w:rPr>
        <w:t>Journal of Business Logistics</w:t>
      </w:r>
      <w:r w:rsidRPr="00634E6C">
        <w:rPr>
          <w:rFonts w:ascii="Times New Roman" w:hAnsi="Times New Roman" w:cs="Times New Roman"/>
        </w:rPr>
        <w:t>, Vol. 34 No. 4, pp. 253–269.</w:t>
      </w:r>
    </w:p>
    <w:p w14:paraId="7B4CE496"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Taylor, E. and Laurence, F. (2016), “VW reviews supplier strategy after dispute hits production”, </w:t>
      </w:r>
      <w:r w:rsidRPr="00634E6C">
        <w:rPr>
          <w:rFonts w:ascii="Times New Roman" w:hAnsi="Times New Roman" w:cs="Times New Roman"/>
          <w:i/>
        </w:rPr>
        <w:t>Reuters</w:t>
      </w:r>
      <w:r w:rsidRPr="00634E6C">
        <w:rPr>
          <w:rFonts w:ascii="Times New Roman" w:hAnsi="Times New Roman" w:cs="Times New Roman"/>
        </w:rPr>
        <w:t>, available at: http://www.reuters.com/article/us-volkswagen-suppliers-idUSKCN1150OG (accessed 27 October 2016).</w:t>
      </w:r>
    </w:p>
    <w:p w14:paraId="4FEA531D" w14:textId="5078DFA9"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Trompenaars, F., Trompenaars, A. and Fons, T. (1998), </w:t>
      </w:r>
      <w:r w:rsidRPr="00634E6C">
        <w:rPr>
          <w:rFonts w:ascii="Times New Roman" w:hAnsi="Times New Roman" w:cs="Times New Roman"/>
          <w:i/>
        </w:rPr>
        <w:t xml:space="preserve">Riding the </w:t>
      </w:r>
      <w:r w:rsidR="004C4AC7" w:rsidRPr="00634E6C">
        <w:rPr>
          <w:rFonts w:ascii="Times New Roman" w:hAnsi="Times New Roman" w:cs="Times New Roman"/>
          <w:i/>
          <w:iCs/>
        </w:rPr>
        <w:t>w</w:t>
      </w:r>
      <w:r w:rsidR="00DC11B7" w:rsidRPr="00634E6C">
        <w:rPr>
          <w:rFonts w:ascii="Times New Roman" w:hAnsi="Times New Roman" w:cs="Times New Roman"/>
          <w:i/>
          <w:iCs/>
        </w:rPr>
        <w:t>aves</w:t>
      </w:r>
      <w:r w:rsidRPr="00634E6C">
        <w:rPr>
          <w:rFonts w:ascii="Times New Roman" w:hAnsi="Times New Roman" w:cs="Times New Roman"/>
          <w:i/>
        </w:rPr>
        <w:t xml:space="preserve"> of </w:t>
      </w:r>
      <w:r w:rsidR="004C4AC7" w:rsidRPr="00634E6C">
        <w:rPr>
          <w:rFonts w:ascii="Times New Roman" w:hAnsi="Times New Roman" w:cs="Times New Roman"/>
          <w:i/>
          <w:iCs/>
        </w:rPr>
        <w:t>c</w:t>
      </w:r>
      <w:r w:rsidR="00DC11B7" w:rsidRPr="00634E6C">
        <w:rPr>
          <w:rFonts w:ascii="Times New Roman" w:hAnsi="Times New Roman" w:cs="Times New Roman"/>
          <w:i/>
          <w:iCs/>
        </w:rPr>
        <w:t>ulture</w:t>
      </w:r>
      <w:r w:rsidRPr="00634E6C">
        <w:rPr>
          <w:rFonts w:ascii="Times New Roman" w:hAnsi="Times New Roman" w:cs="Times New Roman"/>
          <w:i/>
        </w:rPr>
        <w:t xml:space="preserve">: Understanding </w:t>
      </w:r>
      <w:r w:rsidR="004C4AC7" w:rsidRPr="00634E6C">
        <w:rPr>
          <w:rFonts w:ascii="Times New Roman" w:hAnsi="Times New Roman" w:cs="Times New Roman"/>
          <w:i/>
          <w:iCs/>
        </w:rPr>
        <w:t>d</w:t>
      </w:r>
      <w:r w:rsidR="00DC11B7" w:rsidRPr="00634E6C">
        <w:rPr>
          <w:rFonts w:ascii="Times New Roman" w:hAnsi="Times New Roman" w:cs="Times New Roman"/>
          <w:i/>
          <w:iCs/>
        </w:rPr>
        <w:t>iversity</w:t>
      </w:r>
      <w:r w:rsidRPr="00634E6C">
        <w:rPr>
          <w:rFonts w:ascii="Times New Roman" w:hAnsi="Times New Roman" w:cs="Times New Roman"/>
          <w:i/>
        </w:rPr>
        <w:t xml:space="preserve"> in </w:t>
      </w:r>
      <w:r w:rsidR="004C4AC7" w:rsidRPr="00634E6C">
        <w:rPr>
          <w:rFonts w:ascii="Times New Roman" w:hAnsi="Times New Roman" w:cs="Times New Roman"/>
          <w:i/>
          <w:iCs/>
        </w:rPr>
        <w:t>g</w:t>
      </w:r>
      <w:r w:rsidR="00DC11B7" w:rsidRPr="00634E6C">
        <w:rPr>
          <w:rFonts w:ascii="Times New Roman" w:hAnsi="Times New Roman" w:cs="Times New Roman"/>
          <w:i/>
          <w:iCs/>
        </w:rPr>
        <w:t xml:space="preserve">lobal </w:t>
      </w:r>
      <w:r w:rsidR="004C4AC7" w:rsidRPr="00634E6C">
        <w:rPr>
          <w:rFonts w:ascii="Times New Roman" w:hAnsi="Times New Roman" w:cs="Times New Roman"/>
          <w:i/>
          <w:iCs/>
        </w:rPr>
        <w:t>b</w:t>
      </w:r>
      <w:r w:rsidR="00DC11B7" w:rsidRPr="00634E6C">
        <w:rPr>
          <w:rFonts w:ascii="Times New Roman" w:hAnsi="Times New Roman" w:cs="Times New Roman"/>
          <w:i/>
          <w:iCs/>
        </w:rPr>
        <w:t>usiness</w:t>
      </w:r>
      <w:r w:rsidRPr="00634E6C">
        <w:rPr>
          <w:rFonts w:ascii="Times New Roman" w:hAnsi="Times New Roman" w:cs="Times New Roman"/>
          <w:i/>
        </w:rPr>
        <w:t xml:space="preserve"> 2/E: 2nd Edition: Understanding </w:t>
      </w:r>
      <w:r w:rsidR="004C4AC7" w:rsidRPr="00634E6C">
        <w:rPr>
          <w:rFonts w:ascii="Times New Roman" w:hAnsi="Times New Roman" w:cs="Times New Roman"/>
          <w:i/>
          <w:iCs/>
        </w:rPr>
        <w:t>c</w:t>
      </w:r>
      <w:r w:rsidR="00DC11B7" w:rsidRPr="00634E6C">
        <w:rPr>
          <w:rFonts w:ascii="Times New Roman" w:hAnsi="Times New Roman" w:cs="Times New Roman"/>
          <w:i/>
          <w:iCs/>
        </w:rPr>
        <w:t xml:space="preserve">ultural </w:t>
      </w:r>
      <w:r w:rsidR="004C4AC7" w:rsidRPr="00634E6C">
        <w:rPr>
          <w:rFonts w:ascii="Times New Roman" w:hAnsi="Times New Roman" w:cs="Times New Roman"/>
          <w:i/>
          <w:iCs/>
        </w:rPr>
        <w:t>d</w:t>
      </w:r>
      <w:r w:rsidR="00DC11B7" w:rsidRPr="00634E6C">
        <w:rPr>
          <w:rFonts w:ascii="Times New Roman" w:hAnsi="Times New Roman" w:cs="Times New Roman"/>
          <w:i/>
          <w:iCs/>
        </w:rPr>
        <w:t>iversity</w:t>
      </w:r>
      <w:r w:rsidRPr="00634E6C">
        <w:rPr>
          <w:rFonts w:ascii="Times New Roman" w:hAnsi="Times New Roman" w:cs="Times New Roman"/>
          <w:i/>
        </w:rPr>
        <w:t xml:space="preserve"> in </w:t>
      </w:r>
      <w:r w:rsidR="004C4AC7" w:rsidRPr="00634E6C">
        <w:rPr>
          <w:rFonts w:ascii="Times New Roman" w:hAnsi="Times New Roman" w:cs="Times New Roman"/>
          <w:i/>
          <w:iCs/>
        </w:rPr>
        <w:t>g</w:t>
      </w:r>
      <w:r w:rsidR="00DC11B7" w:rsidRPr="00634E6C">
        <w:rPr>
          <w:rFonts w:ascii="Times New Roman" w:hAnsi="Times New Roman" w:cs="Times New Roman"/>
          <w:i/>
          <w:iCs/>
        </w:rPr>
        <w:t xml:space="preserve">lobal </w:t>
      </w:r>
      <w:r w:rsidR="004C4AC7" w:rsidRPr="00634E6C">
        <w:rPr>
          <w:rFonts w:ascii="Times New Roman" w:hAnsi="Times New Roman" w:cs="Times New Roman"/>
          <w:i/>
          <w:iCs/>
        </w:rPr>
        <w:t>b</w:t>
      </w:r>
      <w:r w:rsidR="00DC11B7" w:rsidRPr="00634E6C">
        <w:rPr>
          <w:rFonts w:ascii="Times New Roman" w:hAnsi="Times New Roman" w:cs="Times New Roman"/>
          <w:i/>
          <w:iCs/>
        </w:rPr>
        <w:t>usiness</w:t>
      </w:r>
      <w:r w:rsidR="00DC11B7" w:rsidRPr="00634E6C">
        <w:rPr>
          <w:rFonts w:ascii="Times New Roman" w:hAnsi="Times New Roman" w:cs="Times New Roman"/>
        </w:rPr>
        <w:t>, 2nd</w:t>
      </w:r>
      <w:r w:rsidRPr="00634E6C">
        <w:rPr>
          <w:rFonts w:ascii="Times New Roman" w:hAnsi="Times New Roman" w:cs="Times New Roman"/>
        </w:rPr>
        <w:t xml:space="preserve"> ed., Irwin/Mcgraw Hill, New York.</w:t>
      </w:r>
    </w:p>
    <w:p w14:paraId="6B836CDA"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Tummala, A. and Schoenherr, T. (2011), “Assessing and managing risks using the Supply Chain Risk Management Process (SCRMP).”, </w:t>
      </w:r>
      <w:r w:rsidRPr="00634E6C">
        <w:rPr>
          <w:rFonts w:ascii="Times New Roman" w:hAnsi="Times New Roman" w:cs="Times New Roman"/>
          <w:i/>
        </w:rPr>
        <w:t>Supply Chain Management: An International Journal,</w:t>
      </w:r>
      <w:r w:rsidRPr="00634E6C">
        <w:rPr>
          <w:rFonts w:ascii="Times New Roman" w:hAnsi="Times New Roman" w:cs="Times New Roman"/>
        </w:rPr>
        <w:t xml:space="preserve"> Vol. 16 No. 6, pp. 474–483.</w:t>
      </w:r>
    </w:p>
    <w:p w14:paraId="2BF3E7EC"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Von Glinow, M.A., Drost, E.A. and Teagarden, M.B. (2002), “Converging on IHRM best practices: lessons learned from a globally distributed consortium on theory and practice”, </w:t>
      </w:r>
      <w:r w:rsidRPr="00634E6C">
        <w:rPr>
          <w:rFonts w:ascii="Times New Roman" w:hAnsi="Times New Roman" w:cs="Times New Roman"/>
          <w:i/>
        </w:rPr>
        <w:t>Human Resource Management</w:t>
      </w:r>
      <w:r w:rsidRPr="00634E6C">
        <w:rPr>
          <w:rFonts w:ascii="Times New Roman" w:hAnsi="Times New Roman" w:cs="Times New Roman"/>
        </w:rPr>
        <w:t>, Vol. 41 No. 1, pp. 123–140.</w:t>
      </w:r>
    </w:p>
    <w:p w14:paraId="471524F9"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lastRenderedPageBreak/>
        <w:t xml:space="preserve">Whybark, D.C. (1997), “GMRG survey research in operations management”,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17 No. 7, pp. 686–696.</w:t>
      </w:r>
    </w:p>
    <w:p w14:paraId="11382EF0"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Wieland, A. and Wallenburg, C.M. (2013), “The influence of relational competencies on supply chain resilience: A relational view”, </w:t>
      </w:r>
      <w:r w:rsidRPr="00634E6C">
        <w:rPr>
          <w:rFonts w:ascii="Times New Roman" w:hAnsi="Times New Roman" w:cs="Times New Roman"/>
          <w:i/>
        </w:rPr>
        <w:t>International Journal of Physical Distribution &amp; Logistics Management</w:t>
      </w:r>
      <w:r w:rsidRPr="00634E6C">
        <w:rPr>
          <w:rFonts w:ascii="Times New Roman" w:hAnsi="Times New Roman" w:cs="Times New Roman"/>
        </w:rPr>
        <w:t>, Vol. 43 No. 4, pp. 300–320.</w:t>
      </w:r>
    </w:p>
    <w:p w14:paraId="336D75CB" w14:textId="4829364D"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Wiengarten, F., Bhakoo, V. and Gimenez, C. (</w:t>
      </w:r>
      <w:r w:rsidR="00DC11B7" w:rsidRPr="00634E6C">
        <w:rPr>
          <w:rFonts w:ascii="Times New Roman" w:hAnsi="Times New Roman" w:cs="Times New Roman"/>
        </w:rPr>
        <w:t>2015</w:t>
      </w:r>
      <w:r w:rsidR="00616960" w:rsidRPr="00634E6C">
        <w:rPr>
          <w:rFonts w:ascii="Times New Roman" w:hAnsi="Times New Roman" w:cs="Times New Roman"/>
        </w:rPr>
        <w:t>a</w:t>
      </w:r>
      <w:r w:rsidRPr="00634E6C">
        <w:rPr>
          <w:rFonts w:ascii="Times New Roman" w:hAnsi="Times New Roman" w:cs="Times New Roman"/>
        </w:rPr>
        <w:t xml:space="preserve">), “The impact of host country regulatory quality on the value creation process in e-business supply chains”, </w:t>
      </w:r>
      <w:r w:rsidRPr="00634E6C">
        <w:rPr>
          <w:rFonts w:ascii="Times New Roman" w:hAnsi="Times New Roman" w:cs="Times New Roman"/>
          <w:i/>
        </w:rPr>
        <w:t>International Journal of Production Research</w:t>
      </w:r>
      <w:r w:rsidRPr="00634E6C">
        <w:rPr>
          <w:rFonts w:ascii="Times New Roman" w:hAnsi="Times New Roman" w:cs="Times New Roman"/>
        </w:rPr>
        <w:t>, Vol. 53 No. 16, pp. 4963–4978.</w:t>
      </w:r>
    </w:p>
    <w:p w14:paraId="094CC6F7"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Wiengarten, F., Fynes, B., Pagell, M. and Búrca, S. de. (2011), “Exploring the impact of national culture on investments in manufacturing practices and performance: An empirical multi</w:t>
      </w:r>
      <w:r w:rsidRPr="00634E6C">
        <w:rPr>
          <w:rFonts w:ascii="American Typewriter Light" w:hAnsi="American Typewriter Light" w:cs="American Typewriter Light"/>
        </w:rPr>
        <w:t>‐</w:t>
      </w:r>
      <w:r w:rsidRPr="00634E6C">
        <w:rPr>
          <w:rFonts w:ascii="Times New Roman" w:hAnsi="Times New Roman" w:cs="Times New Roman"/>
        </w:rPr>
        <w:t xml:space="preserve">country study”,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31 No. 5, pp. 554–578.</w:t>
      </w:r>
    </w:p>
    <w:p w14:paraId="61799984" w14:textId="701514FE"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Wiengarten, F., Gimenez, C., Fynes, B. and Ferdows, K. (</w:t>
      </w:r>
      <w:r w:rsidR="00DC11B7" w:rsidRPr="00634E6C">
        <w:rPr>
          <w:rFonts w:ascii="Times New Roman" w:hAnsi="Times New Roman" w:cs="Times New Roman"/>
        </w:rPr>
        <w:t>2015</w:t>
      </w:r>
      <w:r w:rsidR="00616960" w:rsidRPr="00634E6C">
        <w:rPr>
          <w:rFonts w:ascii="Times New Roman" w:hAnsi="Times New Roman" w:cs="Times New Roman"/>
        </w:rPr>
        <w:t>b</w:t>
      </w:r>
      <w:r w:rsidRPr="00634E6C">
        <w:rPr>
          <w:rFonts w:ascii="Times New Roman" w:hAnsi="Times New Roman" w:cs="Times New Roman"/>
        </w:rPr>
        <w:t xml:space="preserve">), “Exploring the importance of cultural collectivism on the efficacy of lean practices: Taking an organisational and national perspective”, </w:t>
      </w:r>
      <w:r w:rsidRPr="00634E6C">
        <w:rPr>
          <w:rFonts w:ascii="Times New Roman" w:hAnsi="Times New Roman" w:cs="Times New Roman"/>
          <w:i/>
        </w:rPr>
        <w:t>International Journal of Operations &amp; Production Management</w:t>
      </w:r>
      <w:r w:rsidRPr="00634E6C">
        <w:rPr>
          <w:rFonts w:ascii="Times New Roman" w:hAnsi="Times New Roman" w:cs="Times New Roman"/>
        </w:rPr>
        <w:t>, Vol. 35 No. 3, pp. 370–391.</w:t>
      </w:r>
    </w:p>
    <w:p w14:paraId="1103481B"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Wiengarten, F., Pagell, M., Ahmed, M.U. and Gimenez, C. (2014), “Do a country’s logistical capabilities moderate the external integration performance relationship?”, </w:t>
      </w:r>
      <w:r w:rsidRPr="00634E6C">
        <w:rPr>
          <w:rFonts w:ascii="Times New Roman" w:hAnsi="Times New Roman" w:cs="Times New Roman"/>
          <w:i/>
        </w:rPr>
        <w:t>Journal of Operations Management</w:t>
      </w:r>
      <w:r w:rsidRPr="00634E6C">
        <w:rPr>
          <w:rFonts w:ascii="Times New Roman" w:hAnsi="Times New Roman" w:cs="Times New Roman"/>
        </w:rPr>
        <w:t>, Vol. 32 No. 1–2, pp. 51–63.</w:t>
      </w:r>
    </w:p>
    <w:p w14:paraId="45F1DD8B"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Wiengarten, F., Pagell, M. and Fynes, B. (2013), “The importance of contextual factors in the success of outsourcing contracts in the supply chain environment: the role of risk and complementary practices”, </w:t>
      </w:r>
      <w:r w:rsidRPr="00634E6C">
        <w:rPr>
          <w:rFonts w:ascii="Times New Roman" w:hAnsi="Times New Roman" w:cs="Times New Roman"/>
          <w:i/>
        </w:rPr>
        <w:t>Supply Chain Management: An International Journal</w:t>
      </w:r>
      <w:r w:rsidRPr="00634E6C">
        <w:rPr>
          <w:rFonts w:ascii="Times New Roman" w:hAnsi="Times New Roman" w:cs="Times New Roman"/>
        </w:rPr>
        <w:t>, Vol. 18 No. 6, pp. 630–643.</w:t>
      </w:r>
    </w:p>
    <w:p w14:paraId="6ACCFE00" w14:textId="77777777"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Wu, T., Blackhurst, J. and Chidambaram, V. (2006), “A model for inbound supply risk analysis.”, </w:t>
      </w:r>
      <w:r w:rsidRPr="00634E6C">
        <w:rPr>
          <w:rFonts w:ascii="Times New Roman" w:hAnsi="Times New Roman" w:cs="Times New Roman"/>
          <w:i/>
        </w:rPr>
        <w:t>Computers in Industry</w:t>
      </w:r>
      <w:r w:rsidRPr="00634E6C">
        <w:rPr>
          <w:rFonts w:ascii="Times New Roman" w:hAnsi="Times New Roman" w:cs="Times New Roman"/>
        </w:rPr>
        <w:t>, Vol. 57 No. 4, pp. 350–365.</w:t>
      </w:r>
    </w:p>
    <w:p w14:paraId="55394467" w14:textId="09436D5A" w:rsidR="00AC71FE" w:rsidRPr="00634E6C" w:rsidRDefault="00AC71FE" w:rsidP="00634E6C">
      <w:pPr>
        <w:pStyle w:val="Bibliography"/>
        <w:spacing w:line="360" w:lineRule="auto"/>
        <w:ind w:left="284" w:hanging="284"/>
        <w:jc w:val="both"/>
        <w:rPr>
          <w:rFonts w:ascii="Times New Roman" w:hAnsi="Times New Roman" w:cs="Times New Roman"/>
        </w:rPr>
      </w:pPr>
      <w:r w:rsidRPr="00634E6C">
        <w:rPr>
          <w:rFonts w:ascii="Times New Roman" w:hAnsi="Times New Roman" w:cs="Times New Roman"/>
        </w:rPr>
        <w:t xml:space="preserve">Yang, Z. (Ben), Aydın, G., Babich, V. and Beil, D.R. (2008), “Supply </w:t>
      </w:r>
      <w:r w:rsidR="004C4AC7" w:rsidRPr="00634E6C">
        <w:rPr>
          <w:rFonts w:ascii="Times New Roman" w:hAnsi="Times New Roman" w:cs="Times New Roman"/>
        </w:rPr>
        <w:t>d</w:t>
      </w:r>
      <w:r w:rsidR="00DC11B7" w:rsidRPr="00634E6C">
        <w:rPr>
          <w:rFonts w:ascii="Times New Roman" w:hAnsi="Times New Roman" w:cs="Times New Roman"/>
        </w:rPr>
        <w:t xml:space="preserve">isruptions, </w:t>
      </w:r>
      <w:r w:rsidR="004C4AC7" w:rsidRPr="00634E6C">
        <w:rPr>
          <w:rFonts w:ascii="Times New Roman" w:hAnsi="Times New Roman" w:cs="Times New Roman"/>
        </w:rPr>
        <w:t>a</w:t>
      </w:r>
      <w:r w:rsidR="00DC11B7" w:rsidRPr="00634E6C">
        <w:rPr>
          <w:rFonts w:ascii="Times New Roman" w:hAnsi="Times New Roman" w:cs="Times New Roman"/>
        </w:rPr>
        <w:t xml:space="preserve">symmetric </w:t>
      </w:r>
      <w:r w:rsidR="004C4AC7" w:rsidRPr="00634E6C">
        <w:rPr>
          <w:rFonts w:ascii="Times New Roman" w:hAnsi="Times New Roman" w:cs="Times New Roman"/>
        </w:rPr>
        <w:t>i</w:t>
      </w:r>
      <w:r w:rsidR="00DC11B7" w:rsidRPr="00634E6C">
        <w:rPr>
          <w:rFonts w:ascii="Times New Roman" w:hAnsi="Times New Roman" w:cs="Times New Roman"/>
        </w:rPr>
        <w:t>nformation</w:t>
      </w:r>
      <w:r w:rsidRPr="00634E6C">
        <w:rPr>
          <w:rFonts w:ascii="Times New Roman" w:hAnsi="Times New Roman" w:cs="Times New Roman"/>
        </w:rPr>
        <w:t xml:space="preserve">, and a </w:t>
      </w:r>
      <w:r w:rsidR="004C4AC7" w:rsidRPr="00634E6C">
        <w:rPr>
          <w:rFonts w:ascii="Times New Roman" w:hAnsi="Times New Roman" w:cs="Times New Roman"/>
        </w:rPr>
        <w:t>b</w:t>
      </w:r>
      <w:r w:rsidR="00DC11B7" w:rsidRPr="00634E6C">
        <w:rPr>
          <w:rFonts w:ascii="Times New Roman" w:hAnsi="Times New Roman" w:cs="Times New Roman"/>
        </w:rPr>
        <w:t xml:space="preserve">ackup </w:t>
      </w:r>
      <w:r w:rsidR="004C4AC7" w:rsidRPr="00634E6C">
        <w:rPr>
          <w:rFonts w:ascii="Times New Roman" w:hAnsi="Times New Roman" w:cs="Times New Roman"/>
        </w:rPr>
        <w:t>p</w:t>
      </w:r>
      <w:r w:rsidR="00DC11B7" w:rsidRPr="00634E6C">
        <w:rPr>
          <w:rFonts w:ascii="Times New Roman" w:hAnsi="Times New Roman" w:cs="Times New Roman"/>
        </w:rPr>
        <w:t xml:space="preserve">roduction </w:t>
      </w:r>
      <w:r w:rsidR="004C4AC7" w:rsidRPr="00634E6C">
        <w:rPr>
          <w:rFonts w:ascii="Times New Roman" w:hAnsi="Times New Roman" w:cs="Times New Roman"/>
        </w:rPr>
        <w:t>o</w:t>
      </w:r>
      <w:r w:rsidR="00DC11B7" w:rsidRPr="00634E6C">
        <w:rPr>
          <w:rFonts w:ascii="Times New Roman" w:hAnsi="Times New Roman" w:cs="Times New Roman"/>
        </w:rPr>
        <w:t>ption</w:t>
      </w:r>
      <w:r w:rsidRPr="00634E6C">
        <w:rPr>
          <w:rFonts w:ascii="Times New Roman" w:hAnsi="Times New Roman" w:cs="Times New Roman"/>
        </w:rPr>
        <w:t xml:space="preserve">”, </w:t>
      </w:r>
      <w:r w:rsidRPr="00634E6C">
        <w:rPr>
          <w:rFonts w:ascii="Times New Roman" w:hAnsi="Times New Roman" w:cs="Times New Roman"/>
          <w:i/>
        </w:rPr>
        <w:t>Management Science</w:t>
      </w:r>
      <w:r w:rsidRPr="00634E6C">
        <w:rPr>
          <w:rFonts w:ascii="Times New Roman" w:hAnsi="Times New Roman" w:cs="Times New Roman"/>
        </w:rPr>
        <w:t>, Vol. 55 No. 2, pp. 192–209.</w:t>
      </w:r>
    </w:p>
    <w:p w14:paraId="5EE1E131" w14:textId="67AB406C" w:rsidR="00276A6D" w:rsidRPr="00634E6C" w:rsidRDefault="00276A6D" w:rsidP="00634E6C">
      <w:pPr>
        <w:spacing w:line="360" w:lineRule="auto"/>
        <w:jc w:val="both"/>
        <w:rPr>
          <w:rFonts w:ascii="Times New Roman" w:eastAsia="Times New Roman" w:hAnsi="Times New Roman" w:cs="Times New Roman"/>
          <w:b/>
          <w:bCs/>
          <w:szCs w:val="28"/>
        </w:rPr>
      </w:pPr>
    </w:p>
    <w:p w14:paraId="76B3323A" w14:textId="4B42992C" w:rsidR="00276A6D" w:rsidRDefault="00276A6D" w:rsidP="00276A6D">
      <w:pPr>
        <w:spacing w:line="276" w:lineRule="auto"/>
        <w:jc w:val="both"/>
        <w:rPr>
          <w:rFonts w:ascii="Times New Roman" w:eastAsia="Times New Roman" w:hAnsi="Times New Roman" w:cs="Times New Roman"/>
          <w:sz w:val="17"/>
          <w:szCs w:val="17"/>
        </w:rPr>
      </w:pPr>
    </w:p>
    <w:p w14:paraId="54FB03D3" w14:textId="43AFD4CA" w:rsidR="00BB67FB" w:rsidRDefault="00BB67FB" w:rsidP="00276A6D">
      <w:pPr>
        <w:spacing w:line="276" w:lineRule="auto"/>
        <w:jc w:val="both"/>
        <w:rPr>
          <w:rFonts w:ascii="Times New Roman" w:eastAsia="Times New Roman" w:hAnsi="Times New Roman" w:cs="Times New Roman"/>
          <w:sz w:val="17"/>
          <w:szCs w:val="17"/>
        </w:rPr>
      </w:pPr>
    </w:p>
    <w:p w14:paraId="4B832F36" w14:textId="03581E9D" w:rsidR="00BB67FB" w:rsidRDefault="00BB67FB" w:rsidP="00276A6D">
      <w:pPr>
        <w:spacing w:line="276" w:lineRule="auto"/>
        <w:jc w:val="both"/>
        <w:rPr>
          <w:rFonts w:ascii="Times New Roman" w:eastAsia="Times New Roman" w:hAnsi="Times New Roman" w:cs="Times New Roman"/>
          <w:sz w:val="17"/>
          <w:szCs w:val="17"/>
        </w:rPr>
      </w:pPr>
    </w:p>
    <w:p w14:paraId="669B24B4" w14:textId="4BA018EC" w:rsidR="00BB67FB" w:rsidRDefault="00BB67FB" w:rsidP="00276A6D">
      <w:pPr>
        <w:spacing w:line="276" w:lineRule="auto"/>
        <w:jc w:val="both"/>
        <w:rPr>
          <w:rFonts w:ascii="Times New Roman" w:eastAsia="Times New Roman" w:hAnsi="Times New Roman" w:cs="Times New Roman"/>
          <w:sz w:val="17"/>
          <w:szCs w:val="17"/>
        </w:rPr>
      </w:pPr>
    </w:p>
    <w:p w14:paraId="57E8E36F" w14:textId="468EC3EC" w:rsidR="00BB67FB" w:rsidRDefault="00BB67FB" w:rsidP="00276A6D">
      <w:pPr>
        <w:spacing w:line="276" w:lineRule="auto"/>
        <w:jc w:val="both"/>
        <w:rPr>
          <w:rFonts w:ascii="Times New Roman" w:eastAsia="Times New Roman" w:hAnsi="Times New Roman" w:cs="Times New Roman"/>
          <w:sz w:val="17"/>
          <w:szCs w:val="17"/>
        </w:rPr>
      </w:pPr>
    </w:p>
    <w:p w14:paraId="6DFF0C9F" w14:textId="50E503D5" w:rsidR="00BB67FB" w:rsidRDefault="00BB67FB" w:rsidP="00276A6D">
      <w:pPr>
        <w:spacing w:line="276" w:lineRule="auto"/>
        <w:jc w:val="both"/>
        <w:rPr>
          <w:rFonts w:ascii="Times New Roman" w:eastAsia="Times New Roman" w:hAnsi="Times New Roman" w:cs="Times New Roman"/>
          <w:sz w:val="17"/>
          <w:szCs w:val="17"/>
        </w:rPr>
      </w:pPr>
    </w:p>
    <w:p w14:paraId="7CD0E308" w14:textId="1CA11848" w:rsidR="00BB67FB" w:rsidRDefault="00BB67FB" w:rsidP="00276A6D">
      <w:pPr>
        <w:spacing w:line="276" w:lineRule="auto"/>
        <w:jc w:val="both"/>
        <w:rPr>
          <w:rFonts w:ascii="Times New Roman" w:eastAsia="Times New Roman" w:hAnsi="Times New Roman" w:cs="Times New Roman"/>
          <w:sz w:val="17"/>
          <w:szCs w:val="17"/>
        </w:rPr>
      </w:pPr>
    </w:p>
    <w:p w14:paraId="6B2D364E" w14:textId="4DBE8964" w:rsidR="00BB67FB" w:rsidRDefault="00BB67FB" w:rsidP="00276A6D">
      <w:pPr>
        <w:spacing w:line="276" w:lineRule="auto"/>
        <w:jc w:val="both"/>
        <w:rPr>
          <w:rFonts w:ascii="Times New Roman" w:eastAsia="Times New Roman" w:hAnsi="Times New Roman" w:cs="Times New Roman"/>
          <w:sz w:val="17"/>
          <w:szCs w:val="17"/>
        </w:rPr>
      </w:pPr>
    </w:p>
    <w:p w14:paraId="21A99241" w14:textId="008EBA1D" w:rsidR="00BB67FB" w:rsidRDefault="00BB67FB" w:rsidP="00276A6D">
      <w:pPr>
        <w:spacing w:line="276" w:lineRule="auto"/>
        <w:jc w:val="both"/>
        <w:rPr>
          <w:rFonts w:ascii="Times New Roman" w:eastAsia="Times New Roman" w:hAnsi="Times New Roman" w:cs="Times New Roman"/>
          <w:sz w:val="17"/>
          <w:szCs w:val="17"/>
        </w:rPr>
      </w:pPr>
    </w:p>
    <w:p w14:paraId="7E8687FA" w14:textId="1BC1B8DB" w:rsidR="00BB67FB" w:rsidRDefault="00BB67FB" w:rsidP="00276A6D">
      <w:pPr>
        <w:spacing w:line="276" w:lineRule="auto"/>
        <w:jc w:val="both"/>
        <w:rPr>
          <w:rFonts w:ascii="Times New Roman" w:eastAsia="Times New Roman" w:hAnsi="Times New Roman" w:cs="Times New Roman"/>
          <w:sz w:val="17"/>
          <w:szCs w:val="17"/>
        </w:rPr>
      </w:pPr>
    </w:p>
    <w:p w14:paraId="71DD5B88" w14:textId="29E1997F" w:rsidR="00BB67FB" w:rsidRDefault="00BB67FB" w:rsidP="00276A6D">
      <w:pPr>
        <w:spacing w:line="276" w:lineRule="auto"/>
        <w:jc w:val="both"/>
        <w:rPr>
          <w:rFonts w:ascii="Times New Roman" w:eastAsia="Times New Roman" w:hAnsi="Times New Roman" w:cs="Times New Roman"/>
          <w:sz w:val="17"/>
          <w:szCs w:val="17"/>
        </w:rPr>
      </w:pPr>
    </w:p>
    <w:p w14:paraId="4ECA6B70" w14:textId="316DB02A" w:rsidR="00BB67FB" w:rsidRDefault="00BB67FB" w:rsidP="00276A6D">
      <w:pPr>
        <w:spacing w:line="276" w:lineRule="auto"/>
        <w:jc w:val="both"/>
        <w:rPr>
          <w:rFonts w:ascii="Times New Roman" w:eastAsia="Times New Roman" w:hAnsi="Times New Roman" w:cs="Times New Roman"/>
          <w:sz w:val="17"/>
          <w:szCs w:val="17"/>
        </w:rPr>
      </w:pPr>
    </w:p>
    <w:p w14:paraId="580BF986" w14:textId="74680BC0" w:rsidR="00BB67FB" w:rsidRDefault="00BB67FB" w:rsidP="00276A6D">
      <w:pPr>
        <w:spacing w:line="276" w:lineRule="auto"/>
        <w:jc w:val="both"/>
        <w:rPr>
          <w:rFonts w:ascii="Times New Roman" w:eastAsia="Times New Roman" w:hAnsi="Times New Roman" w:cs="Times New Roman"/>
          <w:sz w:val="17"/>
          <w:szCs w:val="17"/>
        </w:rPr>
      </w:pPr>
    </w:p>
    <w:p w14:paraId="5697CB8C" w14:textId="12358CE8" w:rsidR="00BB67FB" w:rsidRDefault="00BB67FB" w:rsidP="00276A6D">
      <w:pPr>
        <w:spacing w:line="276" w:lineRule="auto"/>
        <w:jc w:val="both"/>
        <w:rPr>
          <w:rFonts w:ascii="Times New Roman" w:eastAsia="Times New Roman" w:hAnsi="Times New Roman" w:cs="Times New Roman"/>
          <w:sz w:val="17"/>
          <w:szCs w:val="17"/>
        </w:rPr>
      </w:pPr>
    </w:p>
    <w:p w14:paraId="2B6B5495" w14:textId="3543587A" w:rsidR="00BB67FB" w:rsidRDefault="00BB67FB" w:rsidP="00276A6D">
      <w:pPr>
        <w:spacing w:line="276" w:lineRule="auto"/>
        <w:jc w:val="both"/>
        <w:rPr>
          <w:rFonts w:ascii="Times New Roman" w:eastAsia="Times New Roman" w:hAnsi="Times New Roman" w:cs="Times New Roman"/>
          <w:sz w:val="17"/>
          <w:szCs w:val="17"/>
        </w:rPr>
      </w:pPr>
    </w:p>
    <w:p w14:paraId="73A60135" w14:textId="34A179CC" w:rsidR="00BB67FB" w:rsidRDefault="00BB67FB" w:rsidP="00276A6D">
      <w:pPr>
        <w:spacing w:line="276" w:lineRule="auto"/>
        <w:jc w:val="both"/>
        <w:rPr>
          <w:rFonts w:ascii="Times New Roman" w:eastAsia="Times New Roman" w:hAnsi="Times New Roman" w:cs="Times New Roman"/>
          <w:sz w:val="17"/>
          <w:szCs w:val="17"/>
        </w:rPr>
      </w:pPr>
    </w:p>
    <w:p w14:paraId="31CA44ED" w14:textId="1F0E7D1A" w:rsidR="00BB67FB" w:rsidRDefault="00BB67FB" w:rsidP="00276A6D">
      <w:pPr>
        <w:spacing w:line="276" w:lineRule="auto"/>
        <w:jc w:val="both"/>
        <w:rPr>
          <w:rFonts w:ascii="Times New Roman" w:eastAsia="Times New Roman" w:hAnsi="Times New Roman" w:cs="Times New Roman"/>
          <w:sz w:val="17"/>
          <w:szCs w:val="17"/>
        </w:rPr>
      </w:pPr>
    </w:p>
    <w:p w14:paraId="09E20CDD" w14:textId="7902C88A" w:rsidR="00BB67FB" w:rsidRDefault="00BB67FB" w:rsidP="00276A6D">
      <w:pPr>
        <w:spacing w:line="276" w:lineRule="auto"/>
        <w:jc w:val="both"/>
        <w:rPr>
          <w:rFonts w:ascii="Times New Roman" w:eastAsia="Times New Roman" w:hAnsi="Times New Roman" w:cs="Times New Roman"/>
          <w:sz w:val="17"/>
          <w:szCs w:val="17"/>
        </w:rPr>
      </w:pPr>
    </w:p>
    <w:p w14:paraId="7AD43F52" w14:textId="383972B0" w:rsidR="00BB67FB" w:rsidRDefault="00BB67FB" w:rsidP="00276A6D">
      <w:pPr>
        <w:spacing w:line="276" w:lineRule="auto"/>
        <w:jc w:val="both"/>
        <w:rPr>
          <w:rFonts w:ascii="Times New Roman" w:eastAsia="Times New Roman" w:hAnsi="Times New Roman" w:cs="Times New Roman"/>
          <w:sz w:val="17"/>
          <w:szCs w:val="17"/>
        </w:rPr>
      </w:pPr>
    </w:p>
    <w:p w14:paraId="0EF188E1" w14:textId="24D1867D" w:rsidR="00BB67FB" w:rsidRDefault="00BB67FB" w:rsidP="00276A6D">
      <w:pPr>
        <w:spacing w:line="276" w:lineRule="auto"/>
        <w:jc w:val="both"/>
        <w:rPr>
          <w:rFonts w:ascii="Times New Roman" w:eastAsia="Times New Roman" w:hAnsi="Times New Roman" w:cs="Times New Roman"/>
          <w:sz w:val="17"/>
          <w:szCs w:val="17"/>
        </w:rPr>
      </w:pPr>
    </w:p>
    <w:p w14:paraId="15212AE7" w14:textId="4B11BD6E" w:rsidR="00BB67FB" w:rsidRDefault="00BB67FB" w:rsidP="00276A6D">
      <w:pPr>
        <w:spacing w:line="276" w:lineRule="auto"/>
        <w:jc w:val="both"/>
        <w:rPr>
          <w:rFonts w:ascii="Times New Roman" w:eastAsia="Times New Roman" w:hAnsi="Times New Roman" w:cs="Times New Roman"/>
          <w:sz w:val="17"/>
          <w:szCs w:val="17"/>
        </w:rPr>
      </w:pPr>
    </w:p>
    <w:p w14:paraId="029CF3DD" w14:textId="2154FB2B" w:rsidR="00BB67FB" w:rsidRDefault="00BB67FB" w:rsidP="00276A6D">
      <w:pPr>
        <w:spacing w:line="276" w:lineRule="auto"/>
        <w:jc w:val="both"/>
        <w:rPr>
          <w:rFonts w:ascii="Times New Roman" w:eastAsia="Times New Roman" w:hAnsi="Times New Roman" w:cs="Times New Roman"/>
          <w:sz w:val="17"/>
          <w:szCs w:val="17"/>
        </w:rPr>
      </w:pPr>
    </w:p>
    <w:p w14:paraId="54345765" w14:textId="63043A50" w:rsidR="00BB67FB" w:rsidRDefault="00BB67FB" w:rsidP="00276A6D">
      <w:pPr>
        <w:spacing w:line="276" w:lineRule="auto"/>
        <w:jc w:val="both"/>
        <w:rPr>
          <w:rFonts w:ascii="Times New Roman" w:eastAsia="Times New Roman" w:hAnsi="Times New Roman" w:cs="Times New Roman"/>
          <w:sz w:val="17"/>
          <w:szCs w:val="17"/>
        </w:rPr>
      </w:pPr>
    </w:p>
    <w:p w14:paraId="343DEC0D" w14:textId="07945047" w:rsidR="00BB67FB" w:rsidRDefault="00BB67FB" w:rsidP="00276A6D">
      <w:pPr>
        <w:spacing w:line="276" w:lineRule="auto"/>
        <w:jc w:val="both"/>
        <w:rPr>
          <w:rFonts w:ascii="Times New Roman" w:eastAsia="Times New Roman" w:hAnsi="Times New Roman" w:cs="Times New Roman"/>
          <w:sz w:val="17"/>
          <w:szCs w:val="17"/>
        </w:rPr>
      </w:pPr>
    </w:p>
    <w:p w14:paraId="5FD85BBA" w14:textId="06A0EAE9" w:rsidR="00BB67FB" w:rsidRDefault="00BB67FB" w:rsidP="00276A6D">
      <w:pPr>
        <w:spacing w:line="276" w:lineRule="auto"/>
        <w:jc w:val="both"/>
        <w:rPr>
          <w:rFonts w:ascii="Times New Roman" w:eastAsia="Times New Roman" w:hAnsi="Times New Roman" w:cs="Times New Roman"/>
          <w:sz w:val="17"/>
          <w:szCs w:val="17"/>
        </w:rPr>
      </w:pPr>
    </w:p>
    <w:p w14:paraId="6660B21A" w14:textId="34E9FAEE" w:rsidR="00BB67FB" w:rsidRDefault="00BB67FB" w:rsidP="00276A6D">
      <w:pPr>
        <w:spacing w:line="276" w:lineRule="auto"/>
        <w:jc w:val="both"/>
        <w:rPr>
          <w:rFonts w:ascii="Times New Roman" w:eastAsia="Times New Roman" w:hAnsi="Times New Roman" w:cs="Times New Roman"/>
          <w:sz w:val="17"/>
          <w:szCs w:val="17"/>
        </w:rPr>
      </w:pPr>
    </w:p>
    <w:p w14:paraId="0F4C3DBA" w14:textId="7FE32D41" w:rsidR="00BB67FB" w:rsidRDefault="00BB67FB" w:rsidP="00276A6D">
      <w:pPr>
        <w:spacing w:line="276" w:lineRule="auto"/>
        <w:jc w:val="both"/>
        <w:rPr>
          <w:rFonts w:ascii="Times New Roman" w:eastAsia="Times New Roman" w:hAnsi="Times New Roman" w:cs="Times New Roman"/>
          <w:sz w:val="17"/>
          <w:szCs w:val="17"/>
        </w:rPr>
      </w:pPr>
    </w:p>
    <w:p w14:paraId="357DC331" w14:textId="77777777" w:rsidR="00BB67FB" w:rsidRPr="001B0E22" w:rsidRDefault="00BB67FB" w:rsidP="00BB67FB">
      <w:pPr>
        <w:rPr>
          <w:b/>
          <w:i/>
        </w:rPr>
      </w:pPr>
      <w:r w:rsidRPr="006223D3">
        <w:rPr>
          <w:b/>
        </w:rPr>
        <w:t>Table 1a</w:t>
      </w:r>
      <w:r>
        <w:rPr>
          <w:b/>
        </w:rPr>
        <w:t>:</w:t>
      </w:r>
      <w:r w:rsidRPr="001B0E22">
        <w:rPr>
          <w:i/>
        </w:rPr>
        <w:t xml:space="preserve"> </w:t>
      </w:r>
      <w:r w:rsidRPr="001B0E22">
        <w:t>Company sample descriptive</w:t>
      </w:r>
      <w:r>
        <w:t xml:space="preserve"> – origin, size</w:t>
      </w:r>
    </w:p>
    <w:tbl>
      <w:tblPr>
        <w:tblStyle w:val="TableGrid"/>
        <w:tblW w:w="7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809"/>
        <w:gridCol w:w="1687"/>
        <w:gridCol w:w="1874"/>
        <w:gridCol w:w="1676"/>
      </w:tblGrid>
      <w:tr w:rsidR="00BB67FB" w:rsidRPr="00AF264D" w14:paraId="615D531E" w14:textId="77777777" w:rsidTr="00144929">
        <w:trPr>
          <w:trHeight w:val="289"/>
          <w:jc w:val="center"/>
        </w:trPr>
        <w:tc>
          <w:tcPr>
            <w:tcW w:w="1809" w:type="dxa"/>
            <w:tcBorders>
              <w:top w:val="single" w:sz="8" w:space="0" w:color="auto"/>
              <w:bottom w:val="single" w:sz="8" w:space="0" w:color="auto"/>
            </w:tcBorders>
            <w:vAlign w:val="bottom"/>
            <w:hideMark/>
          </w:tcPr>
          <w:p w14:paraId="34B5EDBE" w14:textId="77777777" w:rsidR="00BB67FB" w:rsidRPr="00AF264D" w:rsidRDefault="00BB67FB" w:rsidP="00144929">
            <w:pPr>
              <w:rPr>
                <w:rFonts w:ascii="Times New Roman" w:hAnsi="Times New Roman"/>
                <w:sz w:val="20"/>
                <w:szCs w:val="20"/>
              </w:rPr>
            </w:pPr>
            <w:r w:rsidRPr="00AF264D">
              <w:rPr>
                <w:rFonts w:ascii="Times New Roman" w:hAnsi="Times New Roman"/>
                <w:b/>
                <w:bCs/>
                <w:sz w:val="20"/>
                <w:szCs w:val="20"/>
              </w:rPr>
              <w:t>Country</w:t>
            </w:r>
          </w:p>
        </w:tc>
        <w:tc>
          <w:tcPr>
            <w:tcW w:w="1687" w:type="dxa"/>
            <w:tcBorders>
              <w:top w:val="single" w:sz="8" w:space="0" w:color="auto"/>
              <w:bottom w:val="single" w:sz="8" w:space="0" w:color="auto"/>
            </w:tcBorders>
            <w:vAlign w:val="bottom"/>
            <w:hideMark/>
          </w:tcPr>
          <w:p w14:paraId="426E5BAE" w14:textId="77777777" w:rsidR="00BB67FB" w:rsidRPr="00AF264D" w:rsidRDefault="00BB67FB" w:rsidP="00144929">
            <w:pPr>
              <w:rPr>
                <w:rFonts w:ascii="Times New Roman" w:hAnsi="Times New Roman"/>
                <w:sz w:val="20"/>
                <w:szCs w:val="20"/>
              </w:rPr>
            </w:pPr>
            <w:r w:rsidRPr="00AF264D">
              <w:rPr>
                <w:rFonts w:ascii="Times New Roman" w:hAnsi="Times New Roman"/>
                <w:b/>
                <w:bCs/>
                <w:sz w:val="20"/>
                <w:szCs w:val="20"/>
              </w:rPr>
              <w:t>Sample size</w:t>
            </w:r>
          </w:p>
        </w:tc>
        <w:tc>
          <w:tcPr>
            <w:tcW w:w="1874" w:type="dxa"/>
            <w:tcBorders>
              <w:top w:val="single" w:sz="8" w:space="0" w:color="auto"/>
              <w:bottom w:val="single" w:sz="8" w:space="0" w:color="auto"/>
            </w:tcBorders>
            <w:vAlign w:val="bottom"/>
          </w:tcPr>
          <w:p w14:paraId="1EBFEAE5" w14:textId="77777777" w:rsidR="00BB67FB" w:rsidRPr="00AF264D" w:rsidRDefault="00BB67FB" w:rsidP="00144929">
            <w:pPr>
              <w:rPr>
                <w:rFonts w:ascii="Times New Roman" w:hAnsi="Times New Roman"/>
                <w:b/>
                <w:bCs/>
                <w:sz w:val="20"/>
                <w:szCs w:val="20"/>
              </w:rPr>
            </w:pPr>
            <w:r w:rsidRPr="00AF264D">
              <w:rPr>
                <w:rFonts w:ascii="Times New Roman" w:hAnsi="Times New Roman"/>
                <w:b/>
                <w:bCs/>
                <w:sz w:val="20"/>
                <w:szCs w:val="20"/>
              </w:rPr>
              <w:t>Number of employees</w:t>
            </w:r>
          </w:p>
        </w:tc>
        <w:tc>
          <w:tcPr>
            <w:tcW w:w="1676" w:type="dxa"/>
            <w:tcBorders>
              <w:top w:val="single" w:sz="8" w:space="0" w:color="auto"/>
              <w:bottom w:val="single" w:sz="8" w:space="0" w:color="auto"/>
            </w:tcBorders>
            <w:vAlign w:val="bottom"/>
          </w:tcPr>
          <w:p w14:paraId="43A30E03" w14:textId="77777777" w:rsidR="00BB67FB" w:rsidRPr="00AF264D" w:rsidRDefault="00BB67FB" w:rsidP="00144929">
            <w:pPr>
              <w:rPr>
                <w:rFonts w:ascii="Times New Roman" w:hAnsi="Times New Roman"/>
                <w:b/>
                <w:bCs/>
                <w:sz w:val="20"/>
                <w:szCs w:val="20"/>
              </w:rPr>
            </w:pPr>
            <w:r w:rsidRPr="00AF264D">
              <w:rPr>
                <w:rFonts w:ascii="Times New Roman" w:hAnsi="Times New Roman"/>
                <w:b/>
                <w:bCs/>
                <w:sz w:val="20"/>
                <w:szCs w:val="20"/>
              </w:rPr>
              <w:t>N</w:t>
            </w:r>
          </w:p>
        </w:tc>
      </w:tr>
      <w:tr w:rsidR="00BB67FB" w:rsidRPr="00AF264D" w14:paraId="14F22E16" w14:textId="77777777" w:rsidTr="00144929">
        <w:trPr>
          <w:trHeight w:val="20"/>
          <w:jc w:val="center"/>
        </w:trPr>
        <w:tc>
          <w:tcPr>
            <w:tcW w:w="1809" w:type="dxa"/>
            <w:tcBorders>
              <w:top w:val="single" w:sz="8" w:space="0" w:color="auto"/>
            </w:tcBorders>
            <w:hideMark/>
          </w:tcPr>
          <w:p w14:paraId="544A916B"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Australia</w:t>
            </w:r>
          </w:p>
        </w:tc>
        <w:tc>
          <w:tcPr>
            <w:tcW w:w="1687" w:type="dxa"/>
            <w:tcBorders>
              <w:top w:val="single" w:sz="8" w:space="0" w:color="auto"/>
            </w:tcBorders>
            <w:shd w:val="clear" w:color="auto" w:fill="auto"/>
            <w:hideMark/>
          </w:tcPr>
          <w:p w14:paraId="4BB9A8D0"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24</w:t>
            </w:r>
          </w:p>
        </w:tc>
        <w:tc>
          <w:tcPr>
            <w:tcW w:w="1874" w:type="dxa"/>
            <w:tcBorders>
              <w:top w:val="single" w:sz="8" w:space="0" w:color="auto"/>
            </w:tcBorders>
            <w:vAlign w:val="center"/>
          </w:tcPr>
          <w:p w14:paraId="2C8DFF77" w14:textId="77777777" w:rsidR="00BB67FB" w:rsidRPr="00AF264D" w:rsidRDefault="00BB67FB" w:rsidP="00144929">
            <w:pPr>
              <w:rPr>
                <w:rFonts w:ascii="Times New Roman" w:hAnsi="Times New Roman"/>
                <w:sz w:val="20"/>
                <w:szCs w:val="20"/>
              </w:rPr>
            </w:pPr>
            <w:r w:rsidRPr="00AF264D">
              <w:rPr>
                <w:rFonts w:ascii="Times New Roman" w:eastAsia="Times New Roman" w:hAnsi="Times New Roman"/>
                <w:color w:val="000000"/>
                <w:sz w:val="20"/>
                <w:szCs w:val="20"/>
              </w:rPr>
              <w:t>≤ 10</w:t>
            </w:r>
          </w:p>
        </w:tc>
        <w:tc>
          <w:tcPr>
            <w:tcW w:w="1676" w:type="dxa"/>
            <w:tcBorders>
              <w:top w:val="single" w:sz="8" w:space="0" w:color="auto"/>
            </w:tcBorders>
          </w:tcPr>
          <w:p w14:paraId="5E8E5225"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34</w:t>
            </w:r>
          </w:p>
        </w:tc>
      </w:tr>
      <w:tr w:rsidR="00BB67FB" w:rsidRPr="00AF264D" w14:paraId="00D66C29" w14:textId="77777777" w:rsidTr="00144929">
        <w:trPr>
          <w:trHeight w:val="20"/>
          <w:jc w:val="center"/>
        </w:trPr>
        <w:tc>
          <w:tcPr>
            <w:tcW w:w="1809" w:type="dxa"/>
            <w:hideMark/>
          </w:tcPr>
          <w:p w14:paraId="29DEB0E6"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Croatia</w:t>
            </w:r>
          </w:p>
        </w:tc>
        <w:tc>
          <w:tcPr>
            <w:tcW w:w="1687" w:type="dxa"/>
            <w:shd w:val="clear" w:color="auto" w:fill="auto"/>
            <w:hideMark/>
          </w:tcPr>
          <w:p w14:paraId="5F353627"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93</w:t>
            </w:r>
          </w:p>
        </w:tc>
        <w:tc>
          <w:tcPr>
            <w:tcW w:w="1874" w:type="dxa"/>
            <w:vAlign w:val="center"/>
          </w:tcPr>
          <w:p w14:paraId="176B64C4" w14:textId="77777777" w:rsidR="00BB67FB" w:rsidRPr="00AF264D" w:rsidRDefault="00BB67FB" w:rsidP="00144929">
            <w:pPr>
              <w:rPr>
                <w:rFonts w:ascii="Times New Roman" w:hAnsi="Times New Roman"/>
                <w:sz w:val="20"/>
                <w:szCs w:val="20"/>
              </w:rPr>
            </w:pPr>
            <w:r w:rsidRPr="00AF264D">
              <w:rPr>
                <w:rFonts w:ascii="Times New Roman" w:eastAsia="Times New Roman" w:hAnsi="Times New Roman"/>
                <w:color w:val="000000"/>
                <w:sz w:val="20"/>
                <w:szCs w:val="20"/>
              </w:rPr>
              <w:t>11 - 50</w:t>
            </w:r>
          </w:p>
        </w:tc>
        <w:tc>
          <w:tcPr>
            <w:tcW w:w="1676" w:type="dxa"/>
          </w:tcPr>
          <w:p w14:paraId="0E056A94"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137</w:t>
            </w:r>
          </w:p>
        </w:tc>
      </w:tr>
      <w:tr w:rsidR="00BB67FB" w:rsidRPr="00AF264D" w14:paraId="5679C08A" w14:textId="77777777" w:rsidTr="00144929">
        <w:trPr>
          <w:trHeight w:val="20"/>
          <w:jc w:val="center"/>
        </w:trPr>
        <w:tc>
          <w:tcPr>
            <w:tcW w:w="1809" w:type="dxa"/>
            <w:hideMark/>
          </w:tcPr>
          <w:p w14:paraId="3D0023CE"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China</w:t>
            </w:r>
          </w:p>
        </w:tc>
        <w:tc>
          <w:tcPr>
            <w:tcW w:w="1687" w:type="dxa"/>
            <w:shd w:val="clear" w:color="auto" w:fill="auto"/>
            <w:hideMark/>
          </w:tcPr>
          <w:p w14:paraId="496A778B"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77</w:t>
            </w:r>
          </w:p>
        </w:tc>
        <w:tc>
          <w:tcPr>
            <w:tcW w:w="1874" w:type="dxa"/>
            <w:vAlign w:val="center"/>
          </w:tcPr>
          <w:p w14:paraId="1478EF68" w14:textId="77777777" w:rsidR="00BB67FB" w:rsidRPr="00AF264D" w:rsidRDefault="00BB67FB" w:rsidP="00144929">
            <w:pPr>
              <w:rPr>
                <w:rFonts w:ascii="Times New Roman" w:hAnsi="Times New Roman"/>
                <w:sz w:val="20"/>
                <w:szCs w:val="20"/>
              </w:rPr>
            </w:pPr>
            <w:r w:rsidRPr="00AF264D">
              <w:rPr>
                <w:rFonts w:ascii="Times New Roman" w:eastAsia="Times New Roman" w:hAnsi="Times New Roman"/>
                <w:color w:val="000000"/>
                <w:sz w:val="20"/>
                <w:szCs w:val="20"/>
              </w:rPr>
              <w:t>51 - 250</w:t>
            </w:r>
          </w:p>
        </w:tc>
        <w:tc>
          <w:tcPr>
            <w:tcW w:w="1676" w:type="dxa"/>
          </w:tcPr>
          <w:p w14:paraId="7E852F6F"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282</w:t>
            </w:r>
          </w:p>
        </w:tc>
      </w:tr>
      <w:tr w:rsidR="00BB67FB" w:rsidRPr="00AF264D" w14:paraId="161720D8" w14:textId="77777777" w:rsidTr="00144929">
        <w:trPr>
          <w:trHeight w:val="20"/>
          <w:jc w:val="center"/>
        </w:trPr>
        <w:tc>
          <w:tcPr>
            <w:tcW w:w="1809" w:type="dxa"/>
          </w:tcPr>
          <w:p w14:paraId="17DC5ADB"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Germany</w:t>
            </w:r>
          </w:p>
        </w:tc>
        <w:tc>
          <w:tcPr>
            <w:tcW w:w="1687" w:type="dxa"/>
            <w:shd w:val="clear" w:color="auto" w:fill="auto"/>
          </w:tcPr>
          <w:p w14:paraId="7B964C89"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37</w:t>
            </w:r>
          </w:p>
        </w:tc>
        <w:tc>
          <w:tcPr>
            <w:tcW w:w="1874" w:type="dxa"/>
            <w:vAlign w:val="center"/>
          </w:tcPr>
          <w:p w14:paraId="500320D3" w14:textId="77777777" w:rsidR="00BB67FB" w:rsidRPr="00AF264D" w:rsidRDefault="00BB67FB" w:rsidP="00144929">
            <w:pPr>
              <w:rPr>
                <w:rFonts w:ascii="Times New Roman" w:hAnsi="Times New Roman"/>
                <w:sz w:val="20"/>
                <w:szCs w:val="20"/>
              </w:rPr>
            </w:pPr>
            <w:r w:rsidRPr="00AF264D">
              <w:rPr>
                <w:rFonts w:ascii="Times New Roman" w:eastAsia="Times New Roman" w:hAnsi="Times New Roman"/>
                <w:color w:val="000000"/>
                <w:sz w:val="20"/>
                <w:szCs w:val="20"/>
              </w:rPr>
              <w:t>251 - 500</w:t>
            </w:r>
          </w:p>
        </w:tc>
        <w:tc>
          <w:tcPr>
            <w:tcW w:w="1676" w:type="dxa"/>
          </w:tcPr>
          <w:p w14:paraId="230F1EA3"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83</w:t>
            </w:r>
          </w:p>
        </w:tc>
      </w:tr>
      <w:tr w:rsidR="00BB67FB" w:rsidRPr="00AF264D" w14:paraId="6A513916" w14:textId="77777777" w:rsidTr="00144929">
        <w:trPr>
          <w:trHeight w:val="20"/>
          <w:jc w:val="center"/>
        </w:trPr>
        <w:tc>
          <w:tcPr>
            <w:tcW w:w="1809" w:type="dxa"/>
          </w:tcPr>
          <w:p w14:paraId="1053B8D7"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Hungary</w:t>
            </w:r>
          </w:p>
        </w:tc>
        <w:tc>
          <w:tcPr>
            <w:tcW w:w="1687" w:type="dxa"/>
            <w:shd w:val="clear" w:color="auto" w:fill="auto"/>
          </w:tcPr>
          <w:p w14:paraId="76E6D6AF"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31</w:t>
            </w:r>
          </w:p>
        </w:tc>
        <w:tc>
          <w:tcPr>
            <w:tcW w:w="1874" w:type="dxa"/>
            <w:vAlign w:val="center"/>
          </w:tcPr>
          <w:p w14:paraId="10C6FBD3" w14:textId="77777777" w:rsidR="00BB67FB" w:rsidRPr="00AF264D" w:rsidRDefault="00BB67FB" w:rsidP="00144929">
            <w:pPr>
              <w:rPr>
                <w:rFonts w:ascii="Times New Roman" w:eastAsia="Times New Roman" w:hAnsi="Times New Roman"/>
                <w:color w:val="000000"/>
                <w:sz w:val="20"/>
                <w:szCs w:val="20"/>
              </w:rPr>
            </w:pPr>
            <w:r w:rsidRPr="00AF264D">
              <w:rPr>
                <w:rFonts w:ascii="Times New Roman" w:eastAsia="Times New Roman" w:hAnsi="Times New Roman"/>
                <w:color w:val="000000"/>
                <w:sz w:val="20"/>
                <w:szCs w:val="20"/>
              </w:rPr>
              <w:t>501 - 2000</w:t>
            </w:r>
          </w:p>
        </w:tc>
        <w:tc>
          <w:tcPr>
            <w:tcW w:w="1676" w:type="dxa"/>
          </w:tcPr>
          <w:p w14:paraId="3CB7980F"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76</w:t>
            </w:r>
          </w:p>
        </w:tc>
      </w:tr>
      <w:tr w:rsidR="00BB67FB" w:rsidRPr="00AF264D" w14:paraId="339C23BC" w14:textId="77777777" w:rsidTr="00144929">
        <w:trPr>
          <w:trHeight w:val="20"/>
          <w:jc w:val="center"/>
        </w:trPr>
        <w:tc>
          <w:tcPr>
            <w:tcW w:w="1809" w:type="dxa"/>
          </w:tcPr>
          <w:p w14:paraId="4907DF54"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Ireland</w:t>
            </w:r>
          </w:p>
        </w:tc>
        <w:tc>
          <w:tcPr>
            <w:tcW w:w="1687" w:type="dxa"/>
            <w:shd w:val="clear" w:color="auto" w:fill="auto"/>
          </w:tcPr>
          <w:p w14:paraId="4E0F674A"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25</w:t>
            </w:r>
          </w:p>
        </w:tc>
        <w:tc>
          <w:tcPr>
            <w:tcW w:w="1874" w:type="dxa"/>
            <w:vAlign w:val="center"/>
          </w:tcPr>
          <w:p w14:paraId="3FFA708D" w14:textId="77777777" w:rsidR="00BB67FB" w:rsidRPr="00AF264D" w:rsidRDefault="00BB67FB" w:rsidP="00144929">
            <w:pPr>
              <w:rPr>
                <w:rFonts w:ascii="Times New Roman" w:eastAsia="Times New Roman" w:hAnsi="Times New Roman"/>
                <w:color w:val="000000"/>
                <w:sz w:val="20"/>
                <w:szCs w:val="20"/>
              </w:rPr>
            </w:pPr>
            <w:r w:rsidRPr="00AF264D">
              <w:rPr>
                <w:rFonts w:ascii="Times New Roman" w:eastAsia="Times New Roman" w:hAnsi="Times New Roman"/>
                <w:color w:val="000000"/>
                <w:sz w:val="20"/>
                <w:szCs w:val="20"/>
              </w:rPr>
              <w:t>2001 - 5000</w:t>
            </w:r>
          </w:p>
        </w:tc>
        <w:tc>
          <w:tcPr>
            <w:tcW w:w="1676" w:type="dxa"/>
          </w:tcPr>
          <w:p w14:paraId="05BCB5EE"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20</w:t>
            </w:r>
          </w:p>
        </w:tc>
      </w:tr>
      <w:tr w:rsidR="00BB67FB" w:rsidRPr="00AF264D" w14:paraId="5C4D9334" w14:textId="77777777" w:rsidTr="00144929">
        <w:trPr>
          <w:trHeight w:val="20"/>
          <w:jc w:val="center"/>
        </w:trPr>
        <w:tc>
          <w:tcPr>
            <w:tcW w:w="1809" w:type="dxa"/>
          </w:tcPr>
          <w:p w14:paraId="0813A696"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Korea</w:t>
            </w:r>
          </w:p>
        </w:tc>
        <w:tc>
          <w:tcPr>
            <w:tcW w:w="1687" w:type="dxa"/>
            <w:shd w:val="clear" w:color="auto" w:fill="auto"/>
          </w:tcPr>
          <w:p w14:paraId="74EA8050"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56</w:t>
            </w:r>
          </w:p>
        </w:tc>
        <w:tc>
          <w:tcPr>
            <w:tcW w:w="1874" w:type="dxa"/>
            <w:vAlign w:val="center"/>
          </w:tcPr>
          <w:p w14:paraId="63496343" w14:textId="77777777" w:rsidR="00BB67FB" w:rsidRPr="00AF264D" w:rsidRDefault="00BB67FB" w:rsidP="00144929">
            <w:pPr>
              <w:rPr>
                <w:rFonts w:ascii="Times New Roman" w:eastAsia="Times New Roman" w:hAnsi="Times New Roman"/>
                <w:color w:val="000000"/>
                <w:sz w:val="20"/>
                <w:szCs w:val="20"/>
              </w:rPr>
            </w:pPr>
            <w:r w:rsidRPr="00AF264D">
              <w:rPr>
                <w:rFonts w:ascii="Times New Roman" w:eastAsia="Times New Roman" w:hAnsi="Times New Roman"/>
                <w:color w:val="000000"/>
                <w:sz w:val="20"/>
                <w:szCs w:val="20"/>
              </w:rPr>
              <w:t>&gt; 5000</w:t>
            </w:r>
          </w:p>
        </w:tc>
        <w:tc>
          <w:tcPr>
            <w:tcW w:w="1676" w:type="dxa"/>
          </w:tcPr>
          <w:p w14:paraId="1171F841"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15</w:t>
            </w:r>
          </w:p>
        </w:tc>
      </w:tr>
      <w:tr w:rsidR="00BB67FB" w:rsidRPr="00AF264D" w14:paraId="7462EB89" w14:textId="77777777" w:rsidTr="00144929">
        <w:trPr>
          <w:trHeight w:val="20"/>
          <w:jc w:val="center"/>
        </w:trPr>
        <w:tc>
          <w:tcPr>
            <w:tcW w:w="1809" w:type="dxa"/>
          </w:tcPr>
          <w:p w14:paraId="27151792"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Nigeria</w:t>
            </w:r>
          </w:p>
        </w:tc>
        <w:tc>
          <w:tcPr>
            <w:tcW w:w="1687" w:type="dxa"/>
            <w:shd w:val="clear" w:color="auto" w:fill="auto"/>
          </w:tcPr>
          <w:p w14:paraId="6F36022B"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17</w:t>
            </w:r>
          </w:p>
        </w:tc>
        <w:tc>
          <w:tcPr>
            <w:tcW w:w="1874" w:type="dxa"/>
            <w:vAlign w:val="center"/>
          </w:tcPr>
          <w:p w14:paraId="05FE2C6D" w14:textId="77777777" w:rsidR="00BB67FB" w:rsidRPr="00AF264D" w:rsidRDefault="00BB67FB" w:rsidP="00144929">
            <w:pPr>
              <w:rPr>
                <w:rFonts w:ascii="Times New Roman" w:eastAsia="Times New Roman" w:hAnsi="Times New Roman"/>
                <w:color w:val="000000"/>
                <w:sz w:val="20"/>
                <w:szCs w:val="20"/>
              </w:rPr>
            </w:pPr>
          </w:p>
        </w:tc>
        <w:tc>
          <w:tcPr>
            <w:tcW w:w="1676" w:type="dxa"/>
          </w:tcPr>
          <w:p w14:paraId="02FB0E5E" w14:textId="77777777" w:rsidR="00BB67FB" w:rsidRPr="00AF264D" w:rsidRDefault="00BB67FB" w:rsidP="00144929">
            <w:pPr>
              <w:rPr>
                <w:rFonts w:ascii="Times New Roman" w:hAnsi="Times New Roman"/>
                <w:sz w:val="20"/>
                <w:szCs w:val="20"/>
              </w:rPr>
            </w:pPr>
          </w:p>
        </w:tc>
      </w:tr>
      <w:tr w:rsidR="00BB67FB" w:rsidRPr="00AF264D" w14:paraId="43E63881" w14:textId="77777777" w:rsidTr="00144929">
        <w:trPr>
          <w:trHeight w:val="20"/>
          <w:jc w:val="center"/>
        </w:trPr>
        <w:tc>
          <w:tcPr>
            <w:tcW w:w="1809" w:type="dxa"/>
          </w:tcPr>
          <w:p w14:paraId="11F2DA3D"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Poland</w:t>
            </w:r>
          </w:p>
        </w:tc>
        <w:tc>
          <w:tcPr>
            <w:tcW w:w="1687" w:type="dxa"/>
            <w:shd w:val="clear" w:color="auto" w:fill="auto"/>
          </w:tcPr>
          <w:p w14:paraId="2CAB1D1E"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65</w:t>
            </w:r>
          </w:p>
        </w:tc>
        <w:tc>
          <w:tcPr>
            <w:tcW w:w="1874" w:type="dxa"/>
            <w:vAlign w:val="center"/>
          </w:tcPr>
          <w:p w14:paraId="3B88E243" w14:textId="77777777" w:rsidR="00BB67FB" w:rsidRPr="00AF264D" w:rsidRDefault="00BB67FB" w:rsidP="00144929">
            <w:pPr>
              <w:rPr>
                <w:rFonts w:ascii="Times New Roman" w:hAnsi="Times New Roman"/>
                <w:sz w:val="20"/>
                <w:szCs w:val="20"/>
              </w:rPr>
            </w:pPr>
          </w:p>
        </w:tc>
        <w:tc>
          <w:tcPr>
            <w:tcW w:w="1676" w:type="dxa"/>
          </w:tcPr>
          <w:p w14:paraId="0D5D006E" w14:textId="77777777" w:rsidR="00BB67FB" w:rsidRPr="00AF264D" w:rsidRDefault="00BB67FB" w:rsidP="00144929">
            <w:pPr>
              <w:rPr>
                <w:rFonts w:ascii="Times New Roman" w:hAnsi="Times New Roman"/>
                <w:sz w:val="20"/>
                <w:szCs w:val="20"/>
              </w:rPr>
            </w:pPr>
          </w:p>
        </w:tc>
      </w:tr>
      <w:tr w:rsidR="00BB67FB" w:rsidRPr="00AF264D" w14:paraId="074E9328" w14:textId="77777777" w:rsidTr="00144929">
        <w:trPr>
          <w:trHeight w:val="20"/>
          <w:jc w:val="center"/>
        </w:trPr>
        <w:tc>
          <w:tcPr>
            <w:tcW w:w="1809" w:type="dxa"/>
          </w:tcPr>
          <w:p w14:paraId="72127DB5"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Taiwan</w:t>
            </w:r>
          </w:p>
        </w:tc>
        <w:tc>
          <w:tcPr>
            <w:tcW w:w="1687" w:type="dxa"/>
            <w:shd w:val="clear" w:color="auto" w:fill="auto"/>
          </w:tcPr>
          <w:p w14:paraId="4A6D8895"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34</w:t>
            </w:r>
          </w:p>
        </w:tc>
        <w:tc>
          <w:tcPr>
            <w:tcW w:w="1874" w:type="dxa"/>
            <w:vAlign w:val="center"/>
          </w:tcPr>
          <w:p w14:paraId="671D9178" w14:textId="77777777" w:rsidR="00BB67FB" w:rsidRPr="00AF264D" w:rsidRDefault="00BB67FB" w:rsidP="00144929">
            <w:pPr>
              <w:rPr>
                <w:rFonts w:ascii="Times New Roman" w:hAnsi="Times New Roman"/>
                <w:sz w:val="20"/>
                <w:szCs w:val="20"/>
              </w:rPr>
            </w:pPr>
          </w:p>
        </w:tc>
        <w:tc>
          <w:tcPr>
            <w:tcW w:w="1676" w:type="dxa"/>
          </w:tcPr>
          <w:p w14:paraId="7462A486" w14:textId="77777777" w:rsidR="00BB67FB" w:rsidRPr="00AF264D" w:rsidRDefault="00BB67FB" w:rsidP="00144929">
            <w:pPr>
              <w:rPr>
                <w:rFonts w:ascii="Times New Roman" w:hAnsi="Times New Roman"/>
                <w:sz w:val="20"/>
                <w:szCs w:val="20"/>
              </w:rPr>
            </w:pPr>
          </w:p>
        </w:tc>
      </w:tr>
      <w:tr w:rsidR="00BB67FB" w:rsidRPr="00AF264D" w14:paraId="139952BC" w14:textId="77777777" w:rsidTr="00144929">
        <w:trPr>
          <w:trHeight w:val="20"/>
          <w:jc w:val="center"/>
        </w:trPr>
        <w:tc>
          <w:tcPr>
            <w:tcW w:w="1809" w:type="dxa"/>
          </w:tcPr>
          <w:p w14:paraId="6C701D5A"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United States</w:t>
            </w:r>
          </w:p>
        </w:tc>
        <w:tc>
          <w:tcPr>
            <w:tcW w:w="1687" w:type="dxa"/>
            <w:shd w:val="clear" w:color="auto" w:fill="auto"/>
          </w:tcPr>
          <w:p w14:paraId="2422EBE6"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93</w:t>
            </w:r>
          </w:p>
        </w:tc>
        <w:tc>
          <w:tcPr>
            <w:tcW w:w="1874" w:type="dxa"/>
            <w:vAlign w:val="center"/>
          </w:tcPr>
          <w:p w14:paraId="6AC0A71A" w14:textId="77777777" w:rsidR="00BB67FB" w:rsidRPr="00AF264D" w:rsidRDefault="00BB67FB" w:rsidP="00144929">
            <w:pPr>
              <w:rPr>
                <w:rFonts w:ascii="Times New Roman" w:eastAsia="Times New Roman" w:hAnsi="Times New Roman"/>
                <w:color w:val="000000"/>
                <w:sz w:val="20"/>
                <w:szCs w:val="20"/>
              </w:rPr>
            </w:pPr>
          </w:p>
        </w:tc>
        <w:tc>
          <w:tcPr>
            <w:tcW w:w="1676" w:type="dxa"/>
          </w:tcPr>
          <w:p w14:paraId="7BD77465" w14:textId="77777777" w:rsidR="00BB67FB" w:rsidRPr="00AF264D" w:rsidRDefault="00BB67FB" w:rsidP="00144929">
            <w:pPr>
              <w:rPr>
                <w:rFonts w:ascii="Times New Roman" w:hAnsi="Times New Roman"/>
                <w:sz w:val="20"/>
                <w:szCs w:val="20"/>
              </w:rPr>
            </w:pPr>
          </w:p>
        </w:tc>
      </w:tr>
      <w:tr w:rsidR="00BB67FB" w:rsidRPr="00AF264D" w14:paraId="1CB6E599" w14:textId="77777777" w:rsidTr="00144929">
        <w:trPr>
          <w:trHeight w:val="20"/>
          <w:jc w:val="center"/>
        </w:trPr>
        <w:tc>
          <w:tcPr>
            <w:tcW w:w="1809" w:type="dxa"/>
          </w:tcPr>
          <w:p w14:paraId="7C07BC80"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Vietnam</w:t>
            </w:r>
          </w:p>
        </w:tc>
        <w:tc>
          <w:tcPr>
            <w:tcW w:w="1687" w:type="dxa"/>
            <w:shd w:val="clear" w:color="auto" w:fill="auto"/>
          </w:tcPr>
          <w:p w14:paraId="4FD78245" w14:textId="77777777" w:rsidR="00BB67FB" w:rsidRPr="00AF264D" w:rsidRDefault="00BB67FB" w:rsidP="00144929">
            <w:pPr>
              <w:rPr>
                <w:rFonts w:ascii="Times New Roman" w:hAnsi="Times New Roman"/>
                <w:sz w:val="20"/>
                <w:szCs w:val="20"/>
              </w:rPr>
            </w:pPr>
            <w:r w:rsidRPr="00AF264D">
              <w:rPr>
                <w:rFonts w:ascii="Times New Roman" w:hAnsi="Times New Roman" w:cs="Times New Roman"/>
                <w:sz w:val="20"/>
                <w:szCs w:val="20"/>
              </w:rPr>
              <w:t>95</w:t>
            </w:r>
          </w:p>
        </w:tc>
        <w:tc>
          <w:tcPr>
            <w:tcW w:w="1874" w:type="dxa"/>
            <w:vAlign w:val="center"/>
          </w:tcPr>
          <w:p w14:paraId="19AD7001" w14:textId="77777777" w:rsidR="00BB67FB" w:rsidRPr="00AF264D" w:rsidRDefault="00BB67FB" w:rsidP="00144929">
            <w:pPr>
              <w:rPr>
                <w:rFonts w:ascii="Times New Roman" w:eastAsia="Times New Roman" w:hAnsi="Times New Roman"/>
                <w:color w:val="000000"/>
                <w:sz w:val="20"/>
                <w:szCs w:val="20"/>
              </w:rPr>
            </w:pPr>
          </w:p>
        </w:tc>
        <w:tc>
          <w:tcPr>
            <w:tcW w:w="1676" w:type="dxa"/>
          </w:tcPr>
          <w:p w14:paraId="2DAE8F29" w14:textId="77777777" w:rsidR="00BB67FB" w:rsidRPr="00AF264D" w:rsidRDefault="00BB67FB" w:rsidP="00144929">
            <w:pPr>
              <w:rPr>
                <w:rFonts w:ascii="Times New Roman" w:hAnsi="Times New Roman"/>
                <w:sz w:val="20"/>
                <w:szCs w:val="20"/>
              </w:rPr>
            </w:pPr>
          </w:p>
        </w:tc>
      </w:tr>
      <w:tr w:rsidR="00BB67FB" w:rsidRPr="00AF264D" w14:paraId="05517936" w14:textId="77777777" w:rsidTr="00144929">
        <w:trPr>
          <w:trHeight w:val="20"/>
          <w:jc w:val="center"/>
        </w:trPr>
        <w:tc>
          <w:tcPr>
            <w:tcW w:w="1809" w:type="dxa"/>
          </w:tcPr>
          <w:p w14:paraId="2F92DFEC"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Overall</w:t>
            </w:r>
          </w:p>
        </w:tc>
        <w:tc>
          <w:tcPr>
            <w:tcW w:w="1687" w:type="dxa"/>
          </w:tcPr>
          <w:p w14:paraId="30A52332" w14:textId="77777777" w:rsidR="00BB67FB" w:rsidRPr="00AF264D" w:rsidRDefault="00BB67FB" w:rsidP="00144929">
            <w:pPr>
              <w:rPr>
                <w:rFonts w:ascii="Times New Roman" w:hAnsi="Times New Roman"/>
                <w:sz w:val="20"/>
                <w:szCs w:val="20"/>
              </w:rPr>
            </w:pPr>
            <w:r w:rsidRPr="00AF264D">
              <w:rPr>
                <w:rFonts w:ascii="Times New Roman" w:hAnsi="Times New Roman"/>
                <w:sz w:val="20"/>
                <w:szCs w:val="20"/>
              </w:rPr>
              <w:t>647</w:t>
            </w:r>
          </w:p>
        </w:tc>
        <w:tc>
          <w:tcPr>
            <w:tcW w:w="1874" w:type="dxa"/>
            <w:vAlign w:val="center"/>
          </w:tcPr>
          <w:p w14:paraId="4A44136C" w14:textId="77777777" w:rsidR="00BB67FB" w:rsidRPr="00AF264D" w:rsidRDefault="00BB67FB" w:rsidP="00144929">
            <w:pPr>
              <w:rPr>
                <w:rFonts w:ascii="Times New Roman" w:hAnsi="Times New Roman"/>
                <w:sz w:val="20"/>
                <w:szCs w:val="20"/>
              </w:rPr>
            </w:pPr>
          </w:p>
        </w:tc>
        <w:tc>
          <w:tcPr>
            <w:tcW w:w="1676" w:type="dxa"/>
          </w:tcPr>
          <w:p w14:paraId="30AA0368" w14:textId="77777777" w:rsidR="00BB67FB" w:rsidRPr="00AF264D" w:rsidRDefault="00BB67FB" w:rsidP="00144929">
            <w:pPr>
              <w:rPr>
                <w:rFonts w:ascii="Times New Roman" w:hAnsi="Times New Roman"/>
                <w:sz w:val="20"/>
                <w:szCs w:val="20"/>
              </w:rPr>
            </w:pPr>
          </w:p>
        </w:tc>
      </w:tr>
      <w:tr w:rsidR="00BB67FB" w:rsidRPr="00AF264D" w14:paraId="684391F3" w14:textId="77777777" w:rsidTr="00144929">
        <w:trPr>
          <w:trHeight w:val="20"/>
          <w:jc w:val="center"/>
        </w:trPr>
        <w:tc>
          <w:tcPr>
            <w:tcW w:w="1809" w:type="dxa"/>
          </w:tcPr>
          <w:p w14:paraId="21A3CA96" w14:textId="77777777" w:rsidR="00BB67FB" w:rsidRPr="00AF264D" w:rsidRDefault="00BB67FB" w:rsidP="00144929">
            <w:pPr>
              <w:rPr>
                <w:rFonts w:ascii="Times New Roman" w:hAnsi="Times New Roman"/>
                <w:sz w:val="20"/>
                <w:szCs w:val="20"/>
              </w:rPr>
            </w:pPr>
          </w:p>
        </w:tc>
        <w:tc>
          <w:tcPr>
            <w:tcW w:w="1687" w:type="dxa"/>
          </w:tcPr>
          <w:p w14:paraId="239F9849" w14:textId="77777777" w:rsidR="00BB67FB" w:rsidRPr="00AF264D" w:rsidRDefault="00BB67FB" w:rsidP="00144929">
            <w:pPr>
              <w:rPr>
                <w:rFonts w:ascii="Times New Roman" w:hAnsi="Times New Roman"/>
                <w:sz w:val="20"/>
                <w:szCs w:val="20"/>
              </w:rPr>
            </w:pPr>
          </w:p>
        </w:tc>
        <w:tc>
          <w:tcPr>
            <w:tcW w:w="1874" w:type="dxa"/>
            <w:vAlign w:val="center"/>
          </w:tcPr>
          <w:p w14:paraId="3CA20069" w14:textId="77777777" w:rsidR="00BB67FB" w:rsidRPr="00AF264D" w:rsidRDefault="00BB67FB" w:rsidP="00144929">
            <w:pPr>
              <w:rPr>
                <w:rFonts w:ascii="Times New Roman" w:hAnsi="Times New Roman"/>
                <w:sz w:val="20"/>
                <w:szCs w:val="20"/>
              </w:rPr>
            </w:pPr>
          </w:p>
        </w:tc>
        <w:tc>
          <w:tcPr>
            <w:tcW w:w="1676" w:type="dxa"/>
          </w:tcPr>
          <w:p w14:paraId="2DF69875" w14:textId="77777777" w:rsidR="00BB67FB" w:rsidRPr="00AF264D" w:rsidRDefault="00BB67FB" w:rsidP="00144929">
            <w:pPr>
              <w:rPr>
                <w:rFonts w:ascii="Times New Roman" w:hAnsi="Times New Roman"/>
                <w:sz w:val="20"/>
                <w:szCs w:val="20"/>
              </w:rPr>
            </w:pPr>
          </w:p>
        </w:tc>
      </w:tr>
    </w:tbl>
    <w:p w14:paraId="03430221" w14:textId="77777777" w:rsidR="00BB67FB" w:rsidRDefault="00BB67FB" w:rsidP="00BB67FB"/>
    <w:p w14:paraId="3CB56037" w14:textId="77777777" w:rsidR="00BB67FB" w:rsidRPr="001B0E22" w:rsidRDefault="00BB67FB" w:rsidP="00BB67FB">
      <w:pPr>
        <w:rPr>
          <w:b/>
          <w:i/>
        </w:rPr>
      </w:pPr>
      <w:r w:rsidRPr="006223D3">
        <w:rPr>
          <w:b/>
        </w:rPr>
        <w:t>Table 1b:</w:t>
      </w:r>
      <w:r w:rsidRPr="001B0E22">
        <w:rPr>
          <w:i/>
        </w:rPr>
        <w:t xml:space="preserve"> </w:t>
      </w:r>
      <w:r w:rsidRPr="001B0E22">
        <w:t>Company sample descriptive</w:t>
      </w:r>
      <w:r>
        <w:t xml:space="preserve"> - industry</w:t>
      </w:r>
    </w:p>
    <w:tbl>
      <w:tblPr>
        <w:tblW w:w="8151" w:type="dxa"/>
        <w:jc w:val="center"/>
        <w:tblLayout w:type="fixed"/>
        <w:tblCellMar>
          <w:left w:w="70" w:type="dxa"/>
          <w:right w:w="70" w:type="dxa"/>
        </w:tblCellMar>
        <w:tblLook w:val="04A0" w:firstRow="1" w:lastRow="0" w:firstColumn="1" w:lastColumn="0" w:noHBand="0" w:noVBand="1"/>
      </w:tblPr>
      <w:tblGrid>
        <w:gridCol w:w="6308"/>
        <w:gridCol w:w="780"/>
        <w:gridCol w:w="638"/>
        <w:gridCol w:w="425"/>
      </w:tblGrid>
      <w:tr w:rsidR="00BB67FB" w:rsidRPr="00AF264D" w14:paraId="25C5857D" w14:textId="77777777" w:rsidTr="00144929">
        <w:trPr>
          <w:trHeight w:val="20"/>
          <w:jc w:val="center"/>
        </w:trPr>
        <w:tc>
          <w:tcPr>
            <w:tcW w:w="6308" w:type="dxa"/>
            <w:tcBorders>
              <w:top w:val="single" w:sz="8" w:space="0" w:color="auto"/>
              <w:left w:val="nil"/>
              <w:bottom w:val="single" w:sz="8" w:space="0" w:color="auto"/>
            </w:tcBorders>
            <w:shd w:val="clear" w:color="auto" w:fill="auto"/>
            <w:tcMar>
              <w:left w:w="28" w:type="dxa"/>
              <w:right w:w="28" w:type="dxa"/>
            </w:tcMar>
            <w:vAlign w:val="center"/>
            <w:hideMark/>
          </w:tcPr>
          <w:p w14:paraId="1538E89D" w14:textId="77777777" w:rsidR="00BB67FB" w:rsidRPr="00AF264D" w:rsidRDefault="00BB67FB" w:rsidP="00144929">
            <w:pPr>
              <w:jc w:val="center"/>
              <w:rPr>
                <w:rFonts w:ascii="Times New Roman" w:eastAsia="Times New Roman" w:hAnsi="Times New Roman" w:cs="Times New Roman"/>
                <w:b/>
                <w:bCs/>
                <w:sz w:val="20"/>
                <w:szCs w:val="20"/>
                <w:lang w:eastAsia="it-IT"/>
              </w:rPr>
            </w:pPr>
            <w:r w:rsidRPr="00AF264D">
              <w:rPr>
                <w:rFonts w:ascii="Times New Roman" w:eastAsia="Times New Roman" w:hAnsi="Times New Roman" w:cs="Times New Roman"/>
                <w:b/>
                <w:bCs/>
                <w:sz w:val="20"/>
                <w:szCs w:val="20"/>
                <w:lang w:eastAsia="it-IT"/>
              </w:rPr>
              <w:t>Industry Types</w:t>
            </w:r>
          </w:p>
        </w:tc>
        <w:tc>
          <w:tcPr>
            <w:tcW w:w="780" w:type="dxa"/>
            <w:tcBorders>
              <w:top w:val="single" w:sz="8" w:space="0" w:color="auto"/>
              <w:bottom w:val="single" w:sz="8" w:space="0" w:color="auto"/>
            </w:tcBorders>
            <w:shd w:val="clear" w:color="auto" w:fill="auto"/>
            <w:tcMar>
              <w:left w:w="28" w:type="dxa"/>
              <w:right w:w="28" w:type="dxa"/>
            </w:tcMar>
            <w:vAlign w:val="center"/>
            <w:hideMark/>
          </w:tcPr>
          <w:p w14:paraId="43409638" w14:textId="77777777" w:rsidR="00BB67FB" w:rsidRPr="00AF264D" w:rsidRDefault="00BB67FB" w:rsidP="00144929">
            <w:pPr>
              <w:jc w:val="center"/>
              <w:rPr>
                <w:rFonts w:ascii="Times New Roman" w:eastAsia="Times New Roman" w:hAnsi="Times New Roman" w:cs="Times New Roman"/>
                <w:b/>
                <w:bCs/>
                <w:sz w:val="20"/>
                <w:szCs w:val="20"/>
                <w:lang w:eastAsia="it-IT"/>
              </w:rPr>
            </w:pPr>
            <w:r w:rsidRPr="00AF264D">
              <w:rPr>
                <w:rFonts w:ascii="Times New Roman" w:eastAsia="Times New Roman" w:hAnsi="Times New Roman" w:cs="Times New Roman"/>
                <w:b/>
                <w:bCs/>
                <w:sz w:val="20"/>
                <w:szCs w:val="20"/>
                <w:lang w:eastAsia="it-IT"/>
              </w:rPr>
              <w:t>US-SIC</w:t>
            </w:r>
          </w:p>
        </w:tc>
        <w:tc>
          <w:tcPr>
            <w:tcW w:w="638" w:type="dxa"/>
            <w:tcBorders>
              <w:top w:val="single" w:sz="8" w:space="0" w:color="auto"/>
              <w:bottom w:val="single" w:sz="8" w:space="0" w:color="auto"/>
            </w:tcBorders>
            <w:shd w:val="clear" w:color="auto" w:fill="auto"/>
            <w:tcMar>
              <w:left w:w="28" w:type="dxa"/>
              <w:right w:w="28" w:type="dxa"/>
            </w:tcMar>
            <w:vAlign w:val="center"/>
            <w:hideMark/>
          </w:tcPr>
          <w:p w14:paraId="1FCFAB40" w14:textId="77777777" w:rsidR="00BB67FB" w:rsidRPr="00AF264D" w:rsidRDefault="00BB67FB" w:rsidP="00144929">
            <w:pPr>
              <w:jc w:val="center"/>
              <w:rPr>
                <w:rFonts w:ascii="Times New Roman" w:eastAsia="Times New Roman" w:hAnsi="Times New Roman" w:cs="Times New Roman"/>
                <w:b/>
                <w:bCs/>
                <w:sz w:val="20"/>
                <w:szCs w:val="20"/>
                <w:lang w:eastAsia="it-IT"/>
              </w:rPr>
            </w:pPr>
            <w:r w:rsidRPr="00AF264D">
              <w:rPr>
                <w:rFonts w:ascii="Times New Roman" w:eastAsia="Times New Roman" w:hAnsi="Times New Roman" w:cs="Times New Roman"/>
                <w:b/>
                <w:bCs/>
                <w:sz w:val="20"/>
                <w:szCs w:val="20"/>
                <w:lang w:eastAsia="it-IT"/>
              </w:rPr>
              <w:t>ISIC</w:t>
            </w:r>
          </w:p>
        </w:tc>
        <w:tc>
          <w:tcPr>
            <w:tcW w:w="425" w:type="dxa"/>
            <w:tcBorders>
              <w:top w:val="single" w:sz="8" w:space="0" w:color="auto"/>
              <w:bottom w:val="single" w:sz="8" w:space="0" w:color="auto"/>
            </w:tcBorders>
          </w:tcPr>
          <w:p w14:paraId="7CE985F8" w14:textId="77777777" w:rsidR="00BB67FB" w:rsidRPr="00AF264D" w:rsidRDefault="00BB67FB" w:rsidP="00144929">
            <w:pPr>
              <w:jc w:val="center"/>
              <w:rPr>
                <w:rFonts w:ascii="Times New Roman" w:eastAsia="Times New Roman" w:hAnsi="Times New Roman" w:cs="Times New Roman"/>
                <w:b/>
                <w:bCs/>
                <w:sz w:val="20"/>
                <w:szCs w:val="20"/>
                <w:lang w:eastAsia="it-IT"/>
              </w:rPr>
            </w:pPr>
            <w:r w:rsidRPr="00AF264D">
              <w:rPr>
                <w:rFonts w:ascii="Times New Roman" w:eastAsia="Times New Roman" w:hAnsi="Times New Roman" w:cs="Times New Roman"/>
                <w:b/>
                <w:bCs/>
                <w:sz w:val="20"/>
                <w:szCs w:val="20"/>
                <w:lang w:eastAsia="it-IT"/>
              </w:rPr>
              <w:t>n</w:t>
            </w:r>
          </w:p>
        </w:tc>
      </w:tr>
      <w:tr w:rsidR="00BB67FB" w:rsidRPr="00AF264D" w14:paraId="72574D02" w14:textId="77777777" w:rsidTr="00144929">
        <w:trPr>
          <w:trHeight w:val="20"/>
          <w:jc w:val="center"/>
        </w:trPr>
        <w:tc>
          <w:tcPr>
            <w:tcW w:w="6308" w:type="dxa"/>
            <w:tcBorders>
              <w:top w:val="single" w:sz="8" w:space="0" w:color="auto"/>
              <w:left w:val="nil"/>
            </w:tcBorders>
            <w:shd w:val="clear" w:color="auto" w:fill="auto"/>
            <w:noWrap/>
            <w:tcMar>
              <w:left w:w="28" w:type="dxa"/>
              <w:right w:w="28" w:type="dxa"/>
            </w:tcMar>
            <w:vAlign w:val="bottom"/>
            <w:hideMark/>
          </w:tcPr>
          <w:p w14:paraId="259ED2C5"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Food and kindred products</w:t>
            </w:r>
          </w:p>
        </w:tc>
        <w:tc>
          <w:tcPr>
            <w:tcW w:w="780" w:type="dxa"/>
            <w:tcBorders>
              <w:top w:val="single" w:sz="8" w:space="0" w:color="auto"/>
            </w:tcBorders>
            <w:shd w:val="clear" w:color="auto" w:fill="auto"/>
            <w:noWrap/>
            <w:tcMar>
              <w:left w:w="28" w:type="dxa"/>
              <w:right w:w="28" w:type="dxa"/>
            </w:tcMar>
            <w:vAlign w:val="bottom"/>
            <w:hideMark/>
          </w:tcPr>
          <w:p w14:paraId="5908988C"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20</w:t>
            </w:r>
          </w:p>
        </w:tc>
        <w:tc>
          <w:tcPr>
            <w:tcW w:w="638" w:type="dxa"/>
            <w:tcBorders>
              <w:top w:val="single" w:sz="8" w:space="0" w:color="auto"/>
            </w:tcBorders>
            <w:shd w:val="clear" w:color="auto" w:fill="auto"/>
            <w:noWrap/>
            <w:tcMar>
              <w:left w:w="28" w:type="dxa"/>
              <w:right w:w="28" w:type="dxa"/>
            </w:tcMar>
            <w:vAlign w:val="bottom"/>
            <w:hideMark/>
          </w:tcPr>
          <w:p w14:paraId="39D1098D"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15</w:t>
            </w:r>
          </w:p>
        </w:tc>
        <w:tc>
          <w:tcPr>
            <w:tcW w:w="425" w:type="dxa"/>
            <w:tcBorders>
              <w:top w:val="single" w:sz="8" w:space="0" w:color="auto"/>
            </w:tcBorders>
            <w:vAlign w:val="bottom"/>
          </w:tcPr>
          <w:p w14:paraId="2368462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71</w:t>
            </w:r>
          </w:p>
        </w:tc>
      </w:tr>
      <w:tr w:rsidR="00BB67FB" w:rsidRPr="00AF264D" w14:paraId="5587B6B9"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1A322A95"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Tobacco products</w:t>
            </w:r>
          </w:p>
        </w:tc>
        <w:tc>
          <w:tcPr>
            <w:tcW w:w="780" w:type="dxa"/>
            <w:tcBorders>
              <w:top w:val="nil"/>
            </w:tcBorders>
            <w:shd w:val="clear" w:color="auto" w:fill="auto"/>
            <w:noWrap/>
            <w:tcMar>
              <w:left w:w="28" w:type="dxa"/>
              <w:right w:w="28" w:type="dxa"/>
            </w:tcMar>
            <w:vAlign w:val="bottom"/>
            <w:hideMark/>
          </w:tcPr>
          <w:p w14:paraId="11985C7D"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21</w:t>
            </w:r>
          </w:p>
        </w:tc>
        <w:tc>
          <w:tcPr>
            <w:tcW w:w="638" w:type="dxa"/>
            <w:tcBorders>
              <w:top w:val="nil"/>
            </w:tcBorders>
            <w:shd w:val="clear" w:color="auto" w:fill="auto"/>
            <w:noWrap/>
            <w:tcMar>
              <w:left w:w="28" w:type="dxa"/>
              <w:right w:w="28" w:type="dxa"/>
            </w:tcMar>
            <w:vAlign w:val="bottom"/>
            <w:hideMark/>
          </w:tcPr>
          <w:p w14:paraId="1D20F06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16</w:t>
            </w:r>
          </w:p>
        </w:tc>
        <w:tc>
          <w:tcPr>
            <w:tcW w:w="425" w:type="dxa"/>
            <w:tcBorders>
              <w:top w:val="nil"/>
            </w:tcBorders>
            <w:vAlign w:val="bottom"/>
          </w:tcPr>
          <w:p w14:paraId="13B3030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w:t>
            </w:r>
          </w:p>
        </w:tc>
      </w:tr>
      <w:tr w:rsidR="00BB67FB" w:rsidRPr="00AF264D" w14:paraId="54410BF5"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5279C43A"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Textile mill products</w:t>
            </w:r>
          </w:p>
        </w:tc>
        <w:tc>
          <w:tcPr>
            <w:tcW w:w="780" w:type="dxa"/>
            <w:tcBorders>
              <w:top w:val="nil"/>
            </w:tcBorders>
            <w:shd w:val="clear" w:color="auto" w:fill="auto"/>
            <w:noWrap/>
            <w:tcMar>
              <w:left w:w="28" w:type="dxa"/>
              <w:right w:w="28" w:type="dxa"/>
            </w:tcMar>
            <w:vAlign w:val="bottom"/>
            <w:hideMark/>
          </w:tcPr>
          <w:p w14:paraId="2469C9ED"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22</w:t>
            </w:r>
          </w:p>
        </w:tc>
        <w:tc>
          <w:tcPr>
            <w:tcW w:w="638" w:type="dxa"/>
            <w:tcBorders>
              <w:top w:val="nil"/>
            </w:tcBorders>
            <w:shd w:val="clear" w:color="auto" w:fill="auto"/>
            <w:noWrap/>
            <w:tcMar>
              <w:left w:w="28" w:type="dxa"/>
              <w:right w:w="28" w:type="dxa"/>
            </w:tcMar>
            <w:vAlign w:val="bottom"/>
            <w:hideMark/>
          </w:tcPr>
          <w:p w14:paraId="09744F4F"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17</w:t>
            </w:r>
          </w:p>
        </w:tc>
        <w:tc>
          <w:tcPr>
            <w:tcW w:w="425" w:type="dxa"/>
            <w:tcBorders>
              <w:top w:val="nil"/>
            </w:tcBorders>
            <w:vAlign w:val="bottom"/>
          </w:tcPr>
          <w:p w14:paraId="4E1344BE"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10</w:t>
            </w:r>
          </w:p>
        </w:tc>
      </w:tr>
      <w:tr w:rsidR="00BB67FB" w:rsidRPr="00AF264D" w14:paraId="20F9613E"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5E749529"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Apparel and other finished products made from fabrics and similar materials</w:t>
            </w:r>
          </w:p>
        </w:tc>
        <w:tc>
          <w:tcPr>
            <w:tcW w:w="780" w:type="dxa"/>
            <w:tcBorders>
              <w:top w:val="nil"/>
            </w:tcBorders>
            <w:shd w:val="clear" w:color="auto" w:fill="auto"/>
            <w:noWrap/>
            <w:tcMar>
              <w:left w:w="28" w:type="dxa"/>
              <w:right w:w="28" w:type="dxa"/>
            </w:tcMar>
            <w:vAlign w:val="bottom"/>
            <w:hideMark/>
          </w:tcPr>
          <w:p w14:paraId="398B39F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23</w:t>
            </w:r>
          </w:p>
        </w:tc>
        <w:tc>
          <w:tcPr>
            <w:tcW w:w="638" w:type="dxa"/>
            <w:tcBorders>
              <w:top w:val="nil"/>
            </w:tcBorders>
            <w:shd w:val="clear" w:color="auto" w:fill="auto"/>
            <w:noWrap/>
            <w:tcMar>
              <w:left w:w="28" w:type="dxa"/>
              <w:right w:w="28" w:type="dxa"/>
            </w:tcMar>
            <w:vAlign w:val="bottom"/>
            <w:hideMark/>
          </w:tcPr>
          <w:p w14:paraId="2D3B53B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18</w:t>
            </w:r>
          </w:p>
        </w:tc>
        <w:tc>
          <w:tcPr>
            <w:tcW w:w="425" w:type="dxa"/>
            <w:tcBorders>
              <w:top w:val="nil"/>
            </w:tcBorders>
            <w:vAlign w:val="bottom"/>
          </w:tcPr>
          <w:p w14:paraId="58070937"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22</w:t>
            </w:r>
          </w:p>
        </w:tc>
      </w:tr>
      <w:tr w:rsidR="00BB67FB" w:rsidRPr="00AF264D" w14:paraId="1CAE86E7"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1A144E55"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Leather and leather products</w:t>
            </w:r>
          </w:p>
        </w:tc>
        <w:tc>
          <w:tcPr>
            <w:tcW w:w="780" w:type="dxa"/>
            <w:tcBorders>
              <w:top w:val="nil"/>
            </w:tcBorders>
            <w:shd w:val="clear" w:color="auto" w:fill="auto"/>
            <w:noWrap/>
            <w:tcMar>
              <w:left w:w="28" w:type="dxa"/>
              <w:right w:w="28" w:type="dxa"/>
            </w:tcMar>
            <w:vAlign w:val="bottom"/>
            <w:hideMark/>
          </w:tcPr>
          <w:p w14:paraId="180DDF4F"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31</w:t>
            </w:r>
          </w:p>
        </w:tc>
        <w:tc>
          <w:tcPr>
            <w:tcW w:w="638" w:type="dxa"/>
            <w:tcBorders>
              <w:top w:val="nil"/>
            </w:tcBorders>
            <w:shd w:val="clear" w:color="auto" w:fill="auto"/>
            <w:noWrap/>
            <w:tcMar>
              <w:left w:w="28" w:type="dxa"/>
              <w:right w:w="28" w:type="dxa"/>
            </w:tcMar>
            <w:vAlign w:val="bottom"/>
            <w:hideMark/>
          </w:tcPr>
          <w:p w14:paraId="673C97AA"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19</w:t>
            </w:r>
          </w:p>
        </w:tc>
        <w:tc>
          <w:tcPr>
            <w:tcW w:w="425" w:type="dxa"/>
            <w:tcBorders>
              <w:top w:val="nil"/>
            </w:tcBorders>
            <w:vAlign w:val="bottom"/>
          </w:tcPr>
          <w:p w14:paraId="1A9336EB"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4</w:t>
            </w:r>
          </w:p>
        </w:tc>
      </w:tr>
      <w:tr w:rsidR="00BB67FB" w:rsidRPr="00AF264D" w14:paraId="47D1A039" w14:textId="77777777" w:rsidTr="00144929">
        <w:trPr>
          <w:trHeight w:val="20"/>
          <w:jc w:val="center"/>
        </w:trPr>
        <w:tc>
          <w:tcPr>
            <w:tcW w:w="6308" w:type="dxa"/>
            <w:tcBorders>
              <w:top w:val="nil"/>
              <w:left w:val="nil"/>
            </w:tcBorders>
            <w:shd w:val="clear" w:color="auto" w:fill="auto"/>
            <w:noWrap/>
            <w:tcMar>
              <w:left w:w="28" w:type="dxa"/>
              <w:right w:w="28" w:type="dxa"/>
            </w:tcMar>
            <w:vAlign w:val="bottom"/>
          </w:tcPr>
          <w:p w14:paraId="6E7A01DD"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Lumber and wood products, except furniture</w:t>
            </w:r>
          </w:p>
        </w:tc>
        <w:tc>
          <w:tcPr>
            <w:tcW w:w="780" w:type="dxa"/>
            <w:tcBorders>
              <w:top w:val="nil"/>
            </w:tcBorders>
            <w:shd w:val="clear" w:color="auto" w:fill="auto"/>
            <w:noWrap/>
            <w:tcMar>
              <w:left w:w="28" w:type="dxa"/>
              <w:right w:w="28" w:type="dxa"/>
            </w:tcMar>
            <w:vAlign w:val="bottom"/>
          </w:tcPr>
          <w:p w14:paraId="59A67318"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24</w:t>
            </w:r>
          </w:p>
        </w:tc>
        <w:tc>
          <w:tcPr>
            <w:tcW w:w="638" w:type="dxa"/>
            <w:tcBorders>
              <w:top w:val="nil"/>
            </w:tcBorders>
            <w:shd w:val="clear" w:color="auto" w:fill="auto"/>
            <w:noWrap/>
            <w:tcMar>
              <w:left w:w="28" w:type="dxa"/>
              <w:right w:w="28" w:type="dxa"/>
            </w:tcMar>
            <w:vAlign w:val="bottom"/>
          </w:tcPr>
          <w:p w14:paraId="619A4AA4"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20</w:t>
            </w:r>
          </w:p>
        </w:tc>
        <w:tc>
          <w:tcPr>
            <w:tcW w:w="425" w:type="dxa"/>
            <w:tcBorders>
              <w:top w:val="nil"/>
            </w:tcBorders>
            <w:vAlign w:val="bottom"/>
          </w:tcPr>
          <w:p w14:paraId="772E572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23</w:t>
            </w:r>
          </w:p>
        </w:tc>
      </w:tr>
      <w:tr w:rsidR="00BB67FB" w:rsidRPr="00AF264D" w14:paraId="0270E0FA"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4FFC81B3"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Paper and allied products,</w:t>
            </w:r>
          </w:p>
        </w:tc>
        <w:tc>
          <w:tcPr>
            <w:tcW w:w="780" w:type="dxa"/>
            <w:tcBorders>
              <w:top w:val="nil"/>
            </w:tcBorders>
            <w:shd w:val="clear" w:color="auto" w:fill="auto"/>
            <w:noWrap/>
            <w:tcMar>
              <w:left w:w="28" w:type="dxa"/>
              <w:right w:w="28" w:type="dxa"/>
            </w:tcMar>
            <w:vAlign w:val="bottom"/>
            <w:hideMark/>
          </w:tcPr>
          <w:p w14:paraId="2508857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26</w:t>
            </w:r>
          </w:p>
        </w:tc>
        <w:tc>
          <w:tcPr>
            <w:tcW w:w="638" w:type="dxa"/>
            <w:tcBorders>
              <w:top w:val="nil"/>
            </w:tcBorders>
            <w:shd w:val="clear" w:color="auto" w:fill="auto"/>
            <w:noWrap/>
            <w:tcMar>
              <w:left w:w="28" w:type="dxa"/>
              <w:right w:w="28" w:type="dxa"/>
            </w:tcMar>
            <w:vAlign w:val="bottom"/>
            <w:hideMark/>
          </w:tcPr>
          <w:p w14:paraId="52F442F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21</w:t>
            </w:r>
          </w:p>
        </w:tc>
        <w:tc>
          <w:tcPr>
            <w:tcW w:w="425" w:type="dxa"/>
            <w:tcBorders>
              <w:top w:val="nil"/>
            </w:tcBorders>
            <w:vAlign w:val="bottom"/>
          </w:tcPr>
          <w:p w14:paraId="7FB94AA0"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20</w:t>
            </w:r>
          </w:p>
        </w:tc>
      </w:tr>
      <w:tr w:rsidR="00BB67FB" w:rsidRPr="00AF264D" w14:paraId="6493A6C5"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3F738C3F"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Printing, publishing, and allied industries</w:t>
            </w:r>
          </w:p>
        </w:tc>
        <w:tc>
          <w:tcPr>
            <w:tcW w:w="780" w:type="dxa"/>
            <w:tcBorders>
              <w:top w:val="nil"/>
            </w:tcBorders>
            <w:shd w:val="clear" w:color="auto" w:fill="auto"/>
            <w:noWrap/>
            <w:tcMar>
              <w:left w:w="28" w:type="dxa"/>
              <w:right w:w="28" w:type="dxa"/>
            </w:tcMar>
            <w:vAlign w:val="bottom"/>
            <w:hideMark/>
          </w:tcPr>
          <w:p w14:paraId="4ED813EC"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27</w:t>
            </w:r>
          </w:p>
        </w:tc>
        <w:tc>
          <w:tcPr>
            <w:tcW w:w="638" w:type="dxa"/>
            <w:tcBorders>
              <w:top w:val="nil"/>
            </w:tcBorders>
            <w:shd w:val="clear" w:color="auto" w:fill="auto"/>
            <w:noWrap/>
            <w:tcMar>
              <w:left w:w="28" w:type="dxa"/>
              <w:right w:w="28" w:type="dxa"/>
            </w:tcMar>
            <w:vAlign w:val="bottom"/>
            <w:hideMark/>
          </w:tcPr>
          <w:p w14:paraId="528116B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22</w:t>
            </w:r>
          </w:p>
        </w:tc>
        <w:tc>
          <w:tcPr>
            <w:tcW w:w="425" w:type="dxa"/>
            <w:tcBorders>
              <w:top w:val="nil"/>
            </w:tcBorders>
            <w:vAlign w:val="bottom"/>
          </w:tcPr>
          <w:p w14:paraId="3D50ECA7"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9</w:t>
            </w:r>
          </w:p>
        </w:tc>
      </w:tr>
      <w:tr w:rsidR="00BB67FB" w:rsidRPr="00AF264D" w14:paraId="02091F8B"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0F71C72F"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Petroleum refining and related industries</w:t>
            </w:r>
          </w:p>
        </w:tc>
        <w:tc>
          <w:tcPr>
            <w:tcW w:w="780" w:type="dxa"/>
            <w:tcBorders>
              <w:top w:val="nil"/>
            </w:tcBorders>
            <w:shd w:val="clear" w:color="auto" w:fill="auto"/>
            <w:noWrap/>
            <w:tcMar>
              <w:left w:w="28" w:type="dxa"/>
              <w:right w:w="28" w:type="dxa"/>
            </w:tcMar>
            <w:vAlign w:val="bottom"/>
            <w:hideMark/>
          </w:tcPr>
          <w:p w14:paraId="1AF313F8"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29</w:t>
            </w:r>
          </w:p>
        </w:tc>
        <w:tc>
          <w:tcPr>
            <w:tcW w:w="638" w:type="dxa"/>
            <w:tcBorders>
              <w:top w:val="nil"/>
            </w:tcBorders>
            <w:shd w:val="clear" w:color="auto" w:fill="auto"/>
            <w:noWrap/>
            <w:tcMar>
              <w:left w:w="28" w:type="dxa"/>
              <w:right w:w="28" w:type="dxa"/>
            </w:tcMar>
            <w:vAlign w:val="bottom"/>
            <w:hideMark/>
          </w:tcPr>
          <w:p w14:paraId="7A51C5EA"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23</w:t>
            </w:r>
          </w:p>
        </w:tc>
        <w:tc>
          <w:tcPr>
            <w:tcW w:w="425" w:type="dxa"/>
            <w:tcBorders>
              <w:top w:val="nil"/>
            </w:tcBorders>
            <w:vAlign w:val="bottom"/>
          </w:tcPr>
          <w:p w14:paraId="2E22A46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7</w:t>
            </w:r>
          </w:p>
        </w:tc>
      </w:tr>
      <w:tr w:rsidR="00BB67FB" w:rsidRPr="00AF264D" w14:paraId="4ED98095"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330BC61A"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Chemicals and allied products</w:t>
            </w:r>
          </w:p>
        </w:tc>
        <w:tc>
          <w:tcPr>
            <w:tcW w:w="780" w:type="dxa"/>
            <w:tcBorders>
              <w:top w:val="nil"/>
            </w:tcBorders>
            <w:shd w:val="clear" w:color="auto" w:fill="auto"/>
            <w:noWrap/>
            <w:tcMar>
              <w:left w:w="28" w:type="dxa"/>
              <w:right w:w="28" w:type="dxa"/>
            </w:tcMar>
            <w:vAlign w:val="bottom"/>
            <w:hideMark/>
          </w:tcPr>
          <w:p w14:paraId="65BBAC89"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28</w:t>
            </w:r>
          </w:p>
        </w:tc>
        <w:tc>
          <w:tcPr>
            <w:tcW w:w="638" w:type="dxa"/>
            <w:tcBorders>
              <w:top w:val="nil"/>
            </w:tcBorders>
            <w:shd w:val="clear" w:color="auto" w:fill="auto"/>
            <w:noWrap/>
            <w:tcMar>
              <w:left w:w="28" w:type="dxa"/>
              <w:right w:w="28" w:type="dxa"/>
            </w:tcMar>
            <w:vAlign w:val="bottom"/>
            <w:hideMark/>
          </w:tcPr>
          <w:p w14:paraId="6BD6F37C"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24</w:t>
            </w:r>
          </w:p>
        </w:tc>
        <w:tc>
          <w:tcPr>
            <w:tcW w:w="425" w:type="dxa"/>
            <w:tcBorders>
              <w:top w:val="nil"/>
            </w:tcBorders>
            <w:vAlign w:val="bottom"/>
          </w:tcPr>
          <w:p w14:paraId="3047D59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25</w:t>
            </w:r>
          </w:p>
        </w:tc>
      </w:tr>
      <w:tr w:rsidR="00BB67FB" w:rsidRPr="00AF264D" w14:paraId="79A1428F"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0926AA9A"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Rubber and miscellaneous plastics products</w:t>
            </w:r>
          </w:p>
        </w:tc>
        <w:tc>
          <w:tcPr>
            <w:tcW w:w="780" w:type="dxa"/>
            <w:tcBorders>
              <w:top w:val="nil"/>
            </w:tcBorders>
            <w:shd w:val="clear" w:color="auto" w:fill="auto"/>
            <w:noWrap/>
            <w:tcMar>
              <w:left w:w="28" w:type="dxa"/>
              <w:right w:w="28" w:type="dxa"/>
            </w:tcMar>
            <w:vAlign w:val="bottom"/>
            <w:hideMark/>
          </w:tcPr>
          <w:p w14:paraId="2B6B7A9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30</w:t>
            </w:r>
          </w:p>
        </w:tc>
        <w:tc>
          <w:tcPr>
            <w:tcW w:w="638" w:type="dxa"/>
            <w:tcBorders>
              <w:top w:val="nil"/>
            </w:tcBorders>
            <w:shd w:val="clear" w:color="auto" w:fill="auto"/>
            <w:noWrap/>
            <w:tcMar>
              <w:left w:w="28" w:type="dxa"/>
              <w:right w:w="28" w:type="dxa"/>
            </w:tcMar>
            <w:vAlign w:val="bottom"/>
            <w:hideMark/>
          </w:tcPr>
          <w:p w14:paraId="554A9F8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25</w:t>
            </w:r>
          </w:p>
        </w:tc>
        <w:tc>
          <w:tcPr>
            <w:tcW w:w="425" w:type="dxa"/>
            <w:tcBorders>
              <w:top w:val="nil"/>
            </w:tcBorders>
            <w:vAlign w:val="bottom"/>
          </w:tcPr>
          <w:p w14:paraId="2AD6485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46</w:t>
            </w:r>
          </w:p>
        </w:tc>
      </w:tr>
      <w:tr w:rsidR="00BB67FB" w:rsidRPr="00AF264D" w14:paraId="7E9DE593"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3A8360CF"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Primary metal industries</w:t>
            </w:r>
          </w:p>
        </w:tc>
        <w:tc>
          <w:tcPr>
            <w:tcW w:w="780" w:type="dxa"/>
            <w:tcBorders>
              <w:top w:val="nil"/>
            </w:tcBorders>
            <w:shd w:val="clear" w:color="auto" w:fill="auto"/>
            <w:noWrap/>
            <w:tcMar>
              <w:left w:w="28" w:type="dxa"/>
              <w:right w:w="28" w:type="dxa"/>
            </w:tcMar>
            <w:vAlign w:val="bottom"/>
            <w:hideMark/>
          </w:tcPr>
          <w:p w14:paraId="5D25BE9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33</w:t>
            </w:r>
          </w:p>
        </w:tc>
        <w:tc>
          <w:tcPr>
            <w:tcW w:w="638" w:type="dxa"/>
            <w:tcBorders>
              <w:top w:val="nil"/>
            </w:tcBorders>
            <w:shd w:val="clear" w:color="auto" w:fill="auto"/>
            <w:noWrap/>
            <w:tcMar>
              <w:left w:w="28" w:type="dxa"/>
              <w:right w:w="28" w:type="dxa"/>
            </w:tcMar>
            <w:vAlign w:val="bottom"/>
            <w:hideMark/>
          </w:tcPr>
          <w:p w14:paraId="0C0D751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27</w:t>
            </w:r>
          </w:p>
        </w:tc>
        <w:tc>
          <w:tcPr>
            <w:tcW w:w="425" w:type="dxa"/>
            <w:tcBorders>
              <w:top w:val="nil"/>
            </w:tcBorders>
            <w:vAlign w:val="bottom"/>
          </w:tcPr>
          <w:p w14:paraId="7B517261"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33</w:t>
            </w:r>
          </w:p>
        </w:tc>
      </w:tr>
      <w:tr w:rsidR="00BB67FB" w:rsidRPr="00AF264D" w14:paraId="7AD30CDE"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0A7D3FCD"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Fabricated metal products, except machinery and transportation equipment</w:t>
            </w:r>
          </w:p>
        </w:tc>
        <w:tc>
          <w:tcPr>
            <w:tcW w:w="780" w:type="dxa"/>
            <w:tcBorders>
              <w:top w:val="nil"/>
            </w:tcBorders>
            <w:shd w:val="clear" w:color="auto" w:fill="auto"/>
            <w:noWrap/>
            <w:tcMar>
              <w:left w:w="28" w:type="dxa"/>
              <w:right w:w="28" w:type="dxa"/>
            </w:tcMar>
            <w:vAlign w:val="bottom"/>
            <w:hideMark/>
          </w:tcPr>
          <w:p w14:paraId="020557A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34</w:t>
            </w:r>
          </w:p>
        </w:tc>
        <w:tc>
          <w:tcPr>
            <w:tcW w:w="638" w:type="dxa"/>
            <w:tcBorders>
              <w:top w:val="nil"/>
            </w:tcBorders>
            <w:shd w:val="clear" w:color="auto" w:fill="auto"/>
            <w:noWrap/>
            <w:tcMar>
              <w:left w:w="28" w:type="dxa"/>
              <w:right w:w="28" w:type="dxa"/>
            </w:tcMar>
            <w:vAlign w:val="bottom"/>
            <w:hideMark/>
          </w:tcPr>
          <w:p w14:paraId="220002F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28</w:t>
            </w:r>
          </w:p>
        </w:tc>
        <w:tc>
          <w:tcPr>
            <w:tcW w:w="425" w:type="dxa"/>
            <w:tcBorders>
              <w:top w:val="nil"/>
            </w:tcBorders>
            <w:vAlign w:val="bottom"/>
          </w:tcPr>
          <w:p w14:paraId="757DEBFC"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80</w:t>
            </w:r>
          </w:p>
        </w:tc>
      </w:tr>
      <w:tr w:rsidR="00BB67FB" w:rsidRPr="00AF264D" w14:paraId="7420F7B8"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0DA19743"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Industrial and commercial machinery and computer equipment</w:t>
            </w:r>
          </w:p>
        </w:tc>
        <w:tc>
          <w:tcPr>
            <w:tcW w:w="780" w:type="dxa"/>
            <w:tcBorders>
              <w:top w:val="nil"/>
            </w:tcBorders>
            <w:shd w:val="clear" w:color="auto" w:fill="auto"/>
            <w:noWrap/>
            <w:tcMar>
              <w:left w:w="28" w:type="dxa"/>
              <w:right w:w="28" w:type="dxa"/>
            </w:tcMar>
            <w:vAlign w:val="bottom"/>
            <w:hideMark/>
          </w:tcPr>
          <w:p w14:paraId="0B34AD80"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35</w:t>
            </w:r>
          </w:p>
        </w:tc>
        <w:tc>
          <w:tcPr>
            <w:tcW w:w="638" w:type="dxa"/>
            <w:tcBorders>
              <w:top w:val="nil"/>
            </w:tcBorders>
            <w:shd w:val="clear" w:color="auto" w:fill="auto"/>
            <w:noWrap/>
            <w:tcMar>
              <w:left w:w="28" w:type="dxa"/>
              <w:right w:w="28" w:type="dxa"/>
            </w:tcMar>
            <w:vAlign w:val="bottom"/>
            <w:hideMark/>
          </w:tcPr>
          <w:p w14:paraId="7EF0B7E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30</w:t>
            </w:r>
          </w:p>
        </w:tc>
        <w:tc>
          <w:tcPr>
            <w:tcW w:w="425" w:type="dxa"/>
            <w:tcBorders>
              <w:top w:val="nil"/>
            </w:tcBorders>
            <w:vAlign w:val="bottom"/>
          </w:tcPr>
          <w:p w14:paraId="73CBFFCB"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48</w:t>
            </w:r>
          </w:p>
        </w:tc>
      </w:tr>
      <w:tr w:rsidR="00BB67FB" w:rsidRPr="00AF264D" w14:paraId="6133628B"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2FCC3A1E"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lastRenderedPageBreak/>
              <w:t>Electronic and other electrical equipment and components, except computer equipment</w:t>
            </w:r>
          </w:p>
        </w:tc>
        <w:tc>
          <w:tcPr>
            <w:tcW w:w="780" w:type="dxa"/>
            <w:tcBorders>
              <w:top w:val="nil"/>
            </w:tcBorders>
            <w:shd w:val="clear" w:color="auto" w:fill="auto"/>
            <w:noWrap/>
            <w:tcMar>
              <w:left w:w="28" w:type="dxa"/>
              <w:right w:w="28" w:type="dxa"/>
            </w:tcMar>
            <w:vAlign w:val="bottom"/>
            <w:hideMark/>
          </w:tcPr>
          <w:p w14:paraId="48DE568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36</w:t>
            </w:r>
          </w:p>
        </w:tc>
        <w:tc>
          <w:tcPr>
            <w:tcW w:w="638" w:type="dxa"/>
            <w:tcBorders>
              <w:top w:val="nil"/>
            </w:tcBorders>
            <w:shd w:val="clear" w:color="auto" w:fill="auto"/>
            <w:noWrap/>
            <w:tcMar>
              <w:left w:w="28" w:type="dxa"/>
              <w:right w:w="28" w:type="dxa"/>
            </w:tcMar>
            <w:vAlign w:val="bottom"/>
            <w:hideMark/>
          </w:tcPr>
          <w:p w14:paraId="14A98941"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32</w:t>
            </w:r>
          </w:p>
        </w:tc>
        <w:tc>
          <w:tcPr>
            <w:tcW w:w="425" w:type="dxa"/>
            <w:tcBorders>
              <w:top w:val="nil"/>
            </w:tcBorders>
            <w:vAlign w:val="bottom"/>
          </w:tcPr>
          <w:p w14:paraId="470335CA"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92</w:t>
            </w:r>
          </w:p>
        </w:tc>
      </w:tr>
      <w:tr w:rsidR="00BB67FB" w:rsidRPr="00AF264D" w14:paraId="38B5FFE0"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0B585860"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Measuring, analyzing, and controlling instruments; photographic, medical and optical goods; watches and clocks</w:t>
            </w:r>
          </w:p>
        </w:tc>
        <w:tc>
          <w:tcPr>
            <w:tcW w:w="780" w:type="dxa"/>
            <w:tcBorders>
              <w:top w:val="nil"/>
            </w:tcBorders>
            <w:shd w:val="clear" w:color="auto" w:fill="auto"/>
            <w:noWrap/>
            <w:tcMar>
              <w:left w:w="28" w:type="dxa"/>
              <w:right w:w="28" w:type="dxa"/>
            </w:tcMar>
            <w:vAlign w:val="bottom"/>
            <w:hideMark/>
          </w:tcPr>
          <w:p w14:paraId="5743013D"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38</w:t>
            </w:r>
          </w:p>
        </w:tc>
        <w:tc>
          <w:tcPr>
            <w:tcW w:w="638" w:type="dxa"/>
            <w:tcBorders>
              <w:top w:val="nil"/>
            </w:tcBorders>
            <w:shd w:val="clear" w:color="auto" w:fill="auto"/>
            <w:noWrap/>
            <w:tcMar>
              <w:left w:w="28" w:type="dxa"/>
              <w:right w:w="28" w:type="dxa"/>
            </w:tcMar>
            <w:vAlign w:val="bottom"/>
            <w:hideMark/>
          </w:tcPr>
          <w:p w14:paraId="40935B00"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33</w:t>
            </w:r>
          </w:p>
        </w:tc>
        <w:tc>
          <w:tcPr>
            <w:tcW w:w="425" w:type="dxa"/>
            <w:tcBorders>
              <w:top w:val="nil"/>
            </w:tcBorders>
            <w:vAlign w:val="bottom"/>
          </w:tcPr>
          <w:p w14:paraId="7016E0AB"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11</w:t>
            </w:r>
          </w:p>
        </w:tc>
      </w:tr>
      <w:tr w:rsidR="00BB67FB" w:rsidRPr="00AF264D" w14:paraId="25BC92C8"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392602AD"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Manufacture of motor vehicles, trailers and semi-trailers</w:t>
            </w:r>
          </w:p>
        </w:tc>
        <w:tc>
          <w:tcPr>
            <w:tcW w:w="780" w:type="dxa"/>
            <w:tcBorders>
              <w:top w:val="nil"/>
            </w:tcBorders>
            <w:shd w:val="clear" w:color="auto" w:fill="auto"/>
            <w:noWrap/>
            <w:tcMar>
              <w:left w:w="28" w:type="dxa"/>
              <w:right w:w="28" w:type="dxa"/>
            </w:tcMar>
            <w:vAlign w:val="bottom"/>
            <w:hideMark/>
          </w:tcPr>
          <w:p w14:paraId="0241799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37</w:t>
            </w:r>
          </w:p>
        </w:tc>
        <w:tc>
          <w:tcPr>
            <w:tcW w:w="638" w:type="dxa"/>
            <w:tcBorders>
              <w:top w:val="nil"/>
            </w:tcBorders>
            <w:shd w:val="clear" w:color="auto" w:fill="auto"/>
            <w:noWrap/>
            <w:tcMar>
              <w:left w:w="28" w:type="dxa"/>
              <w:right w:w="28" w:type="dxa"/>
            </w:tcMar>
            <w:vAlign w:val="bottom"/>
            <w:hideMark/>
          </w:tcPr>
          <w:p w14:paraId="24E19DE6"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34</w:t>
            </w:r>
          </w:p>
        </w:tc>
        <w:tc>
          <w:tcPr>
            <w:tcW w:w="425" w:type="dxa"/>
            <w:tcBorders>
              <w:top w:val="nil"/>
            </w:tcBorders>
            <w:vAlign w:val="bottom"/>
          </w:tcPr>
          <w:p w14:paraId="7E733B72"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22</w:t>
            </w:r>
          </w:p>
        </w:tc>
      </w:tr>
      <w:tr w:rsidR="00BB67FB" w:rsidRPr="00AF264D" w14:paraId="732A2898"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4E57BAA1"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Manufacture of other transport equipment</w:t>
            </w:r>
          </w:p>
        </w:tc>
        <w:tc>
          <w:tcPr>
            <w:tcW w:w="780" w:type="dxa"/>
            <w:tcBorders>
              <w:top w:val="nil"/>
            </w:tcBorders>
            <w:shd w:val="clear" w:color="auto" w:fill="auto"/>
            <w:noWrap/>
            <w:tcMar>
              <w:left w:w="28" w:type="dxa"/>
              <w:right w:w="28" w:type="dxa"/>
            </w:tcMar>
            <w:vAlign w:val="bottom"/>
            <w:hideMark/>
          </w:tcPr>
          <w:p w14:paraId="169F8044"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w:t>
            </w:r>
          </w:p>
        </w:tc>
        <w:tc>
          <w:tcPr>
            <w:tcW w:w="638" w:type="dxa"/>
            <w:tcBorders>
              <w:top w:val="nil"/>
            </w:tcBorders>
            <w:shd w:val="clear" w:color="auto" w:fill="auto"/>
            <w:noWrap/>
            <w:tcMar>
              <w:left w:w="28" w:type="dxa"/>
              <w:right w:w="28" w:type="dxa"/>
            </w:tcMar>
            <w:vAlign w:val="bottom"/>
            <w:hideMark/>
          </w:tcPr>
          <w:p w14:paraId="00087903"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35</w:t>
            </w:r>
          </w:p>
        </w:tc>
        <w:tc>
          <w:tcPr>
            <w:tcW w:w="425" w:type="dxa"/>
            <w:tcBorders>
              <w:top w:val="nil"/>
            </w:tcBorders>
            <w:vAlign w:val="bottom"/>
          </w:tcPr>
          <w:p w14:paraId="6017266E"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14</w:t>
            </w:r>
          </w:p>
        </w:tc>
      </w:tr>
      <w:tr w:rsidR="00BB67FB" w:rsidRPr="00AF264D" w14:paraId="1FE97CF6" w14:textId="77777777" w:rsidTr="00144929">
        <w:trPr>
          <w:trHeight w:val="20"/>
          <w:jc w:val="center"/>
        </w:trPr>
        <w:tc>
          <w:tcPr>
            <w:tcW w:w="6308" w:type="dxa"/>
            <w:tcBorders>
              <w:top w:val="nil"/>
              <w:left w:val="nil"/>
            </w:tcBorders>
            <w:shd w:val="clear" w:color="auto" w:fill="auto"/>
            <w:noWrap/>
            <w:tcMar>
              <w:left w:w="28" w:type="dxa"/>
              <w:right w:w="28" w:type="dxa"/>
            </w:tcMar>
            <w:vAlign w:val="bottom"/>
            <w:hideMark/>
          </w:tcPr>
          <w:p w14:paraId="33644681"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Furniture and fixtures</w:t>
            </w:r>
          </w:p>
        </w:tc>
        <w:tc>
          <w:tcPr>
            <w:tcW w:w="780" w:type="dxa"/>
            <w:tcBorders>
              <w:top w:val="nil"/>
            </w:tcBorders>
            <w:shd w:val="clear" w:color="auto" w:fill="auto"/>
            <w:noWrap/>
            <w:tcMar>
              <w:left w:w="28" w:type="dxa"/>
              <w:right w:w="28" w:type="dxa"/>
            </w:tcMar>
            <w:vAlign w:val="bottom"/>
            <w:hideMark/>
          </w:tcPr>
          <w:p w14:paraId="28F1A34C"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25</w:t>
            </w:r>
          </w:p>
        </w:tc>
        <w:tc>
          <w:tcPr>
            <w:tcW w:w="638" w:type="dxa"/>
            <w:tcBorders>
              <w:top w:val="nil"/>
            </w:tcBorders>
            <w:shd w:val="clear" w:color="auto" w:fill="auto"/>
            <w:noWrap/>
            <w:tcMar>
              <w:left w:w="28" w:type="dxa"/>
              <w:right w:w="28" w:type="dxa"/>
            </w:tcMar>
            <w:vAlign w:val="bottom"/>
            <w:hideMark/>
          </w:tcPr>
          <w:p w14:paraId="59126BAE"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36</w:t>
            </w:r>
          </w:p>
        </w:tc>
        <w:tc>
          <w:tcPr>
            <w:tcW w:w="425" w:type="dxa"/>
            <w:tcBorders>
              <w:top w:val="nil"/>
            </w:tcBorders>
            <w:vAlign w:val="bottom"/>
          </w:tcPr>
          <w:p w14:paraId="32B9E095"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16</w:t>
            </w:r>
          </w:p>
        </w:tc>
      </w:tr>
      <w:tr w:rsidR="00BB67FB" w:rsidRPr="00AF264D" w14:paraId="30B92FD6" w14:textId="77777777" w:rsidTr="00144929">
        <w:trPr>
          <w:trHeight w:val="20"/>
          <w:jc w:val="center"/>
        </w:trPr>
        <w:tc>
          <w:tcPr>
            <w:tcW w:w="6308" w:type="dxa"/>
            <w:tcBorders>
              <w:top w:val="nil"/>
              <w:left w:val="nil"/>
              <w:bottom w:val="nil"/>
            </w:tcBorders>
            <w:shd w:val="clear" w:color="auto" w:fill="auto"/>
            <w:noWrap/>
            <w:tcMar>
              <w:left w:w="28" w:type="dxa"/>
              <w:right w:w="28" w:type="dxa"/>
            </w:tcMar>
            <w:vAlign w:val="bottom"/>
            <w:hideMark/>
          </w:tcPr>
          <w:p w14:paraId="5B6BB21F" w14:textId="77777777" w:rsidR="00BB67FB" w:rsidRPr="00AF264D" w:rsidRDefault="00BB67FB" w:rsidP="00144929">
            <w:pPr>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Stone, clay, glass, and concrete products</w:t>
            </w:r>
          </w:p>
        </w:tc>
        <w:tc>
          <w:tcPr>
            <w:tcW w:w="780" w:type="dxa"/>
            <w:tcBorders>
              <w:top w:val="nil"/>
              <w:bottom w:val="nil"/>
            </w:tcBorders>
            <w:shd w:val="clear" w:color="auto" w:fill="auto"/>
            <w:noWrap/>
            <w:tcMar>
              <w:left w:w="28" w:type="dxa"/>
              <w:right w:w="28" w:type="dxa"/>
            </w:tcMar>
            <w:vAlign w:val="bottom"/>
            <w:hideMark/>
          </w:tcPr>
          <w:p w14:paraId="4D9D3769"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32</w:t>
            </w:r>
          </w:p>
        </w:tc>
        <w:tc>
          <w:tcPr>
            <w:tcW w:w="638" w:type="dxa"/>
            <w:tcBorders>
              <w:top w:val="nil"/>
              <w:bottom w:val="nil"/>
            </w:tcBorders>
            <w:shd w:val="clear" w:color="auto" w:fill="auto"/>
            <w:noWrap/>
            <w:tcMar>
              <w:left w:w="28" w:type="dxa"/>
              <w:right w:w="28" w:type="dxa"/>
            </w:tcMar>
            <w:vAlign w:val="bottom"/>
            <w:hideMark/>
          </w:tcPr>
          <w:p w14:paraId="2363A36B"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hAnsi="Times New Roman" w:cs="Times New Roman"/>
                <w:sz w:val="20"/>
                <w:szCs w:val="20"/>
                <w:lang w:eastAsia="it-IT"/>
              </w:rPr>
              <w:t>-</w:t>
            </w:r>
          </w:p>
        </w:tc>
        <w:tc>
          <w:tcPr>
            <w:tcW w:w="425" w:type="dxa"/>
            <w:tcBorders>
              <w:top w:val="nil"/>
              <w:bottom w:val="nil"/>
            </w:tcBorders>
            <w:vAlign w:val="bottom"/>
          </w:tcPr>
          <w:p w14:paraId="40810568"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17</w:t>
            </w:r>
          </w:p>
        </w:tc>
      </w:tr>
      <w:tr w:rsidR="00BB67FB" w:rsidRPr="00AF264D" w14:paraId="75E90128" w14:textId="77777777" w:rsidTr="00144929">
        <w:trPr>
          <w:trHeight w:val="20"/>
          <w:jc w:val="center"/>
        </w:trPr>
        <w:tc>
          <w:tcPr>
            <w:tcW w:w="6308" w:type="dxa"/>
            <w:tcBorders>
              <w:top w:val="nil"/>
              <w:left w:val="nil"/>
              <w:bottom w:val="single" w:sz="4" w:space="0" w:color="auto"/>
            </w:tcBorders>
            <w:shd w:val="clear" w:color="auto" w:fill="auto"/>
            <w:noWrap/>
            <w:tcMar>
              <w:left w:w="28" w:type="dxa"/>
              <w:right w:w="28" w:type="dxa"/>
            </w:tcMar>
            <w:vAlign w:val="bottom"/>
          </w:tcPr>
          <w:p w14:paraId="4B6D0267" w14:textId="77777777" w:rsidR="00BB67FB" w:rsidRPr="00AF264D" w:rsidRDefault="00BB67FB" w:rsidP="00144929">
            <w:pPr>
              <w:rPr>
                <w:rFonts w:ascii="Times New Roman" w:hAnsi="Times New Roman" w:cs="Times New Roman"/>
                <w:sz w:val="20"/>
                <w:szCs w:val="20"/>
                <w:lang w:eastAsia="it-IT"/>
              </w:rPr>
            </w:pPr>
            <w:r w:rsidRPr="00AF264D">
              <w:rPr>
                <w:rFonts w:ascii="Times New Roman" w:hAnsi="Times New Roman" w:cs="Times New Roman"/>
                <w:sz w:val="20"/>
                <w:szCs w:val="20"/>
                <w:lang w:eastAsia="it-IT"/>
              </w:rPr>
              <w:t>Miscellaneous manufacturing industries</w:t>
            </w:r>
          </w:p>
        </w:tc>
        <w:tc>
          <w:tcPr>
            <w:tcW w:w="780" w:type="dxa"/>
            <w:tcBorders>
              <w:top w:val="nil"/>
              <w:bottom w:val="single" w:sz="4" w:space="0" w:color="auto"/>
            </w:tcBorders>
            <w:shd w:val="clear" w:color="auto" w:fill="auto"/>
            <w:noWrap/>
            <w:tcMar>
              <w:left w:w="28" w:type="dxa"/>
              <w:right w:w="28" w:type="dxa"/>
            </w:tcMar>
            <w:vAlign w:val="bottom"/>
          </w:tcPr>
          <w:p w14:paraId="30020535" w14:textId="77777777" w:rsidR="00BB67FB" w:rsidRPr="00AF264D" w:rsidRDefault="00BB67FB" w:rsidP="00144929">
            <w:pPr>
              <w:jc w:val="right"/>
              <w:rPr>
                <w:rFonts w:ascii="Times New Roman" w:hAnsi="Times New Roman" w:cs="Times New Roman"/>
                <w:sz w:val="20"/>
                <w:szCs w:val="20"/>
                <w:lang w:eastAsia="it-IT"/>
              </w:rPr>
            </w:pPr>
            <w:r w:rsidRPr="00AF264D">
              <w:rPr>
                <w:rFonts w:ascii="Times New Roman" w:hAnsi="Times New Roman" w:cs="Times New Roman"/>
                <w:sz w:val="20"/>
                <w:szCs w:val="20"/>
                <w:lang w:eastAsia="it-IT"/>
              </w:rPr>
              <w:t>39</w:t>
            </w:r>
          </w:p>
        </w:tc>
        <w:tc>
          <w:tcPr>
            <w:tcW w:w="638" w:type="dxa"/>
            <w:tcBorders>
              <w:top w:val="nil"/>
              <w:bottom w:val="single" w:sz="4" w:space="0" w:color="auto"/>
            </w:tcBorders>
            <w:shd w:val="clear" w:color="auto" w:fill="auto"/>
            <w:noWrap/>
            <w:tcMar>
              <w:left w:w="28" w:type="dxa"/>
              <w:right w:w="28" w:type="dxa"/>
            </w:tcMar>
            <w:vAlign w:val="bottom"/>
          </w:tcPr>
          <w:p w14:paraId="588E8949" w14:textId="77777777" w:rsidR="00BB67FB" w:rsidRPr="00AF264D" w:rsidRDefault="00BB67FB" w:rsidP="00144929">
            <w:pPr>
              <w:jc w:val="right"/>
              <w:rPr>
                <w:rFonts w:ascii="Times New Roman" w:hAnsi="Times New Roman" w:cs="Times New Roman"/>
                <w:sz w:val="20"/>
                <w:szCs w:val="20"/>
                <w:lang w:eastAsia="it-IT"/>
              </w:rPr>
            </w:pPr>
            <w:r w:rsidRPr="00AF264D">
              <w:rPr>
                <w:rFonts w:ascii="Times New Roman" w:hAnsi="Times New Roman" w:cs="Times New Roman"/>
                <w:sz w:val="20"/>
                <w:szCs w:val="20"/>
                <w:lang w:eastAsia="it-IT"/>
              </w:rPr>
              <w:t>-</w:t>
            </w:r>
          </w:p>
        </w:tc>
        <w:tc>
          <w:tcPr>
            <w:tcW w:w="425" w:type="dxa"/>
            <w:tcBorders>
              <w:top w:val="nil"/>
              <w:bottom w:val="single" w:sz="4" w:space="0" w:color="auto"/>
            </w:tcBorders>
            <w:vAlign w:val="bottom"/>
          </w:tcPr>
          <w:p w14:paraId="6F3596D9" w14:textId="77777777" w:rsidR="00BB67FB" w:rsidRPr="00AF264D" w:rsidRDefault="00BB67FB" w:rsidP="00144929">
            <w:pPr>
              <w:jc w:val="right"/>
              <w:rPr>
                <w:rFonts w:ascii="Times New Roman" w:eastAsia="Times New Roman" w:hAnsi="Times New Roman" w:cs="Times New Roman"/>
                <w:sz w:val="20"/>
                <w:szCs w:val="20"/>
                <w:lang w:eastAsia="it-IT"/>
              </w:rPr>
            </w:pPr>
            <w:r w:rsidRPr="00AF264D">
              <w:rPr>
                <w:rFonts w:ascii="Times New Roman" w:eastAsia="Times New Roman" w:hAnsi="Times New Roman" w:cs="Times New Roman"/>
                <w:sz w:val="20"/>
                <w:szCs w:val="20"/>
                <w:lang w:eastAsia="it-IT"/>
              </w:rPr>
              <w:t>77</w:t>
            </w:r>
          </w:p>
        </w:tc>
      </w:tr>
    </w:tbl>
    <w:p w14:paraId="06DE6554" w14:textId="77777777" w:rsidR="00BB67FB" w:rsidRDefault="00BB67FB" w:rsidP="00BB67FB">
      <w:pPr>
        <w:spacing w:line="480" w:lineRule="auto"/>
        <w:rPr>
          <w:rFonts w:ascii="Times New Roman" w:hAnsi="Times New Roman" w:cs="Times New Roman"/>
        </w:rPr>
      </w:pPr>
    </w:p>
    <w:p w14:paraId="1CE1FC7E" w14:textId="77777777" w:rsidR="00BB67FB" w:rsidRDefault="00BB67FB" w:rsidP="00BB67FB">
      <w:pPr>
        <w:spacing w:line="480" w:lineRule="auto"/>
        <w:rPr>
          <w:rFonts w:ascii="Times New Roman" w:hAnsi="Times New Roman" w:cs="Times New Roman"/>
        </w:rPr>
      </w:pPr>
    </w:p>
    <w:p w14:paraId="24A0315C" w14:textId="77777777" w:rsidR="00BB67FB" w:rsidRDefault="00BB67FB" w:rsidP="00BB67FB">
      <w:pPr>
        <w:spacing w:line="480" w:lineRule="auto"/>
        <w:rPr>
          <w:rFonts w:ascii="Times New Roman" w:hAnsi="Times New Roman" w:cs="Times New Roman"/>
        </w:rPr>
      </w:pPr>
    </w:p>
    <w:p w14:paraId="30926A1E" w14:textId="77777777" w:rsidR="00BB67FB" w:rsidRDefault="00BB67FB" w:rsidP="00BB67FB">
      <w:pPr>
        <w:spacing w:line="480" w:lineRule="auto"/>
        <w:rPr>
          <w:rFonts w:ascii="Times New Roman" w:hAnsi="Times New Roman" w:cs="Times New Roman"/>
        </w:rPr>
      </w:pPr>
    </w:p>
    <w:p w14:paraId="7BFDD69D" w14:textId="77777777" w:rsidR="00BB67FB" w:rsidRPr="00AF264D" w:rsidRDefault="00BB67FB" w:rsidP="00BB67FB">
      <w:pPr>
        <w:spacing w:line="480" w:lineRule="auto"/>
        <w:rPr>
          <w:rFonts w:ascii="Times New Roman" w:hAnsi="Times New Roman" w:cs="Times New Roman"/>
        </w:rPr>
      </w:pPr>
    </w:p>
    <w:p w14:paraId="541F3D72" w14:textId="77777777" w:rsidR="00BB67FB" w:rsidRPr="001B0E22" w:rsidRDefault="00BB67FB" w:rsidP="00BB67FB">
      <w:pPr>
        <w:pStyle w:val="Caption"/>
        <w:keepNext/>
        <w:jc w:val="left"/>
        <w:rPr>
          <w:rFonts w:ascii="Times New Roman" w:hAnsi="Times New Roman" w:cs="Times New Roman"/>
          <w:b w:val="0"/>
          <w:sz w:val="24"/>
          <w:lang w:val="en-GB"/>
        </w:rPr>
      </w:pPr>
      <w:r w:rsidRPr="001B0E22">
        <w:rPr>
          <w:rFonts w:ascii="Times New Roman" w:hAnsi="Times New Roman" w:cs="Times New Roman"/>
          <w:sz w:val="24"/>
          <w:lang w:val="en-GB"/>
        </w:rPr>
        <w:t>Table 2:</w:t>
      </w:r>
      <w:r w:rsidRPr="001B0E22">
        <w:rPr>
          <w:rFonts w:ascii="Times New Roman" w:hAnsi="Times New Roman" w:cs="Times New Roman"/>
          <w:b w:val="0"/>
          <w:sz w:val="24"/>
          <w:lang w:val="en-GB"/>
        </w:rPr>
        <w:t xml:space="preserve"> Country sample descriptive </w:t>
      </w:r>
    </w:p>
    <w:tbl>
      <w:tblPr>
        <w:tblW w:w="9080" w:type="dxa"/>
        <w:tblCellMar>
          <w:left w:w="0" w:type="dxa"/>
          <w:right w:w="0" w:type="dxa"/>
        </w:tblCellMar>
        <w:tblLook w:val="0420" w:firstRow="1" w:lastRow="0" w:firstColumn="0" w:lastColumn="0" w:noHBand="0" w:noVBand="1"/>
      </w:tblPr>
      <w:tblGrid>
        <w:gridCol w:w="3008"/>
        <w:gridCol w:w="2024"/>
        <w:gridCol w:w="2024"/>
        <w:gridCol w:w="2024"/>
      </w:tblGrid>
      <w:tr w:rsidR="00BB67FB" w:rsidRPr="00AF264D" w14:paraId="5EB38393" w14:textId="77777777" w:rsidTr="00144929">
        <w:tc>
          <w:tcPr>
            <w:tcW w:w="30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D85145B"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b/>
                <w:bCs/>
                <w:color w:val="000000"/>
                <w:kern w:val="24"/>
                <w:sz w:val="20"/>
                <w:szCs w:val="20"/>
              </w:rPr>
              <w:t>Country</w:t>
            </w:r>
          </w:p>
        </w:tc>
        <w:tc>
          <w:tcPr>
            <w:tcW w:w="20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56ACE0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Regulatory national environment (1-7)</w:t>
            </w:r>
          </w:p>
        </w:tc>
        <w:tc>
          <w:tcPr>
            <w:tcW w:w="20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D6E1298"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 xml:space="preserve">Neglect of critical infrastructure (1-19) </w:t>
            </w:r>
          </w:p>
        </w:tc>
        <w:tc>
          <w:tcPr>
            <w:tcW w:w="20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2CC325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 xml:space="preserve">UAI </w:t>
            </w:r>
            <w:r w:rsidRPr="00AF264D">
              <w:rPr>
                <w:rFonts w:ascii="Times New Roman" w:eastAsia="MS Mincho" w:hAnsi="Times New Roman" w:cs="Times New Roman"/>
                <w:color w:val="000000"/>
                <w:kern w:val="24"/>
                <w:sz w:val="20"/>
                <w:szCs w:val="20"/>
              </w:rPr>
              <w:br/>
              <w:t xml:space="preserve">(1-100) </w:t>
            </w:r>
          </w:p>
        </w:tc>
      </w:tr>
      <w:tr w:rsidR="00BB67FB" w:rsidRPr="00AF264D" w14:paraId="7A673BB1" w14:textId="77777777" w:rsidTr="00144929">
        <w:tc>
          <w:tcPr>
            <w:tcW w:w="300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7CB8E0C"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Australia</w:t>
            </w:r>
          </w:p>
        </w:tc>
        <w:tc>
          <w:tcPr>
            <w:tcW w:w="202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7152E90"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4.9</w:t>
            </w:r>
          </w:p>
        </w:tc>
        <w:tc>
          <w:tcPr>
            <w:tcW w:w="202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2A819BD"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14</w:t>
            </w:r>
          </w:p>
        </w:tc>
        <w:tc>
          <w:tcPr>
            <w:tcW w:w="202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5F02FD1"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51</w:t>
            </w:r>
          </w:p>
        </w:tc>
      </w:tr>
      <w:tr w:rsidR="00BB67FB" w:rsidRPr="00AF264D" w14:paraId="592C997F"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6569DC2D"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Croatia</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29309353"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3.4</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47909CFC"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8.8</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1E3547A"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80</w:t>
            </w:r>
          </w:p>
        </w:tc>
      </w:tr>
      <w:tr w:rsidR="00BB67FB" w:rsidRPr="00AF264D" w14:paraId="4313B9C6"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1F097A6D"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China</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49AA608B"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4.3</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28469023"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6</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361447D0"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30</w:t>
            </w:r>
          </w:p>
        </w:tc>
      </w:tr>
      <w:tr w:rsidR="00BB67FB" w:rsidRPr="00AF264D" w14:paraId="681E9A9D"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66CAB825"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Germany</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0A074DC5"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4.8</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553F2860"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6.2</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72FCD259"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65</w:t>
            </w:r>
          </w:p>
        </w:tc>
      </w:tr>
      <w:tr w:rsidR="00BB67FB" w:rsidRPr="00AF264D" w14:paraId="2AB75E03"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791E63A8"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Hungary</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DE21015"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3.7</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048FA669"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3.7</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5EFC72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82</w:t>
            </w:r>
          </w:p>
        </w:tc>
      </w:tr>
      <w:tr w:rsidR="00BB67FB" w:rsidRPr="00AF264D" w14:paraId="6139D021"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579E59D4"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Ireland</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70E8F17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4.5</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3383EE5F"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6.9</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675C7678"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35</w:t>
            </w:r>
          </w:p>
        </w:tc>
      </w:tr>
      <w:tr w:rsidR="00BB67FB" w:rsidRPr="00AF264D" w14:paraId="386F283B"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01F26978"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Korea</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4BC4CE26"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3.8</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5825726E"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2.7</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2FA3C2A6"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85</w:t>
            </w:r>
          </w:p>
        </w:tc>
      </w:tr>
      <w:tr w:rsidR="00BB67FB" w:rsidRPr="00AF264D" w14:paraId="253CD923"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1B6735AE"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Nigeria</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61830A4F"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3.5</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7B2F581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15</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6253003C"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55</w:t>
            </w:r>
          </w:p>
        </w:tc>
      </w:tr>
      <w:tr w:rsidR="00BB67FB" w:rsidRPr="00AF264D" w14:paraId="20D2850A"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2A62D74D"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Poland</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2CEA78AB"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3.9</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3A240DD7"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5.1</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433C328"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93</w:t>
            </w:r>
          </w:p>
        </w:tc>
      </w:tr>
      <w:tr w:rsidR="00BB67FB" w:rsidRPr="00AF264D" w14:paraId="011549B1"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47468A41"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Taiwan</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7832AD3C"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4.9</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4B2CDDE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3.3</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34960DA"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69</w:t>
            </w:r>
          </w:p>
        </w:tc>
      </w:tr>
      <w:tr w:rsidR="00BB67FB" w:rsidRPr="00AF264D" w14:paraId="6EE7A3A3" w14:textId="77777777" w:rsidTr="00144929">
        <w:tc>
          <w:tcPr>
            <w:tcW w:w="3008" w:type="dxa"/>
            <w:tcBorders>
              <w:top w:val="nil"/>
              <w:left w:val="nil"/>
              <w:bottom w:val="nil"/>
              <w:right w:val="nil"/>
            </w:tcBorders>
            <w:shd w:val="clear" w:color="auto" w:fill="auto"/>
            <w:tcMar>
              <w:top w:w="15" w:type="dxa"/>
              <w:left w:w="108" w:type="dxa"/>
              <w:bottom w:w="0" w:type="dxa"/>
              <w:right w:w="108" w:type="dxa"/>
            </w:tcMar>
            <w:hideMark/>
          </w:tcPr>
          <w:p w14:paraId="28B8AB26"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United States</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4F8A8BD9"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4.5</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1123EE45"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9.3</w:t>
            </w:r>
          </w:p>
        </w:tc>
        <w:tc>
          <w:tcPr>
            <w:tcW w:w="2024" w:type="dxa"/>
            <w:tcBorders>
              <w:top w:val="nil"/>
              <w:left w:val="nil"/>
              <w:bottom w:val="nil"/>
              <w:right w:val="nil"/>
            </w:tcBorders>
            <w:shd w:val="clear" w:color="auto" w:fill="auto"/>
            <w:tcMar>
              <w:top w:w="15" w:type="dxa"/>
              <w:left w:w="108" w:type="dxa"/>
              <w:bottom w:w="0" w:type="dxa"/>
              <w:right w:w="108" w:type="dxa"/>
            </w:tcMar>
            <w:hideMark/>
          </w:tcPr>
          <w:p w14:paraId="2A78948D"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46</w:t>
            </w:r>
          </w:p>
        </w:tc>
      </w:tr>
      <w:tr w:rsidR="00BB67FB" w:rsidRPr="00AF264D" w14:paraId="24E3EF10" w14:textId="77777777" w:rsidTr="00144929">
        <w:tc>
          <w:tcPr>
            <w:tcW w:w="3008" w:type="dxa"/>
            <w:tcBorders>
              <w:top w:val="nil"/>
              <w:left w:val="nil"/>
              <w:bottom w:val="single" w:sz="8" w:space="0" w:color="auto"/>
              <w:right w:val="nil"/>
            </w:tcBorders>
            <w:shd w:val="clear" w:color="auto" w:fill="auto"/>
            <w:tcMar>
              <w:top w:w="15" w:type="dxa"/>
              <w:left w:w="108" w:type="dxa"/>
              <w:bottom w:w="0" w:type="dxa"/>
              <w:right w:w="108" w:type="dxa"/>
            </w:tcMar>
            <w:hideMark/>
          </w:tcPr>
          <w:p w14:paraId="477D89D1" w14:textId="77777777" w:rsidR="00BB67FB" w:rsidRPr="00AF264D" w:rsidRDefault="00BB67FB" w:rsidP="00144929">
            <w:pP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Vietnam</w:t>
            </w:r>
          </w:p>
        </w:tc>
        <w:tc>
          <w:tcPr>
            <w:tcW w:w="2024" w:type="dxa"/>
            <w:tcBorders>
              <w:top w:val="nil"/>
              <w:left w:val="nil"/>
              <w:bottom w:val="single" w:sz="8" w:space="0" w:color="auto"/>
              <w:right w:val="nil"/>
            </w:tcBorders>
            <w:shd w:val="clear" w:color="auto" w:fill="auto"/>
            <w:tcMar>
              <w:top w:w="15" w:type="dxa"/>
              <w:left w:w="108" w:type="dxa"/>
              <w:bottom w:w="0" w:type="dxa"/>
              <w:right w:w="108" w:type="dxa"/>
            </w:tcMar>
            <w:hideMark/>
          </w:tcPr>
          <w:p w14:paraId="361CFC7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3.6</w:t>
            </w:r>
          </w:p>
        </w:tc>
        <w:tc>
          <w:tcPr>
            <w:tcW w:w="2024" w:type="dxa"/>
            <w:tcBorders>
              <w:top w:val="nil"/>
              <w:left w:val="nil"/>
              <w:bottom w:val="single" w:sz="8" w:space="0" w:color="auto"/>
              <w:right w:val="nil"/>
            </w:tcBorders>
            <w:shd w:val="clear" w:color="auto" w:fill="auto"/>
            <w:tcMar>
              <w:top w:w="15" w:type="dxa"/>
              <w:left w:w="108" w:type="dxa"/>
              <w:bottom w:w="0" w:type="dxa"/>
              <w:right w:w="108" w:type="dxa"/>
            </w:tcMar>
            <w:hideMark/>
          </w:tcPr>
          <w:p w14:paraId="110DCCB4"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4.7</w:t>
            </w:r>
          </w:p>
        </w:tc>
        <w:tc>
          <w:tcPr>
            <w:tcW w:w="2024" w:type="dxa"/>
            <w:tcBorders>
              <w:top w:val="nil"/>
              <w:left w:val="nil"/>
              <w:bottom w:val="single" w:sz="8" w:space="0" w:color="auto"/>
              <w:right w:val="nil"/>
            </w:tcBorders>
            <w:shd w:val="clear" w:color="auto" w:fill="auto"/>
            <w:tcMar>
              <w:top w:w="15" w:type="dxa"/>
              <w:left w:w="108" w:type="dxa"/>
              <w:bottom w:w="0" w:type="dxa"/>
              <w:right w:w="108" w:type="dxa"/>
            </w:tcMar>
            <w:hideMark/>
          </w:tcPr>
          <w:p w14:paraId="5972D1B5" w14:textId="77777777" w:rsidR="00BB67FB" w:rsidRPr="00AF264D" w:rsidRDefault="00BB67FB" w:rsidP="00144929">
            <w:pPr>
              <w:jc w:val="center"/>
              <w:rPr>
                <w:rFonts w:ascii="Times New Roman" w:eastAsia="Times New Roman" w:hAnsi="Times New Roman" w:cs="Times New Roman"/>
                <w:sz w:val="20"/>
                <w:szCs w:val="20"/>
              </w:rPr>
            </w:pPr>
            <w:r w:rsidRPr="00AF264D">
              <w:rPr>
                <w:rFonts w:ascii="Times New Roman" w:eastAsia="MS Mincho" w:hAnsi="Times New Roman" w:cs="Times New Roman"/>
                <w:color w:val="000000"/>
                <w:kern w:val="24"/>
                <w:sz w:val="20"/>
                <w:szCs w:val="20"/>
              </w:rPr>
              <w:t>30</w:t>
            </w:r>
          </w:p>
        </w:tc>
      </w:tr>
    </w:tbl>
    <w:p w14:paraId="5756F847" w14:textId="77777777" w:rsidR="00BB67FB" w:rsidRDefault="00BB67FB" w:rsidP="00BB67FB">
      <w:pPr>
        <w:spacing w:line="480" w:lineRule="auto"/>
        <w:rPr>
          <w:rFonts w:ascii="Times New Roman" w:hAnsi="Times New Roman" w:cs="Times New Roman"/>
        </w:rPr>
      </w:pPr>
    </w:p>
    <w:p w14:paraId="3E7F8FDD" w14:textId="77777777" w:rsidR="00BB67FB" w:rsidRPr="001B0E22" w:rsidRDefault="00BB67FB" w:rsidP="00BB67FB">
      <w:pPr>
        <w:pStyle w:val="Caption"/>
        <w:keepNext/>
        <w:jc w:val="left"/>
        <w:rPr>
          <w:rFonts w:ascii="Times New Roman" w:hAnsi="Times New Roman" w:cs="Times New Roman"/>
          <w:b w:val="0"/>
          <w:sz w:val="24"/>
          <w:szCs w:val="24"/>
          <w:lang w:val="en-GB"/>
        </w:rPr>
      </w:pPr>
      <w:r w:rsidRPr="001B0E22">
        <w:rPr>
          <w:rFonts w:ascii="Times New Roman" w:hAnsi="Times New Roman" w:cs="Times New Roman"/>
          <w:sz w:val="24"/>
          <w:szCs w:val="24"/>
          <w:lang w:val="en-GB"/>
        </w:rPr>
        <w:t>Table 3:</w:t>
      </w:r>
      <w:r w:rsidRPr="001B0E22">
        <w:rPr>
          <w:rFonts w:ascii="Times New Roman" w:hAnsi="Times New Roman" w:cs="Times New Roman"/>
          <w:b w:val="0"/>
          <w:sz w:val="24"/>
          <w:szCs w:val="24"/>
          <w:lang w:val="en-GB"/>
        </w:rPr>
        <w:t xml:space="preserve"> </w:t>
      </w:r>
      <w:r>
        <w:rPr>
          <w:rFonts w:ascii="Times New Roman" w:hAnsi="Times New Roman" w:cs="Times New Roman"/>
          <w:b w:val="0"/>
          <w:sz w:val="24"/>
          <w:szCs w:val="24"/>
          <w:lang w:val="en-GB"/>
        </w:rPr>
        <w:t>Scores and measures of the composite index “</w:t>
      </w:r>
      <w:r w:rsidRPr="007745CB">
        <w:rPr>
          <w:rFonts w:ascii="Times New Roman" w:hAnsi="Times New Roman" w:cs="Times New Roman"/>
          <w:b w:val="0"/>
          <w:sz w:val="24"/>
          <w:szCs w:val="24"/>
          <w:lang w:val="en-GB"/>
        </w:rPr>
        <w:t>Regulatory environment</w:t>
      </w:r>
      <w:r>
        <w:rPr>
          <w:rFonts w:ascii="Times New Roman" w:hAnsi="Times New Roman" w:cs="Times New Roman"/>
          <w:b w:val="0"/>
          <w:sz w:val="24"/>
          <w:szCs w:val="24"/>
          <w:lang w:val="en-GB"/>
        </w:rPr>
        <w:t xml:space="preserve">” </w:t>
      </w:r>
      <w:r w:rsidRPr="00861627">
        <w:rPr>
          <w:rFonts w:ascii="Times New Roman" w:hAnsi="Times New Roman" w:cs="Times New Roman"/>
          <w:b w:val="0"/>
          <w:sz w:val="24"/>
          <w:szCs w:val="24"/>
          <w:lang w:val="en-GB"/>
        </w:rPr>
        <w:t>(Lawrence et al., 2012)</w:t>
      </w:r>
    </w:p>
    <w:p w14:paraId="3EBEE37B" w14:textId="77777777" w:rsidR="00BB67FB" w:rsidRDefault="00BB67FB" w:rsidP="00BB67FB"/>
    <w:tbl>
      <w:tblPr>
        <w:tblStyle w:val="TableGrid"/>
        <w:tblW w:w="0" w:type="auto"/>
        <w:tblLook w:val="04A0" w:firstRow="1" w:lastRow="0" w:firstColumn="1" w:lastColumn="0" w:noHBand="0" w:noVBand="1"/>
      </w:tblPr>
      <w:tblGrid>
        <w:gridCol w:w="2757"/>
        <w:gridCol w:w="6253"/>
      </w:tblGrid>
      <w:tr w:rsidR="00BB67FB" w:rsidRPr="007745CB" w14:paraId="3290DE8B" w14:textId="77777777" w:rsidTr="00144929">
        <w:tc>
          <w:tcPr>
            <w:tcW w:w="2802" w:type="dxa"/>
            <w:tcBorders>
              <w:left w:val="single" w:sz="4" w:space="0" w:color="FFFFFF" w:themeColor="background1"/>
              <w:bottom w:val="single" w:sz="12" w:space="0" w:color="000000" w:themeColor="text1"/>
            </w:tcBorders>
          </w:tcPr>
          <w:p w14:paraId="3C29C97D" w14:textId="77777777" w:rsidR="00BB67FB" w:rsidRPr="00861627" w:rsidRDefault="00BB67FB" w:rsidP="00144929">
            <w:pPr>
              <w:jc w:val="both"/>
              <w:rPr>
                <w:rFonts w:ascii="Times New Roman" w:hAnsi="Times New Roman" w:cs="Times New Roman"/>
                <w:b/>
                <w:sz w:val="20"/>
                <w:szCs w:val="20"/>
              </w:rPr>
            </w:pPr>
            <w:r w:rsidRPr="00861627">
              <w:rPr>
                <w:rFonts w:ascii="Times New Roman" w:hAnsi="Times New Roman" w:cs="Times New Roman"/>
                <w:b/>
                <w:sz w:val="20"/>
                <w:szCs w:val="20"/>
              </w:rPr>
              <w:t>Indicator</w:t>
            </w:r>
          </w:p>
        </w:tc>
        <w:tc>
          <w:tcPr>
            <w:tcW w:w="6434" w:type="dxa"/>
            <w:tcBorders>
              <w:bottom w:val="single" w:sz="12" w:space="0" w:color="000000" w:themeColor="text1"/>
              <w:right w:val="single" w:sz="4" w:space="0" w:color="FFFFFF" w:themeColor="background1"/>
            </w:tcBorders>
          </w:tcPr>
          <w:p w14:paraId="2A239827" w14:textId="77777777" w:rsidR="00BB67FB" w:rsidRPr="00861627" w:rsidRDefault="00BB67FB" w:rsidP="00144929">
            <w:pPr>
              <w:jc w:val="both"/>
              <w:rPr>
                <w:rFonts w:ascii="Times New Roman" w:hAnsi="Times New Roman" w:cs="Times New Roman"/>
                <w:b/>
                <w:sz w:val="20"/>
                <w:szCs w:val="20"/>
              </w:rPr>
            </w:pPr>
            <w:r w:rsidRPr="00861627">
              <w:rPr>
                <w:rFonts w:ascii="Times New Roman" w:hAnsi="Times New Roman" w:cs="Times New Roman"/>
                <w:b/>
                <w:sz w:val="20"/>
                <w:szCs w:val="20"/>
              </w:rPr>
              <w:t xml:space="preserve">Description and secondary data source </w:t>
            </w:r>
          </w:p>
        </w:tc>
      </w:tr>
      <w:tr w:rsidR="00BB67FB" w:rsidRPr="007745CB" w14:paraId="31E970E0" w14:textId="77777777" w:rsidTr="00144929">
        <w:tc>
          <w:tcPr>
            <w:tcW w:w="2802" w:type="dxa"/>
            <w:tcBorders>
              <w:top w:val="single" w:sz="12" w:space="0" w:color="000000" w:themeColor="text1"/>
              <w:left w:val="single" w:sz="4" w:space="0" w:color="FFFFFF" w:themeColor="background1"/>
            </w:tcBorders>
          </w:tcPr>
          <w:p w14:paraId="7AB6542F"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lang w:val="en-US"/>
              </w:rPr>
            </w:pPr>
            <w:r w:rsidRPr="00DD66AD">
              <w:rPr>
                <w:rFonts w:ascii="Times New Roman" w:eastAsia="Times New Roman" w:hAnsi="Times New Roman" w:cs="Times New Roman"/>
                <w:sz w:val="20"/>
                <w:szCs w:val="20"/>
                <w:lang w:val="en-US"/>
              </w:rPr>
              <w:lastRenderedPageBreak/>
              <w:t xml:space="preserve">Property rights </w:t>
            </w:r>
          </w:p>
        </w:tc>
        <w:tc>
          <w:tcPr>
            <w:tcW w:w="6434" w:type="dxa"/>
            <w:tcBorders>
              <w:top w:val="single" w:sz="12" w:space="0" w:color="000000" w:themeColor="text1"/>
              <w:right w:val="single" w:sz="4" w:space="0" w:color="FFFFFF" w:themeColor="background1"/>
            </w:tcBorders>
          </w:tcPr>
          <w:p w14:paraId="3FC8792C"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Composite indicator capturing the degree of protection of property rights and intellectual property</w:t>
            </w:r>
          </w:p>
          <w:p w14:paraId="08DD6E9F"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World Economic Forum (WEF), The Global Competitiveness Report 2011–2012</w:t>
            </w:r>
          </w:p>
        </w:tc>
      </w:tr>
      <w:tr w:rsidR="00BB67FB" w:rsidRPr="007745CB" w14:paraId="09CC48B1" w14:textId="77777777" w:rsidTr="00144929">
        <w:tc>
          <w:tcPr>
            <w:tcW w:w="2802" w:type="dxa"/>
            <w:tcBorders>
              <w:left w:val="single" w:sz="4" w:space="0" w:color="FFFFFF" w:themeColor="background1"/>
            </w:tcBorders>
          </w:tcPr>
          <w:p w14:paraId="639C142B"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 xml:space="preserve">Ethics and corruption </w:t>
            </w:r>
          </w:p>
        </w:tc>
        <w:tc>
          <w:tcPr>
            <w:tcW w:w="6434" w:type="dxa"/>
            <w:tcBorders>
              <w:right w:val="single" w:sz="4" w:space="0" w:color="FFFFFF" w:themeColor="background1"/>
            </w:tcBorders>
          </w:tcPr>
          <w:p w14:paraId="75BEAACE"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 xml:space="preserve">Composite indicator assessing the level of ethical standards and corruption </w:t>
            </w:r>
          </w:p>
          <w:p w14:paraId="2EABA456"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The Global Competitiveness Report 2011–2012</w:t>
            </w:r>
          </w:p>
        </w:tc>
      </w:tr>
      <w:tr w:rsidR="00BB67FB" w:rsidRPr="007745CB" w14:paraId="13869A63" w14:textId="77777777" w:rsidTr="00144929">
        <w:tc>
          <w:tcPr>
            <w:tcW w:w="2802" w:type="dxa"/>
            <w:tcBorders>
              <w:left w:val="single" w:sz="4" w:space="0" w:color="FFFFFF" w:themeColor="background1"/>
            </w:tcBorders>
          </w:tcPr>
          <w:p w14:paraId="7D0D72C8"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 xml:space="preserve">Undue influence </w:t>
            </w:r>
          </w:p>
        </w:tc>
        <w:tc>
          <w:tcPr>
            <w:tcW w:w="6434" w:type="dxa"/>
            <w:tcBorders>
              <w:right w:val="single" w:sz="4" w:space="0" w:color="FFFFFF" w:themeColor="background1"/>
            </w:tcBorders>
          </w:tcPr>
          <w:p w14:paraId="07F9639D"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Composite indicator capturing the degree of undue influence in the judicial system and among government officials</w:t>
            </w:r>
          </w:p>
          <w:p w14:paraId="056F2261"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The Global Competitiveness Report 2011–2012</w:t>
            </w:r>
          </w:p>
        </w:tc>
      </w:tr>
      <w:tr w:rsidR="00BB67FB" w:rsidRPr="007745CB" w14:paraId="5702342E" w14:textId="77777777" w:rsidTr="00144929">
        <w:tc>
          <w:tcPr>
            <w:tcW w:w="2802" w:type="dxa"/>
            <w:tcBorders>
              <w:left w:val="single" w:sz="4" w:space="0" w:color="FFFFFF" w:themeColor="background1"/>
            </w:tcBorders>
          </w:tcPr>
          <w:p w14:paraId="2DDD95D1"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Government efficiency</w:t>
            </w:r>
          </w:p>
        </w:tc>
        <w:tc>
          <w:tcPr>
            <w:tcW w:w="6434" w:type="dxa"/>
            <w:tcBorders>
              <w:right w:val="single" w:sz="4" w:space="0" w:color="FFFFFF" w:themeColor="background1"/>
            </w:tcBorders>
          </w:tcPr>
          <w:p w14:paraId="28C94234"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 xml:space="preserve">Composite indicator capturing the efficiency of the government </w:t>
            </w:r>
          </w:p>
          <w:p w14:paraId="4BFD7F1C"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The Global Competitiveness Report 2011–2012</w:t>
            </w:r>
          </w:p>
        </w:tc>
      </w:tr>
      <w:tr w:rsidR="00BB67FB" w:rsidRPr="007745CB" w14:paraId="7D40F19B" w14:textId="77777777" w:rsidTr="00144929">
        <w:tc>
          <w:tcPr>
            <w:tcW w:w="2802" w:type="dxa"/>
            <w:tcBorders>
              <w:left w:val="single" w:sz="4" w:space="0" w:color="FFFFFF" w:themeColor="background1"/>
            </w:tcBorders>
          </w:tcPr>
          <w:p w14:paraId="0A98AED7"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Domestic competition</w:t>
            </w:r>
          </w:p>
        </w:tc>
        <w:tc>
          <w:tcPr>
            <w:tcW w:w="6434" w:type="dxa"/>
            <w:tcBorders>
              <w:right w:val="single" w:sz="4" w:space="0" w:color="FFFFFF" w:themeColor="background1"/>
            </w:tcBorders>
          </w:tcPr>
          <w:p w14:paraId="1E7837B0"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Composite indicator measuring the intensity of domestic competition and the quality of related policies</w:t>
            </w:r>
          </w:p>
          <w:p w14:paraId="04FD1CA7"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The Global Competitiveness Report 2011–2012</w:t>
            </w:r>
          </w:p>
        </w:tc>
      </w:tr>
      <w:tr w:rsidR="00BB67FB" w:rsidRPr="007745CB" w14:paraId="32703767" w14:textId="77777777" w:rsidTr="00144929">
        <w:tc>
          <w:tcPr>
            <w:tcW w:w="2802" w:type="dxa"/>
            <w:tcBorders>
              <w:left w:val="single" w:sz="4" w:space="0" w:color="FFFFFF" w:themeColor="background1"/>
            </w:tcBorders>
          </w:tcPr>
          <w:p w14:paraId="3F81B754" w14:textId="77777777" w:rsidR="00BB67FB" w:rsidRPr="009D1CB0" w:rsidRDefault="00BB67FB" w:rsidP="00BB67FB">
            <w:pPr>
              <w:pStyle w:val="ListParagraph"/>
              <w:numPr>
                <w:ilvl w:val="0"/>
                <w:numId w:val="21"/>
              </w:numPr>
              <w:ind w:left="284"/>
              <w:rPr>
                <w:rFonts w:ascii="Times New Roman" w:hAnsi="Times New Roman" w:cs="Times New Roman"/>
                <w:sz w:val="20"/>
                <w:szCs w:val="20"/>
              </w:rPr>
            </w:pPr>
            <w:r w:rsidRPr="00DD66AD">
              <w:rPr>
                <w:rFonts w:ascii="Times New Roman" w:eastAsia="Times New Roman" w:hAnsi="Times New Roman" w:cs="Times New Roman"/>
                <w:sz w:val="20"/>
                <w:szCs w:val="20"/>
                <w:lang w:val="en-US"/>
              </w:rPr>
              <w:t>Efficiency of the financial market</w:t>
            </w:r>
          </w:p>
        </w:tc>
        <w:tc>
          <w:tcPr>
            <w:tcW w:w="6434" w:type="dxa"/>
            <w:tcBorders>
              <w:right w:val="single" w:sz="4" w:space="0" w:color="FFFFFF" w:themeColor="background1"/>
            </w:tcBorders>
          </w:tcPr>
          <w:p w14:paraId="6E62DA45"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Composite indicator measuring the efficiency of the domestic financial sector</w:t>
            </w:r>
          </w:p>
          <w:p w14:paraId="615C7137"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The Global Competitiveness Report 2011–2012</w:t>
            </w:r>
          </w:p>
        </w:tc>
      </w:tr>
      <w:tr w:rsidR="00BB67FB" w:rsidRPr="007745CB" w14:paraId="5225B5FD" w14:textId="77777777" w:rsidTr="00144929">
        <w:tc>
          <w:tcPr>
            <w:tcW w:w="2802" w:type="dxa"/>
            <w:tcBorders>
              <w:left w:val="single" w:sz="4" w:space="0" w:color="FFFFFF" w:themeColor="background1"/>
            </w:tcBorders>
          </w:tcPr>
          <w:p w14:paraId="160A3DE4"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Openness to foreign participation</w:t>
            </w:r>
          </w:p>
        </w:tc>
        <w:tc>
          <w:tcPr>
            <w:tcW w:w="6434" w:type="dxa"/>
            <w:tcBorders>
              <w:right w:val="single" w:sz="4" w:space="0" w:color="FFFFFF" w:themeColor="background1"/>
            </w:tcBorders>
          </w:tcPr>
          <w:p w14:paraId="21F514A5"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Indicator calculated as the average of the following three items and one index:</w:t>
            </w:r>
          </w:p>
        </w:tc>
      </w:tr>
      <w:tr w:rsidR="00BB67FB" w:rsidRPr="007745CB" w14:paraId="5AAF8590" w14:textId="77777777" w:rsidTr="00144929">
        <w:tc>
          <w:tcPr>
            <w:tcW w:w="2802" w:type="dxa"/>
            <w:tcBorders>
              <w:left w:val="single" w:sz="4" w:space="0" w:color="FFFFFF" w:themeColor="background1"/>
            </w:tcBorders>
          </w:tcPr>
          <w:p w14:paraId="0BC37FA8" w14:textId="77777777" w:rsidR="00BB67FB" w:rsidRPr="00DD66AD" w:rsidRDefault="00BB67FB" w:rsidP="00BB67FB">
            <w:pPr>
              <w:pStyle w:val="ListParagraph"/>
              <w:numPr>
                <w:ilvl w:val="1"/>
                <w:numId w:val="21"/>
              </w:numPr>
              <w:ind w:left="426" w:hanging="284"/>
              <w:rPr>
                <w:rFonts w:ascii="Times New Roman" w:hAnsi="Times New Roman" w:cs="Times New Roman"/>
                <w:i/>
                <w:sz w:val="20"/>
                <w:szCs w:val="20"/>
              </w:rPr>
            </w:pPr>
            <w:r w:rsidRPr="00DD66AD">
              <w:rPr>
                <w:rFonts w:ascii="Times New Roman" w:eastAsia="Times New Roman" w:hAnsi="Times New Roman" w:cs="Times New Roman"/>
                <w:i/>
                <w:sz w:val="20"/>
                <w:szCs w:val="20"/>
                <w:lang w:val="en-US"/>
              </w:rPr>
              <w:t>Ease of hiring foreign labor</w:t>
            </w:r>
          </w:p>
        </w:tc>
        <w:tc>
          <w:tcPr>
            <w:tcW w:w="6434" w:type="dxa"/>
            <w:tcBorders>
              <w:right w:val="single" w:sz="4" w:space="0" w:color="FFFFFF" w:themeColor="background1"/>
            </w:tcBorders>
          </w:tcPr>
          <w:p w14:paraId="66051437"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“To what extent does labor regulation in your country limit the ability to hire foreign labor?”</w:t>
            </w:r>
          </w:p>
          <w:p w14:paraId="6BE5670E"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Executive Opinion Survey 2010, 2011</w:t>
            </w:r>
          </w:p>
        </w:tc>
      </w:tr>
      <w:tr w:rsidR="00BB67FB" w:rsidRPr="007745CB" w14:paraId="56C76262" w14:textId="77777777" w:rsidTr="00144929">
        <w:tc>
          <w:tcPr>
            <w:tcW w:w="2802" w:type="dxa"/>
            <w:tcBorders>
              <w:left w:val="single" w:sz="4" w:space="0" w:color="FFFFFF" w:themeColor="background1"/>
            </w:tcBorders>
          </w:tcPr>
          <w:p w14:paraId="1AA3BA5C" w14:textId="77777777" w:rsidR="00BB67FB" w:rsidRPr="00DD66AD" w:rsidRDefault="00BB67FB" w:rsidP="00BB67FB">
            <w:pPr>
              <w:pStyle w:val="ListParagraph"/>
              <w:numPr>
                <w:ilvl w:val="1"/>
                <w:numId w:val="21"/>
              </w:numPr>
              <w:ind w:left="426" w:hanging="284"/>
              <w:rPr>
                <w:rFonts w:ascii="Times New Roman" w:hAnsi="Times New Roman" w:cs="Times New Roman"/>
                <w:i/>
                <w:sz w:val="20"/>
                <w:szCs w:val="20"/>
              </w:rPr>
            </w:pPr>
            <w:r w:rsidRPr="00DD66AD">
              <w:rPr>
                <w:rFonts w:ascii="Times New Roman" w:eastAsia="Times New Roman" w:hAnsi="Times New Roman" w:cs="Times New Roman"/>
                <w:i/>
                <w:sz w:val="20"/>
                <w:szCs w:val="20"/>
                <w:lang w:val="en-US"/>
              </w:rPr>
              <w:t>Prevalence of foreign ownership</w:t>
            </w:r>
          </w:p>
        </w:tc>
        <w:tc>
          <w:tcPr>
            <w:tcW w:w="6434" w:type="dxa"/>
            <w:tcBorders>
              <w:right w:val="single" w:sz="4" w:space="0" w:color="FFFFFF" w:themeColor="background1"/>
            </w:tcBorders>
          </w:tcPr>
          <w:p w14:paraId="1631151F"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 xml:space="preserve">“How prevalent is foreign ownership of companies in your country?” </w:t>
            </w:r>
          </w:p>
          <w:p w14:paraId="7403F47D"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Executive Opinion Survey 2010, 2011</w:t>
            </w:r>
          </w:p>
        </w:tc>
      </w:tr>
      <w:tr w:rsidR="00BB67FB" w:rsidRPr="007745CB" w14:paraId="1FF0A988" w14:textId="77777777" w:rsidTr="00144929">
        <w:tc>
          <w:tcPr>
            <w:tcW w:w="2802" w:type="dxa"/>
            <w:tcBorders>
              <w:left w:val="single" w:sz="4" w:space="0" w:color="FFFFFF" w:themeColor="background1"/>
            </w:tcBorders>
          </w:tcPr>
          <w:p w14:paraId="3A1636EC" w14:textId="77777777" w:rsidR="00BB67FB" w:rsidRPr="00DD66AD" w:rsidRDefault="00BB67FB" w:rsidP="00BB67FB">
            <w:pPr>
              <w:pStyle w:val="ListParagraph"/>
              <w:numPr>
                <w:ilvl w:val="1"/>
                <w:numId w:val="21"/>
              </w:numPr>
              <w:ind w:left="426" w:hanging="284"/>
              <w:rPr>
                <w:rFonts w:ascii="Times New Roman" w:hAnsi="Times New Roman" w:cs="Times New Roman"/>
                <w:i/>
                <w:sz w:val="20"/>
                <w:szCs w:val="20"/>
              </w:rPr>
            </w:pPr>
            <w:r w:rsidRPr="00DD66AD">
              <w:rPr>
                <w:rFonts w:ascii="Times New Roman" w:eastAsia="Times New Roman" w:hAnsi="Times New Roman" w:cs="Times New Roman"/>
                <w:i/>
                <w:sz w:val="20"/>
                <w:szCs w:val="20"/>
                <w:lang w:val="en-US"/>
              </w:rPr>
              <w:t>Business impact of rules on FDI</w:t>
            </w:r>
          </w:p>
        </w:tc>
        <w:tc>
          <w:tcPr>
            <w:tcW w:w="6434" w:type="dxa"/>
            <w:tcBorders>
              <w:right w:val="single" w:sz="4" w:space="0" w:color="FFFFFF" w:themeColor="background1"/>
            </w:tcBorders>
          </w:tcPr>
          <w:p w14:paraId="0145D61A"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“To what extent do rules governing foreign direct investment (FDI) encourage or discourage it?”</w:t>
            </w:r>
          </w:p>
          <w:p w14:paraId="6F33592B"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Executive Opinion Survey 2010, 2011</w:t>
            </w:r>
          </w:p>
        </w:tc>
      </w:tr>
      <w:tr w:rsidR="00BB67FB" w:rsidRPr="007745CB" w14:paraId="7C04D3E8" w14:textId="77777777" w:rsidTr="00144929">
        <w:tc>
          <w:tcPr>
            <w:tcW w:w="2802" w:type="dxa"/>
            <w:tcBorders>
              <w:left w:val="single" w:sz="4" w:space="0" w:color="FFFFFF" w:themeColor="background1"/>
            </w:tcBorders>
          </w:tcPr>
          <w:p w14:paraId="6EA47C6D" w14:textId="77777777" w:rsidR="00BB67FB" w:rsidRPr="00DD66AD" w:rsidRDefault="00BB67FB" w:rsidP="00BB67FB">
            <w:pPr>
              <w:pStyle w:val="ListParagraph"/>
              <w:numPr>
                <w:ilvl w:val="1"/>
                <w:numId w:val="21"/>
              </w:numPr>
              <w:ind w:left="426" w:hanging="284"/>
              <w:rPr>
                <w:rFonts w:ascii="Times New Roman" w:hAnsi="Times New Roman" w:cs="Times New Roman"/>
                <w:i/>
                <w:sz w:val="20"/>
                <w:szCs w:val="20"/>
              </w:rPr>
            </w:pPr>
            <w:r w:rsidRPr="00DD66AD">
              <w:rPr>
                <w:rFonts w:ascii="Times New Roman" w:eastAsia="Times New Roman" w:hAnsi="Times New Roman" w:cs="Times New Roman"/>
                <w:i/>
                <w:sz w:val="20"/>
                <w:szCs w:val="20"/>
                <w:lang w:val="en-US"/>
              </w:rPr>
              <w:t>Openness to multilateral trade rules</w:t>
            </w:r>
          </w:p>
        </w:tc>
        <w:tc>
          <w:tcPr>
            <w:tcW w:w="6434" w:type="dxa"/>
            <w:tcBorders>
              <w:right w:val="single" w:sz="4" w:space="0" w:color="FFFFFF" w:themeColor="background1"/>
            </w:tcBorders>
          </w:tcPr>
          <w:p w14:paraId="37466061"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 xml:space="preserve">Index: Openness to multilateral trade rules </w:t>
            </w:r>
          </w:p>
          <w:p w14:paraId="21EC299B"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International Trade Centre, Trade Treaties map –LegaCarta database</w:t>
            </w:r>
          </w:p>
        </w:tc>
      </w:tr>
      <w:tr w:rsidR="00BB67FB" w:rsidRPr="007745CB" w14:paraId="38664C39" w14:textId="77777777" w:rsidTr="00144929">
        <w:tc>
          <w:tcPr>
            <w:tcW w:w="2802" w:type="dxa"/>
            <w:tcBorders>
              <w:left w:val="single" w:sz="4" w:space="0" w:color="FFFFFF" w:themeColor="background1"/>
            </w:tcBorders>
          </w:tcPr>
          <w:p w14:paraId="604258C0" w14:textId="77777777" w:rsidR="00BB67FB" w:rsidRPr="009D1CB0" w:rsidRDefault="00BB67FB" w:rsidP="00BB67FB">
            <w:pPr>
              <w:pStyle w:val="ListParagraph"/>
              <w:keepNext/>
              <w:keepLines/>
              <w:numPr>
                <w:ilvl w:val="0"/>
                <w:numId w:val="21"/>
              </w:numPr>
              <w:spacing w:before="200"/>
              <w:ind w:left="284"/>
              <w:outlineLvl w:val="8"/>
              <w:rPr>
                <w:rFonts w:ascii="Times New Roman" w:hAnsi="Times New Roman" w:cs="Times New Roman"/>
                <w:sz w:val="20"/>
                <w:szCs w:val="20"/>
              </w:rPr>
            </w:pPr>
            <w:r w:rsidRPr="00DD66AD">
              <w:rPr>
                <w:rFonts w:ascii="Times New Roman" w:eastAsia="Times New Roman" w:hAnsi="Times New Roman" w:cs="Times New Roman"/>
                <w:sz w:val="20"/>
                <w:szCs w:val="20"/>
                <w:lang w:val="en-US"/>
              </w:rPr>
              <w:t>Availability of trade finance</w:t>
            </w:r>
          </w:p>
        </w:tc>
        <w:tc>
          <w:tcPr>
            <w:tcW w:w="6434" w:type="dxa"/>
            <w:tcBorders>
              <w:right w:val="single" w:sz="4" w:space="0" w:color="FFFFFF" w:themeColor="background1"/>
            </w:tcBorders>
          </w:tcPr>
          <w:p w14:paraId="6C53A61F" w14:textId="77777777" w:rsidR="00BB67FB" w:rsidRPr="007745CB" w:rsidRDefault="00BB67FB" w:rsidP="00144929">
            <w:pPr>
              <w:autoSpaceDE w:val="0"/>
              <w:autoSpaceDN w:val="0"/>
              <w:adjustRightInd w:val="0"/>
              <w:rPr>
                <w:rFonts w:ascii="Times New Roman" w:hAnsi="Times New Roman" w:cs="Times New Roman"/>
                <w:sz w:val="20"/>
                <w:szCs w:val="20"/>
                <w:lang w:val="en-US"/>
              </w:rPr>
            </w:pPr>
            <w:r w:rsidRPr="007745CB">
              <w:rPr>
                <w:rFonts w:ascii="Times New Roman" w:hAnsi="Times New Roman" w:cs="Times New Roman"/>
                <w:sz w:val="20"/>
                <w:szCs w:val="20"/>
                <w:lang w:val="en-US"/>
              </w:rPr>
              <w:t xml:space="preserve">In your country, how easy is it to obtain trade finance at affordable cost? </w:t>
            </w:r>
          </w:p>
          <w:p w14:paraId="6018F470" w14:textId="77777777" w:rsidR="00BB67FB" w:rsidRPr="007745CB" w:rsidRDefault="00BB67FB" w:rsidP="00144929">
            <w:pPr>
              <w:autoSpaceDE w:val="0"/>
              <w:autoSpaceDN w:val="0"/>
              <w:adjustRightInd w:val="0"/>
              <w:rPr>
                <w:rFonts w:ascii="Times New Roman" w:hAnsi="Times New Roman" w:cs="Times New Roman"/>
                <w:i/>
                <w:sz w:val="20"/>
                <w:szCs w:val="20"/>
              </w:rPr>
            </w:pPr>
            <w:r w:rsidRPr="007745CB">
              <w:rPr>
                <w:rFonts w:ascii="Times New Roman" w:hAnsi="Times New Roman" w:cs="Times New Roman"/>
                <w:sz w:val="20"/>
                <w:szCs w:val="20"/>
                <w:lang w:val="en-US"/>
              </w:rPr>
              <w:t>Source: WEF, Executive Opinion Survey 2010, 2011</w:t>
            </w:r>
          </w:p>
        </w:tc>
      </w:tr>
    </w:tbl>
    <w:p w14:paraId="4786F0E3" w14:textId="77777777" w:rsidR="00BB67FB" w:rsidRDefault="00BB67FB" w:rsidP="00BB67FB">
      <w:pPr>
        <w:spacing w:line="480" w:lineRule="auto"/>
        <w:rPr>
          <w:rFonts w:ascii="Times New Roman" w:hAnsi="Times New Roman" w:cs="Times New Roman"/>
        </w:rPr>
      </w:pPr>
    </w:p>
    <w:p w14:paraId="1ED40790" w14:textId="77777777" w:rsidR="00BB67FB" w:rsidRPr="001B0E22" w:rsidRDefault="00BB67FB" w:rsidP="00BB67FB">
      <w:pPr>
        <w:pStyle w:val="Caption"/>
        <w:keepNext/>
        <w:jc w:val="left"/>
        <w:rPr>
          <w:rFonts w:ascii="Times New Roman" w:hAnsi="Times New Roman" w:cs="Times New Roman"/>
          <w:b w:val="0"/>
          <w:sz w:val="24"/>
          <w:szCs w:val="24"/>
          <w:lang w:val="en-GB"/>
        </w:rPr>
      </w:pPr>
      <w:r w:rsidRPr="001B0E22">
        <w:rPr>
          <w:rFonts w:ascii="Times New Roman" w:hAnsi="Times New Roman" w:cs="Times New Roman"/>
          <w:sz w:val="24"/>
          <w:szCs w:val="24"/>
          <w:lang w:val="en-GB"/>
        </w:rPr>
        <w:t xml:space="preserve">Table </w:t>
      </w:r>
      <w:r>
        <w:rPr>
          <w:rFonts w:ascii="Times New Roman" w:hAnsi="Times New Roman" w:cs="Times New Roman"/>
          <w:sz w:val="24"/>
          <w:szCs w:val="24"/>
          <w:lang w:val="en-GB"/>
        </w:rPr>
        <w:t>4</w:t>
      </w:r>
      <w:r w:rsidRPr="001B0E22">
        <w:rPr>
          <w:rFonts w:ascii="Times New Roman" w:hAnsi="Times New Roman" w:cs="Times New Roman"/>
          <w:sz w:val="24"/>
          <w:szCs w:val="24"/>
          <w:lang w:val="en-GB"/>
        </w:rPr>
        <w:t>:</w:t>
      </w:r>
      <w:r w:rsidRPr="001B0E22">
        <w:rPr>
          <w:rFonts w:ascii="Times New Roman" w:hAnsi="Times New Roman" w:cs="Times New Roman"/>
          <w:b w:val="0"/>
          <w:sz w:val="24"/>
          <w:szCs w:val="24"/>
          <w:lang w:val="en-GB"/>
        </w:rPr>
        <w:t xml:space="preserve"> GMRG survey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B67FB" w:rsidRPr="00AF264D" w14:paraId="4B623FF6" w14:textId="77777777" w:rsidTr="00144929">
        <w:tc>
          <w:tcPr>
            <w:tcW w:w="9236" w:type="dxa"/>
            <w:tcBorders>
              <w:top w:val="single" w:sz="4" w:space="0" w:color="auto"/>
              <w:bottom w:val="single" w:sz="4" w:space="0" w:color="auto"/>
            </w:tcBorders>
          </w:tcPr>
          <w:p w14:paraId="4732E3A6" w14:textId="77777777" w:rsidR="00BB67FB" w:rsidRPr="00AF264D" w:rsidRDefault="00BB67FB" w:rsidP="00144929">
            <w:pPr>
              <w:spacing w:line="276" w:lineRule="auto"/>
              <w:rPr>
                <w:rFonts w:ascii="Times New Roman" w:hAnsi="Times New Roman" w:cs="Times New Roman"/>
                <w:i/>
                <w:sz w:val="20"/>
                <w:szCs w:val="20"/>
              </w:rPr>
            </w:pPr>
            <w:r w:rsidRPr="00AF264D">
              <w:rPr>
                <w:rFonts w:ascii="Times New Roman" w:hAnsi="Times New Roman" w:cs="Times New Roman"/>
                <w:i/>
                <w:sz w:val="20"/>
                <w:szCs w:val="20"/>
              </w:rPr>
              <w:t xml:space="preserve">Supplier Communication </w:t>
            </w:r>
            <w:r w:rsidRPr="00AF264D">
              <w:rPr>
                <w:rFonts w:ascii="Times New Roman" w:hAnsi="Times New Roman" w:cs="Times New Roman"/>
                <w:i/>
                <w:sz w:val="20"/>
                <w:szCs w:val="20"/>
              </w:rPr>
              <w:br/>
              <w:t xml:space="preserve">(1=not at all ; 7= great extent; α= .757) </w:t>
            </w:r>
          </w:p>
          <w:p w14:paraId="065423F6" w14:textId="77777777" w:rsidR="00BB67FB" w:rsidRPr="00AF264D" w:rsidRDefault="00BB67FB" w:rsidP="00144929">
            <w:pPr>
              <w:spacing w:line="276" w:lineRule="auto"/>
              <w:rPr>
                <w:rFonts w:ascii="Times New Roman" w:eastAsia="Times New Roman" w:hAnsi="Times New Roman" w:cs="Times New Roman"/>
                <w:sz w:val="20"/>
                <w:szCs w:val="20"/>
              </w:rPr>
            </w:pPr>
            <w:r w:rsidRPr="00AF264D">
              <w:rPr>
                <w:rFonts w:ascii="Times New Roman" w:eastAsia="Times New Roman" w:hAnsi="Times New Roman" w:cs="Times New Roman"/>
                <w:sz w:val="20"/>
                <w:szCs w:val="20"/>
              </w:rPr>
              <w:t xml:space="preserve">To what extent are the following inter-firm communication practices performed with your plant’s main suppliers? </w:t>
            </w:r>
          </w:p>
          <w:p w14:paraId="64F440DF" w14:textId="77777777" w:rsidR="00BB67FB" w:rsidRPr="00AF264D" w:rsidRDefault="00BB67FB" w:rsidP="00BB67FB">
            <w:pPr>
              <w:pStyle w:val="ListParagraph"/>
              <w:numPr>
                <w:ilvl w:val="0"/>
                <w:numId w:val="18"/>
              </w:numPr>
              <w:spacing w:line="276" w:lineRule="auto"/>
              <w:jc w:val="both"/>
              <w:rPr>
                <w:rFonts w:ascii="Times New Roman" w:hAnsi="Times New Roman" w:cs="Times New Roman"/>
                <w:sz w:val="20"/>
                <w:szCs w:val="20"/>
              </w:rPr>
            </w:pPr>
            <w:r w:rsidRPr="00AF264D">
              <w:rPr>
                <w:rFonts w:ascii="Times New Roman" w:hAnsi="Times New Roman" w:cs="Times New Roman"/>
                <w:sz w:val="20"/>
                <w:szCs w:val="20"/>
              </w:rPr>
              <w:t xml:space="preserve">The plant and main suppliers exchange proprietary information. </w:t>
            </w:r>
          </w:p>
          <w:p w14:paraId="0969A72C" w14:textId="77777777" w:rsidR="00BB67FB" w:rsidRPr="00AF264D" w:rsidRDefault="00BB67FB" w:rsidP="00BB67FB">
            <w:pPr>
              <w:pStyle w:val="ListParagraph"/>
              <w:numPr>
                <w:ilvl w:val="0"/>
                <w:numId w:val="18"/>
              </w:numPr>
              <w:spacing w:line="276" w:lineRule="auto"/>
              <w:jc w:val="both"/>
              <w:rPr>
                <w:rFonts w:ascii="Times New Roman" w:hAnsi="Times New Roman" w:cs="Times New Roman"/>
                <w:sz w:val="20"/>
                <w:szCs w:val="20"/>
              </w:rPr>
            </w:pPr>
            <w:r w:rsidRPr="00AF264D">
              <w:rPr>
                <w:rFonts w:ascii="Times New Roman" w:hAnsi="Times New Roman" w:cs="Times New Roman"/>
                <w:sz w:val="20"/>
                <w:szCs w:val="20"/>
              </w:rPr>
              <w:t>The plant and main suppliers inform each other about events affecting the other party.</w:t>
            </w:r>
          </w:p>
          <w:p w14:paraId="353EF5A3" w14:textId="77777777" w:rsidR="00BB67FB" w:rsidRPr="00AF264D" w:rsidRDefault="00BB67FB" w:rsidP="00BB67FB">
            <w:pPr>
              <w:pStyle w:val="ListParagraph"/>
              <w:numPr>
                <w:ilvl w:val="0"/>
                <w:numId w:val="18"/>
              </w:numPr>
              <w:spacing w:line="276" w:lineRule="auto"/>
              <w:jc w:val="both"/>
              <w:rPr>
                <w:rFonts w:ascii="Times New Roman" w:hAnsi="Times New Roman" w:cs="Times New Roman"/>
                <w:sz w:val="20"/>
                <w:szCs w:val="20"/>
              </w:rPr>
            </w:pPr>
            <w:r w:rsidRPr="00AF264D">
              <w:rPr>
                <w:rFonts w:ascii="Times New Roman" w:hAnsi="Times New Roman" w:cs="Times New Roman"/>
                <w:sz w:val="20"/>
                <w:szCs w:val="20"/>
              </w:rPr>
              <w:t>The plant and main suppliers regularly exchange information of supply and demand forecast.</w:t>
            </w:r>
          </w:p>
        </w:tc>
      </w:tr>
      <w:tr w:rsidR="00BB67FB" w:rsidRPr="00AF264D" w14:paraId="3EBBBDFA" w14:textId="77777777" w:rsidTr="00144929">
        <w:tc>
          <w:tcPr>
            <w:tcW w:w="9236" w:type="dxa"/>
            <w:tcBorders>
              <w:top w:val="single" w:sz="4" w:space="0" w:color="auto"/>
              <w:bottom w:val="single" w:sz="4" w:space="0" w:color="auto"/>
            </w:tcBorders>
          </w:tcPr>
          <w:p w14:paraId="133CA0BA" w14:textId="77777777" w:rsidR="00BB67FB" w:rsidRPr="00AF264D" w:rsidRDefault="00BB67FB" w:rsidP="00144929">
            <w:pPr>
              <w:spacing w:line="276" w:lineRule="auto"/>
              <w:jc w:val="both"/>
              <w:rPr>
                <w:rFonts w:ascii="Times New Roman" w:hAnsi="Times New Roman" w:cs="Times New Roman"/>
                <w:sz w:val="20"/>
                <w:szCs w:val="20"/>
              </w:rPr>
            </w:pPr>
            <w:r w:rsidRPr="00AF264D">
              <w:rPr>
                <w:rFonts w:ascii="Times New Roman" w:hAnsi="Times New Roman" w:cs="Times New Roman"/>
                <w:sz w:val="20"/>
                <w:szCs w:val="20"/>
              </w:rPr>
              <w:t>Upstream on-time deliveries</w:t>
            </w:r>
          </w:p>
          <w:p w14:paraId="17EEC9AD" w14:textId="77777777" w:rsidR="00BB67FB" w:rsidRPr="00AF264D" w:rsidRDefault="00BB67FB" w:rsidP="00BB67FB">
            <w:pPr>
              <w:pStyle w:val="ListParagraph"/>
              <w:numPr>
                <w:ilvl w:val="0"/>
                <w:numId w:val="19"/>
              </w:numPr>
              <w:spacing w:line="276" w:lineRule="auto"/>
              <w:jc w:val="both"/>
              <w:rPr>
                <w:rFonts w:ascii="Times New Roman" w:hAnsi="Times New Roman" w:cs="Times New Roman"/>
                <w:sz w:val="20"/>
                <w:szCs w:val="20"/>
              </w:rPr>
            </w:pPr>
            <w:r w:rsidRPr="00AF264D">
              <w:rPr>
                <w:rFonts w:ascii="Times New Roman" w:hAnsi="Times New Roman" w:cs="Times New Roman"/>
                <w:sz w:val="20"/>
                <w:szCs w:val="20"/>
              </w:rPr>
              <w:t>What percentage of the plant's purchase orders do suppliers deliver late? (reverse)</w:t>
            </w:r>
          </w:p>
        </w:tc>
      </w:tr>
    </w:tbl>
    <w:p w14:paraId="4373E847" w14:textId="77777777" w:rsidR="00BB67FB" w:rsidRPr="00AF264D" w:rsidRDefault="00BB67FB" w:rsidP="00BB67FB">
      <w:pPr>
        <w:spacing w:line="480" w:lineRule="auto"/>
        <w:jc w:val="both"/>
        <w:rPr>
          <w:rFonts w:ascii="Times New Roman" w:hAnsi="Times New Roman" w:cs="Times New Roman"/>
          <w:i/>
        </w:rPr>
      </w:pPr>
    </w:p>
    <w:p w14:paraId="50A2B812" w14:textId="77777777" w:rsidR="00BB67FB" w:rsidRPr="001B0E22" w:rsidRDefault="00BB67FB" w:rsidP="00BB67FB">
      <w:pPr>
        <w:pStyle w:val="Caption"/>
        <w:keepNext/>
        <w:jc w:val="left"/>
        <w:rPr>
          <w:rFonts w:ascii="Times New Roman" w:hAnsi="Times New Roman" w:cs="Times New Roman"/>
          <w:b w:val="0"/>
          <w:sz w:val="24"/>
          <w:lang w:val="en-GB"/>
        </w:rPr>
      </w:pPr>
      <w:r w:rsidRPr="001B0E22">
        <w:rPr>
          <w:rFonts w:ascii="Times New Roman" w:hAnsi="Times New Roman" w:cs="Times New Roman"/>
          <w:sz w:val="24"/>
          <w:lang w:val="en-GB"/>
        </w:rPr>
        <w:t xml:space="preserve">Table </w:t>
      </w:r>
      <w:r>
        <w:rPr>
          <w:rFonts w:ascii="Times New Roman" w:hAnsi="Times New Roman" w:cs="Times New Roman"/>
          <w:sz w:val="24"/>
          <w:lang w:val="en-GB"/>
        </w:rPr>
        <w:t>5</w:t>
      </w:r>
      <w:r w:rsidRPr="001B0E22">
        <w:rPr>
          <w:rFonts w:ascii="Times New Roman" w:hAnsi="Times New Roman" w:cs="Times New Roman"/>
          <w:sz w:val="24"/>
          <w:lang w:val="en-GB"/>
        </w:rPr>
        <w:t>:</w:t>
      </w:r>
      <w:r w:rsidRPr="001B0E22">
        <w:rPr>
          <w:rFonts w:ascii="Times New Roman" w:hAnsi="Times New Roman" w:cs="Times New Roman"/>
          <w:b w:val="0"/>
          <w:sz w:val="24"/>
          <w:lang w:val="en-GB"/>
        </w:rPr>
        <w:t xml:space="preserve"> Correlations</w:t>
      </w:r>
    </w:p>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840"/>
        <w:gridCol w:w="839"/>
        <w:gridCol w:w="839"/>
        <w:gridCol w:w="839"/>
        <w:gridCol w:w="839"/>
        <w:gridCol w:w="839"/>
        <w:gridCol w:w="152"/>
        <w:gridCol w:w="692"/>
      </w:tblGrid>
      <w:tr w:rsidR="00BB67FB" w:rsidRPr="00AF264D" w14:paraId="710415C7" w14:textId="77777777" w:rsidTr="00144929">
        <w:trPr>
          <w:trHeight w:val="20"/>
        </w:trPr>
        <w:tc>
          <w:tcPr>
            <w:tcW w:w="1721" w:type="pct"/>
            <w:tcBorders>
              <w:top w:val="single" w:sz="4" w:space="0" w:color="auto"/>
              <w:bottom w:val="single" w:sz="8" w:space="0" w:color="auto"/>
            </w:tcBorders>
            <w:noWrap/>
            <w:hideMark/>
          </w:tcPr>
          <w:p w14:paraId="0D7C60EF" w14:textId="77777777" w:rsidR="00BB67FB" w:rsidRPr="00AF264D" w:rsidRDefault="00BB67FB" w:rsidP="00144929">
            <w:pPr>
              <w:jc w:val="center"/>
              <w:rPr>
                <w:rFonts w:ascii="Times New Roman" w:hAnsi="Times New Roman" w:cs="Times New Roman"/>
                <w:b/>
                <w:sz w:val="20"/>
              </w:rPr>
            </w:pPr>
          </w:p>
        </w:tc>
        <w:tc>
          <w:tcPr>
            <w:tcW w:w="468" w:type="pct"/>
            <w:tcBorders>
              <w:top w:val="single" w:sz="4" w:space="0" w:color="auto"/>
              <w:bottom w:val="single" w:sz="8" w:space="0" w:color="auto"/>
            </w:tcBorders>
            <w:noWrap/>
            <w:hideMark/>
          </w:tcPr>
          <w:p w14:paraId="779F74DB"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(1)</w:t>
            </w:r>
          </w:p>
        </w:tc>
        <w:tc>
          <w:tcPr>
            <w:tcW w:w="468" w:type="pct"/>
            <w:tcBorders>
              <w:top w:val="single" w:sz="4" w:space="0" w:color="auto"/>
              <w:bottom w:val="single" w:sz="8" w:space="0" w:color="auto"/>
            </w:tcBorders>
            <w:noWrap/>
            <w:hideMark/>
          </w:tcPr>
          <w:p w14:paraId="3B52F310"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(2)</w:t>
            </w:r>
          </w:p>
        </w:tc>
        <w:tc>
          <w:tcPr>
            <w:tcW w:w="468" w:type="pct"/>
            <w:tcBorders>
              <w:top w:val="single" w:sz="4" w:space="0" w:color="auto"/>
              <w:bottom w:val="single" w:sz="8" w:space="0" w:color="auto"/>
            </w:tcBorders>
            <w:hideMark/>
          </w:tcPr>
          <w:p w14:paraId="7843903D"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(3)</w:t>
            </w:r>
          </w:p>
        </w:tc>
        <w:tc>
          <w:tcPr>
            <w:tcW w:w="468" w:type="pct"/>
            <w:tcBorders>
              <w:top w:val="single" w:sz="4" w:space="0" w:color="auto"/>
              <w:bottom w:val="single" w:sz="8" w:space="0" w:color="auto"/>
            </w:tcBorders>
            <w:hideMark/>
          </w:tcPr>
          <w:p w14:paraId="530175C9"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(4)</w:t>
            </w:r>
          </w:p>
        </w:tc>
        <w:tc>
          <w:tcPr>
            <w:tcW w:w="468" w:type="pct"/>
            <w:tcBorders>
              <w:top w:val="single" w:sz="4" w:space="0" w:color="auto"/>
              <w:bottom w:val="single" w:sz="8" w:space="0" w:color="auto"/>
            </w:tcBorders>
            <w:hideMark/>
          </w:tcPr>
          <w:p w14:paraId="7A108325"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(5)</w:t>
            </w:r>
          </w:p>
        </w:tc>
        <w:tc>
          <w:tcPr>
            <w:tcW w:w="468" w:type="pct"/>
            <w:tcBorders>
              <w:top w:val="single" w:sz="4" w:space="0" w:color="auto"/>
              <w:bottom w:val="single" w:sz="8" w:space="0" w:color="auto"/>
            </w:tcBorders>
          </w:tcPr>
          <w:p w14:paraId="66842E8E"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(6)</w:t>
            </w:r>
          </w:p>
        </w:tc>
        <w:tc>
          <w:tcPr>
            <w:tcW w:w="469" w:type="pct"/>
            <w:gridSpan w:val="2"/>
            <w:tcBorders>
              <w:top w:val="single" w:sz="4" w:space="0" w:color="auto"/>
              <w:bottom w:val="single" w:sz="8" w:space="0" w:color="auto"/>
            </w:tcBorders>
          </w:tcPr>
          <w:p w14:paraId="77FAF132" w14:textId="77777777" w:rsidR="00BB67FB" w:rsidRPr="00AF264D" w:rsidRDefault="00BB67FB" w:rsidP="00144929">
            <w:pPr>
              <w:jc w:val="center"/>
              <w:rPr>
                <w:rFonts w:ascii="Times New Roman" w:hAnsi="Times New Roman" w:cs="Times New Roman"/>
                <w:b/>
                <w:sz w:val="20"/>
              </w:rPr>
            </w:pPr>
            <w:r w:rsidRPr="00AF264D">
              <w:rPr>
                <w:rFonts w:ascii="Times New Roman" w:hAnsi="Times New Roman" w:cs="Times New Roman"/>
                <w:b/>
                <w:sz w:val="20"/>
              </w:rPr>
              <w:t>(7)</w:t>
            </w:r>
          </w:p>
        </w:tc>
      </w:tr>
      <w:tr w:rsidR="00BB67FB" w:rsidRPr="00AF264D" w14:paraId="17C99A12" w14:textId="77777777" w:rsidTr="00144929">
        <w:trPr>
          <w:trHeight w:val="283"/>
        </w:trPr>
        <w:tc>
          <w:tcPr>
            <w:tcW w:w="1721" w:type="pct"/>
            <w:tcBorders>
              <w:top w:val="single" w:sz="8" w:space="0" w:color="auto"/>
            </w:tcBorders>
            <w:noWrap/>
            <w:hideMark/>
          </w:tcPr>
          <w:p w14:paraId="44C474FE"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Neglect of critical infrastructure (1)</w:t>
            </w:r>
          </w:p>
        </w:tc>
        <w:tc>
          <w:tcPr>
            <w:tcW w:w="468" w:type="pct"/>
            <w:tcBorders>
              <w:top w:val="single" w:sz="8" w:space="0" w:color="auto"/>
            </w:tcBorders>
            <w:noWrap/>
            <w:hideMark/>
          </w:tcPr>
          <w:p w14:paraId="3FC91E4C"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c>
          <w:tcPr>
            <w:tcW w:w="468" w:type="pct"/>
            <w:tcBorders>
              <w:top w:val="single" w:sz="8" w:space="0" w:color="auto"/>
            </w:tcBorders>
            <w:noWrap/>
            <w:hideMark/>
          </w:tcPr>
          <w:p w14:paraId="219C2446" w14:textId="77777777" w:rsidR="00BB67FB" w:rsidRPr="00AF264D" w:rsidRDefault="00BB67FB" w:rsidP="00144929">
            <w:pPr>
              <w:jc w:val="both"/>
              <w:rPr>
                <w:rFonts w:ascii="Times New Roman" w:hAnsi="Times New Roman" w:cs="Times New Roman"/>
                <w:sz w:val="20"/>
              </w:rPr>
            </w:pPr>
          </w:p>
        </w:tc>
        <w:tc>
          <w:tcPr>
            <w:tcW w:w="468" w:type="pct"/>
            <w:tcBorders>
              <w:top w:val="single" w:sz="8" w:space="0" w:color="auto"/>
            </w:tcBorders>
            <w:noWrap/>
            <w:hideMark/>
          </w:tcPr>
          <w:p w14:paraId="7E286306" w14:textId="77777777" w:rsidR="00BB67FB" w:rsidRPr="00AF264D" w:rsidRDefault="00BB67FB" w:rsidP="00144929">
            <w:pPr>
              <w:jc w:val="both"/>
              <w:rPr>
                <w:rFonts w:ascii="Times New Roman" w:hAnsi="Times New Roman" w:cs="Times New Roman"/>
                <w:sz w:val="20"/>
              </w:rPr>
            </w:pPr>
          </w:p>
        </w:tc>
        <w:tc>
          <w:tcPr>
            <w:tcW w:w="468" w:type="pct"/>
            <w:tcBorders>
              <w:top w:val="single" w:sz="8" w:space="0" w:color="auto"/>
            </w:tcBorders>
            <w:noWrap/>
            <w:hideMark/>
          </w:tcPr>
          <w:p w14:paraId="6E6BD5F6" w14:textId="77777777" w:rsidR="00BB67FB" w:rsidRPr="00AF264D" w:rsidRDefault="00BB67FB" w:rsidP="00144929">
            <w:pPr>
              <w:jc w:val="both"/>
              <w:rPr>
                <w:rFonts w:ascii="Times New Roman" w:hAnsi="Times New Roman" w:cs="Times New Roman"/>
                <w:sz w:val="20"/>
              </w:rPr>
            </w:pPr>
          </w:p>
        </w:tc>
        <w:tc>
          <w:tcPr>
            <w:tcW w:w="468" w:type="pct"/>
            <w:tcBorders>
              <w:top w:val="single" w:sz="8" w:space="0" w:color="auto"/>
            </w:tcBorders>
            <w:noWrap/>
            <w:hideMark/>
          </w:tcPr>
          <w:p w14:paraId="39FC3714" w14:textId="77777777" w:rsidR="00BB67FB" w:rsidRPr="00AF264D" w:rsidRDefault="00BB67FB" w:rsidP="00144929">
            <w:pPr>
              <w:jc w:val="both"/>
              <w:rPr>
                <w:rFonts w:ascii="Times New Roman" w:hAnsi="Times New Roman" w:cs="Times New Roman"/>
                <w:sz w:val="20"/>
              </w:rPr>
            </w:pPr>
          </w:p>
        </w:tc>
        <w:tc>
          <w:tcPr>
            <w:tcW w:w="468" w:type="pct"/>
            <w:tcBorders>
              <w:top w:val="single" w:sz="8" w:space="0" w:color="auto"/>
            </w:tcBorders>
          </w:tcPr>
          <w:p w14:paraId="1BD9C5B9" w14:textId="77777777" w:rsidR="00BB67FB" w:rsidRPr="00AF264D" w:rsidRDefault="00BB67FB" w:rsidP="00144929">
            <w:pPr>
              <w:jc w:val="both"/>
              <w:rPr>
                <w:rFonts w:ascii="Times New Roman" w:hAnsi="Times New Roman" w:cs="Times New Roman"/>
                <w:sz w:val="20"/>
              </w:rPr>
            </w:pPr>
          </w:p>
        </w:tc>
        <w:tc>
          <w:tcPr>
            <w:tcW w:w="469" w:type="pct"/>
            <w:gridSpan w:val="2"/>
            <w:tcBorders>
              <w:top w:val="single" w:sz="8" w:space="0" w:color="auto"/>
            </w:tcBorders>
          </w:tcPr>
          <w:p w14:paraId="0C82FA51" w14:textId="77777777" w:rsidR="00BB67FB" w:rsidRPr="00AF264D" w:rsidRDefault="00BB67FB" w:rsidP="00144929">
            <w:pPr>
              <w:jc w:val="both"/>
              <w:rPr>
                <w:rFonts w:ascii="Times New Roman" w:hAnsi="Times New Roman" w:cs="Times New Roman"/>
                <w:sz w:val="20"/>
              </w:rPr>
            </w:pPr>
          </w:p>
        </w:tc>
      </w:tr>
      <w:tr w:rsidR="00BB67FB" w:rsidRPr="00AF264D" w14:paraId="1855192D" w14:textId="77777777" w:rsidTr="00144929">
        <w:trPr>
          <w:trHeight w:val="283"/>
        </w:trPr>
        <w:tc>
          <w:tcPr>
            <w:tcW w:w="1721" w:type="pct"/>
            <w:noWrap/>
            <w:hideMark/>
          </w:tcPr>
          <w:p w14:paraId="2C285133"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On-time deliveries</w:t>
            </w:r>
            <w:r w:rsidRPr="00AF264D">
              <w:rPr>
                <w:rFonts w:ascii="Times New Roman" w:hAnsi="Times New Roman" w:cs="Times New Roman"/>
                <w:sz w:val="20"/>
                <w:vertAlign w:val="superscript"/>
              </w:rPr>
              <w:t xml:space="preserve">a </w:t>
            </w:r>
            <w:r w:rsidRPr="00AF264D">
              <w:rPr>
                <w:rFonts w:ascii="Times New Roman" w:hAnsi="Times New Roman" w:cs="Times New Roman"/>
                <w:sz w:val="20"/>
              </w:rPr>
              <w:t>(2)</w:t>
            </w:r>
          </w:p>
        </w:tc>
        <w:tc>
          <w:tcPr>
            <w:tcW w:w="468" w:type="pct"/>
            <w:noWrap/>
            <w:hideMark/>
          </w:tcPr>
          <w:p w14:paraId="21BFCEE5"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-.098*</w:t>
            </w:r>
          </w:p>
        </w:tc>
        <w:tc>
          <w:tcPr>
            <w:tcW w:w="468" w:type="pct"/>
            <w:noWrap/>
            <w:hideMark/>
          </w:tcPr>
          <w:p w14:paraId="5670F7F7"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c>
          <w:tcPr>
            <w:tcW w:w="468" w:type="pct"/>
            <w:noWrap/>
            <w:hideMark/>
          </w:tcPr>
          <w:p w14:paraId="46E5913A" w14:textId="77777777" w:rsidR="00BB67FB" w:rsidRPr="00AF264D" w:rsidRDefault="00BB67FB" w:rsidP="00144929">
            <w:pPr>
              <w:jc w:val="both"/>
              <w:rPr>
                <w:rFonts w:ascii="Times New Roman" w:hAnsi="Times New Roman" w:cs="Times New Roman"/>
                <w:sz w:val="20"/>
              </w:rPr>
            </w:pPr>
          </w:p>
        </w:tc>
        <w:tc>
          <w:tcPr>
            <w:tcW w:w="468" w:type="pct"/>
            <w:noWrap/>
            <w:hideMark/>
          </w:tcPr>
          <w:p w14:paraId="70013762" w14:textId="77777777" w:rsidR="00BB67FB" w:rsidRPr="00AF264D" w:rsidRDefault="00BB67FB" w:rsidP="00144929">
            <w:pPr>
              <w:jc w:val="both"/>
              <w:rPr>
                <w:rFonts w:ascii="Times New Roman" w:hAnsi="Times New Roman" w:cs="Times New Roman"/>
                <w:sz w:val="20"/>
              </w:rPr>
            </w:pPr>
          </w:p>
        </w:tc>
        <w:tc>
          <w:tcPr>
            <w:tcW w:w="468" w:type="pct"/>
            <w:noWrap/>
            <w:hideMark/>
          </w:tcPr>
          <w:p w14:paraId="79B69838" w14:textId="77777777" w:rsidR="00BB67FB" w:rsidRPr="00AF264D" w:rsidRDefault="00BB67FB" w:rsidP="00144929">
            <w:pPr>
              <w:jc w:val="both"/>
              <w:rPr>
                <w:rFonts w:ascii="Times New Roman" w:hAnsi="Times New Roman" w:cs="Times New Roman"/>
                <w:sz w:val="20"/>
              </w:rPr>
            </w:pPr>
          </w:p>
        </w:tc>
        <w:tc>
          <w:tcPr>
            <w:tcW w:w="468" w:type="pct"/>
          </w:tcPr>
          <w:p w14:paraId="6CFA92A7" w14:textId="77777777" w:rsidR="00BB67FB" w:rsidRPr="00AF264D" w:rsidRDefault="00BB67FB" w:rsidP="00144929">
            <w:pPr>
              <w:jc w:val="both"/>
              <w:rPr>
                <w:rFonts w:ascii="Times New Roman" w:hAnsi="Times New Roman" w:cs="Times New Roman"/>
                <w:sz w:val="20"/>
              </w:rPr>
            </w:pPr>
          </w:p>
        </w:tc>
        <w:tc>
          <w:tcPr>
            <w:tcW w:w="469" w:type="pct"/>
            <w:gridSpan w:val="2"/>
          </w:tcPr>
          <w:p w14:paraId="63D909AD" w14:textId="77777777" w:rsidR="00BB67FB" w:rsidRPr="00AF264D" w:rsidRDefault="00BB67FB" w:rsidP="00144929">
            <w:pPr>
              <w:jc w:val="both"/>
              <w:rPr>
                <w:rFonts w:ascii="Times New Roman" w:hAnsi="Times New Roman" w:cs="Times New Roman"/>
                <w:sz w:val="20"/>
              </w:rPr>
            </w:pPr>
          </w:p>
        </w:tc>
      </w:tr>
      <w:tr w:rsidR="00BB67FB" w:rsidRPr="00AF264D" w14:paraId="40523D8F" w14:textId="77777777" w:rsidTr="00144929">
        <w:trPr>
          <w:trHeight w:val="283"/>
        </w:trPr>
        <w:tc>
          <w:tcPr>
            <w:tcW w:w="1721" w:type="pct"/>
            <w:hideMark/>
          </w:tcPr>
          <w:p w14:paraId="13B39955"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Supplier communication (3)</w:t>
            </w:r>
          </w:p>
        </w:tc>
        <w:tc>
          <w:tcPr>
            <w:tcW w:w="468" w:type="pct"/>
            <w:noWrap/>
            <w:hideMark/>
          </w:tcPr>
          <w:p w14:paraId="6C0E1E61"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.189</w:t>
            </w:r>
          </w:p>
        </w:tc>
        <w:tc>
          <w:tcPr>
            <w:tcW w:w="468" w:type="pct"/>
            <w:noWrap/>
            <w:hideMark/>
          </w:tcPr>
          <w:p w14:paraId="74B05A88"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.065</w:t>
            </w:r>
          </w:p>
        </w:tc>
        <w:tc>
          <w:tcPr>
            <w:tcW w:w="468" w:type="pct"/>
            <w:noWrap/>
            <w:hideMark/>
          </w:tcPr>
          <w:p w14:paraId="2C8E17CE"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.731</w:t>
            </w:r>
          </w:p>
        </w:tc>
        <w:tc>
          <w:tcPr>
            <w:tcW w:w="468" w:type="pct"/>
            <w:noWrap/>
            <w:hideMark/>
          </w:tcPr>
          <w:p w14:paraId="6234122D" w14:textId="77777777" w:rsidR="00BB67FB" w:rsidRPr="00AF264D" w:rsidRDefault="00BB67FB" w:rsidP="00144929">
            <w:pPr>
              <w:jc w:val="both"/>
              <w:rPr>
                <w:rFonts w:ascii="Times New Roman" w:hAnsi="Times New Roman" w:cs="Times New Roman"/>
                <w:sz w:val="20"/>
              </w:rPr>
            </w:pPr>
          </w:p>
        </w:tc>
        <w:tc>
          <w:tcPr>
            <w:tcW w:w="468" w:type="pct"/>
            <w:noWrap/>
            <w:hideMark/>
          </w:tcPr>
          <w:p w14:paraId="02AA281C" w14:textId="77777777" w:rsidR="00BB67FB" w:rsidRPr="00AF264D" w:rsidRDefault="00BB67FB" w:rsidP="00144929">
            <w:pPr>
              <w:jc w:val="both"/>
              <w:rPr>
                <w:rFonts w:ascii="Times New Roman" w:hAnsi="Times New Roman" w:cs="Times New Roman"/>
                <w:sz w:val="20"/>
              </w:rPr>
            </w:pPr>
          </w:p>
        </w:tc>
        <w:tc>
          <w:tcPr>
            <w:tcW w:w="468" w:type="pct"/>
          </w:tcPr>
          <w:p w14:paraId="54D172E4" w14:textId="77777777" w:rsidR="00BB67FB" w:rsidRPr="00AF264D" w:rsidRDefault="00BB67FB" w:rsidP="00144929">
            <w:pPr>
              <w:jc w:val="both"/>
              <w:rPr>
                <w:rFonts w:ascii="Times New Roman" w:hAnsi="Times New Roman" w:cs="Times New Roman"/>
                <w:sz w:val="20"/>
              </w:rPr>
            </w:pPr>
          </w:p>
        </w:tc>
        <w:tc>
          <w:tcPr>
            <w:tcW w:w="469" w:type="pct"/>
            <w:gridSpan w:val="2"/>
          </w:tcPr>
          <w:p w14:paraId="023181EE" w14:textId="77777777" w:rsidR="00BB67FB" w:rsidRPr="00AF264D" w:rsidRDefault="00BB67FB" w:rsidP="00144929">
            <w:pPr>
              <w:jc w:val="both"/>
              <w:rPr>
                <w:rFonts w:ascii="Times New Roman" w:hAnsi="Times New Roman" w:cs="Times New Roman"/>
                <w:sz w:val="20"/>
              </w:rPr>
            </w:pPr>
          </w:p>
        </w:tc>
      </w:tr>
      <w:tr w:rsidR="00BB67FB" w:rsidRPr="00AF264D" w14:paraId="006CEFF9" w14:textId="77777777" w:rsidTr="00144929">
        <w:trPr>
          <w:trHeight w:val="283"/>
        </w:trPr>
        <w:tc>
          <w:tcPr>
            <w:tcW w:w="1721" w:type="pct"/>
            <w:hideMark/>
          </w:tcPr>
          <w:p w14:paraId="2E107656"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lastRenderedPageBreak/>
              <w:t>Uncertainty avoidance (UAI) (4)</w:t>
            </w:r>
          </w:p>
        </w:tc>
        <w:tc>
          <w:tcPr>
            <w:tcW w:w="468" w:type="pct"/>
            <w:noWrap/>
            <w:hideMark/>
          </w:tcPr>
          <w:p w14:paraId="4898947D"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-.155**</w:t>
            </w:r>
          </w:p>
        </w:tc>
        <w:tc>
          <w:tcPr>
            <w:tcW w:w="468" w:type="pct"/>
            <w:noWrap/>
            <w:hideMark/>
          </w:tcPr>
          <w:p w14:paraId="208551AF"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-.214**</w:t>
            </w:r>
          </w:p>
        </w:tc>
        <w:tc>
          <w:tcPr>
            <w:tcW w:w="468" w:type="pct"/>
            <w:noWrap/>
            <w:hideMark/>
          </w:tcPr>
          <w:p w14:paraId="359B6AFC"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-.036</w:t>
            </w:r>
          </w:p>
        </w:tc>
        <w:tc>
          <w:tcPr>
            <w:tcW w:w="468" w:type="pct"/>
            <w:noWrap/>
            <w:hideMark/>
          </w:tcPr>
          <w:p w14:paraId="2664192B"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c>
          <w:tcPr>
            <w:tcW w:w="468" w:type="pct"/>
            <w:noWrap/>
            <w:hideMark/>
          </w:tcPr>
          <w:p w14:paraId="6926555E" w14:textId="77777777" w:rsidR="00BB67FB" w:rsidRPr="00AF264D" w:rsidRDefault="00BB67FB" w:rsidP="00144929">
            <w:pPr>
              <w:jc w:val="both"/>
              <w:rPr>
                <w:rFonts w:ascii="Times New Roman" w:hAnsi="Times New Roman" w:cs="Times New Roman"/>
                <w:sz w:val="20"/>
              </w:rPr>
            </w:pPr>
          </w:p>
        </w:tc>
        <w:tc>
          <w:tcPr>
            <w:tcW w:w="468" w:type="pct"/>
          </w:tcPr>
          <w:p w14:paraId="7EA5F3AD" w14:textId="77777777" w:rsidR="00BB67FB" w:rsidRPr="00AF264D" w:rsidRDefault="00BB67FB" w:rsidP="00144929">
            <w:pPr>
              <w:jc w:val="both"/>
              <w:rPr>
                <w:rFonts w:ascii="Times New Roman" w:hAnsi="Times New Roman" w:cs="Times New Roman"/>
                <w:sz w:val="20"/>
              </w:rPr>
            </w:pPr>
          </w:p>
        </w:tc>
        <w:tc>
          <w:tcPr>
            <w:tcW w:w="469" w:type="pct"/>
            <w:gridSpan w:val="2"/>
          </w:tcPr>
          <w:p w14:paraId="3F822FB4" w14:textId="77777777" w:rsidR="00BB67FB" w:rsidRPr="00AF264D" w:rsidRDefault="00BB67FB" w:rsidP="00144929">
            <w:pPr>
              <w:jc w:val="both"/>
              <w:rPr>
                <w:rFonts w:ascii="Times New Roman" w:hAnsi="Times New Roman" w:cs="Times New Roman"/>
                <w:sz w:val="20"/>
              </w:rPr>
            </w:pPr>
          </w:p>
        </w:tc>
      </w:tr>
      <w:tr w:rsidR="00BB67FB" w:rsidRPr="00AF264D" w14:paraId="435B3823" w14:textId="77777777" w:rsidTr="00144929">
        <w:trPr>
          <w:trHeight w:val="283"/>
        </w:trPr>
        <w:tc>
          <w:tcPr>
            <w:tcW w:w="1721" w:type="pct"/>
            <w:hideMark/>
          </w:tcPr>
          <w:p w14:paraId="6E3EE64A"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Regulatory national environment (5)</w:t>
            </w:r>
          </w:p>
        </w:tc>
        <w:tc>
          <w:tcPr>
            <w:tcW w:w="468" w:type="pct"/>
            <w:noWrap/>
            <w:hideMark/>
          </w:tcPr>
          <w:p w14:paraId="7E15A5FB"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.128**</w:t>
            </w:r>
          </w:p>
        </w:tc>
        <w:tc>
          <w:tcPr>
            <w:tcW w:w="468" w:type="pct"/>
            <w:noWrap/>
            <w:hideMark/>
          </w:tcPr>
          <w:p w14:paraId="1F8D98BA"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.158</w:t>
            </w:r>
          </w:p>
        </w:tc>
        <w:tc>
          <w:tcPr>
            <w:tcW w:w="468" w:type="pct"/>
            <w:noWrap/>
            <w:hideMark/>
          </w:tcPr>
          <w:p w14:paraId="1628EBDE"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.051</w:t>
            </w:r>
          </w:p>
        </w:tc>
        <w:tc>
          <w:tcPr>
            <w:tcW w:w="468" w:type="pct"/>
            <w:noWrap/>
            <w:hideMark/>
          </w:tcPr>
          <w:p w14:paraId="3AED646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-.268**</w:t>
            </w:r>
          </w:p>
        </w:tc>
        <w:tc>
          <w:tcPr>
            <w:tcW w:w="468" w:type="pct"/>
            <w:noWrap/>
            <w:hideMark/>
          </w:tcPr>
          <w:p w14:paraId="40310168"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c>
          <w:tcPr>
            <w:tcW w:w="468" w:type="pct"/>
          </w:tcPr>
          <w:p w14:paraId="330FCBA6" w14:textId="77777777" w:rsidR="00BB67FB" w:rsidRPr="00AF264D" w:rsidRDefault="00BB67FB" w:rsidP="00144929">
            <w:pPr>
              <w:jc w:val="both"/>
              <w:rPr>
                <w:rFonts w:ascii="Times New Roman" w:hAnsi="Times New Roman" w:cs="Times New Roman"/>
                <w:sz w:val="20"/>
              </w:rPr>
            </w:pPr>
          </w:p>
        </w:tc>
        <w:tc>
          <w:tcPr>
            <w:tcW w:w="469" w:type="pct"/>
            <w:gridSpan w:val="2"/>
          </w:tcPr>
          <w:p w14:paraId="0004631E" w14:textId="77777777" w:rsidR="00BB67FB" w:rsidRPr="00AF264D" w:rsidRDefault="00BB67FB" w:rsidP="00144929">
            <w:pPr>
              <w:jc w:val="both"/>
              <w:rPr>
                <w:rFonts w:ascii="Times New Roman" w:hAnsi="Times New Roman" w:cs="Times New Roman"/>
                <w:sz w:val="20"/>
              </w:rPr>
            </w:pPr>
          </w:p>
        </w:tc>
      </w:tr>
      <w:tr w:rsidR="00BB67FB" w:rsidRPr="00AF264D" w14:paraId="37CAD8FB" w14:textId="77777777" w:rsidTr="00144929">
        <w:trPr>
          <w:trHeight w:val="283"/>
        </w:trPr>
        <w:tc>
          <w:tcPr>
            <w:tcW w:w="1721" w:type="pct"/>
          </w:tcPr>
          <w:p w14:paraId="1D856013"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Share of international supplies (6)</w:t>
            </w:r>
          </w:p>
        </w:tc>
        <w:tc>
          <w:tcPr>
            <w:tcW w:w="468" w:type="pct"/>
            <w:noWrap/>
          </w:tcPr>
          <w:p w14:paraId="20C3739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.165**</w:t>
            </w:r>
          </w:p>
        </w:tc>
        <w:tc>
          <w:tcPr>
            <w:tcW w:w="468" w:type="pct"/>
            <w:noWrap/>
          </w:tcPr>
          <w:p w14:paraId="05358A80"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-.119**</w:t>
            </w:r>
          </w:p>
        </w:tc>
        <w:tc>
          <w:tcPr>
            <w:tcW w:w="468" w:type="pct"/>
            <w:noWrap/>
          </w:tcPr>
          <w:p w14:paraId="720EF789"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.063</w:t>
            </w:r>
          </w:p>
        </w:tc>
        <w:tc>
          <w:tcPr>
            <w:tcW w:w="468" w:type="pct"/>
            <w:noWrap/>
          </w:tcPr>
          <w:p w14:paraId="433B34F6"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-.120**</w:t>
            </w:r>
          </w:p>
        </w:tc>
        <w:tc>
          <w:tcPr>
            <w:tcW w:w="468" w:type="pct"/>
            <w:noWrap/>
          </w:tcPr>
          <w:p w14:paraId="516B9450"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-.116**</w:t>
            </w:r>
          </w:p>
        </w:tc>
        <w:tc>
          <w:tcPr>
            <w:tcW w:w="468" w:type="pct"/>
          </w:tcPr>
          <w:p w14:paraId="27259DD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c>
          <w:tcPr>
            <w:tcW w:w="469" w:type="pct"/>
            <w:gridSpan w:val="2"/>
          </w:tcPr>
          <w:p w14:paraId="69247C8B" w14:textId="77777777" w:rsidR="00BB67FB" w:rsidRPr="00AF264D" w:rsidRDefault="00BB67FB" w:rsidP="00144929">
            <w:pPr>
              <w:jc w:val="both"/>
              <w:rPr>
                <w:rFonts w:ascii="Times New Roman" w:hAnsi="Times New Roman" w:cs="Times New Roman"/>
                <w:sz w:val="20"/>
              </w:rPr>
            </w:pPr>
          </w:p>
        </w:tc>
      </w:tr>
      <w:tr w:rsidR="00BB67FB" w:rsidRPr="00AF264D" w14:paraId="73438F6B" w14:textId="77777777" w:rsidTr="00144929">
        <w:trPr>
          <w:trHeight w:val="283"/>
        </w:trPr>
        <w:tc>
          <w:tcPr>
            <w:tcW w:w="1721" w:type="pct"/>
          </w:tcPr>
          <w:p w14:paraId="7BF2F204"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Plant size (7)</w:t>
            </w:r>
          </w:p>
        </w:tc>
        <w:tc>
          <w:tcPr>
            <w:tcW w:w="468" w:type="pct"/>
            <w:noWrap/>
          </w:tcPr>
          <w:p w14:paraId="323B85AE"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-.036</w:t>
            </w:r>
          </w:p>
        </w:tc>
        <w:tc>
          <w:tcPr>
            <w:tcW w:w="468" w:type="pct"/>
            <w:noWrap/>
          </w:tcPr>
          <w:p w14:paraId="3084325D"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.121**</w:t>
            </w:r>
          </w:p>
        </w:tc>
        <w:tc>
          <w:tcPr>
            <w:tcW w:w="468" w:type="pct"/>
            <w:noWrap/>
          </w:tcPr>
          <w:p w14:paraId="5A8CDE91"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.084*</w:t>
            </w:r>
          </w:p>
        </w:tc>
        <w:tc>
          <w:tcPr>
            <w:tcW w:w="468" w:type="pct"/>
            <w:noWrap/>
          </w:tcPr>
          <w:p w14:paraId="6943572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-.114**</w:t>
            </w:r>
          </w:p>
        </w:tc>
        <w:tc>
          <w:tcPr>
            <w:tcW w:w="468" w:type="pct"/>
            <w:noWrap/>
          </w:tcPr>
          <w:p w14:paraId="5772BA39"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.164**</w:t>
            </w:r>
          </w:p>
        </w:tc>
        <w:tc>
          <w:tcPr>
            <w:tcW w:w="468" w:type="pct"/>
          </w:tcPr>
          <w:p w14:paraId="675EF4BF"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.031</w:t>
            </w:r>
          </w:p>
        </w:tc>
        <w:tc>
          <w:tcPr>
            <w:tcW w:w="469" w:type="pct"/>
            <w:gridSpan w:val="2"/>
          </w:tcPr>
          <w:p w14:paraId="40E02DA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w:t>
            </w:r>
          </w:p>
        </w:tc>
      </w:tr>
      <w:tr w:rsidR="00BB67FB" w:rsidRPr="00AF264D" w14:paraId="604CB63F" w14:textId="77777777" w:rsidTr="00144929">
        <w:trPr>
          <w:trHeight w:val="283"/>
        </w:trPr>
        <w:tc>
          <w:tcPr>
            <w:tcW w:w="1721" w:type="pct"/>
            <w:tcBorders>
              <w:bottom w:val="single" w:sz="4" w:space="0" w:color="auto"/>
            </w:tcBorders>
          </w:tcPr>
          <w:p w14:paraId="01E1E779" w14:textId="77777777" w:rsidR="00BB67FB" w:rsidRPr="00AF264D" w:rsidRDefault="00BB67FB" w:rsidP="00144929">
            <w:pPr>
              <w:rPr>
                <w:rFonts w:ascii="Times New Roman" w:hAnsi="Times New Roman" w:cs="Times New Roman"/>
                <w:sz w:val="20"/>
              </w:rPr>
            </w:pPr>
            <w:r w:rsidRPr="00AF264D">
              <w:rPr>
                <w:rFonts w:ascii="Times New Roman" w:hAnsi="Times New Roman" w:cs="Times New Roman"/>
                <w:sz w:val="20"/>
              </w:rPr>
              <w:t>Supply chain position (8)</w:t>
            </w:r>
          </w:p>
        </w:tc>
        <w:tc>
          <w:tcPr>
            <w:tcW w:w="468" w:type="pct"/>
            <w:tcBorders>
              <w:bottom w:val="single" w:sz="4" w:space="0" w:color="auto"/>
            </w:tcBorders>
            <w:noWrap/>
          </w:tcPr>
          <w:p w14:paraId="5279BA23"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.160**</w:t>
            </w:r>
          </w:p>
        </w:tc>
        <w:tc>
          <w:tcPr>
            <w:tcW w:w="468" w:type="pct"/>
            <w:tcBorders>
              <w:bottom w:val="single" w:sz="4" w:space="0" w:color="auto"/>
            </w:tcBorders>
            <w:noWrap/>
          </w:tcPr>
          <w:p w14:paraId="22E6BEDD"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.009</w:t>
            </w:r>
          </w:p>
        </w:tc>
        <w:tc>
          <w:tcPr>
            <w:tcW w:w="468" w:type="pct"/>
            <w:tcBorders>
              <w:bottom w:val="single" w:sz="4" w:space="0" w:color="auto"/>
            </w:tcBorders>
            <w:noWrap/>
          </w:tcPr>
          <w:p w14:paraId="0934EF38"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.025</w:t>
            </w:r>
          </w:p>
        </w:tc>
        <w:tc>
          <w:tcPr>
            <w:tcW w:w="468" w:type="pct"/>
            <w:tcBorders>
              <w:bottom w:val="single" w:sz="4" w:space="0" w:color="auto"/>
            </w:tcBorders>
            <w:noWrap/>
          </w:tcPr>
          <w:p w14:paraId="4EC9DD08"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.033</w:t>
            </w:r>
          </w:p>
        </w:tc>
        <w:tc>
          <w:tcPr>
            <w:tcW w:w="468" w:type="pct"/>
            <w:tcBorders>
              <w:bottom w:val="single" w:sz="4" w:space="0" w:color="auto"/>
            </w:tcBorders>
            <w:noWrap/>
          </w:tcPr>
          <w:p w14:paraId="313163C2"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-.031</w:t>
            </w:r>
          </w:p>
        </w:tc>
        <w:tc>
          <w:tcPr>
            <w:tcW w:w="468" w:type="pct"/>
            <w:tcBorders>
              <w:bottom w:val="single" w:sz="4" w:space="0" w:color="auto"/>
            </w:tcBorders>
          </w:tcPr>
          <w:p w14:paraId="4ECCD9E0"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-.063</w:t>
            </w:r>
          </w:p>
        </w:tc>
        <w:tc>
          <w:tcPr>
            <w:tcW w:w="469" w:type="pct"/>
            <w:gridSpan w:val="2"/>
            <w:tcBorders>
              <w:bottom w:val="single" w:sz="4" w:space="0" w:color="auto"/>
            </w:tcBorders>
          </w:tcPr>
          <w:p w14:paraId="23CF3C65"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.002</w:t>
            </w:r>
          </w:p>
        </w:tc>
      </w:tr>
      <w:tr w:rsidR="00BB67FB" w:rsidRPr="00AF264D" w14:paraId="4C857A55" w14:textId="77777777" w:rsidTr="00144929">
        <w:trPr>
          <w:gridAfter w:val="1"/>
          <w:wAfter w:w="386" w:type="pct"/>
          <w:trHeight w:val="20"/>
        </w:trPr>
        <w:tc>
          <w:tcPr>
            <w:tcW w:w="4614" w:type="pct"/>
            <w:gridSpan w:val="8"/>
          </w:tcPr>
          <w:p w14:paraId="79F87AA1" w14:textId="77777777" w:rsidR="00BB67FB" w:rsidRPr="00AF264D" w:rsidRDefault="00BB67FB" w:rsidP="00144929">
            <w:pPr>
              <w:jc w:val="both"/>
              <w:rPr>
                <w:rFonts w:ascii="Times New Roman" w:hAnsi="Times New Roman" w:cs="Times New Roman"/>
                <w:sz w:val="20"/>
              </w:rPr>
            </w:pPr>
            <w:r w:rsidRPr="00AF264D">
              <w:rPr>
                <w:rFonts w:ascii="Times New Roman" w:hAnsi="Times New Roman" w:cs="Times New Roman"/>
                <w:sz w:val="20"/>
              </w:rPr>
              <w:t xml:space="preserve">Note: </w:t>
            </w:r>
            <w:r>
              <w:rPr>
                <w:rFonts w:ascii="Times New Roman" w:hAnsi="Times New Roman" w:cs="Times New Roman"/>
                <w:sz w:val="20"/>
              </w:rPr>
              <w:t>Value for ‘</w:t>
            </w:r>
            <w:r w:rsidRPr="006223D3">
              <w:rPr>
                <w:rFonts w:ascii="Times New Roman" w:hAnsi="Times New Roman" w:cs="Times New Roman"/>
                <w:sz w:val="20"/>
              </w:rPr>
              <w:t>Supplier communication</w:t>
            </w:r>
            <w:r>
              <w:rPr>
                <w:rFonts w:ascii="Times New Roman" w:hAnsi="Times New Roman" w:cs="Times New Roman"/>
                <w:sz w:val="20"/>
              </w:rPr>
              <w:t>’</w:t>
            </w:r>
            <w:r w:rsidRPr="006223D3">
              <w:rPr>
                <w:rFonts w:ascii="Times New Roman" w:hAnsi="Times New Roman" w:cs="Times New Roman"/>
                <w:sz w:val="20"/>
              </w:rPr>
              <w:t xml:space="preserve"> </w:t>
            </w:r>
            <w:r w:rsidRPr="00AF264D">
              <w:rPr>
                <w:rFonts w:ascii="Times New Roman" w:hAnsi="Times New Roman" w:cs="Times New Roman"/>
                <w:sz w:val="20"/>
              </w:rPr>
              <w:t xml:space="preserve">on the diagonal is the square-root of AVE; * Correlation is sign. at the .05 level; ** Correlation is sign. at the .01 level; </w:t>
            </w:r>
            <w:r w:rsidRPr="00AF264D">
              <w:rPr>
                <w:rFonts w:ascii="Times New Roman" w:hAnsi="Times New Roman" w:cs="Times New Roman"/>
                <w:sz w:val="20"/>
                <w:vertAlign w:val="superscript"/>
              </w:rPr>
              <w:t xml:space="preserve">a </w:t>
            </w:r>
            <w:r w:rsidRPr="00AF264D">
              <w:rPr>
                <w:rFonts w:ascii="Times New Roman" w:hAnsi="Times New Roman" w:cs="Times New Roman"/>
                <w:sz w:val="20"/>
              </w:rPr>
              <w:t>Transformed using logit transformation.</w:t>
            </w:r>
          </w:p>
        </w:tc>
      </w:tr>
    </w:tbl>
    <w:p w14:paraId="37B2F4DB" w14:textId="77777777" w:rsidR="00BB67FB" w:rsidRPr="00AF264D" w:rsidRDefault="00BB67FB" w:rsidP="00BB67FB">
      <w:pPr>
        <w:spacing w:line="360" w:lineRule="auto"/>
        <w:jc w:val="both"/>
        <w:rPr>
          <w:rFonts w:ascii="Times New Roman" w:hAnsi="Times New Roman" w:cs="Times New Roman"/>
        </w:rPr>
      </w:pPr>
    </w:p>
    <w:p w14:paraId="67685790" w14:textId="77777777" w:rsidR="00BB67FB" w:rsidRPr="001B0E22" w:rsidRDefault="00BB67FB" w:rsidP="00BB67FB">
      <w:pPr>
        <w:pStyle w:val="Caption"/>
        <w:keepNext/>
        <w:jc w:val="left"/>
        <w:rPr>
          <w:rFonts w:ascii="Times New Roman" w:hAnsi="Times New Roman" w:cs="Times New Roman"/>
          <w:sz w:val="24"/>
          <w:szCs w:val="24"/>
          <w:lang w:val="en-GB"/>
        </w:rPr>
      </w:pPr>
      <w:r w:rsidRPr="001B0E22">
        <w:rPr>
          <w:rFonts w:ascii="Times New Roman" w:hAnsi="Times New Roman" w:cs="Times New Roman"/>
          <w:sz w:val="24"/>
          <w:szCs w:val="24"/>
          <w:lang w:val="en-GB"/>
        </w:rPr>
        <w:t xml:space="preserve">Table </w:t>
      </w:r>
      <w:r>
        <w:rPr>
          <w:rFonts w:ascii="Times New Roman" w:hAnsi="Times New Roman" w:cs="Times New Roman"/>
          <w:sz w:val="24"/>
          <w:szCs w:val="24"/>
          <w:lang w:val="en-GB"/>
        </w:rPr>
        <w:t>6</w:t>
      </w:r>
      <w:r>
        <w:rPr>
          <w:rFonts w:ascii="Times New Roman" w:hAnsi="Times New Roman" w:cs="Times New Roman"/>
          <w:b w:val="0"/>
          <w:sz w:val="24"/>
          <w:szCs w:val="24"/>
          <w:lang w:val="en-GB"/>
        </w:rPr>
        <w:t>:</w:t>
      </w:r>
      <w:r w:rsidRPr="001B0E22">
        <w:rPr>
          <w:rFonts w:ascii="Times New Roman" w:hAnsi="Times New Roman" w:cs="Times New Roman"/>
          <w:b w:val="0"/>
          <w:sz w:val="24"/>
          <w:szCs w:val="24"/>
          <w:lang w:val="en-GB"/>
        </w:rPr>
        <w:t xml:space="preserve">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544"/>
        <w:gridCol w:w="2268"/>
        <w:gridCol w:w="2444"/>
      </w:tblGrid>
      <w:tr w:rsidR="00BB67FB" w:rsidRPr="00AF264D" w14:paraId="641ADB3C" w14:textId="77777777" w:rsidTr="00144929">
        <w:trPr>
          <w:cantSplit/>
          <w:trHeight w:val="313"/>
        </w:trPr>
        <w:tc>
          <w:tcPr>
            <w:tcW w:w="675" w:type="dxa"/>
            <w:tcBorders>
              <w:top w:val="single" w:sz="4" w:space="0" w:color="auto"/>
              <w:bottom w:val="single" w:sz="4" w:space="0" w:color="auto"/>
            </w:tcBorders>
            <w:noWrap/>
            <w:hideMark/>
          </w:tcPr>
          <w:p w14:paraId="28F41FA2"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 </w:t>
            </w:r>
          </w:p>
        </w:tc>
        <w:tc>
          <w:tcPr>
            <w:tcW w:w="3544" w:type="dxa"/>
            <w:tcBorders>
              <w:top w:val="single" w:sz="4" w:space="0" w:color="auto"/>
              <w:bottom w:val="single" w:sz="4" w:space="0" w:color="auto"/>
            </w:tcBorders>
            <w:noWrap/>
            <w:hideMark/>
          </w:tcPr>
          <w:p w14:paraId="386E480B"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 </w:t>
            </w:r>
          </w:p>
        </w:tc>
        <w:tc>
          <w:tcPr>
            <w:tcW w:w="2268" w:type="dxa"/>
            <w:tcBorders>
              <w:top w:val="single" w:sz="4" w:space="0" w:color="auto"/>
              <w:bottom w:val="single" w:sz="4" w:space="0" w:color="auto"/>
            </w:tcBorders>
            <w:noWrap/>
            <w:hideMark/>
          </w:tcPr>
          <w:p w14:paraId="79CE9EB1"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On-time Deliveries</w:t>
            </w:r>
            <w:r w:rsidRPr="00AF264D">
              <w:rPr>
                <w:rFonts w:ascii="Times New Roman" w:hAnsi="Times New Roman" w:cs="Times New Roman"/>
                <w:sz w:val="20"/>
                <w:szCs w:val="20"/>
                <w:vertAlign w:val="superscript"/>
              </w:rPr>
              <w:t xml:space="preserve"> a</w:t>
            </w:r>
          </w:p>
        </w:tc>
        <w:tc>
          <w:tcPr>
            <w:tcW w:w="2444" w:type="dxa"/>
            <w:tcBorders>
              <w:top w:val="single" w:sz="4" w:space="0" w:color="auto"/>
              <w:bottom w:val="single" w:sz="4" w:space="0" w:color="auto"/>
            </w:tcBorders>
          </w:tcPr>
          <w:p w14:paraId="06AADE32"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777CFD3B" w14:textId="77777777" w:rsidTr="00144929">
        <w:trPr>
          <w:cantSplit/>
          <w:trHeight w:val="11"/>
        </w:trPr>
        <w:tc>
          <w:tcPr>
            <w:tcW w:w="675" w:type="dxa"/>
            <w:tcBorders>
              <w:top w:val="single" w:sz="4" w:space="0" w:color="auto"/>
            </w:tcBorders>
            <w:noWrap/>
          </w:tcPr>
          <w:p w14:paraId="75597A0A"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Borders>
              <w:top w:val="single" w:sz="4" w:space="0" w:color="auto"/>
            </w:tcBorders>
            <w:noWrap/>
          </w:tcPr>
          <w:p w14:paraId="04ABCB65" w14:textId="77777777" w:rsidR="00BB67FB" w:rsidRPr="00AF264D" w:rsidRDefault="00BB67FB" w:rsidP="00144929">
            <w:pPr>
              <w:rPr>
                <w:rFonts w:ascii="Times New Roman" w:eastAsia="Times New Roman" w:hAnsi="Times New Roman" w:cs="Times New Roman"/>
                <w:color w:val="000000"/>
                <w:sz w:val="20"/>
                <w:szCs w:val="20"/>
              </w:rPr>
            </w:pPr>
          </w:p>
        </w:tc>
        <w:tc>
          <w:tcPr>
            <w:tcW w:w="2268" w:type="dxa"/>
            <w:tcBorders>
              <w:top w:val="single" w:sz="4" w:space="0" w:color="auto"/>
            </w:tcBorders>
            <w:noWrap/>
          </w:tcPr>
          <w:p w14:paraId="4DA69B9C" w14:textId="77777777" w:rsidR="00BB67FB" w:rsidRPr="00AF264D" w:rsidRDefault="00BB67FB" w:rsidP="00144929">
            <w:pPr>
              <w:jc w:val="center"/>
              <w:rPr>
                <w:rFonts w:ascii="Times New Roman" w:eastAsia="Times New Roman" w:hAnsi="Times New Roman" w:cs="Times New Roman"/>
                <w:color w:val="000000"/>
                <w:sz w:val="20"/>
                <w:szCs w:val="20"/>
              </w:rPr>
            </w:pPr>
          </w:p>
        </w:tc>
        <w:tc>
          <w:tcPr>
            <w:tcW w:w="2444" w:type="dxa"/>
            <w:tcBorders>
              <w:top w:val="single" w:sz="4" w:space="0" w:color="auto"/>
            </w:tcBorders>
          </w:tcPr>
          <w:p w14:paraId="0BAC992D"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56FF66B9" w14:textId="77777777" w:rsidTr="00144929">
        <w:trPr>
          <w:cantSplit/>
          <w:trHeight w:val="340"/>
        </w:trPr>
        <w:tc>
          <w:tcPr>
            <w:tcW w:w="675" w:type="dxa"/>
            <w:vMerge w:val="restart"/>
            <w:noWrap/>
            <w:textDirection w:val="btLr"/>
          </w:tcPr>
          <w:p w14:paraId="110BAEE2" w14:textId="77777777" w:rsidR="00BB67FB" w:rsidRPr="00AF264D" w:rsidRDefault="00BB67FB" w:rsidP="00144929">
            <w:pPr>
              <w:ind w:left="113" w:right="113"/>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Controls</w:t>
            </w:r>
          </w:p>
        </w:tc>
        <w:tc>
          <w:tcPr>
            <w:tcW w:w="3544" w:type="dxa"/>
          </w:tcPr>
          <w:p w14:paraId="0840BDB1" w14:textId="77777777" w:rsidR="00BB67FB" w:rsidRPr="00AF264D" w:rsidRDefault="00BB67FB" w:rsidP="00144929">
            <w:pPr>
              <w:rPr>
                <w:rFonts w:ascii="Times New Roman" w:eastAsia="Times New Roman" w:hAnsi="Times New Roman" w:cs="Times New Roman"/>
                <w:b/>
                <w:color w:val="000000"/>
                <w:sz w:val="20"/>
                <w:szCs w:val="20"/>
              </w:rPr>
            </w:pPr>
            <w:r w:rsidRPr="00AF264D">
              <w:rPr>
                <w:rFonts w:ascii="Times New Roman" w:hAnsi="Times New Roman" w:cs="Times New Roman"/>
                <w:sz w:val="20"/>
                <w:szCs w:val="20"/>
              </w:rPr>
              <w:t>Share of international suppliers</w:t>
            </w:r>
          </w:p>
        </w:tc>
        <w:tc>
          <w:tcPr>
            <w:tcW w:w="2268" w:type="dxa"/>
            <w:noWrap/>
          </w:tcPr>
          <w:p w14:paraId="36B9DB82"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-.098**</w:t>
            </w:r>
          </w:p>
        </w:tc>
        <w:tc>
          <w:tcPr>
            <w:tcW w:w="2444" w:type="dxa"/>
          </w:tcPr>
          <w:p w14:paraId="1326EA83"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05BD8B10" w14:textId="77777777" w:rsidTr="00144929">
        <w:trPr>
          <w:cantSplit/>
          <w:trHeight w:val="340"/>
        </w:trPr>
        <w:tc>
          <w:tcPr>
            <w:tcW w:w="675" w:type="dxa"/>
            <w:vMerge/>
            <w:noWrap/>
          </w:tcPr>
          <w:p w14:paraId="1F14BDD2" w14:textId="77777777" w:rsidR="00BB67FB" w:rsidRPr="00AF264D" w:rsidRDefault="00BB67FB" w:rsidP="00144929">
            <w:pPr>
              <w:jc w:val="center"/>
              <w:rPr>
                <w:rFonts w:ascii="Times New Roman" w:eastAsia="Times New Roman" w:hAnsi="Times New Roman" w:cs="Times New Roman"/>
                <w:color w:val="000000"/>
                <w:sz w:val="20"/>
                <w:szCs w:val="20"/>
              </w:rPr>
            </w:pPr>
          </w:p>
        </w:tc>
        <w:tc>
          <w:tcPr>
            <w:tcW w:w="3544" w:type="dxa"/>
          </w:tcPr>
          <w:p w14:paraId="79C2E95E" w14:textId="77777777" w:rsidR="00BB67FB" w:rsidRPr="00AF264D" w:rsidRDefault="00BB67FB" w:rsidP="00144929">
            <w:pPr>
              <w:rPr>
                <w:rFonts w:ascii="Times New Roman" w:eastAsia="Times New Roman" w:hAnsi="Times New Roman" w:cs="Times New Roman"/>
                <w:b/>
                <w:color w:val="000000"/>
                <w:sz w:val="20"/>
                <w:szCs w:val="20"/>
              </w:rPr>
            </w:pPr>
            <w:r w:rsidRPr="00AF264D">
              <w:rPr>
                <w:rFonts w:ascii="Times New Roman" w:hAnsi="Times New Roman" w:cs="Times New Roman"/>
                <w:sz w:val="20"/>
                <w:szCs w:val="20"/>
              </w:rPr>
              <w:t>Plant size</w:t>
            </w:r>
          </w:p>
        </w:tc>
        <w:tc>
          <w:tcPr>
            <w:tcW w:w="2268" w:type="dxa"/>
            <w:noWrap/>
          </w:tcPr>
          <w:p w14:paraId="457FB14F"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.087**</w:t>
            </w:r>
          </w:p>
        </w:tc>
        <w:tc>
          <w:tcPr>
            <w:tcW w:w="2444" w:type="dxa"/>
          </w:tcPr>
          <w:p w14:paraId="4EC20EC5"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401B8E3F" w14:textId="77777777" w:rsidTr="00144929">
        <w:trPr>
          <w:cantSplit/>
          <w:trHeight w:val="234"/>
        </w:trPr>
        <w:tc>
          <w:tcPr>
            <w:tcW w:w="675" w:type="dxa"/>
            <w:vMerge/>
            <w:noWrap/>
          </w:tcPr>
          <w:p w14:paraId="538CA314" w14:textId="77777777" w:rsidR="00BB67FB" w:rsidRPr="00AF264D" w:rsidRDefault="00BB67FB" w:rsidP="00144929">
            <w:pPr>
              <w:jc w:val="center"/>
              <w:rPr>
                <w:rFonts w:ascii="Times New Roman" w:eastAsia="Times New Roman" w:hAnsi="Times New Roman" w:cs="Times New Roman"/>
                <w:color w:val="000000"/>
                <w:sz w:val="20"/>
                <w:szCs w:val="20"/>
              </w:rPr>
            </w:pPr>
          </w:p>
        </w:tc>
        <w:tc>
          <w:tcPr>
            <w:tcW w:w="3544" w:type="dxa"/>
            <w:vMerge w:val="restart"/>
          </w:tcPr>
          <w:p w14:paraId="55590DEE" w14:textId="77777777" w:rsidR="00BB67FB" w:rsidRPr="00AF264D" w:rsidRDefault="00BB67FB" w:rsidP="00144929">
            <w:pPr>
              <w:rPr>
                <w:rFonts w:ascii="Times New Roman" w:eastAsia="Times New Roman" w:hAnsi="Times New Roman" w:cs="Times New Roman"/>
                <w:b/>
                <w:color w:val="000000"/>
                <w:sz w:val="20"/>
                <w:szCs w:val="20"/>
              </w:rPr>
            </w:pPr>
            <w:r w:rsidRPr="00AF264D">
              <w:rPr>
                <w:rFonts w:ascii="Times New Roman" w:hAnsi="Times New Roman" w:cs="Times New Roman"/>
                <w:sz w:val="20"/>
                <w:szCs w:val="20"/>
              </w:rPr>
              <w:t>Supply chain position</w:t>
            </w:r>
          </w:p>
        </w:tc>
        <w:tc>
          <w:tcPr>
            <w:tcW w:w="2268" w:type="dxa"/>
            <w:vMerge w:val="restart"/>
            <w:noWrap/>
          </w:tcPr>
          <w:p w14:paraId="5478513B"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.011</w:t>
            </w:r>
          </w:p>
        </w:tc>
        <w:tc>
          <w:tcPr>
            <w:tcW w:w="2444" w:type="dxa"/>
            <w:tcBorders>
              <w:bottom w:val="single" w:sz="4" w:space="0" w:color="auto"/>
            </w:tcBorders>
          </w:tcPr>
          <w:p w14:paraId="26D1223F"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Hypothesis test</w:t>
            </w:r>
          </w:p>
        </w:tc>
      </w:tr>
      <w:tr w:rsidR="00BB67FB" w:rsidRPr="00AF264D" w14:paraId="4AC80F28" w14:textId="77777777" w:rsidTr="00144929">
        <w:trPr>
          <w:cantSplit/>
          <w:trHeight w:val="94"/>
        </w:trPr>
        <w:tc>
          <w:tcPr>
            <w:tcW w:w="675" w:type="dxa"/>
            <w:vMerge/>
            <w:noWrap/>
          </w:tcPr>
          <w:p w14:paraId="7C2CEC09" w14:textId="77777777" w:rsidR="00BB67FB" w:rsidRPr="00AF264D" w:rsidRDefault="00BB67FB" w:rsidP="00144929">
            <w:pPr>
              <w:jc w:val="center"/>
              <w:rPr>
                <w:rFonts w:ascii="Times New Roman" w:eastAsia="Times New Roman" w:hAnsi="Times New Roman" w:cs="Times New Roman"/>
                <w:color w:val="000000"/>
                <w:sz w:val="20"/>
                <w:szCs w:val="20"/>
              </w:rPr>
            </w:pPr>
          </w:p>
        </w:tc>
        <w:tc>
          <w:tcPr>
            <w:tcW w:w="3544" w:type="dxa"/>
            <w:vMerge/>
          </w:tcPr>
          <w:p w14:paraId="62681DB6" w14:textId="77777777" w:rsidR="00BB67FB" w:rsidRPr="00AF264D" w:rsidRDefault="00BB67FB" w:rsidP="00144929">
            <w:pPr>
              <w:rPr>
                <w:rFonts w:ascii="Times New Roman" w:hAnsi="Times New Roman" w:cs="Times New Roman"/>
                <w:sz w:val="20"/>
                <w:szCs w:val="20"/>
              </w:rPr>
            </w:pPr>
          </w:p>
        </w:tc>
        <w:tc>
          <w:tcPr>
            <w:tcW w:w="2268" w:type="dxa"/>
            <w:vMerge/>
            <w:noWrap/>
          </w:tcPr>
          <w:p w14:paraId="4F48C67A" w14:textId="77777777" w:rsidR="00BB67FB" w:rsidRPr="00AF264D" w:rsidRDefault="00BB67FB" w:rsidP="00144929">
            <w:pPr>
              <w:jc w:val="center"/>
              <w:rPr>
                <w:rFonts w:ascii="Times New Roman" w:eastAsia="Times New Roman" w:hAnsi="Times New Roman" w:cs="Times New Roman"/>
                <w:color w:val="000000"/>
                <w:sz w:val="20"/>
                <w:szCs w:val="20"/>
              </w:rPr>
            </w:pPr>
          </w:p>
        </w:tc>
        <w:tc>
          <w:tcPr>
            <w:tcW w:w="2444" w:type="dxa"/>
            <w:tcBorders>
              <w:top w:val="single" w:sz="4" w:space="0" w:color="auto"/>
            </w:tcBorders>
          </w:tcPr>
          <w:p w14:paraId="35F31DB9"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72F03218" w14:textId="77777777" w:rsidTr="00144929">
        <w:trPr>
          <w:cantSplit/>
          <w:trHeight w:val="340"/>
        </w:trPr>
        <w:tc>
          <w:tcPr>
            <w:tcW w:w="675" w:type="dxa"/>
            <w:vMerge w:val="restart"/>
            <w:noWrap/>
            <w:textDirection w:val="btLr"/>
          </w:tcPr>
          <w:p w14:paraId="77FA6046" w14:textId="77777777" w:rsidR="00BB67FB" w:rsidRPr="00AF264D" w:rsidRDefault="00BB67FB" w:rsidP="00144929">
            <w:pPr>
              <w:ind w:left="113" w:right="113"/>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Independent variables</w:t>
            </w:r>
          </w:p>
        </w:tc>
        <w:tc>
          <w:tcPr>
            <w:tcW w:w="3544" w:type="dxa"/>
          </w:tcPr>
          <w:p w14:paraId="5B4C491A" w14:textId="77777777" w:rsidR="00BB67FB" w:rsidRPr="00AF264D" w:rsidRDefault="00BB67FB" w:rsidP="00144929">
            <w:pPr>
              <w:rPr>
                <w:rFonts w:ascii="Times New Roman" w:hAnsi="Times New Roman" w:cs="Times New Roman"/>
                <w:sz w:val="20"/>
                <w:szCs w:val="20"/>
              </w:rPr>
            </w:pPr>
            <w:r w:rsidRPr="00AF264D">
              <w:rPr>
                <w:rFonts w:ascii="Times New Roman" w:eastAsia="Times New Roman" w:hAnsi="Times New Roman" w:cs="Times New Roman"/>
                <w:color w:val="000000"/>
                <w:sz w:val="20"/>
                <w:szCs w:val="20"/>
              </w:rPr>
              <w:t>Regulatory national environment</w:t>
            </w:r>
          </w:p>
        </w:tc>
        <w:tc>
          <w:tcPr>
            <w:tcW w:w="2268" w:type="dxa"/>
            <w:noWrap/>
          </w:tcPr>
          <w:p w14:paraId="189D4509"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 xml:space="preserve">.076* </w:t>
            </w:r>
          </w:p>
        </w:tc>
        <w:tc>
          <w:tcPr>
            <w:tcW w:w="2444" w:type="dxa"/>
          </w:tcPr>
          <w:p w14:paraId="646E34E5"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H1: supported</w:t>
            </w:r>
          </w:p>
        </w:tc>
      </w:tr>
      <w:tr w:rsidR="00BB67FB" w:rsidRPr="00AF264D" w14:paraId="319EB01B" w14:textId="77777777" w:rsidTr="00144929">
        <w:trPr>
          <w:cantSplit/>
          <w:trHeight w:val="340"/>
        </w:trPr>
        <w:tc>
          <w:tcPr>
            <w:tcW w:w="675" w:type="dxa"/>
            <w:vMerge/>
            <w:noWrap/>
          </w:tcPr>
          <w:p w14:paraId="03BEBB0F"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Pr>
          <w:p w14:paraId="471AD723" w14:textId="77777777" w:rsidR="00BB67FB" w:rsidRPr="00AF264D" w:rsidRDefault="00BB67FB" w:rsidP="00144929">
            <w:pPr>
              <w:rPr>
                <w:rFonts w:ascii="Times New Roman" w:hAnsi="Times New Roman" w:cs="Times New Roman"/>
                <w:sz w:val="20"/>
                <w:szCs w:val="20"/>
              </w:rPr>
            </w:pPr>
            <w:r w:rsidRPr="00AF264D">
              <w:rPr>
                <w:rFonts w:ascii="Times New Roman" w:eastAsia="Times New Roman" w:hAnsi="Times New Roman" w:cs="Times New Roman"/>
                <w:color w:val="000000"/>
                <w:sz w:val="20"/>
                <w:szCs w:val="20"/>
              </w:rPr>
              <w:t>Neglect of critical infrastructure</w:t>
            </w:r>
          </w:p>
        </w:tc>
        <w:tc>
          <w:tcPr>
            <w:tcW w:w="2268" w:type="dxa"/>
            <w:noWrap/>
          </w:tcPr>
          <w:p w14:paraId="6BBC2564"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-.147***</w:t>
            </w:r>
          </w:p>
        </w:tc>
        <w:tc>
          <w:tcPr>
            <w:tcW w:w="2444" w:type="dxa"/>
          </w:tcPr>
          <w:p w14:paraId="2BF358B4"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H2: supported</w:t>
            </w:r>
          </w:p>
        </w:tc>
      </w:tr>
      <w:tr w:rsidR="00BB67FB" w:rsidRPr="00AF264D" w14:paraId="271CD292" w14:textId="77777777" w:rsidTr="00144929">
        <w:trPr>
          <w:cantSplit/>
          <w:trHeight w:val="340"/>
        </w:trPr>
        <w:tc>
          <w:tcPr>
            <w:tcW w:w="675" w:type="dxa"/>
            <w:vMerge/>
            <w:noWrap/>
          </w:tcPr>
          <w:p w14:paraId="2FD6D6EC"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Pr>
          <w:p w14:paraId="5FFFF0C7" w14:textId="77777777" w:rsidR="00BB67FB" w:rsidRPr="00AF264D" w:rsidRDefault="00BB67FB" w:rsidP="00144929">
            <w:pPr>
              <w:rPr>
                <w:rFonts w:ascii="Times New Roman" w:hAnsi="Times New Roman" w:cs="Times New Roman"/>
                <w:sz w:val="20"/>
                <w:szCs w:val="20"/>
              </w:rPr>
            </w:pPr>
            <w:r w:rsidRPr="00AF264D">
              <w:rPr>
                <w:rFonts w:ascii="Times New Roman" w:eastAsia="Times New Roman" w:hAnsi="Times New Roman" w:cs="Times New Roman"/>
                <w:color w:val="000000"/>
                <w:sz w:val="20"/>
                <w:szCs w:val="20"/>
              </w:rPr>
              <w:t>Uncertainty avoidance (UAI)</w:t>
            </w:r>
          </w:p>
        </w:tc>
        <w:tc>
          <w:tcPr>
            <w:tcW w:w="2268" w:type="dxa"/>
            <w:noWrap/>
          </w:tcPr>
          <w:p w14:paraId="78C4E259"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-.249***</w:t>
            </w:r>
          </w:p>
        </w:tc>
        <w:tc>
          <w:tcPr>
            <w:tcW w:w="2444" w:type="dxa"/>
          </w:tcPr>
          <w:p w14:paraId="342C6B4A"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H3a: supported</w:t>
            </w:r>
          </w:p>
        </w:tc>
      </w:tr>
      <w:tr w:rsidR="00BB67FB" w:rsidRPr="00AF264D" w14:paraId="23800DCC" w14:textId="77777777" w:rsidTr="00144929">
        <w:trPr>
          <w:cantSplit/>
          <w:trHeight w:val="340"/>
        </w:trPr>
        <w:tc>
          <w:tcPr>
            <w:tcW w:w="675" w:type="dxa"/>
            <w:vMerge/>
            <w:noWrap/>
          </w:tcPr>
          <w:p w14:paraId="17C6F8F8"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Pr>
          <w:p w14:paraId="4749F1F9" w14:textId="77777777" w:rsidR="00BB67FB" w:rsidRPr="00AF264D" w:rsidRDefault="00BB67FB" w:rsidP="00144929">
            <w:pPr>
              <w:rPr>
                <w:rFonts w:ascii="Times New Roman" w:hAnsi="Times New Roman" w:cs="Times New Roman"/>
                <w:sz w:val="20"/>
                <w:szCs w:val="20"/>
              </w:rPr>
            </w:pPr>
            <w:r w:rsidRPr="00AF264D">
              <w:rPr>
                <w:rFonts w:ascii="Times New Roman" w:eastAsia="Times New Roman" w:hAnsi="Times New Roman" w:cs="Times New Roman"/>
                <w:color w:val="000000"/>
                <w:sz w:val="20"/>
                <w:szCs w:val="20"/>
              </w:rPr>
              <w:t>Supplier communication</w:t>
            </w:r>
          </w:p>
        </w:tc>
        <w:tc>
          <w:tcPr>
            <w:tcW w:w="2268" w:type="dxa"/>
            <w:noWrap/>
          </w:tcPr>
          <w:p w14:paraId="7AD4B9EA"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.067*</w:t>
            </w:r>
          </w:p>
        </w:tc>
        <w:tc>
          <w:tcPr>
            <w:tcW w:w="2444" w:type="dxa"/>
          </w:tcPr>
          <w:p w14:paraId="4DED4BC1"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H3b: supported</w:t>
            </w:r>
          </w:p>
        </w:tc>
      </w:tr>
      <w:tr w:rsidR="00BB67FB" w:rsidRPr="00AF264D" w14:paraId="72F0AE2D" w14:textId="77777777" w:rsidTr="00144929">
        <w:trPr>
          <w:cantSplit/>
          <w:trHeight w:val="340"/>
        </w:trPr>
        <w:tc>
          <w:tcPr>
            <w:tcW w:w="675" w:type="dxa"/>
            <w:vMerge/>
            <w:tcBorders>
              <w:bottom w:val="single" w:sz="4" w:space="0" w:color="auto"/>
            </w:tcBorders>
            <w:noWrap/>
          </w:tcPr>
          <w:p w14:paraId="029E070E"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Borders>
              <w:bottom w:val="single" w:sz="4" w:space="0" w:color="auto"/>
            </w:tcBorders>
          </w:tcPr>
          <w:p w14:paraId="0381638E" w14:textId="77777777" w:rsidR="00BB67FB" w:rsidRPr="00AF264D" w:rsidRDefault="00BB67FB" w:rsidP="00144929">
            <w:pPr>
              <w:rPr>
                <w:rFonts w:ascii="Times New Roman" w:hAnsi="Times New Roman" w:cs="Times New Roman"/>
                <w:sz w:val="20"/>
                <w:szCs w:val="20"/>
              </w:rPr>
            </w:pPr>
            <w:r w:rsidRPr="00AF264D">
              <w:rPr>
                <w:rFonts w:ascii="Times New Roman" w:eastAsia="Times New Roman" w:hAnsi="Times New Roman" w:cs="Times New Roman"/>
                <w:color w:val="000000"/>
                <w:sz w:val="20"/>
                <w:szCs w:val="20"/>
              </w:rPr>
              <w:t xml:space="preserve">Supplier communication _X_UAI </w:t>
            </w:r>
            <w:r w:rsidRPr="00AF264D">
              <w:rPr>
                <w:rFonts w:ascii="Times New Roman" w:hAnsi="Times New Roman" w:cs="Times New Roman"/>
                <w:sz w:val="20"/>
                <w:szCs w:val="20"/>
                <w:vertAlign w:val="superscript"/>
              </w:rPr>
              <w:t>b</w:t>
            </w:r>
          </w:p>
        </w:tc>
        <w:tc>
          <w:tcPr>
            <w:tcW w:w="2268" w:type="dxa"/>
            <w:tcBorders>
              <w:bottom w:val="single" w:sz="4" w:space="0" w:color="auto"/>
            </w:tcBorders>
            <w:noWrap/>
          </w:tcPr>
          <w:p w14:paraId="15D4EC4C"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-.087**</w:t>
            </w:r>
          </w:p>
        </w:tc>
        <w:tc>
          <w:tcPr>
            <w:tcW w:w="2444" w:type="dxa"/>
            <w:tcBorders>
              <w:bottom w:val="single" w:sz="4" w:space="0" w:color="auto"/>
            </w:tcBorders>
          </w:tcPr>
          <w:p w14:paraId="2479E270"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 xml:space="preserve">H4a: </w:t>
            </w:r>
            <w:r>
              <w:rPr>
                <w:rFonts w:ascii="Times New Roman" w:eastAsia="Times New Roman" w:hAnsi="Times New Roman" w:cs="Times New Roman"/>
                <w:color w:val="000000"/>
                <w:sz w:val="20"/>
                <w:szCs w:val="20"/>
              </w:rPr>
              <w:t>not supported</w:t>
            </w:r>
            <w:r w:rsidRPr="00AF264D">
              <w:rPr>
                <w:rFonts w:ascii="Times New Roman" w:eastAsia="Times New Roman" w:hAnsi="Times New Roman" w:cs="Times New Roman"/>
                <w:color w:val="000000"/>
                <w:sz w:val="20"/>
                <w:szCs w:val="20"/>
              </w:rPr>
              <w:br/>
              <w:t>H4b: no</w:t>
            </w:r>
            <w:r>
              <w:rPr>
                <w:rFonts w:ascii="Times New Roman" w:eastAsia="Times New Roman" w:hAnsi="Times New Roman" w:cs="Times New Roman"/>
                <w:color w:val="000000"/>
                <w:sz w:val="20"/>
                <w:szCs w:val="20"/>
              </w:rPr>
              <w:t>t</w:t>
            </w:r>
            <w:r w:rsidRPr="00AF264D">
              <w:rPr>
                <w:rFonts w:ascii="Times New Roman" w:eastAsia="Times New Roman" w:hAnsi="Times New Roman" w:cs="Times New Roman"/>
                <w:color w:val="000000"/>
                <w:sz w:val="20"/>
                <w:szCs w:val="20"/>
              </w:rPr>
              <w:t xml:space="preserve"> support</w:t>
            </w:r>
            <w:r>
              <w:rPr>
                <w:rFonts w:ascii="Times New Roman" w:eastAsia="Times New Roman" w:hAnsi="Times New Roman" w:cs="Times New Roman"/>
                <w:color w:val="000000"/>
                <w:sz w:val="20"/>
                <w:szCs w:val="20"/>
              </w:rPr>
              <w:t>ed</w:t>
            </w:r>
          </w:p>
        </w:tc>
      </w:tr>
      <w:tr w:rsidR="00BB67FB" w:rsidRPr="00AF264D" w14:paraId="17E30DB5" w14:textId="77777777" w:rsidTr="00144929">
        <w:trPr>
          <w:cantSplit/>
          <w:trHeight w:val="340"/>
        </w:trPr>
        <w:tc>
          <w:tcPr>
            <w:tcW w:w="675" w:type="dxa"/>
            <w:vMerge w:val="restart"/>
            <w:textDirection w:val="btLr"/>
            <w:hideMark/>
          </w:tcPr>
          <w:p w14:paraId="1656E17C"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 xml:space="preserve">Goodness of Fit </w:t>
            </w:r>
            <w:r w:rsidRPr="00AF264D">
              <w:rPr>
                <w:rFonts w:ascii="Times New Roman" w:eastAsia="Times New Roman" w:hAnsi="Times New Roman" w:cs="Times New Roman"/>
                <w:color w:val="000000"/>
                <w:sz w:val="20"/>
                <w:szCs w:val="20"/>
              </w:rPr>
              <w:br/>
              <w:t>Indices</w:t>
            </w:r>
          </w:p>
        </w:tc>
        <w:tc>
          <w:tcPr>
            <w:tcW w:w="3544" w:type="dxa"/>
            <w:noWrap/>
            <w:hideMark/>
          </w:tcPr>
          <w:p w14:paraId="1E1507EC"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GFI</w:t>
            </w:r>
          </w:p>
        </w:tc>
        <w:tc>
          <w:tcPr>
            <w:tcW w:w="2268" w:type="dxa"/>
            <w:noWrap/>
            <w:hideMark/>
          </w:tcPr>
          <w:p w14:paraId="27DDB337"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.999</w:t>
            </w:r>
          </w:p>
        </w:tc>
        <w:tc>
          <w:tcPr>
            <w:tcW w:w="2444" w:type="dxa"/>
          </w:tcPr>
          <w:p w14:paraId="7F310D95"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23AEBAE2" w14:textId="77777777" w:rsidTr="00144929">
        <w:trPr>
          <w:cantSplit/>
          <w:trHeight w:val="340"/>
        </w:trPr>
        <w:tc>
          <w:tcPr>
            <w:tcW w:w="675" w:type="dxa"/>
            <w:vMerge/>
            <w:hideMark/>
          </w:tcPr>
          <w:p w14:paraId="7C91A6E7"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noWrap/>
            <w:hideMark/>
          </w:tcPr>
          <w:p w14:paraId="7ABCD710"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χ²/df</w:t>
            </w:r>
          </w:p>
        </w:tc>
        <w:tc>
          <w:tcPr>
            <w:tcW w:w="2268" w:type="dxa"/>
            <w:noWrap/>
            <w:hideMark/>
          </w:tcPr>
          <w:p w14:paraId="3993776D"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1.197</w:t>
            </w:r>
          </w:p>
        </w:tc>
        <w:tc>
          <w:tcPr>
            <w:tcW w:w="2444" w:type="dxa"/>
          </w:tcPr>
          <w:p w14:paraId="695958C0"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32D184E1" w14:textId="77777777" w:rsidTr="00144929">
        <w:trPr>
          <w:cantSplit/>
          <w:trHeight w:val="340"/>
        </w:trPr>
        <w:tc>
          <w:tcPr>
            <w:tcW w:w="675" w:type="dxa"/>
            <w:vMerge/>
            <w:hideMark/>
          </w:tcPr>
          <w:p w14:paraId="0144309E"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noWrap/>
            <w:hideMark/>
          </w:tcPr>
          <w:p w14:paraId="3009DFF0"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RMSEA</w:t>
            </w:r>
          </w:p>
        </w:tc>
        <w:tc>
          <w:tcPr>
            <w:tcW w:w="2268" w:type="dxa"/>
            <w:noWrap/>
            <w:hideMark/>
          </w:tcPr>
          <w:p w14:paraId="05E0B90F"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.017</w:t>
            </w:r>
          </w:p>
        </w:tc>
        <w:tc>
          <w:tcPr>
            <w:tcW w:w="2444" w:type="dxa"/>
          </w:tcPr>
          <w:p w14:paraId="19281C47"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18373663" w14:textId="77777777" w:rsidTr="00144929">
        <w:trPr>
          <w:cantSplit/>
          <w:trHeight w:val="340"/>
        </w:trPr>
        <w:tc>
          <w:tcPr>
            <w:tcW w:w="675" w:type="dxa"/>
            <w:vMerge/>
            <w:hideMark/>
          </w:tcPr>
          <w:p w14:paraId="2AE38CF6"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noWrap/>
            <w:hideMark/>
          </w:tcPr>
          <w:p w14:paraId="76A373B2"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RMR</w:t>
            </w:r>
          </w:p>
        </w:tc>
        <w:tc>
          <w:tcPr>
            <w:tcW w:w="2268" w:type="dxa"/>
            <w:noWrap/>
            <w:hideMark/>
          </w:tcPr>
          <w:p w14:paraId="779A704E"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74.663</w:t>
            </w:r>
          </w:p>
        </w:tc>
        <w:tc>
          <w:tcPr>
            <w:tcW w:w="2444" w:type="dxa"/>
          </w:tcPr>
          <w:p w14:paraId="7AD3537F"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2F861520" w14:textId="77777777" w:rsidTr="00144929">
        <w:trPr>
          <w:cantSplit/>
          <w:trHeight w:val="340"/>
        </w:trPr>
        <w:tc>
          <w:tcPr>
            <w:tcW w:w="675" w:type="dxa"/>
            <w:vMerge/>
            <w:hideMark/>
          </w:tcPr>
          <w:p w14:paraId="192E2233"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noWrap/>
            <w:hideMark/>
          </w:tcPr>
          <w:p w14:paraId="19E2B4C7"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CFI</w:t>
            </w:r>
          </w:p>
        </w:tc>
        <w:tc>
          <w:tcPr>
            <w:tcW w:w="2268" w:type="dxa"/>
            <w:noWrap/>
            <w:hideMark/>
          </w:tcPr>
          <w:p w14:paraId="293DFD40"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.999</w:t>
            </w:r>
          </w:p>
        </w:tc>
        <w:tc>
          <w:tcPr>
            <w:tcW w:w="2444" w:type="dxa"/>
          </w:tcPr>
          <w:p w14:paraId="4A295A9D" w14:textId="77777777" w:rsidR="00BB67FB" w:rsidRPr="00AF264D" w:rsidRDefault="00BB67FB" w:rsidP="00144929">
            <w:pPr>
              <w:jc w:val="center"/>
              <w:rPr>
                <w:rFonts w:ascii="Times New Roman" w:eastAsia="Times New Roman" w:hAnsi="Times New Roman" w:cs="Times New Roman"/>
                <w:color w:val="000000"/>
                <w:sz w:val="20"/>
                <w:szCs w:val="20"/>
              </w:rPr>
            </w:pPr>
          </w:p>
        </w:tc>
      </w:tr>
      <w:tr w:rsidR="00BB67FB" w:rsidRPr="00AF264D" w14:paraId="0293C5A7" w14:textId="77777777" w:rsidTr="00144929">
        <w:trPr>
          <w:cantSplit/>
          <w:trHeight w:val="340"/>
        </w:trPr>
        <w:tc>
          <w:tcPr>
            <w:tcW w:w="675" w:type="dxa"/>
            <w:vMerge/>
            <w:tcBorders>
              <w:bottom w:val="single" w:sz="4" w:space="0" w:color="auto"/>
            </w:tcBorders>
            <w:hideMark/>
          </w:tcPr>
          <w:p w14:paraId="45E5292B" w14:textId="77777777" w:rsidR="00BB67FB" w:rsidRPr="00AF264D" w:rsidRDefault="00BB67FB" w:rsidP="00144929">
            <w:pPr>
              <w:rPr>
                <w:rFonts w:ascii="Times New Roman" w:eastAsia="Times New Roman" w:hAnsi="Times New Roman" w:cs="Times New Roman"/>
                <w:color w:val="000000"/>
                <w:sz w:val="20"/>
                <w:szCs w:val="20"/>
              </w:rPr>
            </w:pPr>
          </w:p>
        </w:tc>
        <w:tc>
          <w:tcPr>
            <w:tcW w:w="3544" w:type="dxa"/>
            <w:tcBorders>
              <w:bottom w:val="single" w:sz="4" w:space="0" w:color="auto"/>
            </w:tcBorders>
            <w:noWrap/>
            <w:hideMark/>
          </w:tcPr>
          <w:p w14:paraId="03692779" w14:textId="77777777" w:rsidR="00BB67FB" w:rsidRPr="00AF264D" w:rsidRDefault="00BB67FB" w:rsidP="00144929">
            <w:pP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p</w:t>
            </w:r>
          </w:p>
        </w:tc>
        <w:tc>
          <w:tcPr>
            <w:tcW w:w="2268" w:type="dxa"/>
            <w:tcBorders>
              <w:bottom w:val="single" w:sz="4" w:space="0" w:color="auto"/>
            </w:tcBorders>
            <w:noWrap/>
            <w:hideMark/>
          </w:tcPr>
          <w:p w14:paraId="741C000E" w14:textId="77777777" w:rsidR="00BB67FB" w:rsidRPr="00AF264D" w:rsidRDefault="00BB67FB" w:rsidP="00144929">
            <w:pPr>
              <w:jc w:val="center"/>
              <w:rPr>
                <w:rFonts w:ascii="Times New Roman" w:eastAsia="Times New Roman" w:hAnsi="Times New Roman" w:cs="Times New Roman"/>
                <w:color w:val="000000"/>
                <w:sz w:val="20"/>
                <w:szCs w:val="20"/>
              </w:rPr>
            </w:pPr>
            <w:r w:rsidRPr="00AF264D">
              <w:rPr>
                <w:rFonts w:ascii="Times New Roman" w:eastAsia="Times New Roman" w:hAnsi="Times New Roman" w:cs="Times New Roman"/>
                <w:color w:val="000000"/>
                <w:sz w:val="20"/>
                <w:szCs w:val="20"/>
              </w:rPr>
              <w:t>.292</w:t>
            </w:r>
          </w:p>
        </w:tc>
        <w:tc>
          <w:tcPr>
            <w:tcW w:w="2444" w:type="dxa"/>
            <w:tcBorders>
              <w:bottom w:val="single" w:sz="4" w:space="0" w:color="auto"/>
            </w:tcBorders>
          </w:tcPr>
          <w:p w14:paraId="713B14A4" w14:textId="77777777" w:rsidR="00BB67FB" w:rsidRPr="00AF264D" w:rsidRDefault="00BB67FB" w:rsidP="00144929">
            <w:pPr>
              <w:jc w:val="center"/>
              <w:rPr>
                <w:rFonts w:ascii="Times New Roman" w:eastAsia="Times New Roman" w:hAnsi="Times New Roman" w:cs="Times New Roman"/>
                <w:color w:val="000000"/>
                <w:sz w:val="20"/>
                <w:szCs w:val="20"/>
              </w:rPr>
            </w:pPr>
          </w:p>
        </w:tc>
      </w:tr>
    </w:tbl>
    <w:p w14:paraId="7A1244B2" w14:textId="77777777" w:rsidR="00BB67FB" w:rsidRPr="00AF264D" w:rsidRDefault="00BB67FB" w:rsidP="00BB67FB">
      <w:pPr>
        <w:jc w:val="both"/>
        <w:rPr>
          <w:rFonts w:ascii="Times New Roman" w:hAnsi="Times New Roman" w:cs="Times New Roman"/>
          <w:sz w:val="20"/>
        </w:rPr>
      </w:pPr>
      <w:r w:rsidRPr="00AF264D">
        <w:rPr>
          <w:rFonts w:ascii="Times New Roman" w:hAnsi="Times New Roman" w:cs="Times New Roman"/>
          <w:sz w:val="20"/>
        </w:rPr>
        <w:t xml:space="preserve">Note: * Correlation is sign. at the .10 level; ** Correlation is sign. at the .05 level; *** Correlation is sign. at the .01 level; </w:t>
      </w:r>
      <w:r w:rsidRPr="00AF264D">
        <w:rPr>
          <w:rFonts w:ascii="Times New Roman" w:hAnsi="Times New Roman" w:cs="Times New Roman"/>
          <w:sz w:val="20"/>
          <w:vertAlign w:val="superscript"/>
        </w:rPr>
        <w:t xml:space="preserve">a </w:t>
      </w:r>
      <w:r w:rsidRPr="00AF264D">
        <w:rPr>
          <w:rFonts w:ascii="Times New Roman" w:hAnsi="Times New Roman" w:cs="Times New Roman"/>
          <w:sz w:val="20"/>
        </w:rPr>
        <w:t xml:space="preserve">Transformed using logit transformation; </w:t>
      </w:r>
      <w:r w:rsidRPr="00AF264D">
        <w:rPr>
          <w:rFonts w:ascii="Times New Roman" w:hAnsi="Times New Roman" w:cs="Times New Roman"/>
          <w:sz w:val="20"/>
          <w:vertAlign w:val="superscript"/>
        </w:rPr>
        <w:t xml:space="preserve">b </w:t>
      </w:r>
      <w:r w:rsidRPr="00AF264D">
        <w:rPr>
          <w:rFonts w:ascii="Times New Roman" w:hAnsi="Times New Roman" w:cs="Times New Roman"/>
          <w:sz w:val="20"/>
        </w:rPr>
        <w:t>Standardized variables</w:t>
      </w:r>
      <w:r>
        <w:rPr>
          <w:rFonts w:ascii="Times New Roman" w:hAnsi="Times New Roman" w:cs="Times New Roman"/>
          <w:sz w:val="20"/>
        </w:rPr>
        <w:t xml:space="preserve">; </w:t>
      </w:r>
      <w:r w:rsidRPr="001329B3">
        <w:rPr>
          <w:rFonts w:ascii="Times New Roman" w:hAnsi="Times New Roman" w:cs="Times New Roman"/>
          <w:sz w:val="20"/>
        </w:rPr>
        <w:t>Controls for industry affiliation are included but not reported</w:t>
      </w:r>
    </w:p>
    <w:p w14:paraId="29E2673D" w14:textId="77777777" w:rsidR="00BB67FB" w:rsidRPr="00AF264D" w:rsidRDefault="00BB67FB" w:rsidP="00BB67FB">
      <w:pPr>
        <w:spacing w:line="360" w:lineRule="auto"/>
        <w:jc w:val="both"/>
        <w:rPr>
          <w:rFonts w:ascii="Times New Roman" w:hAnsi="Times New Roman" w:cs="Times New Roman"/>
          <w:i/>
        </w:rPr>
      </w:pPr>
    </w:p>
    <w:p w14:paraId="6D9F6267" w14:textId="77777777" w:rsidR="00BB67FB" w:rsidRPr="00AF264D" w:rsidRDefault="00BB67FB" w:rsidP="00BB67FB">
      <w:pPr>
        <w:spacing w:line="480" w:lineRule="auto"/>
        <w:rPr>
          <w:rFonts w:ascii="Times New Roman" w:hAnsi="Times New Roman" w:cs="Times New Roman"/>
        </w:rPr>
      </w:pPr>
    </w:p>
    <w:p w14:paraId="168F020E" w14:textId="77777777" w:rsidR="00BB67FB" w:rsidRDefault="00BB67FB" w:rsidP="00BB67FB">
      <w:pPr>
        <w:ind w:firstLine="720"/>
      </w:pPr>
    </w:p>
    <w:p w14:paraId="494C21D4" w14:textId="5A6CDAF0" w:rsidR="00BB67FB" w:rsidRDefault="00BB67FB" w:rsidP="00276A6D">
      <w:pPr>
        <w:spacing w:line="276" w:lineRule="auto"/>
        <w:jc w:val="both"/>
        <w:rPr>
          <w:rFonts w:ascii="Times New Roman" w:eastAsia="Times New Roman" w:hAnsi="Times New Roman" w:cs="Times New Roman"/>
          <w:sz w:val="17"/>
          <w:szCs w:val="17"/>
        </w:rPr>
      </w:pPr>
    </w:p>
    <w:p w14:paraId="1D181456" w14:textId="77777777" w:rsidR="00BB67FB" w:rsidRPr="00AF264D" w:rsidRDefault="00BB67FB" w:rsidP="00276A6D">
      <w:pPr>
        <w:spacing w:line="276" w:lineRule="auto"/>
        <w:jc w:val="both"/>
        <w:rPr>
          <w:rFonts w:ascii="Times New Roman" w:eastAsia="Times New Roman" w:hAnsi="Times New Roman" w:cs="Times New Roman"/>
          <w:sz w:val="17"/>
          <w:szCs w:val="17"/>
        </w:rPr>
      </w:pPr>
    </w:p>
    <w:sectPr w:rsidR="00BB67FB" w:rsidRPr="00AF264D" w:rsidSect="00F5770D">
      <w:headerReference w:type="default" r:id="rId10"/>
      <w:footerReference w:type="default" r:id="rId11"/>
      <w:pgSz w:w="11900" w:h="16840"/>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9E7A" w14:textId="77777777" w:rsidR="00DB6EFB" w:rsidRDefault="00DB6EFB" w:rsidP="004130CE">
      <w:r>
        <w:separator/>
      </w:r>
    </w:p>
  </w:endnote>
  <w:endnote w:type="continuationSeparator" w:id="0">
    <w:p w14:paraId="394FA41D" w14:textId="77777777" w:rsidR="00DB6EFB" w:rsidRDefault="00DB6EFB" w:rsidP="004130CE">
      <w:r>
        <w:continuationSeparator/>
      </w:r>
    </w:p>
  </w:endnote>
  <w:endnote w:type="continuationNotice" w:id="1">
    <w:p w14:paraId="2220880E" w14:textId="77777777" w:rsidR="00DB6EFB" w:rsidRDefault="00DB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merican Typewriter Light">
    <w:altName w:val="Times New Roman"/>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4450"/>
      <w:docPartObj>
        <w:docPartGallery w:val="Page Numbers (Bottom of Page)"/>
        <w:docPartUnique/>
      </w:docPartObj>
    </w:sdtPr>
    <w:sdtEndPr/>
    <w:sdtContent>
      <w:p w14:paraId="16F1F538" w14:textId="1A69BCA5" w:rsidR="00D61927" w:rsidRDefault="00D61927" w:rsidP="00683C6F">
        <w:pPr>
          <w:pStyle w:val="Footer"/>
          <w:jc w:val="right"/>
        </w:pPr>
        <w:r>
          <w:fldChar w:fldCharType="begin"/>
        </w:r>
        <w:r>
          <w:instrText>PAGE   \* MERGEFORMAT</w:instrText>
        </w:r>
        <w:r>
          <w:fldChar w:fldCharType="separate"/>
        </w:r>
        <w:r w:rsidR="00BB67FB" w:rsidRPr="00BB67FB">
          <w:rPr>
            <w:noProof/>
            <w:lang w:val="de-DE"/>
          </w:rPr>
          <w:t>2</w:t>
        </w:r>
        <w:r>
          <w:fldChar w:fldCharType="end"/>
        </w:r>
      </w:p>
    </w:sdtContent>
  </w:sdt>
  <w:p w14:paraId="1CE5F7AC" w14:textId="77777777" w:rsidR="00D61927" w:rsidRDefault="00D6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6DB2" w14:textId="77777777" w:rsidR="00DB6EFB" w:rsidRDefault="00DB6EFB" w:rsidP="004130CE">
      <w:r>
        <w:separator/>
      </w:r>
    </w:p>
  </w:footnote>
  <w:footnote w:type="continuationSeparator" w:id="0">
    <w:p w14:paraId="3ADCDC9A" w14:textId="77777777" w:rsidR="00DB6EFB" w:rsidRDefault="00DB6EFB" w:rsidP="004130CE">
      <w:r>
        <w:continuationSeparator/>
      </w:r>
    </w:p>
  </w:footnote>
  <w:footnote w:type="continuationNotice" w:id="1">
    <w:p w14:paraId="37AAB523" w14:textId="77777777" w:rsidR="00DB6EFB" w:rsidRDefault="00DB6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4968" w14:textId="77777777" w:rsidR="00D61927" w:rsidRDefault="00D61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C6F"/>
    <w:multiLevelType w:val="hybridMultilevel"/>
    <w:tmpl w:val="72D2460C"/>
    <w:lvl w:ilvl="0" w:tplc="7D92D43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3815"/>
    <w:multiLevelType w:val="hybridMultilevel"/>
    <w:tmpl w:val="6B749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79D9"/>
    <w:multiLevelType w:val="hybridMultilevel"/>
    <w:tmpl w:val="A6EE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7780"/>
    <w:multiLevelType w:val="hybridMultilevel"/>
    <w:tmpl w:val="90967394"/>
    <w:lvl w:ilvl="0" w:tplc="5FD4DBE2">
      <w:start w:val="1"/>
      <w:numFmt w:val="bullet"/>
      <w:lvlText w:val="•"/>
      <w:lvlJc w:val="left"/>
      <w:pPr>
        <w:tabs>
          <w:tab w:val="num" w:pos="720"/>
        </w:tabs>
        <w:ind w:left="720" w:hanging="360"/>
      </w:pPr>
      <w:rPr>
        <w:rFonts w:ascii="Arial" w:hAnsi="Arial" w:hint="default"/>
      </w:rPr>
    </w:lvl>
    <w:lvl w:ilvl="1" w:tplc="1E6EA704" w:tentative="1">
      <w:start w:val="1"/>
      <w:numFmt w:val="bullet"/>
      <w:lvlText w:val="•"/>
      <w:lvlJc w:val="left"/>
      <w:pPr>
        <w:tabs>
          <w:tab w:val="num" w:pos="1440"/>
        </w:tabs>
        <w:ind w:left="1440" w:hanging="360"/>
      </w:pPr>
      <w:rPr>
        <w:rFonts w:ascii="Arial" w:hAnsi="Arial" w:hint="default"/>
      </w:rPr>
    </w:lvl>
    <w:lvl w:ilvl="2" w:tplc="EFB6E2AE" w:tentative="1">
      <w:start w:val="1"/>
      <w:numFmt w:val="bullet"/>
      <w:lvlText w:val="•"/>
      <w:lvlJc w:val="left"/>
      <w:pPr>
        <w:tabs>
          <w:tab w:val="num" w:pos="2160"/>
        </w:tabs>
        <w:ind w:left="2160" w:hanging="360"/>
      </w:pPr>
      <w:rPr>
        <w:rFonts w:ascii="Arial" w:hAnsi="Arial" w:hint="default"/>
      </w:rPr>
    </w:lvl>
    <w:lvl w:ilvl="3" w:tplc="CE506C78" w:tentative="1">
      <w:start w:val="1"/>
      <w:numFmt w:val="bullet"/>
      <w:lvlText w:val="•"/>
      <w:lvlJc w:val="left"/>
      <w:pPr>
        <w:tabs>
          <w:tab w:val="num" w:pos="2880"/>
        </w:tabs>
        <w:ind w:left="2880" w:hanging="360"/>
      </w:pPr>
      <w:rPr>
        <w:rFonts w:ascii="Arial" w:hAnsi="Arial" w:hint="default"/>
      </w:rPr>
    </w:lvl>
    <w:lvl w:ilvl="4" w:tplc="B2889CA2" w:tentative="1">
      <w:start w:val="1"/>
      <w:numFmt w:val="bullet"/>
      <w:lvlText w:val="•"/>
      <w:lvlJc w:val="left"/>
      <w:pPr>
        <w:tabs>
          <w:tab w:val="num" w:pos="3600"/>
        </w:tabs>
        <w:ind w:left="3600" w:hanging="360"/>
      </w:pPr>
      <w:rPr>
        <w:rFonts w:ascii="Arial" w:hAnsi="Arial" w:hint="default"/>
      </w:rPr>
    </w:lvl>
    <w:lvl w:ilvl="5" w:tplc="5E2293B0" w:tentative="1">
      <w:start w:val="1"/>
      <w:numFmt w:val="bullet"/>
      <w:lvlText w:val="•"/>
      <w:lvlJc w:val="left"/>
      <w:pPr>
        <w:tabs>
          <w:tab w:val="num" w:pos="4320"/>
        </w:tabs>
        <w:ind w:left="4320" w:hanging="360"/>
      </w:pPr>
      <w:rPr>
        <w:rFonts w:ascii="Arial" w:hAnsi="Arial" w:hint="default"/>
      </w:rPr>
    </w:lvl>
    <w:lvl w:ilvl="6" w:tplc="3198FC48" w:tentative="1">
      <w:start w:val="1"/>
      <w:numFmt w:val="bullet"/>
      <w:lvlText w:val="•"/>
      <w:lvlJc w:val="left"/>
      <w:pPr>
        <w:tabs>
          <w:tab w:val="num" w:pos="5040"/>
        </w:tabs>
        <w:ind w:left="5040" w:hanging="360"/>
      </w:pPr>
      <w:rPr>
        <w:rFonts w:ascii="Arial" w:hAnsi="Arial" w:hint="default"/>
      </w:rPr>
    </w:lvl>
    <w:lvl w:ilvl="7" w:tplc="E0222072" w:tentative="1">
      <w:start w:val="1"/>
      <w:numFmt w:val="bullet"/>
      <w:lvlText w:val="•"/>
      <w:lvlJc w:val="left"/>
      <w:pPr>
        <w:tabs>
          <w:tab w:val="num" w:pos="5760"/>
        </w:tabs>
        <w:ind w:left="5760" w:hanging="360"/>
      </w:pPr>
      <w:rPr>
        <w:rFonts w:ascii="Arial" w:hAnsi="Arial" w:hint="default"/>
      </w:rPr>
    </w:lvl>
    <w:lvl w:ilvl="8" w:tplc="2FAA1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43E79"/>
    <w:multiLevelType w:val="hybridMultilevel"/>
    <w:tmpl w:val="1FA8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311DF"/>
    <w:multiLevelType w:val="hybridMultilevel"/>
    <w:tmpl w:val="8ADA4616"/>
    <w:lvl w:ilvl="0" w:tplc="0407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32B1"/>
    <w:multiLevelType w:val="multilevel"/>
    <w:tmpl w:val="EB3C1A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10EF4"/>
    <w:multiLevelType w:val="hybridMultilevel"/>
    <w:tmpl w:val="D91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C05EC"/>
    <w:multiLevelType w:val="hybridMultilevel"/>
    <w:tmpl w:val="E28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D7EFD"/>
    <w:multiLevelType w:val="hybridMultilevel"/>
    <w:tmpl w:val="D898F1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73CC4"/>
    <w:multiLevelType w:val="hybridMultilevel"/>
    <w:tmpl w:val="FA5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595"/>
    <w:multiLevelType w:val="hybridMultilevel"/>
    <w:tmpl w:val="B6241D54"/>
    <w:lvl w:ilvl="0" w:tplc="7D92D436">
      <w:start w:val="13"/>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64532E1"/>
    <w:multiLevelType w:val="hybridMultilevel"/>
    <w:tmpl w:val="4C14080E"/>
    <w:lvl w:ilvl="0" w:tplc="340ACE48">
      <w:start w:val="65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77393"/>
    <w:multiLevelType w:val="hybridMultilevel"/>
    <w:tmpl w:val="5F5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3EB5"/>
    <w:multiLevelType w:val="hybridMultilevel"/>
    <w:tmpl w:val="E9E6D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C2F00"/>
    <w:multiLevelType w:val="hybridMultilevel"/>
    <w:tmpl w:val="91F49F7E"/>
    <w:lvl w:ilvl="0" w:tplc="70B2DB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15E73"/>
    <w:multiLevelType w:val="hybridMultilevel"/>
    <w:tmpl w:val="57F6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84185"/>
    <w:multiLevelType w:val="hybridMultilevel"/>
    <w:tmpl w:val="A06E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55B58"/>
    <w:multiLevelType w:val="hybridMultilevel"/>
    <w:tmpl w:val="B318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63339"/>
    <w:multiLevelType w:val="hybridMultilevel"/>
    <w:tmpl w:val="C3CCEB94"/>
    <w:lvl w:ilvl="0" w:tplc="CCBE451C">
      <w:start w:val="654"/>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C55F66"/>
    <w:multiLevelType w:val="hybridMultilevel"/>
    <w:tmpl w:val="597A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12"/>
  </w:num>
  <w:num w:numId="5">
    <w:abstractNumId w:val="9"/>
  </w:num>
  <w:num w:numId="6">
    <w:abstractNumId w:val="2"/>
  </w:num>
  <w:num w:numId="7">
    <w:abstractNumId w:val="19"/>
  </w:num>
  <w:num w:numId="8">
    <w:abstractNumId w:val="6"/>
  </w:num>
  <w:num w:numId="9">
    <w:abstractNumId w:val="20"/>
  </w:num>
  <w:num w:numId="10">
    <w:abstractNumId w:val="7"/>
  </w:num>
  <w:num w:numId="11">
    <w:abstractNumId w:val="13"/>
  </w:num>
  <w:num w:numId="12">
    <w:abstractNumId w:val="14"/>
  </w:num>
  <w:num w:numId="13">
    <w:abstractNumId w:val="11"/>
  </w:num>
  <w:num w:numId="14">
    <w:abstractNumId w:val="0"/>
  </w:num>
  <w:num w:numId="15">
    <w:abstractNumId w:val="10"/>
  </w:num>
  <w:num w:numId="16">
    <w:abstractNumId w:val="4"/>
  </w:num>
  <w:num w:numId="17">
    <w:abstractNumId w:val="17"/>
  </w:num>
  <w:num w:numId="18">
    <w:abstractNumId w:val="5"/>
  </w:num>
  <w:num w:numId="19">
    <w:abstractNumId w:val="1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43"/>
    <w:rsid w:val="0002000B"/>
    <w:rsid w:val="0002473D"/>
    <w:rsid w:val="00025294"/>
    <w:rsid w:val="00033907"/>
    <w:rsid w:val="00033F72"/>
    <w:rsid w:val="00046F63"/>
    <w:rsid w:val="0004797C"/>
    <w:rsid w:val="00052643"/>
    <w:rsid w:val="0005629E"/>
    <w:rsid w:val="00060470"/>
    <w:rsid w:val="00067A44"/>
    <w:rsid w:val="0007005F"/>
    <w:rsid w:val="00071FED"/>
    <w:rsid w:val="000843DE"/>
    <w:rsid w:val="000A45DC"/>
    <w:rsid w:val="000B2ABE"/>
    <w:rsid w:val="000C0262"/>
    <w:rsid w:val="000C0AE0"/>
    <w:rsid w:val="000C5B28"/>
    <w:rsid w:val="000C6DA2"/>
    <w:rsid w:val="000D12E6"/>
    <w:rsid w:val="000E632B"/>
    <w:rsid w:val="000F314C"/>
    <w:rsid w:val="000F5082"/>
    <w:rsid w:val="00106923"/>
    <w:rsid w:val="00107AE3"/>
    <w:rsid w:val="00111066"/>
    <w:rsid w:val="001273A7"/>
    <w:rsid w:val="00131688"/>
    <w:rsid w:val="00133CE5"/>
    <w:rsid w:val="00142475"/>
    <w:rsid w:val="0014617F"/>
    <w:rsid w:val="00150FFE"/>
    <w:rsid w:val="00151183"/>
    <w:rsid w:val="00152AC8"/>
    <w:rsid w:val="0016296F"/>
    <w:rsid w:val="00176DB0"/>
    <w:rsid w:val="00182156"/>
    <w:rsid w:val="0018686B"/>
    <w:rsid w:val="00186BDC"/>
    <w:rsid w:val="00196816"/>
    <w:rsid w:val="001A13C5"/>
    <w:rsid w:val="001A4801"/>
    <w:rsid w:val="001B0B0D"/>
    <w:rsid w:val="001B7957"/>
    <w:rsid w:val="001C1C41"/>
    <w:rsid w:val="001D302E"/>
    <w:rsid w:val="001F57A8"/>
    <w:rsid w:val="001F6BCD"/>
    <w:rsid w:val="002028C0"/>
    <w:rsid w:val="00206B62"/>
    <w:rsid w:val="00211C4F"/>
    <w:rsid w:val="00222F36"/>
    <w:rsid w:val="00235CD5"/>
    <w:rsid w:val="002414E7"/>
    <w:rsid w:val="002433A7"/>
    <w:rsid w:val="0024559D"/>
    <w:rsid w:val="00252998"/>
    <w:rsid w:val="00257AF1"/>
    <w:rsid w:val="00263331"/>
    <w:rsid w:val="00276A6D"/>
    <w:rsid w:val="002774B0"/>
    <w:rsid w:val="00281EC8"/>
    <w:rsid w:val="002832A1"/>
    <w:rsid w:val="002856B7"/>
    <w:rsid w:val="00290450"/>
    <w:rsid w:val="00295F78"/>
    <w:rsid w:val="002A5B11"/>
    <w:rsid w:val="002B241C"/>
    <w:rsid w:val="002B3315"/>
    <w:rsid w:val="00301282"/>
    <w:rsid w:val="0030476E"/>
    <w:rsid w:val="003131BB"/>
    <w:rsid w:val="0031653E"/>
    <w:rsid w:val="00334CF3"/>
    <w:rsid w:val="00336AE3"/>
    <w:rsid w:val="00341AE6"/>
    <w:rsid w:val="00341F41"/>
    <w:rsid w:val="0035567C"/>
    <w:rsid w:val="00355926"/>
    <w:rsid w:val="00356027"/>
    <w:rsid w:val="0039193E"/>
    <w:rsid w:val="003945E6"/>
    <w:rsid w:val="00394875"/>
    <w:rsid w:val="003A08CD"/>
    <w:rsid w:val="003B17F8"/>
    <w:rsid w:val="003B658E"/>
    <w:rsid w:val="003C0162"/>
    <w:rsid w:val="003C20FA"/>
    <w:rsid w:val="003C6602"/>
    <w:rsid w:val="003D13BE"/>
    <w:rsid w:val="003D183F"/>
    <w:rsid w:val="003D2E47"/>
    <w:rsid w:val="003D4D51"/>
    <w:rsid w:val="003E1348"/>
    <w:rsid w:val="003E75B7"/>
    <w:rsid w:val="003F1CBC"/>
    <w:rsid w:val="00410B9A"/>
    <w:rsid w:val="004130CE"/>
    <w:rsid w:val="004136B9"/>
    <w:rsid w:val="0041582F"/>
    <w:rsid w:val="0042639F"/>
    <w:rsid w:val="004271AC"/>
    <w:rsid w:val="0043164E"/>
    <w:rsid w:val="004454F1"/>
    <w:rsid w:val="0044740B"/>
    <w:rsid w:val="00453A63"/>
    <w:rsid w:val="004553BD"/>
    <w:rsid w:val="0046302D"/>
    <w:rsid w:val="0047718D"/>
    <w:rsid w:val="004B0DD1"/>
    <w:rsid w:val="004B23EE"/>
    <w:rsid w:val="004B54B9"/>
    <w:rsid w:val="004C0CE2"/>
    <w:rsid w:val="004C4AC7"/>
    <w:rsid w:val="004C75D2"/>
    <w:rsid w:val="004D1EB8"/>
    <w:rsid w:val="004E0845"/>
    <w:rsid w:val="004E1364"/>
    <w:rsid w:val="004E2BD6"/>
    <w:rsid w:val="004F19AF"/>
    <w:rsid w:val="0050068A"/>
    <w:rsid w:val="00500787"/>
    <w:rsid w:val="00505C8D"/>
    <w:rsid w:val="00510E2B"/>
    <w:rsid w:val="0052520F"/>
    <w:rsid w:val="005344AB"/>
    <w:rsid w:val="00534889"/>
    <w:rsid w:val="005371A9"/>
    <w:rsid w:val="00540E04"/>
    <w:rsid w:val="005517E4"/>
    <w:rsid w:val="005575F5"/>
    <w:rsid w:val="0056765F"/>
    <w:rsid w:val="0057658E"/>
    <w:rsid w:val="005814B3"/>
    <w:rsid w:val="005A0D25"/>
    <w:rsid w:val="005A7774"/>
    <w:rsid w:val="005B0A06"/>
    <w:rsid w:val="005B1D22"/>
    <w:rsid w:val="005B7BEB"/>
    <w:rsid w:val="005C0112"/>
    <w:rsid w:val="005D1E18"/>
    <w:rsid w:val="005E3BFC"/>
    <w:rsid w:val="005E6F31"/>
    <w:rsid w:val="005F1100"/>
    <w:rsid w:val="005F6C67"/>
    <w:rsid w:val="00604877"/>
    <w:rsid w:val="0060645A"/>
    <w:rsid w:val="006148C5"/>
    <w:rsid w:val="00616960"/>
    <w:rsid w:val="0061785E"/>
    <w:rsid w:val="006233A2"/>
    <w:rsid w:val="006250F0"/>
    <w:rsid w:val="00626678"/>
    <w:rsid w:val="00627890"/>
    <w:rsid w:val="00630A1D"/>
    <w:rsid w:val="006316AF"/>
    <w:rsid w:val="00634E6C"/>
    <w:rsid w:val="00637104"/>
    <w:rsid w:val="006400C3"/>
    <w:rsid w:val="006406C6"/>
    <w:rsid w:val="00643908"/>
    <w:rsid w:val="00650685"/>
    <w:rsid w:val="006616C7"/>
    <w:rsid w:val="00665BC7"/>
    <w:rsid w:val="00673D1D"/>
    <w:rsid w:val="00675426"/>
    <w:rsid w:val="00680E1C"/>
    <w:rsid w:val="00683C6F"/>
    <w:rsid w:val="00685425"/>
    <w:rsid w:val="00686A98"/>
    <w:rsid w:val="00690261"/>
    <w:rsid w:val="00697C8B"/>
    <w:rsid w:val="006B5AB0"/>
    <w:rsid w:val="006B73E1"/>
    <w:rsid w:val="006C3373"/>
    <w:rsid w:val="006C7A6D"/>
    <w:rsid w:val="006D1C6E"/>
    <w:rsid w:val="006D4C41"/>
    <w:rsid w:val="006D5694"/>
    <w:rsid w:val="006E1125"/>
    <w:rsid w:val="00700FF1"/>
    <w:rsid w:val="00703541"/>
    <w:rsid w:val="007061F1"/>
    <w:rsid w:val="00717F30"/>
    <w:rsid w:val="00731413"/>
    <w:rsid w:val="007324CA"/>
    <w:rsid w:val="00752237"/>
    <w:rsid w:val="00753111"/>
    <w:rsid w:val="007556D4"/>
    <w:rsid w:val="007575EE"/>
    <w:rsid w:val="00761349"/>
    <w:rsid w:val="00767306"/>
    <w:rsid w:val="00767771"/>
    <w:rsid w:val="00771E3E"/>
    <w:rsid w:val="00776B66"/>
    <w:rsid w:val="00782F7D"/>
    <w:rsid w:val="00787B4B"/>
    <w:rsid w:val="00793952"/>
    <w:rsid w:val="007945BD"/>
    <w:rsid w:val="007A053E"/>
    <w:rsid w:val="007A1E11"/>
    <w:rsid w:val="007A2089"/>
    <w:rsid w:val="007A571B"/>
    <w:rsid w:val="007B0B41"/>
    <w:rsid w:val="007B13DD"/>
    <w:rsid w:val="007B6AE5"/>
    <w:rsid w:val="007C5153"/>
    <w:rsid w:val="007D0A35"/>
    <w:rsid w:val="007D0B47"/>
    <w:rsid w:val="007D0BD7"/>
    <w:rsid w:val="007E0641"/>
    <w:rsid w:val="007E22B8"/>
    <w:rsid w:val="007F5AC6"/>
    <w:rsid w:val="0081473C"/>
    <w:rsid w:val="00814838"/>
    <w:rsid w:val="00820307"/>
    <w:rsid w:val="008259E3"/>
    <w:rsid w:val="008358E9"/>
    <w:rsid w:val="008372CE"/>
    <w:rsid w:val="00843CBF"/>
    <w:rsid w:val="00867290"/>
    <w:rsid w:val="0086759B"/>
    <w:rsid w:val="00872AAC"/>
    <w:rsid w:val="00876422"/>
    <w:rsid w:val="00880303"/>
    <w:rsid w:val="00885E99"/>
    <w:rsid w:val="00886859"/>
    <w:rsid w:val="008930E0"/>
    <w:rsid w:val="00897644"/>
    <w:rsid w:val="008A124B"/>
    <w:rsid w:val="008A6CAB"/>
    <w:rsid w:val="008A6E19"/>
    <w:rsid w:val="008B5140"/>
    <w:rsid w:val="008B5CD4"/>
    <w:rsid w:val="008B6479"/>
    <w:rsid w:val="008C2D8A"/>
    <w:rsid w:val="008C46EE"/>
    <w:rsid w:val="008C6EF7"/>
    <w:rsid w:val="008C7FF2"/>
    <w:rsid w:val="008D4D21"/>
    <w:rsid w:val="008F1BE0"/>
    <w:rsid w:val="008F268C"/>
    <w:rsid w:val="008F5A59"/>
    <w:rsid w:val="00904D4F"/>
    <w:rsid w:val="0091699A"/>
    <w:rsid w:val="009169A2"/>
    <w:rsid w:val="00927784"/>
    <w:rsid w:val="00932CEE"/>
    <w:rsid w:val="009348F7"/>
    <w:rsid w:val="00941448"/>
    <w:rsid w:val="009447BE"/>
    <w:rsid w:val="00947407"/>
    <w:rsid w:val="0095094D"/>
    <w:rsid w:val="00953AA9"/>
    <w:rsid w:val="00954E31"/>
    <w:rsid w:val="00960D65"/>
    <w:rsid w:val="009625FA"/>
    <w:rsid w:val="009626FE"/>
    <w:rsid w:val="009654B3"/>
    <w:rsid w:val="0097026D"/>
    <w:rsid w:val="0097322F"/>
    <w:rsid w:val="009750E6"/>
    <w:rsid w:val="00976F82"/>
    <w:rsid w:val="0098710C"/>
    <w:rsid w:val="00991810"/>
    <w:rsid w:val="00993AA7"/>
    <w:rsid w:val="00993E09"/>
    <w:rsid w:val="00996FE4"/>
    <w:rsid w:val="009A08B8"/>
    <w:rsid w:val="009A4DEE"/>
    <w:rsid w:val="009C2F4F"/>
    <w:rsid w:val="009C7A90"/>
    <w:rsid w:val="009E46E1"/>
    <w:rsid w:val="009E68EA"/>
    <w:rsid w:val="009F6578"/>
    <w:rsid w:val="00A06B95"/>
    <w:rsid w:val="00A15323"/>
    <w:rsid w:val="00A17D48"/>
    <w:rsid w:val="00A20999"/>
    <w:rsid w:val="00A26FD6"/>
    <w:rsid w:val="00A406D7"/>
    <w:rsid w:val="00A41CC1"/>
    <w:rsid w:val="00A41F1F"/>
    <w:rsid w:val="00A42F7B"/>
    <w:rsid w:val="00A4405F"/>
    <w:rsid w:val="00A4735B"/>
    <w:rsid w:val="00A51B19"/>
    <w:rsid w:val="00A527C6"/>
    <w:rsid w:val="00A5296D"/>
    <w:rsid w:val="00A63814"/>
    <w:rsid w:val="00A63E7F"/>
    <w:rsid w:val="00A67F16"/>
    <w:rsid w:val="00A97541"/>
    <w:rsid w:val="00AA2965"/>
    <w:rsid w:val="00AA7595"/>
    <w:rsid w:val="00AB0A1D"/>
    <w:rsid w:val="00AB72AE"/>
    <w:rsid w:val="00AC71FE"/>
    <w:rsid w:val="00AD0547"/>
    <w:rsid w:val="00AD5156"/>
    <w:rsid w:val="00AE007B"/>
    <w:rsid w:val="00AE5B29"/>
    <w:rsid w:val="00AF1104"/>
    <w:rsid w:val="00AF264D"/>
    <w:rsid w:val="00B12C95"/>
    <w:rsid w:val="00B1698D"/>
    <w:rsid w:val="00B21786"/>
    <w:rsid w:val="00B36AF6"/>
    <w:rsid w:val="00B37556"/>
    <w:rsid w:val="00B4022F"/>
    <w:rsid w:val="00B43718"/>
    <w:rsid w:val="00B449A9"/>
    <w:rsid w:val="00B567E8"/>
    <w:rsid w:val="00B57A63"/>
    <w:rsid w:val="00B62842"/>
    <w:rsid w:val="00B6663A"/>
    <w:rsid w:val="00B70E61"/>
    <w:rsid w:val="00B733FC"/>
    <w:rsid w:val="00B75E01"/>
    <w:rsid w:val="00B81483"/>
    <w:rsid w:val="00B8571D"/>
    <w:rsid w:val="00BA1DA0"/>
    <w:rsid w:val="00BA5998"/>
    <w:rsid w:val="00BA5F29"/>
    <w:rsid w:val="00BA6117"/>
    <w:rsid w:val="00BB67FB"/>
    <w:rsid w:val="00BC5EEF"/>
    <w:rsid w:val="00BD32CA"/>
    <w:rsid w:val="00BD636E"/>
    <w:rsid w:val="00BE1BAB"/>
    <w:rsid w:val="00BF3C1C"/>
    <w:rsid w:val="00BF52E7"/>
    <w:rsid w:val="00C02806"/>
    <w:rsid w:val="00C0380E"/>
    <w:rsid w:val="00C03CA8"/>
    <w:rsid w:val="00C2200F"/>
    <w:rsid w:val="00C26172"/>
    <w:rsid w:val="00C322A1"/>
    <w:rsid w:val="00C33564"/>
    <w:rsid w:val="00C36C28"/>
    <w:rsid w:val="00C36E30"/>
    <w:rsid w:val="00C41FBB"/>
    <w:rsid w:val="00C44BD2"/>
    <w:rsid w:val="00C710A8"/>
    <w:rsid w:val="00C71514"/>
    <w:rsid w:val="00C7771B"/>
    <w:rsid w:val="00C77796"/>
    <w:rsid w:val="00C821ED"/>
    <w:rsid w:val="00C841D2"/>
    <w:rsid w:val="00C8569E"/>
    <w:rsid w:val="00C91315"/>
    <w:rsid w:val="00C916E9"/>
    <w:rsid w:val="00C91D6E"/>
    <w:rsid w:val="00C921BE"/>
    <w:rsid w:val="00C97DB0"/>
    <w:rsid w:val="00CA207C"/>
    <w:rsid w:val="00CB2F26"/>
    <w:rsid w:val="00CB5E89"/>
    <w:rsid w:val="00CD75C0"/>
    <w:rsid w:val="00CE42C2"/>
    <w:rsid w:val="00CE467E"/>
    <w:rsid w:val="00CF53AF"/>
    <w:rsid w:val="00CF7038"/>
    <w:rsid w:val="00D00991"/>
    <w:rsid w:val="00D16577"/>
    <w:rsid w:val="00D16B78"/>
    <w:rsid w:val="00D17C12"/>
    <w:rsid w:val="00D23625"/>
    <w:rsid w:val="00D2616A"/>
    <w:rsid w:val="00D30CF4"/>
    <w:rsid w:val="00D533A1"/>
    <w:rsid w:val="00D61927"/>
    <w:rsid w:val="00D659AD"/>
    <w:rsid w:val="00D67221"/>
    <w:rsid w:val="00D76E81"/>
    <w:rsid w:val="00D8390A"/>
    <w:rsid w:val="00D92B2F"/>
    <w:rsid w:val="00DA0670"/>
    <w:rsid w:val="00DA1A34"/>
    <w:rsid w:val="00DA4E27"/>
    <w:rsid w:val="00DB29AD"/>
    <w:rsid w:val="00DB6EFB"/>
    <w:rsid w:val="00DC11B7"/>
    <w:rsid w:val="00DC4C96"/>
    <w:rsid w:val="00DC76AA"/>
    <w:rsid w:val="00DD3E43"/>
    <w:rsid w:val="00DE317D"/>
    <w:rsid w:val="00DE3630"/>
    <w:rsid w:val="00DF182C"/>
    <w:rsid w:val="00DF2329"/>
    <w:rsid w:val="00E00884"/>
    <w:rsid w:val="00E039D3"/>
    <w:rsid w:val="00E152B1"/>
    <w:rsid w:val="00E2140B"/>
    <w:rsid w:val="00E22F93"/>
    <w:rsid w:val="00E304B0"/>
    <w:rsid w:val="00E418A4"/>
    <w:rsid w:val="00E42647"/>
    <w:rsid w:val="00E44EE2"/>
    <w:rsid w:val="00E463C8"/>
    <w:rsid w:val="00E4683E"/>
    <w:rsid w:val="00E51717"/>
    <w:rsid w:val="00E542E0"/>
    <w:rsid w:val="00E6222F"/>
    <w:rsid w:val="00E64169"/>
    <w:rsid w:val="00E81CD5"/>
    <w:rsid w:val="00E911D3"/>
    <w:rsid w:val="00E97373"/>
    <w:rsid w:val="00EB5D4C"/>
    <w:rsid w:val="00EB7ABD"/>
    <w:rsid w:val="00EC071A"/>
    <w:rsid w:val="00EC25FC"/>
    <w:rsid w:val="00EC568B"/>
    <w:rsid w:val="00ED3392"/>
    <w:rsid w:val="00ED478E"/>
    <w:rsid w:val="00ED49D7"/>
    <w:rsid w:val="00ED636F"/>
    <w:rsid w:val="00EE3486"/>
    <w:rsid w:val="00EE3B7F"/>
    <w:rsid w:val="00F006CE"/>
    <w:rsid w:val="00F0475E"/>
    <w:rsid w:val="00F11BE2"/>
    <w:rsid w:val="00F15A5E"/>
    <w:rsid w:val="00F1619F"/>
    <w:rsid w:val="00F243F2"/>
    <w:rsid w:val="00F40E8A"/>
    <w:rsid w:val="00F467FC"/>
    <w:rsid w:val="00F5145C"/>
    <w:rsid w:val="00F5770D"/>
    <w:rsid w:val="00F64336"/>
    <w:rsid w:val="00F741D2"/>
    <w:rsid w:val="00F81022"/>
    <w:rsid w:val="00F82F1C"/>
    <w:rsid w:val="00F92E95"/>
    <w:rsid w:val="00F93890"/>
    <w:rsid w:val="00F95E3B"/>
    <w:rsid w:val="00FA27EC"/>
    <w:rsid w:val="00FC1EE8"/>
    <w:rsid w:val="00FC23C5"/>
    <w:rsid w:val="00FC4376"/>
    <w:rsid w:val="00FF1AA8"/>
    <w:rsid w:val="00FF7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B7898"/>
  <w14:defaultImageDpi w14:val="300"/>
  <w15:docId w15:val="{106B252A-D1F3-40A4-8147-2A026646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F36"/>
    <w:pPr>
      <w:keepNext/>
      <w:keepLines/>
      <w:spacing w:before="360" w:line="480" w:lineRule="auto"/>
      <w:outlineLvl w:val="0"/>
    </w:pPr>
    <w:rPr>
      <w:rFonts w:ascii="Arial" w:eastAsia="Times New Roman" w:hAnsi="Arial" w:cs="Times New Roman"/>
      <w:b/>
      <w:bCs/>
      <w:szCs w:val="28"/>
    </w:rPr>
  </w:style>
  <w:style w:type="paragraph" w:styleId="Heading2">
    <w:name w:val="heading 2"/>
    <w:basedOn w:val="Normal"/>
    <w:next w:val="Normal"/>
    <w:link w:val="Heading2Char"/>
    <w:uiPriority w:val="9"/>
    <w:unhideWhenUsed/>
    <w:qFormat/>
    <w:rsid w:val="00954E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E3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814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4AB"/>
    <w:pPr>
      <w:ind w:left="720"/>
      <w:contextualSpacing/>
    </w:pPr>
  </w:style>
  <w:style w:type="paragraph" w:styleId="BalloonText">
    <w:name w:val="Balloon Text"/>
    <w:basedOn w:val="Normal"/>
    <w:link w:val="BalloonTextChar"/>
    <w:uiPriority w:val="99"/>
    <w:semiHidden/>
    <w:unhideWhenUsed/>
    <w:rsid w:val="005371A9"/>
    <w:rPr>
      <w:rFonts w:ascii="Tahoma" w:hAnsi="Tahoma" w:cs="Tahoma"/>
      <w:sz w:val="16"/>
      <w:szCs w:val="16"/>
    </w:rPr>
  </w:style>
  <w:style w:type="character" w:customStyle="1" w:styleId="BalloonTextChar">
    <w:name w:val="Balloon Text Char"/>
    <w:basedOn w:val="DefaultParagraphFont"/>
    <w:link w:val="BalloonText"/>
    <w:uiPriority w:val="99"/>
    <w:semiHidden/>
    <w:rsid w:val="005371A9"/>
    <w:rPr>
      <w:rFonts w:ascii="Tahoma" w:hAnsi="Tahoma" w:cs="Tahoma"/>
      <w:sz w:val="16"/>
      <w:szCs w:val="16"/>
    </w:rPr>
  </w:style>
  <w:style w:type="table" w:styleId="TableGrid">
    <w:name w:val="Table Grid"/>
    <w:basedOn w:val="TableNormal"/>
    <w:uiPriority w:val="59"/>
    <w:rsid w:val="0028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73C"/>
    <w:rPr>
      <w:sz w:val="16"/>
      <w:szCs w:val="16"/>
    </w:rPr>
  </w:style>
  <w:style w:type="paragraph" w:styleId="CommentText">
    <w:name w:val="annotation text"/>
    <w:basedOn w:val="Normal"/>
    <w:link w:val="CommentTextChar"/>
    <w:uiPriority w:val="99"/>
    <w:semiHidden/>
    <w:unhideWhenUsed/>
    <w:rsid w:val="0081473C"/>
    <w:rPr>
      <w:sz w:val="20"/>
      <w:szCs w:val="20"/>
    </w:rPr>
  </w:style>
  <w:style w:type="character" w:customStyle="1" w:styleId="CommentTextChar">
    <w:name w:val="Comment Text Char"/>
    <w:basedOn w:val="DefaultParagraphFont"/>
    <w:link w:val="CommentText"/>
    <w:uiPriority w:val="99"/>
    <w:semiHidden/>
    <w:rsid w:val="0081473C"/>
    <w:rPr>
      <w:sz w:val="20"/>
      <w:szCs w:val="20"/>
    </w:rPr>
  </w:style>
  <w:style w:type="paragraph" w:styleId="CommentSubject">
    <w:name w:val="annotation subject"/>
    <w:basedOn w:val="CommentText"/>
    <w:next w:val="CommentText"/>
    <w:link w:val="CommentSubjectChar"/>
    <w:uiPriority w:val="99"/>
    <w:semiHidden/>
    <w:unhideWhenUsed/>
    <w:rsid w:val="0081473C"/>
    <w:rPr>
      <w:b/>
      <w:bCs/>
    </w:rPr>
  </w:style>
  <w:style w:type="character" w:customStyle="1" w:styleId="CommentSubjectChar">
    <w:name w:val="Comment Subject Char"/>
    <w:basedOn w:val="CommentTextChar"/>
    <w:link w:val="CommentSubject"/>
    <w:uiPriority w:val="99"/>
    <w:semiHidden/>
    <w:rsid w:val="0081473C"/>
    <w:rPr>
      <w:b/>
      <w:bCs/>
      <w:sz w:val="20"/>
      <w:szCs w:val="20"/>
    </w:rPr>
  </w:style>
  <w:style w:type="paragraph" w:styleId="NormalWeb">
    <w:name w:val="Normal (Web)"/>
    <w:basedOn w:val="Normal"/>
    <w:uiPriority w:val="99"/>
    <w:semiHidden/>
    <w:unhideWhenUsed/>
    <w:rsid w:val="009C2F4F"/>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222F36"/>
    <w:rPr>
      <w:rFonts w:ascii="Arial" w:eastAsia="Times New Roman" w:hAnsi="Arial" w:cs="Times New Roman"/>
      <w:b/>
      <w:bCs/>
      <w:szCs w:val="28"/>
    </w:rPr>
  </w:style>
  <w:style w:type="character" w:styleId="Hyperlink">
    <w:name w:val="Hyperlink"/>
    <w:basedOn w:val="DefaultParagraphFont"/>
    <w:uiPriority w:val="99"/>
    <w:unhideWhenUsed/>
    <w:rsid w:val="00222F36"/>
    <w:rPr>
      <w:color w:val="0000FF" w:themeColor="hyperlink"/>
      <w:u w:val="single"/>
    </w:rPr>
  </w:style>
  <w:style w:type="character" w:customStyle="1" w:styleId="highlight">
    <w:name w:val="highlight"/>
    <w:basedOn w:val="DefaultParagraphFont"/>
    <w:rsid w:val="00222F36"/>
  </w:style>
  <w:style w:type="character" w:styleId="FollowedHyperlink">
    <w:name w:val="FollowedHyperlink"/>
    <w:basedOn w:val="DefaultParagraphFont"/>
    <w:uiPriority w:val="99"/>
    <w:semiHidden/>
    <w:unhideWhenUsed/>
    <w:rsid w:val="00222F36"/>
    <w:rPr>
      <w:color w:val="800080" w:themeColor="followedHyperlink"/>
      <w:u w:val="single"/>
    </w:rPr>
  </w:style>
  <w:style w:type="character" w:styleId="Strong">
    <w:name w:val="Strong"/>
    <w:basedOn w:val="DefaultParagraphFont"/>
    <w:uiPriority w:val="22"/>
    <w:qFormat/>
    <w:rsid w:val="004F19AF"/>
    <w:rPr>
      <w:b/>
      <w:bCs/>
    </w:rPr>
  </w:style>
  <w:style w:type="character" w:customStyle="1" w:styleId="article-headermeta-info-data">
    <w:name w:val="article-header__meta-info-data"/>
    <w:basedOn w:val="DefaultParagraphFont"/>
    <w:rsid w:val="004F19AF"/>
  </w:style>
  <w:style w:type="paragraph" w:styleId="Header">
    <w:name w:val="header"/>
    <w:basedOn w:val="Normal"/>
    <w:link w:val="HeaderChar"/>
    <w:uiPriority w:val="99"/>
    <w:unhideWhenUsed/>
    <w:rsid w:val="004130CE"/>
    <w:pPr>
      <w:tabs>
        <w:tab w:val="center" w:pos="4703"/>
        <w:tab w:val="right" w:pos="9406"/>
      </w:tabs>
    </w:pPr>
  </w:style>
  <w:style w:type="character" w:customStyle="1" w:styleId="HeaderChar">
    <w:name w:val="Header Char"/>
    <w:basedOn w:val="DefaultParagraphFont"/>
    <w:link w:val="Header"/>
    <w:uiPriority w:val="99"/>
    <w:rsid w:val="004130CE"/>
  </w:style>
  <w:style w:type="paragraph" w:styleId="Footer">
    <w:name w:val="footer"/>
    <w:basedOn w:val="Normal"/>
    <w:link w:val="FooterChar"/>
    <w:uiPriority w:val="99"/>
    <w:unhideWhenUsed/>
    <w:rsid w:val="004130CE"/>
    <w:pPr>
      <w:tabs>
        <w:tab w:val="center" w:pos="4703"/>
        <w:tab w:val="right" w:pos="9406"/>
      </w:tabs>
    </w:pPr>
  </w:style>
  <w:style w:type="character" w:customStyle="1" w:styleId="FooterChar">
    <w:name w:val="Footer Char"/>
    <w:basedOn w:val="DefaultParagraphFont"/>
    <w:link w:val="Footer"/>
    <w:uiPriority w:val="99"/>
    <w:rsid w:val="004130CE"/>
  </w:style>
  <w:style w:type="paragraph" w:styleId="Bibliography">
    <w:name w:val="Bibliography"/>
    <w:basedOn w:val="Normal"/>
    <w:next w:val="Normal"/>
    <w:uiPriority w:val="37"/>
    <w:unhideWhenUsed/>
    <w:rsid w:val="00276A6D"/>
    <w:pPr>
      <w:spacing w:line="480" w:lineRule="auto"/>
      <w:ind w:left="720" w:hanging="720"/>
    </w:pPr>
  </w:style>
  <w:style w:type="paragraph" w:styleId="Caption">
    <w:name w:val="caption"/>
    <w:basedOn w:val="Normal"/>
    <w:next w:val="Normal"/>
    <w:uiPriority w:val="35"/>
    <w:unhideWhenUsed/>
    <w:qFormat/>
    <w:rsid w:val="00FC4376"/>
    <w:pPr>
      <w:jc w:val="center"/>
    </w:pPr>
    <w:rPr>
      <w:rFonts w:ascii="Arial" w:eastAsiaTheme="minorHAnsi" w:hAnsi="Arial"/>
      <w:b/>
      <w:bCs/>
      <w:color w:val="000000" w:themeColor="text1"/>
      <w:sz w:val="18"/>
      <w:szCs w:val="18"/>
      <w:lang w:val="en-US"/>
    </w:rPr>
  </w:style>
  <w:style w:type="character" w:customStyle="1" w:styleId="postbody">
    <w:name w:val="postbody"/>
    <w:basedOn w:val="DefaultParagraphFont"/>
    <w:rsid w:val="00C91315"/>
  </w:style>
  <w:style w:type="character" w:styleId="PlaceholderText">
    <w:name w:val="Placeholder Text"/>
    <w:basedOn w:val="DefaultParagraphFont"/>
    <w:uiPriority w:val="99"/>
    <w:semiHidden/>
    <w:rsid w:val="00C91315"/>
    <w:rPr>
      <w:color w:val="808080"/>
    </w:rPr>
  </w:style>
  <w:style w:type="character" w:customStyle="1" w:styleId="Heading2Char">
    <w:name w:val="Heading 2 Char"/>
    <w:basedOn w:val="DefaultParagraphFont"/>
    <w:link w:val="Heading2"/>
    <w:uiPriority w:val="9"/>
    <w:rsid w:val="00954E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4E31"/>
    <w:rPr>
      <w:rFonts w:asciiTheme="majorHAnsi" w:eastAsiaTheme="majorEastAsia" w:hAnsiTheme="majorHAnsi" w:cstheme="majorBidi"/>
      <w:b/>
      <w:bCs/>
      <w:color w:val="4F81BD" w:themeColor="accent1"/>
    </w:rPr>
  </w:style>
  <w:style w:type="paragraph" w:styleId="Revision">
    <w:name w:val="Revision"/>
    <w:hidden/>
    <w:uiPriority w:val="99"/>
    <w:semiHidden/>
    <w:rsid w:val="00DC4C96"/>
  </w:style>
  <w:style w:type="character" w:customStyle="1" w:styleId="st">
    <w:name w:val="st"/>
    <w:basedOn w:val="DefaultParagraphFont"/>
    <w:rsid w:val="00AC71FE"/>
  </w:style>
  <w:style w:type="character" w:customStyle="1" w:styleId="Heading5Char">
    <w:name w:val="Heading 5 Char"/>
    <w:basedOn w:val="DefaultParagraphFont"/>
    <w:link w:val="Heading5"/>
    <w:uiPriority w:val="9"/>
    <w:semiHidden/>
    <w:rsid w:val="005814B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1057">
      <w:bodyDiv w:val="1"/>
      <w:marLeft w:val="0"/>
      <w:marRight w:val="0"/>
      <w:marTop w:val="0"/>
      <w:marBottom w:val="0"/>
      <w:divBdr>
        <w:top w:val="none" w:sz="0" w:space="0" w:color="auto"/>
        <w:left w:val="none" w:sz="0" w:space="0" w:color="auto"/>
        <w:bottom w:val="none" w:sz="0" w:space="0" w:color="auto"/>
        <w:right w:val="none" w:sz="0" w:space="0" w:color="auto"/>
      </w:divBdr>
      <w:divsChild>
        <w:div w:id="631332193">
          <w:marLeft w:val="0"/>
          <w:marRight w:val="0"/>
          <w:marTop w:val="0"/>
          <w:marBottom w:val="0"/>
          <w:divBdr>
            <w:top w:val="none" w:sz="0" w:space="0" w:color="auto"/>
            <w:left w:val="none" w:sz="0" w:space="0" w:color="auto"/>
            <w:bottom w:val="none" w:sz="0" w:space="0" w:color="auto"/>
            <w:right w:val="none" w:sz="0" w:space="0" w:color="auto"/>
          </w:divBdr>
        </w:div>
        <w:div w:id="14889520">
          <w:marLeft w:val="0"/>
          <w:marRight w:val="0"/>
          <w:marTop w:val="0"/>
          <w:marBottom w:val="0"/>
          <w:divBdr>
            <w:top w:val="none" w:sz="0" w:space="0" w:color="auto"/>
            <w:left w:val="none" w:sz="0" w:space="0" w:color="auto"/>
            <w:bottom w:val="none" w:sz="0" w:space="0" w:color="auto"/>
            <w:right w:val="none" w:sz="0" w:space="0" w:color="auto"/>
          </w:divBdr>
        </w:div>
        <w:div w:id="1636713217">
          <w:marLeft w:val="0"/>
          <w:marRight w:val="0"/>
          <w:marTop w:val="0"/>
          <w:marBottom w:val="0"/>
          <w:divBdr>
            <w:top w:val="none" w:sz="0" w:space="0" w:color="auto"/>
            <w:left w:val="none" w:sz="0" w:space="0" w:color="auto"/>
            <w:bottom w:val="none" w:sz="0" w:space="0" w:color="auto"/>
            <w:right w:val="none" w:sz="0" w:space="0" w:color="auto"/>
          </w:divBdr>
        </w:div>
        <w:div w:id="683433692">
          <w:marLeft w:val="0"/>
          <w:marRight w:val="0"/>
          <w:marTop w:val="0"/>
          <w:marBottom w:val="0"/>
          <w:divBdr>
            <w:top w:val="none" w:sz="0" w:space="0" w:color="auto"/>
            <w:left w:val="none" w:sz="0" w:space="0" w:color="auto"/>
            <w:bottom w:val="none" w:sz="0" w:space="0" w:color="auto"/>
            <w:right w:val="none" w:sz="0" w:space="0" w:color="auto"/>
          </w:divBdr>
        </w:div>
        <w:div w:id="847408977">
          <w:marLeft w:val="0"/>
          <w:marRight w:val="0"/>
          <w:marTop w:val="0"/>
          <w:marBottom w:val="0"/>
          <w:divBdr>
            <w:top w:val="none" w:sz="0" w:space="0" w:color="auto"/>
            <w:left w:val="none" w:sz="0" w:space="0" w:color="auto"/>
            <w:bottom w:val="none" w:sz="0" w:space="0" w:color="auto"/>
            <w:right w:val="none" w:sz="0" w:space="0" w:color="auto"/>
          </w:divBdr>
        </w:div>
        <w:div w:id="224874829">
          <w:marLeft w:val="0"/>
          <w:marRight w:val="0"/>
          <w:marTop w:val="0"/>
          <w:marBottom w:val="0"/>
          <w:divBdr>
            <w:top w:val="none" w:sz="0" w:space="0" w:color="auto"/>
            <w:left w:val="none" w:sz="0" w:space="0" w:color="auto"/>
            <w:bottom w:val="none" w:sz="0" w:space="0" w:color="auto"/>
            <w:right w:val="none" w:sz="0" w:space="0" w:color="auto"/>
          </w:divBdr>
        </w:div>
      </w:divsChild>
    </w:div>
    <w:div w:id="218327725">
      <w:bodyDiv w:val="1"/>
      <w:marLeft w:val="0"/>
      <w:marRight w:val="0"/>
      <w:marTop w:val="0"/>
      <w:marBottom w:val="0"/>
      <w:divBdr>
        <w:top w:val="none" w:sz="0" w:space="0" w:color="auto"/>
        <w:left w:val="none" w:sz="0" w:space="0" w:color="auto"/>
        <w:bottom w:val="none" w:sz="0" w:space="0" w:color="auto"/>
        <w:right w:val="none" w:sz="0" w:space="0" w:color="auto"/>
      </w:divBdr>
    </w:div>
    <w:div w:id="436482488">
      <w:bodyDiv w:val="1"/>
      <w:marLeft w:val="0"/>
      <w:marRight w:val="0"/>
      <w:marTop w:val="0"/>
      <w:marBottom w:val="0"/>
      <w:divBdr>
        <w:top w:val="none" w:sz="0" w:space="0" w:color="auto"/>
        <w:left w:val="none" w:sz="0" w:space="0" w:color="auto"/>
        <w:bottom w:val="none" w:sz="0" w:space="0" w:color="auto"/>
        <w:right w:val="none" w:sz="0" w:space="0" w:color="auto"/>
      </w:divBdr>
    </w:div>
    <w:div w:id="454639400">
      <w:bodyDiv w:val="1"/>
      <w:marLeft w:val="0"/>
      <w:marRight w:val="0"/>
      <w:marTop w:val="0"/>
      <w:marBottom w:val="0"/>
      <w:divBdr>
        <w:top w:val="none" w:sz="0" w:space="0" w:color="auto"/>
        <w:left w:val="none" w:sz="0" w:space="0" w:color="auto"/>
        <w:bottom w:val="none" w:sz="0" w:space="0" w:color="auto"/>
        <w:right w:val="none" w:sz="0" w:space="0" w:color="auto"/>
      </w:divBdr>
      <w:divsChild>
        <w:div w:id="1386173335">
          <w:marLeft w:val="0"/>
          <w:marRight w:val="0"/>
          <w:marTop w:val="0"/>
          <w:marBottom w:val="0"/>
          <w:divBdr>
            <w:top w:val="none" w:sz="0" w:space="0" w:color="auto"/>
            <w:left w:val="none" w:sz="0" w:space="0" w:color="auto"/>
            <w:bottom w:val="none" w:sz="0" w:space="0" w:color="auto"/>
            <w:right w:val="none" w:sz="0" w:space="0" w:color="auto"/>
          </w:divBdr>
        </w:div>
        <w:div w:id="1755976381">
          <w:marLeft w:val="0"/>
          <w:marRight w:val="0"/>
          <w:marTop w:val="0"/>
          <w:marBottom w:val="0"/>
          <w:divBdr>
            <w:top w:val="none" w:sz="0" w:space="0" w:color="auto"/>
            <w:left w:val="none" w:sz="0" w:space="0" w:color="auto"/>
            <w:bottom w:val="none" w:sz="0" w:space="0" w:color="auto"/>
            <w:right w:val="none" w:sz="0" w:space="0" w:color="auto"/>
          </w:divBdr>
        </w:div>
        <w:div w:id="1650860982">
          <w:marLeft w:val="0"/>
          <w:marRight w:val="0"/>
          <w:marTop w:val="0"/>
          <w:marBottom w:val="0"/>
          <w:divBdr>
            <w:top w:val="none" w:sz="0" w:space="0" w:color="auto"/>
            <w:left w:val="none" w:sz="0" w:space="0" w:color="auto"/>
            <w:bottom w:val="none" w:sz="0" w:space="0" w:color="auto"/>
            <w:right w:val="none" w:sz="0" w:space="0" w:color="auto"/>
          </w:divBdr>
        </w:div>
      </w:divsChild>
    </w:div>
    <w:div w:id="618609594">
      <w:bodyDiv w:val="1"/>
      <w:marLeft w:val="0"/>
      <w:marRight w:val="0"/>
      <w:marTop w:val="0"/>
      <w:marBottom w:val="0"/>
      <w:divBdr>
        <w:top w:val="none" w:sz="0" w:space="0" w:color="auto"/>
        <w:left w:val="none" w:sz="0" w:space="0" w:color="auto"/>
        <w:bottom w:val="none" w:sz="0" w:space="0" w:color="auto"/>
        <w:right w:val="none" w:sz="0" w:space="0" w:color="auto"/>
      </w:divBdr>
    </w:div>
    <w:div w:id="850218138">
      <w:bodyDiv w:val="1"/>
      <w:marLeft w:val="0"/>
      <w:marRight w:val="0"/>
      <w:marTop w:val="0"/>
      <w:marBottom w:val="0"/>
      <w:divBdr>
        <w:top w:val="none" w:sz="0" w:space="0" w:color="auto"/>
        <w:left w:val="none" w:sz="0" w:space="0" w:color="auto"/>
        <w:bottom w:val="none" w:sz="0" w:space="0" w:color="auto"/>
        <w:right w:val="none" w:sz="0" w:space="0" w:color="auto"/>
      </w:divBdr>
    </w:div>
    <w:div w:id="923028120">
      <w:bodyDiv w:val="1"/>
      <w:marLeft w:val="0"/>
      <w:marRight w:val="0"/>
      <w:marTop w:val="0"/>
      <w:marBottom w:val="0"/>
      <w:divBdr>
        <w:top w:val="none" w:sz="0" w:space="0" w:color="auto"/>
        <w:left w:val="none" w:sz="0" w:space="0" w:color="auto"/>
        <w:bottom w:val="none" w:sz="0" w:space="0" w:color="auto"/>
        <w:right w:val="none" w:sz="0" w:space="0" w:color="auto"/>
      </w:divBdr>
      <w:divsChild>
        <w:div w:id="10764831">
          <w:marLeft w:val="0"/>
          <w:marRight w:val="0"/>
          <w:marTop w:val="0"/>
          <w:marBottom w:val="0"/>
          <w:divBdr>
            <w:top w:val="none" w:sz="0" w:space="0" w:color="auto"/>
            <w:left w:val="none" w:sz="0" w:space="0" w:color="auto"/>
            <w:bottom w:val="none" w:sz="0" w:space="0" w:color="auto"/>
            <w:right w:val="none" w:sz="0" w:space="0" w:color="auto"/>
          </w:divBdr>
        </w:div>
        <w:div w:id="760682920">
          <w:marLeft w:val="0"/>
          <w:marRight w:val="0"/>
          <w:marTop w:val="0"/>
          <w:marBottom w:val="0"/>
          <w:divBdr>
            <w:top w:val="none" w:sz="0" w:space="0" w:color="auto"/>
            <w:left w:val="none" w:sz="0" w:space="0" w:color="auto"/>
            <w:bottom w:val="none" w:sz="0" w:space="0" w:color="auto"/>
            <w:right w:val="none" w:sz="0" w:space="0" w:color="auto"/>
          </w:divBdr>
        </w:div>
        <w:div w:id="1113357173">
          <w:marLeft w:val="0"/>
          <w:marRight w:val="0"/>
          <w:marTop w:val="0"/>
          <w:marBottom w:val="0"/>
          <w:divBdr>
            <w:top w:val="none" w:sz="0" w:space="0" w:color="auto"/>
            <w:left w:val="none" w:sz="0" w:space="0" w:color="auto"/>
            <w:bottom w:val="none" w:sz="0" w:space="0" w:color="auto"/>
            <w:right w:val="none" w:sz="0" w:space="0" w:color="auto"/>
          </w:divBdr>
        </w:div>
        <w:div w:id="1927372607">
          <w:marLeft w:val="0"/>
          <w:marRight w:val="0"/>
          <w:marTop w:val="0"/>
          <w:marBottom w:val="0"/>
          <w:divBdr>
            <w:top w:val="none" w:sz="0" w:space="0" w:color="auto"/>
            <w:left w:val="none" w:sz="0" w:space="0" w:color="auto"/>
            <w:bottom w:val="none" w:sz="0" w:space="0" w:color="auto"/>
            <w:right w:val="none" w:sz="0" w:space="0" w:color="auto"/>
          </w:divBdr>
        </w:div>
        <w:div w:id="380400414">
          <w:marLeft w:val="0"/>
          <w:marRight w:val="0"/>
          <w:marTop w:val="0"/>
          <w:marBottom w:val="0"/>
          <w:divBdr>
            <w:top w:val="none" w:sz="0" w:space="0" w:color="auto"/>
            <w:left w:val="none" w:sz="0" w:space="0" w:color="auto"/>
            <w:bottom w:val="none" w:sz="0" w:space="0" w:color="auto"/>
            <w:right w:val="none" w:sz="0" w:space="0" w:color="auto"/>
          </w:divBdr>
        </w:div>
        <w:div w:id="1633636399">
          <w:marLeft w:val="0"/>
          <w:marRight w:val="0"/>
          <w:marTop w:val="0"/>
          <w:marBottom w:val="0"/>
          <w:divBdr>
            <w:top w:val="none" w:sz="0" w:space="0" w:color="auto"/>
            <w:left w:val="none" w:sz="0" w:space="0" w:color="auto"/>
            <w:bottom w:val="none" w:sz="0" w:space="0" w:color="auto"/>
            <w:right w:val="none" w:sz="0" w:space="0" w:color="auto"/>
          </w:divBdr>
        </w:div>
      </w:divsChild>
    </w:div>
    <w:div w:id="932056419">
      <w:bodyDiv w:val="1"/>
      <w:marLeft w:val="0"/>
      <w:marRight w:val="0"/>
      <w:marTop w:val="0"/>
      <w:marBottom w:val="0"/>
      <w:divBdr>
        <w:top w:val="none" w:sz="0" w:space="0" w:color="auto"/>
        <w:left w:val="none" w:sz="0" w:space="0" w:color="auto"/>
        <w:bottom w:val="none" w:sz="0" w:space="0" w:color="auto"/>
        <w:right w:val="none" w:sz="0" w:space="0" w:color="auto"/>
      </w:divBdr>
    </w:div>
    <w:div w:id="9847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598547">
          <w:marLeft w:val="0"/>
          <w:marRight w:val="0"/>
          <w:marTop w:val="0"/>
          <w:marBottom w:val="0"/>
          <w:divBdr>
            <w:top w:val="none" w:sz="0" w:space="0" w:color="auto"/>
            <w:left w:val="none" w:sz="0" w:space="0" w:color="auto"/>
            <w:bottom w:val="none" w:sz="0" w:space="0" w:color="auto"/>
            <w:right w:val="none" w:sz="0" w:space="0" w:color="auto"/>
          </w:divBdr>
          <w:divsChild>
            <w:div w:id="257829510">
              <w:marLeft w:val="0"/>
              <w:marRight w:val="0"/>
              <w:marTop w:val="0"/>
              <w:marBottom w:val="0"/>
              <w:divBdr>
                <w:top w:val="none" w:sz="0" w:space="0" w:color="auto"/>
                <w:left w:val="none" w:sz="0" w:space="0" w:color="auto"/>
                <w:bottom w:val="none" w:sz="0" w:space="0" w:color="auto"/>
                <w:right w:val="none" w:sz="0" w:space="0" w:color="auto"/>
              </w:divBdr>
              <w:divsChild>
                <w:div w:id="300306598">
                  <w:marLeft w:val="0"/>
                  <w:marRight w:val="0"/>
                  <w:marTop w:val="0"/>
                  <w:marBottom w:val="0"/>
                  <w:divBdr>
                    <w:top w:val="none" w:sz="0" w:space="0" w:color="auto"/>
                    <w:left w:val="none" w:sz="0" w:space="0" w:color="auto"/>
                    <w:bottom w:val="none" w:sz="0" w:space="0" w:color="auto"/>
                    <w:right w:val="none" w:sz="0" w:space="0" w:color="auto"/>
                  </w:divBdr>
                  <w:divsChild>
                    <w:div w:id="565727542">
                      <w:marLeft w:val="0"/>
                      <w:marRight w:val="0"/>
                      <w:marTop w:val="0"/>
                      <w:marBottom w:val="0"/>
                      <w:divBdr>
                        <w:top w:val="none" w:sz="0" w:space="0" w:color="auto"/>
                        <w:left w:val="none" w:sz="0" w:space="0" w:color="auto"/>
                        <w:bottom w:val="none" w:sz="0" w:space="0" w:color="auto"/>
                        <w:right w:val="none" w:sz="0" w:space="0" w:color="auto"/>
                      </w:divBdr>
                      <w:divsChild>
                        <w:div w:id="1601403089">
                          <w:marLeft w:val="0"/>
                          <w:marRight w:val="0"/>
                          <w:marTop w:val="0"/>
                          <w:marBottom w:val="0"/>
                          <w:divBdr>
                            <w:top w:val="none" w:sz="0" w:space="0" w:color="auto"/>
                            <w:left w:val="none" w:sz="0" w:space="0" w:color="auto"/>
                            <w:bottom w:val="none" w:sz="0" w:space="0" w:color="auto"/>
                            <w:right w:val="none" w:sz="0" w:space="0" w:color="auto"/>
                          </w:divBdr>
                          <w:divsChild>
                            <w:div w:id="1419398766">
                              <w:marLeft w:val="0"/>
                              <w:marRight w:val="0"/>
                              <w:marTop w:val="0"/>
                              <w:marBottom w:val="0"/>
                              <w:divBdr>
                                <w:top w:val="none" w:sz="0" w:space="0" w:color="auto"/>
                                <w:left w:val="none" w:sz="0" w:space="0" w:color="auto"/>
                                <w:bottom w:val="none" w:sz="0" w:space="0" w:color="auto"/>
                                <w:right w:val="none" w:sz="0" w:space="0" w:color="auto"/>
                              </w:divBdr>
                              <w:divsChild>
                                <w:div w:id="4368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4419">
      <w:bodyDiv w:val="1"/>
      <w:marLeft w:val="0"/>
      <w:marRight w:val="0"/>
      <w:marTop w:val="0"/>
      <w:marBottom w:val="0"/>
      <w:divBdr>
        <w:top w:val="none" w:sz="0" w:space="0" w:color="auto"/>
        <w:left w:val="none" w:sz="0" w:space="0" w:color="auto"/>
        <w:bottom w:val="none" w:sz="0" w:space="0" w:color="auto"/>
        <w:right w:val="none" w:sz="0" w:space="0" w:color="auto"/>
      </w:divBdr>
      <w:divsChild>
        <w:div w:id="97410250">
          <w:marLeft w:val="0"/>
          <w:marRight w:val="0"/>
          <w:marTop w:val="0"/>
          <w:marBottom w:val="0"/>
          <w:divBdr>
            <w:top w:val="none" w:sz="0" w:space="0" w:color="auto"/>
            <w:left w:val="none" w:sz="0" w:space="0" w:color="auto"/>
            <w:bottom w:val="none" w:sz="0" w:space="0" w:color="auto"/>
            <w:right w:val="none" w:sz="0" w:space="0" w:color="auto"/>
          </w:divBdr>
        </w:div>
        <w:div w:id="1695841263">
          <w:marLeft w:val="0"/>
          <w:marRight w:val="0"/>
          <w:marTop w:val="0"/>
          <w:marBottom w:val="0"/>
          <w:divBdr>
            <w:top w:val="none" w:sz="0" w:space="0" w:color="auto"/>
            <w:left w:val="none" w:sz="0" w:space="0" w:color="auto"/>
            <w:bottom w:val="none" w:sz="0" w:space="0" w:color="auto"/>
            <w:right w:val="none" w:sz="0" w:space="0" w:color="auto"/>
          </w:divBdr>
        </w:div>
        <w:div w:id="930940103">
          <w:marLeft w:val="0"/>
          <w:marRight w:val="0"/>
          <w:marTop w:val="0"/>
          <w:marBottom w:val="0"/>
          <w:divBdr>
            <w:top w:val="none" w:sz="0" w:space="0" w:color="auto"/>
            <w:left w:val="none" w:sz="0" w:space="0" w:color="auto"/>
            <w:bottom w:val="none" w:sz="0" w:space="0" w:color="auto"/>
            <w:right w:val="none" w:sz="0" w:space="0" w:color="auto"/>
          </w:divBdr>
        </w:div>
        <w:div w:id="1480879807">
          <w:marLeft w:val="0"/>
          <w:marRight w:val="0"/>
          <w:marTop w:val="0"/>
          <w:marBottom w:val="0"/>
          <w:divBdr>
            <w:top w:val="none" w:sz="0" w:space="0" w:color="auto"/>
            <w:left w:val="none" w:sz="0" w:space="0" w:color="auto"/>
            <w:bottom w:val="none" w:sz="0" w:space="0" w:color="auto"/>
            <w:right w:val="none" w:sz="0" w:space="0" w:color="auto"/>
          </w:divBdr>
        </w:div>
        <w:div w:id="823425953">
          <w:marLeft w:val="0"/>
          <w:marRight w:val="0"/>
          <w:marTop w:val="0"/>
          <w:marBottom w:val="0"/>
          <w:divBdr>
            <w:top w:val="none" w:sz="0" w:space="0" w:color="auto"/>
            <w:left w:val="none" w:sz="0" w:space="0" w:color="auto"/>
            <w:bottom w:val="none" w:sz="0" w:space="0" w:color="auto"/>
            <w:right w:val="none" w:sz="0" w:space="0" w:color="auto"/>
          </w:divBdr>
        </w:div>
        <w:div w:id="2116053084">
          <w:marLeft w:val="0"/>
          <w:marRight w:val="0"/>
          <w:marTop w:val="0"/>
          <w:marBottom w:val="0"/>
          <w:divBdr>
            <w:top w:val="none" w:sz="0" w:space="0" w:color="auto"/>
            <w:left w:val="none" w:sz="0" w:space="0" w:color="auto"/>
            <w:bottom w:val="none" w:sz="0" w:space="0" w:color="auto"/>
            <w:right w:val="none" w:sz="0" w:space="0" w:color="auto"/>
          </w:divBdr>
        </w:div>
      </w:divsChild>
    </w:div>
    <w:div w:id="1030688334">
      <w:bodyDiv w:val="1"/>
      <w:marLeft w:val="0"/>
      <w:marRight w:val="0"/>
      <w:marTop w:val="0"/>
      <w:marBottom w:val="0"/>
      <w:divBdr>
        <w:top w:val="none" w:sz="0" w:space="0" w:color="auto"/>
        <w:left w:val="none" w:sz="0" w:space="0" w:color="auto"/>
        <w:bottom w:val="none" w:sz="0" w:space="0" w:color="auto"/>
        <w:right w:val="none" w:sz="0" w:space="0" w:color="auto"/>
      </w:divBdr>
      <w:divsChild>
        <w:div w:id="1269390775">
          <w:marLeft w:val="0"/>
          <w:marRight w:val="0"/>
          <w:marTop w:val="0"/>
          <w:marBottom w:val="0"/>
          <w:divBdr>
            <w:top w:val="none" w:sz="0" w:space="0" w:color="auto"/>
            <w:left w:val="none" w:sz="0" w:space="0" w:color="auto"/>
            <w:bottom w:val="none" w:sz="0" w:space="0" w:color="auto"/>
            <w:right w:val="none" w:sz="0" w:space="0" w:color="auto"/>
          </w:divBdr>
        </w:div>
        <w:div w:id="1760757618">
          <w:marLeft w:val="0"/>
          <w:marRight w:val="0"/>
          <w:marTop w:val="0"/>
          <w:marBottom w:val="0"/>
          <w:divBdr>
            <w:top w:val="none" w:sz="0" w:space="0" w:color="auto"/>
            <w:left w:val="none" w:sz="0" w:space="0" w:color="auto"/>
            <w:bottom w:val="none" w:sz="0" w:space="0" w:color="auto"/>
            <w:right w:val="none" w:sz="0" w:space="0" w:color="auto"/>
          </w:divBdr>
        </w:div>
      </w:divsChild>
    </w:div>
    <w:div w:id="1170291876">
      <w:bodyDiv w:val="1"/>
      <w:marLeft w:val="0"/>
      <w:marRight w:val="0"/>
      <w:marTop w:val="0"/>
      <w:marBottom w:val="0"/>
      <w:divBdr>
        <w:top w:val="none" w:sz="0" w:space="0" w:color="auto"/>
        <w:left w:val="none" w:sz="0" w:space="0" w:color="auto"/>
        <w:bottom w:val="none" w:sz="0" w:space="0" w:color="auto"/>
        <w:right w:val="none" w:sz="0" w:space="0" w:color="auto"/>
      </w:divBdr>
    </w:div>
    <w:div w:id="1264608221">
      <w:bodyDiv w:val="1"/>
      <w:marLeft w:val="0"/>
      <w:marRight w:val="0"/>
      <w:marTop w:val="0"/>
      <w:marBottom w:val="0"/>
      <w:divBdr>
        <w:top w:val="none" w:sz="0" w:space="0" w:color="auto"/>
        <w:left w:val="none" w:sz="0" w:space="0" w:color="auto"/>
        <w:bottom w:val="none" w:sz="0" w:space="0" w:color="auto"/>
        <w:right w:val="none" w:sz="0" w:space="0" w:color="auto"/>
      </w:divBdr>
    </w:div>
    <w:div w:id="1347366647">
      <w:bodyDiv w:val="1"/>
      <w:marLeft w:val="0"/>
      <w:marRight w:val="0"/>
      <w:marTop w:val="0"/>
      <w:marBottom w:val="0"/>
      <w:divBdr>
        <w:top w:val="none" w:sz="0" w:space="0" w:color="auto"/>
        <w:left w:val="none" w:sz="0" w:space="0" w:color="auto"/>
        <w:bottom w:val="none" w:sz="0" w:space="0" w:color="auto"/>
        <w:right w:val="none" w:sz="0" w:space="0" w:color="auto"/>
      </w:divBdr>
    </w:div>
    <w:div w:id="1406612074">
      <w:bodyDiv w:val="1"/>
      <w:marLeft w:val="0"/>
      <w:marRight w:val="0"/>
      <w:marTop w:val="0"/>
      <w:marBottom w:val="0"/>
      <w:divBdr>
        <w:top w:val="none" w:sz="0" w:space="0" w:color="auto"/>
        <w:left w:val="none" w:sz="0" w:space="0" w:color="auto"/>
        <w:bottom w:val="none" w:sz="0" w:space="0" w:color="auto"/>
        <w:right w:val="none" w:sz="0" w:space="0" w:color="auto"/>
      </w:divBdr>
    </w:div>
    <w:div w:id="1406802464">
      <w:bodyDiv w:val="1"/>
      <w:marLeft w:val="0"/>
      <w:marRight w:val="0"/>
      <w:marTop w:val="0"/>
      <w:marBottom w:val="0"/>
      <w:divBdr>
        <w:top w:val="none" w:sz="0" w:space="0" w:color="auto"/>
        <w:left w:val="none" w:sz="0" w:space="0" w:color="auto"/>
        <w:bottom w:val="none" w:sz="0" w:space="0" w:color="auto"/>
        <w:right w:val="none" w:sz="0" w:space="0" w:color="auto"/>
      </w:divBdr>
    </w:div>
    <w:div w:id="1488672020">
      <w:bodyDiv w:val="1"/>
      <w:marLeft w:val="0"/>
      <w:marRight w:val="0"/>
      <w:marTop w:val="0"/>
      <w:marBottom w:val="0"/>
      <w:divBdr>
        <w:top w:val="none" w:sz="0" w:space="0" w:color="auto"/>
        <w:left w:val="none" w:sz="0" w:space="0" w:color="auto"/>
        <w:bottom w:val="none" w:sz="0" w:space="0" w:color="auto"/>
        <w:right w:val="none" w:sz="0" w:space="0" w:color="auto"/>
      </w:divBdr>
      <w:divsChild>
        <w:div w:id="1710640996">
          <w:marLeft w:val="274"/>
          <w:marRight w:val="0"/>
          <w:marTop w:val="0"/>
          <w:marBottom w:val="0"/>
          <w:divBdr>
            <w:top w:val="none" w:sz="0" w:space="0" w:color="auto"/>
            <w:left w:val="none" w:sz="0" w:space="0" w:color="auto"/>
            <w:bottom w:val="none" w:sz="0" w:space="0" w:color="auto"/>
            <w:right w:val="none" w:sz="0" w:space="0" w:color="auto"/>
          </w:divBdr>
        </w:div>
      </w:divsChild>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sChild>
        <w:div w:id="1850439669">
          <w:marLeft w:val="0"/>
          <w:marRight w:val="0"/>
          <w:marTop w:val="0"/>
          <w:marBottom w:val="0"/>
          <w:divBdr>
            <w:top w:val="none" w:sz="0" w:space="0" w:color="auto"/>
            <w:left w:val="none" w:sz="0" w:space="0" w:color="auto"/>
            <w:bottom w:val="none" w:sz="0" w:space="0" w:color="auto"/>
            <w:right w:val="none" w:sz="0" w:space="0" w:color="auto"/>
          </w:divBdr>
        </w:div>
        <w:div w:id="334652711">
          <w:marLeft w:val="0"/>
          <w:marRight w:val="0"/>
          <w:marTop w:val="0"/>
          <w:marBottom w:val="0"/>
          <w:divBdr>
            <w:top w:val="none" w:sz="0" w:space="0" w:color="auto"/>
            <w:left w:val="none" w:sz="0" w:space="0" w:color="auto"/>
            <w:bottom w:val="none" w:sz="0" w:space="0" w:color="auto"/>
            <w:right w:val="none" w:sz="0" w:space="0" w:color="auto"/>
          </w:divBdr>
        </w:div>
        <w:div w:id="803428490">
          <w:marLeft w:val="0"/>
          <w:marRight w:val="0"/>
          <w:marTop w:val="0"/>
          <w:marBottom w:val="0"/>
          <w:divBdr>
            <w:top w:val="none" w:sz="0" w:space="0" w:color="auto"/>
            <w:left w:val="none" w:sz="0" w:space="0" w:color="auto"/>
            <w:bottom w:val="none" w:sz="0" w:space="0" w:color="auto"/>
            <w:right w:val="none" w:sz="0" w:space="0" w:color="auto"/>
          </w:divBdr>
        </w:div>
        <w:div w:id="1241022220">
          <w:marLeft w:val="0"/>
          <w:marRight w:val="0"/>
          <w:marTop w:val="0"/>
          <w:marBottom w:val="0"/>
          <w:divBdr>
            <w:top w:val="none" w:sz="0" w:space="0" w:color="auto"/>
            <w:left w:val="none" w:sz="0" w:space="0" w:color="auto"/>
            <w:bottom w:val="none" w:sz="0" w:space="0" w:color="auto"/>
            <w:right w:val="none" w:sz="0" w:space="0" w:color="auto"/>
          </w:divBdr>
        </w:div>
        <w:div w:id="235290456">
          <w:marLeft w:val="0"/>
          <w:marRight w:val="0"/>
          <w:marTop w:val="0"/>
          <w:marBottom w:val="0"/>
          <w:divBdr>
            <w:top w:val="none" w:sz="0" w:space="0" w:color="auto"/>
            <w:left w:val="none" w:sz="0" w:space="0" w:color="auto"/>
            <w:bottom w:val="none" w:sz="0" w:space="0" w:color="auto"/>
            <w:right w:val="none" w:sz="0" w:space="0" w:color="auto"/>
          </w:divBdr>
        </w:div>
        <w:div w:id="538781308">
          <w:marLeft w:val="0"/>
          <w:marRight w:val="0"/>
          <w:marTop w:val="0"/>
          <w:marBottom w:val="0"/>
          <w:divBdr>
            <w:top w:val="none" w:sz="0" w:space="0" w:color="auto"/>
            <w:left w:val="none" w:sz="0" w:space="0" w:color="auto"/>
            <w:bottom w:val="none" w:sz="0" w:space="0" w:color="auto"/>
            <w:right w:val="none" w:sz="0" w:space="0" w:color="auto"/>
          </w:divBdr>
        </w:div>
        <w:div w:id="1749306499">
          <w:marLeft w:val="0"/>
          <w:marRight w:val="0"/>
          <w:marTop w:val="0"/>
          <w:marBottom w:val="0"/>
          <w:divBdr>
            <w:top w:val="none" w:sz="0" w:space="0" w:color="auto"/>
            <w:left w:val="none" w:sz="0" w:space="0" w:color="auto"/>
            <w:bottom w:val="none" w:sz="0" w:space="0" w:color="auto"/>
            <w:right w:val="none" w:sz="0" w:space="0" w:color="auto"/>
          </w:divBdr>
        </w:div>
        <w:div w:id="1823110955">
          <w:marLeft w:val="0"/>
          <w:marRight w:val="0"/>
          <w:marTop w:val="0"/>
          <w:marBottom w:val="0"/>
          <w:divBdr>
            <w:top w:val="none" w:sz="0" w:space="0" w:color="auto"/>
            <w:left w:val="none" w:sz="0" w:space="0" w:color="auto"/>
            <w:bottom w:val="none" w:sz="0" w:space="0" w:color="auto"/>
            <w:right w:val="none" w:sz="0" w:space="0" w:color="auto"/>
          </w:divBdr>
        </w:div>
        <w:div w:id="1241060945">
          <w:marLeft w:val="0"/>
          <w:marRight w:val="0"/>
          <w:marTop w:val="0"/>
          <w:marBottom w:val="0"/>
          <w:divBdr>
            <w:top w:val="none" w:sz="0" w:space="0" w:color="auto"/>
            <w:left w:val="none" w:sz="0" w:space="0" w:color="auto"/>
            <w:bottom w:val="none" w:sz="0" w:space="0" w:color="auto"/>
            <w:right w:val="none" w:sz="0" w:space="0" w:color="auto"/>
          </w:divBdr>
        </w:div>
        <w:div w:id="725572120">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 w:id="122308305">
          <w:marLeft w:val="0"/>
          <w:marRight w:val="0"/>
          <w:marTop w:val="0"/>
          <w:marBottom w:val="0"/>
          <w:divBdr>
            <w:top w:val="none" w:sz="0" w:space="0" w:color="auto"/>
            <w:left w:val="none" w:sz="0" w:space="0" w:color="auto"/>
            <w:bottom w:val="none" w:sz="0" w:space="0" w:color="auto"/>
            <w:right w:val="none" w:sz="0" w:space="0" w:color="auto"/>
          </w:divBdr>
        </w:div>
      </w:divsChild>
    </w:div>
    <w:div w:id="1547521673">
      <w:bodyDiv w:val="1"/>
      <w:marLeft w:val="0"/>
      <w:marRight w:val="0"/>
      <w:marTop w:val="0"/>
      <w:marBottom w:val="0"/>
      <w:divBdr>
        <w:top w:val="none" w:sz="0" w:space="0" w:color="auto"/>
        <w:left w:val="none" w:sz="0" w:space="0" w:color="auto"/>
        <w:bottom w:val="none" w:sz="0" w:space="0" w:color="auto"/>
        <w:right w:val="none" w:sz="0" w:space="0" w:color="auto"/>
      </w:divBdr>
    </w:div>
    <w:div w:id="1550413485">
      <w:bodyDiv w:val="1"/>
      <w:marLeft w:val="0"/>
      <w:marRight w:val="0"/>
      <w:marTop w:val="0"/>
      <w:marBottom w:val="0"/>
      <w:divBdr>
        <w:top w:val="none" w:sz="0" w:space="0" w:color="auto"/>
        <w:left w:val="none" w:sz="0" w:space="0" w:color="auto"/>
        <w:bottom w:val="none" w:sz="0" w:space="0" w:color="auto"/>
        <w:right w:val="none" w:sz="0" w:space="0" w:color="auto"/>
      </w:divBdr>
      <w:divsChild>
        <w:div w:id="2083872612">
          <w:marLeft w:val="0"/>
          <w:marRight w:val="0"/>
          <w:marTop w:val="0"/>
          <w:marBottom w:val="0"/>
          <w:divBdr>
            <w:top w:val="none" w:sz="0" w:space="0" w:color="auto"/>
            <w:left w:val="none" w:sz="0" w:space="0" w:color="auto"/>
            <w:bottom w:val="none" w:sz="0" w:space="0" w:color="auto"/>
            <w:right w:val="none" w:sz="0" w:space="0" w:color="auto"/>
          </w:divBdr>
        </w:div>
        <w:div w:id="578447111">
          <w:marLeft w:val="0"/>
          <w:marRight w:val="0"/>
          <w:marTop w:val="0"/>
          <w:marBottom w:val="0"/>
          <w:divBdr>
            <w:top w:val="none" w:sz="0" w:space="0" w:color="auto"/>
            <w:left w:val="none" w:sz="0" w:space="0" w:color="auto"/>
            <w:bottom w:val="none" w:sz="0" w:space="0" w:color="auto"/>
            <w:right w:val="none" w:sz="0" w:space="0" w:color="auto"/>
          </w:divBdr>
        </w:div>
        <w:div w:id="794834063">
          <w:marLeft w:val="0"/>
          <w:marRight w:val="0"/>
          <w:marTop w:val="0"/>
          <w:marBottom w:val="0"/>
          <w:divBdr>
            <w:top w:val="none" w:sz="0" w:space="0" w:color="auto"/>
            <w:left w:val="none" w:sz="0" w:space="0" w:color="auto"/>
            <w:bottom w:val="none" w:sz="0" w:space="0" w:color="auto"/>
            <w:right w:val="none" w:sz="0" w:space="0" w:color="auto"/>
          </w:divBdr>
        </w:div>
        <w:div w:id="1588149960">
          <w:marLeft w:val="0"/>
          <w:marRight w:val="0"/>
          <w:marTop w:val="0"/>
          <w:marBottom w:val="0"/>
          <w:divBdr>
            <w:top w:val="none" w:sz="0" w:space="0" w:color="auto"/>
            <w:left w:val="none" w:sz="0" w:space="0" w:color="auto"/>
            <w:bottom w:val="none" w:sz="0" w:space="0" w:color="auto"/>
            <w:right w:val="none" w:sz="0" w:space="0" w:color="auto"/>
          </w:divBdr>
        </w:div>
        <w:div w:id="648095991">
          <w:marLeft w:val="0"/>
          <w:marRight w:val="0"/>
          <w:marTop w:val="0"/>
          <w:marBottom w:val="0"/>
          <w:divBdr>
            <w:top w:val="none" w:sz="0" w:space="0" w:color="auto"/>
            <w:left w:val="none" w:sz="0" w:space="0" w:color="auto"/>
            <w:bottom w:val="none" w:sz="0" w:space="0" w:color="auto"/>
            <w:right w:val="none" w:sz="0" w:space="0" w:color="auto"/>
          </w:divBdr>
        </w:div>
        <w:div w:id="558251981">
          <w:marLeft w:val="0"/>
          <w:marRight w:val="0"/>
          <w:marTop w:val="0"/>
          <w:marBottom w:val="0"/>
          <w:divBdr>
            <w:top w:val="none" w:sz="0" w:space="0" w:color="auto"/>
            <w:left w:val="none" w:sz="0" w:space="0" w:color="auto"/>
            <w:bottom w:val="none" w:sz="0" w:space="0" w:color="auto"/>
            <w:right w:val="none" w:sz="0" w:space="0" w:color="auto"/>
          </w:divBdr>
        </w:div>
        <w:div w:id="1147821774">
          <w:marLeft w:val="0"/>
          <w:marRight w:val="0"/>
          <w:marTop w:val="0"/>
          <w:marBottom w:val="0"/>
          <w:divBdr>
            <w:top w:val="none" w:sz="0" w:space="0" w:color="auto"/>
            <w:left w:val="none" w:sz="0" w:space="0" w:color="auto"/>
            <w:bottom w:val="none" w:sz="0" w:space="0" w:color="auto"/>
            <w:right w:val="none" w:sz="0" w:space="0" w:color="auto"/>
          </w:divBdr>
        </w:div>
        <w:div w:id="977607430">
          <w:marLeft w:val="0"/>
          <w:marRight w:val="0"/>
          <w:marTop w:val="0"/>
          <w:marBottom w:val="0"/>
          <w:divBdr>
            <w:top w:val="none" w:sz="0" w:space="0" w:color="auto"/>
            <w:left w:val="none" w:sz="0" w:space="0" w:color="auto"/>
            <w:bottom w:val="none" w:sz="0" w:space="0" w:color="auto"/>
            <w:right w:val="none" w:sz="0" w:space="0" w:color="auto"/>
          </w:divBdr>
        </w:div>
        <w:div w:id="1159346159">
          <w:marLeft w:val="0"/>
          <w:marRight w:val="0"/>
          <w:marTop w:val="0"/>
          <w:marBottom w:val="0"/>
          <w:divBdr>
            <w:top w:val="none" w:sz="0" w:space="0" w:color="auto"/>
            <w:left w:val="none" w:sz="0" w:space="0" w:color="auto"/>
            <w:bottom w:val="none" w:sz="0" w:space="0" w:color="auto"/>
            <w:right w:val="none" w:sz="0" w:space="0" w:color="auto"/>
          </w:divBdr>
        </w:div>
        <w:div w:id="1400404416">
          <w:marLeft w:val="0"/>
          <w:marRight w:val="0"/>
          <w:marTop w:val="0"/>
          <w:marBottom w:val="0"/>
          <w:divBdr>
            <w:top w:val="none" w:sz="0" w:space="0" w:color="auto"/>
            <w:left w:val="none" w:sz="0" w:space="0" w:color="auto"/>
            <w:bottom w:val="none" w:sz="0" w:space="0" w:color="auto"/>
            <w:right w:val="none" w:sz="0" w:space="0" w:color="auto"/>
          </w:divBdr>
        </w:div>
        <w:div w:id="1859925962">
          <w:marLeft w:val="0"/>
          <w:marRight w:val="0"/>
          <w:marTop w:val="0"/>
          <w:marBottom w:val="0"/>
          <w:divBdr>
            <w:top w:val="none" w:sz="0" w:space="0" w:color="auto"/>
            <w:left w:val="none" w:sz="0" w:space="0" w:color="auto"/>
            <w:bottom w:val="none" w:sz="0" w:space="0" w:color="auto"/>
            <w:right w:val="none" w:sz="0" w:space="0" w:color="auto"/>
          </w:divBdr>
        </w:div>
        <w:div w:id="1531987549">
          <w:marLeft w:val="0"/>
          <w:marRight w:val="0"/>
          <w:marTop w:val="0"/>
          <w:marBottom w:val="0"/>
          <w:divBdr>
            <w:top w:val="none" w:sz="0" w:space="0" w:color="auto"/>
            <w:left w:val="none" w:sz="0" w:space="0" w:color="auto"/>
            <w:bottom w:val="none" w:sz="0" w:space="0" w:color="auto"/>
            <w:right w:val="none" w:sz="0" w:space="0" w:color="auto"/>
          </w:divBdr>
        </w:div>
        <w:div w:id="177619006">
          <w:marLeft w:val="0"/>
          <w:marRight w:val="0"/>
          <w:marTop w:val="0"/>
          <w:marBottom w:val="0"/>
          <w:divBdr>
            <w:top w:val="none" w:sz="0" w:space="0" w:color="auto"/>
            <w:left w:val="none" w:sz="0" w:space="0" w:color="auto"/>
            <w:bottom w:val="none" w:sz="0" w:space="0" w:color="auto"/>
            <w:right w:val="none" w:sz="0" w:space="0" w:color="auto"/>
          </w:divBdr>
        </w:div>
        <w:div w:id="500891871">
          <w:marLeft w:val="0"/>
          <w:marRight w:val="0"/>
          <w:marTop w:val="0"/>
          <w:marBottom w:val="0"/>
          <w:divBdr>
            <w:top w:val="none" w:sz="0" w:space="0" w:color="auto"/>
            <w:left w:val="none" w:sz="0" w:space="0" w:color="auto"/>
            <w:bottom w:val="none" w:sz="0" w:space="0" w:color="auto"/>
            <w:right w:val="none" w:sz="0" w:space="0" w:color="auto"/>
          </w:divBdr>
        </w:div>
        <w:div w:id="52122616">
          <w:marLeft w:val="0"/>
          <w:marRight w:val="0"/>
          <w:marTop w:val="0"/>
          <w:marBottom w:val="0"/>
          <w:divBdr>
            <w:top w:val="none" w:sz="0" w:space="0" w:color="auto"/>
            <w:left w:val="none" w:sz="0" w:space="0" w:color="auto"/>
            <w:bottom w:val="none" w:sz="0" w:space="0" w:color="auto"/>
            <w:right w:val="none" w:sz="0" w:space="0" w:color="auto"/>
          </w:divBdr>
        </w:div>
        <w:div w:id="1940798131">
          <w:marLeft w:val="0"/>
          <w:marRight w:val="0"/>
          <w:marTop w:val="0"/>
          <w:marBottom w:val="0"/>
          <w:divBdr>
            <w:top w:val="none" w:sz="0" w:space="0" w:color="auto"/>
            <w:left w:val="none" w:sz="0" w:space="0" w:color="auto"/>
            <w:bottom w:val="none" w:sz="0" w:space="0" w:color="auto"/>
            <w:right w:val="none" w:sz="0" w:space="0" w:color="auto"/>
          </w:divBdr>
        </w:div>
        <w:div w:id="12000336">
          <w:marLeft w:val="0"/>
          <w:marRight w:val="0"/>
          <w:marTop w:val="0"/>
          <w:marBottom w:val="0"/>
          <w:divBdr>
            <w:top w:val="none" w:sz="0" w:space="0" w:color="auto"/>
            <w:left w:val="none" w:sz="0" w:space="0" w:color="auto"/>
            <w:bottom w:val="none" w:sz="0" w:space="0" w:color="auto"/>
            <w:right w:val="none" w:sz="0" w:space="0" w:color="auto"/>
          </w:divBdr>
        </w:div>
        <w:div w:id="1201019771">
          <w:marLeft w:val="0"/>
          <w:marRight w:val="0"/>
          <w:marTop w:val="0"/>
          <w:marBottom w:val="0"/>
          <w:divBdr>
            <w:top w:val="none" w:sz="0" w:space="0" w:color="auto"/>
            <w:left w:val="none" w:sz="0" w:space="0" w:color="auto"/>
            <w:bottom w:val="none" w:sz="0" w:space="0" w:color="auto"/>
            <w:right w:val="none" w:sz="0" w:space="0" w:color="auto"/>
          </w:divBdr>
        </w:div>
        <w:div w:id="1550648722">
          <w:marLeft w:val="0"/>
          <w:marRight w:val="0"/>
          <w:marTop w:val="0"/>
          <w:marBottom w:val="0"/>
          <w:divBdr>
            <w:top w:val="none" w:sz="0" w:space="0" w:color="auto"/>
            <w:left w:val="none" w:sz="0" w:space="0" w:color="auto"/>
            <w:bottom w:val="none" w:sz="0" w:space="0" w:color="auto"/>
            <w:right w:val="none" w:sz="0" w:space="0" w:color="auto"/>
          </w:divBdr>
        </w:div>
        <w:div w:id="1023822145">
          <w:marLeft w:val="0"/>
          <w:marRight w:val="0"/>
          <w:marTop w:val="0"/>
          <w:marBottom w:val="0"/>
          <w:divBdr>
            <w:top w:val="none" w:sz="0" w:space="0" w:color="auto"/>
            <w:left w:val="none" w:sz="0" w:space="0" w:color="auto"/>
            <w:bottom w:val="none" w:sz="0" w:space="0" w:color="auto"/>
            <w:right w:val="none" w:sz="0" w:space="0" w:color="auto"/>
          </w:divBdr>
        </w:div>
        <w:div w:id="1481842664">
          <w:marLeft w:val="0"/>
          <w:marRight w:val="0"/>
          <w:marTop w:val="0"/>
          <w:marBottom w:val="0"/>
          <w:divBdr>
            <w:top w:val="none" w:sz="0" w:space="0" w:color="auto"/>
            <w:left w:val="none" w:sz="0" w:space="0" w:color="auto"/>
            <w:bottom w:val="none" w:sz="0" w:space="0" w:color="auto"/>
            <w:right w:val="none" w:sz="0" w:space="0" w:color="auto"/>
          </w:divBdr>
        </w:div>
        <w:div w:id="660937092">
          <w:marLeft w:val="0"/>
          <w:marRight w:val="0"/>
          <w:marTop w:val="0"/>
          <w:marBottom w:val="0"/>
          <w:divBdr>
            <w:top w:val="none" w:sz="0" w:space="0" w:color="auto"/>
            <w:left w:val="none" w:sz="0" w:space="0" w:color="auto"/>
            <w:bottom w:val="none" w:sz="0" w:space="0" w:color="auto"/>
            <w:right w:val="none" w:sz="0" w:space="0" w:color="auto"/>
          </w:divBdr>
        </w:div>
        <w:div w:id="1790321597">
          <w:marLeft w:val="0"/>
          <w:marRight w:val="0"/>
          <w:marTop w:val="0"/>
          <w:marBottom w:val="0"/>
          <w:divBdr>
            <w:top w:val="none" w:sz="0" w:space="0" w:color="auto"/>
            <w:left w:val="none" w:sz="0" w:space="0" w:color="auto"/>
            <w:bottom w:val="none" w:sz="0" w:space="0" w:color="auto"/>
            <w:right w:val="none" w:sz="0" w:space="0" w:color="auto"/>
          </w:divBdr>
        </w:div>
        <w:div w:id="709109526">
          <w:marLeft w:val="0"/>
          <w:marRight w:val="0"/>
          <w:marTop w:val="0"/>
          <w:marBottom w:val="0"/>
          <w:divBdr>
            <w:top w:val="none" w:sz="0" w:space="0" w:color="auto"/>
            <w:left w:val="none" w:sz="0" w:space="0" w:color="auto"/>
            <w:bottom w:val="none" w:sz="0" w:space="0" w:color="auto"/>
            <w:right w:val="none" w:sz="0" w:space="0" w:color="auto"/>
          </w:divBdr>
        </w:div>
        <w:div w:id="130756186">
          <w:marLeft w:val="0"/>
          <w:marRight w:val="0"/>
          <w:marTop w:val="0"/>
          <w:marBottom w:val="0"/>
          <w:divBdr>
            <w:top w:val="none" w:sz="0" w:space="0" w:color="auto"/>
            <w:left w:val="none" w:sz="0" w:space="0" w:color="auto"/>
            <w:bottom w:val="none" w:sz="0" w:space="0" w:color="auto"/>
            <w:right w:val="none" w:sz="0" w:space="0" w:color="auto"/>
          </w:divBdr>
        </w:div>
        <w:div w:id="1120874616">
          <w:marLeft w:val="0"/>
          <w:marRight w:val="0"/>
          <w:marTop w:val="0"/>
          <w:marBottom w:val="0"/>
          <w:divBdr>
            <w:top w:val="none" w:sz="0" w:space="0" w:color="auto"/>
            <w:left w:val="none" w:sz="0" w:space="0" w:color="auto"/>
            <w:bottom w:val="none" w:sz="0" w:space="0" w:color="auto"/>
            <w:right w:val="none" w:sz="0" w:space="0" w:color="auto"/>
          </w:divBdr>
        </w:div>
        <w:div w:id="1953317757">
          <w:marLeft w:val="0"/>
          <w:marRight w:val="0"/>
          <w:marTop w:val="0"/>
          <w:marBottom w:val="0"/>
          <w:divBdr>
            <w:top w:val="none" w:sz="0" w:space="0" w:color="auto"/>
            <w:left w:val="none" w:sz="0" w:space="0" w:color="auto"/>
            <w:bottom w:val="none" w:sz="0" w:space="0" w:color="auto"/>
            <w:right w:val="none" w:sz="0" w:space="0" w:color="auto"/>
          </w:divBdr>
        </w:div>
        <w:div w:id="1034624184">
          <w:marLeft w:val="0"/>
          <w:marRight w:val="0"/>
          <w:marTop w:val="0"/>
          <w:marBottom w:val="0"/>
          <w:divBdr>
            <w:top w:val="none" w:sz="0" w:space="0" w:color="auto"/>
            <w:left w:val="none" w:sz="0" w:space="0" w:color="auto"/>
            <w:bottom w:val="none" w:sz="0" w:space="0" w:color="auto"/>
            <w:right w:val="none" w:sz="0" w:space="0" w:color="auto"/>
          </w:divBdr>
        </w:div>
        <w:div w:id="1131172064">
          <w:marLeft w:val="0"/>
          <w:marRight w:val="0"/>
          <w:marTop w:val="0"/>
          <w:marBottom w:val="0"/>
          <w:divBdr>
            <w:top w:val="none" w:sz="0" w:space="0" w:color="auto"/>
            <w:left w:val="none" w:sz="0" w:space="0" w:color="auto"/>
            <w:bottom w:val="none" w:sz="0" w:space="0" w:color="auto"/>
            <w:right w:val="none" w:sz="0" w:space="0" w:color="auto"/>
          </w:divBdr>
        </w:div>
        <w:div w:id="1253662282">
          <w:marLeft w:val="0"/>
          <w:marRight w:val="0"/>
          <w:marTop w:val="0"/>
          <w:marBottom w:val="0"/>
          <w:divBdr>
            <w:top w:val="none" w:sz="0" w:space="0" w:color="auto"/>
            <w:left w:val="none" w:sz="0" w:space="0" w:color="auto"/>
            <w:bottom w:val="none" w:sz="0" w:space="0" w:color="auto"/>
            <w:right w:val="none" w:sz="0" w:space="0" w:color="auto"/>
          </w:divBdr>
        </w:div>
        <w:div w:id="1905750648">
          <w:marLeft w:val="0"/>
          <w:marRight w:val="0"/>
          <w:marTop w:val="0"/>
          <w:marBottom w:val="0"/>
          <w:divBdr>
            <w:top w:val="none" w:sz="0" w:space="0" w:color="auto"/>
            <w:left w:val="none" w:sz="0" w:space="0" w:color="auto"/>
            <w:bottom w:val="none" w:sz="0" w:space="0" w:color="auto"/>
            <w:right w:val="none" w:sz="0" w:space="0" w:color="auto"/>
          </w:divBdr>
        </w:div>
        <w:div w:id="111049573">
          <w:marLeft w:val="0"/>
          <w:marRight w:val="0"/>
          <w:marTop w:val="0"/>
          <w:marBottom w:val="0"/>
          <w:divBdr>
            <w:top w:val="none" w:sz="0" w:space="0" w:color="auto"/>
            <w:left w:val="none" w:sz="0" w:space="0" w:color="auto"/>
            <w:bottom w:val="none" w:sz="0" w:space="0" w:color="auto"/>
            <w:right w:val="none" w:sz="0" w:space="0" w:color="auto"/>
          </w:divBdr>
        </w:div>
        <w:div w:id="219875331">
          <w:marLeft w:val="0"/>
          <w:marRight w:val="0"/>
          <w:marTop w:val="0"/>
          <w:marBottom w:val="0"/>
          <w:divBdr>
            <w:top w:val="none" w:sz="0" w:space="0" w:color="auto"/>
            <w:left w:val="none" w:sz="0" w:space="0" w:color="auto"/>
            <w:bottom w:val="none" w:sz="0" w:space="0" w:color="auto"/>
            <w:right w:val="none" w:sz="0" w:space="0" w:color="auto"/>
          </w:divBdr>
        </w:div>
        <w:div w:id="1699354445">
          <w:marLeft w:val="0"/>
          <w:marRight w:val="0"/>
          <w:marTop w:val="0"/>
          <w:marBottom w:val="0"/>
          <w:divBdr>
            <w:top w:val="none" w:sz="0" w:space="0" w:color="auto"/>
            <w:left w:val="none" w:sz="0" w:space="0" w:color="auto"/>
            <w:bottom w:val="none" w:sz="0" w:space="0" w:color="auto"/>
            <w:right w:val="none" w:sz="0" w:space="0" w:color="auto"/>
          </w:divBdr>
        </w:div>
        <w:div w:id="1713845344">
          <w:marLeft w:val="0"/>
          <w:marRight w:val="0"/>
          <w:marTop w:val="0"/>
          <w:marBottom w:val="0"/>
          <w:divBdr>
            <w:top w:val="none" w:sz="0" w:space="0" w:color="auto"/>
            <w:left w:val="none" w:sz="0" w:space="0" w:color="auto"/>
            <w:bottom w:val="none" w:sz="0" w:space="0" w:color="auto"/>
            <w:right w:val="none" w:sz="0" w:space="0" w:color="auto"/>
          </w:divBdr>
        </w:div>
        <w:div w:id="1291086604">
          <w:marLeft w:val="0"/>
          <w:marRight w:val="0"/>
          <w:marTop w:val="0"/>
          <w:marBottom w:val="0"/>
          <w:divBdr>
            <w:top w:val="none" w:sz="0" w:space="0" w:color="auto"/>
            <w:left w:val="none" w:sz="0" w:space="0" w:color="auto"/>
            <w:bottom w:val="none" w:sz="0" w:space="0" w:color="auto"/>
            <w:right w:val="none" w:sz="0" w:space="0" w:color="auto"/>
          </w:divBdr>
        </w:div>
        <w:div w:id="1513302705">
          <w:marLeft w:val="0"/>
          <w:marRight w:val="0"/>
          <w:marTop w:val="0"/>
          <w:marBottom w:val="0"/>
          <w:divBdr>
            <w:top w:val="none" w:sz="0" w:space="0" w:color="auto"/>
            <w:left w:val="none" w:sz="0" w:space="0" w:color="auto"/>
            <w:bottom w:val="none" w:sz="0" w:space="0" w:color="auto"/>
            <w:right w:val="none" w:sz="0" w:space="0" w:color="auto"/>
          </w:divBdr>
        </w:div>
        <w:div w:id="1361782250">
          <w:marLeft w:val="0"/>
          <w:marRight w:val="0"/>
          <w:marTop w:val="0"/>
          <w:marBottom w:val="0"/>
          <w:divBdr>
            <w:top w:val="none" w:sz="0" w:space="0" w:color="auto"/>
            <w:left w:val="none" w:sz="0" w:space="0" w:color="auto"/>
            <w:bottom w:val="none" w:sz="0" w:space="0" w:color="auto"/>
            <w:right w:val="none" w:sz="0" w:space="0" w:color="auto"/>
          </w:divBdr>
        </w:div>
        <w:div w:id="651984798">
          <w:marLeft w:val="0"/>
          <w:marRight w:val="0"/>
          <w:marTop w:val="0"/>
          <w:marBottom w:val="0"/>
          <w:divBdr>
            <w:top w:val="none" w:sz="0" w:space="0" w:color="auto"/>
            <w:left w:val="none" w:sz="0" w:space="0" w:color="auto"/>
            <w:bottom w:val="none" w:sz="0" w:space="0" w:color="auto"/>
            <w:right w:val="none" w:sz="0" w:space="0" w:color="auto"/>
          </w:divBdr>
        </w:div>
        <w:div w:id="32922577">
          <w:marLeft w:val="0"/>
          <w:marRight w:val="0"/>
          <w:marTop w:val="0"/>
          <w:marBottom w:val="0"/>
          <w:divBdr>
            <w:top w:val="none" w:sz="0" w:space="0" w:color="auto"/>
            <w:left w:val="none" w:sz="0" w:space="0" w:color="auto"/>
            <w:bottom w:val="none" w:sz="0" w:space="0" w:color="auto"/>
            <w:right w:val="none" w:sz="0" w:space="0" w:color="auto"/>
          </w:divBdr>
        </w:div>
        <w:div w:id="2105345787">
          <w:marLeft w:val="0"/>
          <w:marRight w:val="0"/>
          <w:marTop w:val="0"/>
          <w:marBottom w:val="0"/>
          <w:divBdr>
            <w:top w:val="none" w:sz="0" w:space="0" w:color="auto"/>
            <w:left w:val="none" w:sz="0" w:space="0" w:color="auto"/>
            <w:bottom w:val="none" w:sz="0" w:space="0" w:color="auto"/>
            <w:right w:val="none" w:sz="0" w:space="0" w:color="auto"/>
          </w:divBdr>
        </w:div>
        <w:div w:id="1489857510">
          <w:marLeft w:val="0"/>
          <w:marRight w:val="0"/>
          <w:marTop w:val="0"/>
          <w:marBottom w:val="0"/>
          <w:divBdr>
            <w:top w:val="none" w:sz="0" w:space="0" w:color="auto"/>
            <w:left w:val="none" w:sz="0" w:space="0" w:color="auto"/>
            <w:bottom w:val="none" w:sz="0" w:space="0" w:color="auto"/>
            <w:right w:val="none" w:sz="0" w:space="0" w:color="auto"/>
          </w:divBdr>
        </w:div>
        <w:div w:id="1812093704">
          <w:marLeft w:val="0"/>
          <w:marRight w:val="0"/>
          <w:marTop w:val="0"/>
          <w:marBottom w:val="0"/>
          <w:divBdr>
            <w:top w:val="none" w:sz="0" w:space="0" w:color="auto"/>
            <w:left w:val="none" w:sz="0" w:space="0" w:color="auto"/>
            <w:bottom w:val="none" w:sz="0" w:space="0" w:color="auto"/>
            <w:right w:val="none" w:sz="0" w:space="0" w:color="auto"/>
          </w:divBdr>
        </w:div>
        <w:div w:id="1706561389">
          <w:marLeft w:val="0"/>
          <w:marRight w:val="0"/>
          <w:marTop w:val="0"/>
          <w:marBottom w:val="0"/>
          <w:divBdr>
            <w:top w:val="none" w:sz="0" w:space="0" w:color="auto"/>
            <w:left w:val="none" w:sz="0" w:space="0" w:color="auto"/>
            <w:bottom w:val="none" w:sz="0" w:space="0" w:color="auto"/>
            <w:right w:val="none" w:sz="0" w:space="0" w:color="auto"/>
          </w:divBdr>
        </w:div>
        <w:div w:id="1524980793">
          <w:marLeft w:val="0"/>
          <w:marRight w:val="0"/>
          <w:marTop w:val="0"/>
          <w:marBottom w:val="0"/>
          <w:divBdr>
            <w:top w:val="none" w:sz="0" w:space="0" w:color="auto"/>
            <w:left w:val="none" w:sz="0" w:space="0" w:color="auto"/>
            <w:bottom w:val="none" w:sz="0" w:space="0" w:color="auto"/>
            <w:right w:val="none" w:sz="0" w:space="0" w:color="auto"/>
          </w:divBdr>
        </w:div>
        <w:div w:id="477963392">
          <w:marLeft w:val="0"/>
          <w:marRight w:val="0"/>
          <w:marTop w:val="0"/>
          <w:marBottom w:val="0"/>
          <w:divBdr>
            <w:top w:val="none" w:sz="0" w:space="0" w:color="auto"/>
            <w:left w:val="none" w:sz="0" w:space="0" w:color="auto"/>
            <w:bottom w:val="none" w:sz="0" w:space="0" w:color="auto"/>
            <w:right w:val="none" w:sz="0" w:space="0" w:color="auto"/>
          </w:divBdr>
        </w:div>
        <w:div w:id="1583831980">
          <w:marLeft w:val="0"/>
          <w:marRight w:val="0"/>
          <w:marTop w:val="0"/>
          <w:marBottom w:val="0"/>
          <w:divBdr>
            <w:top w:val="none" w:sz="0" w:space="0" w:color="auto"/>
            <w:left w:val="none" w:sz="0" w:space="0" w:color="auto"/>
            <w:bottom w:val="none" w:sz="0" w:space="0" w:color="auto"/>
            <w:right w:val="none" w:sz="0" w:space="0" w:color="auto"/>
          </w:divBdr>
        </w:div>
        <w:div w:id="2146770122">
          <w:marLeft w:val="0"/>
          <w:marRight w:val="0"/>
          <w:marTop w:val="0"/>
          <w:marBottom w:val="0"/>
          <w:divBdr>
            <w:top w:val="none" w:sz="0" w:space="0" w:color="auto"/>
            <w:left w:val="none" w:sz="0" w:space="0" w:color="auto"/>
            <w:bottom w:val="none" w:sz="0" w:space="0" w:color="auto"/>
            <w:right w:val="none" w:sz="0" w:space="0" w:color="auto"/>
          </w:divBdr>
        </w:div>
        <w:div w:id="1934971013">
          <w:marLeft w:val="0"/>
          <w:marRight w:val="0"/>
          <w:marTop w:val="0"/>
          <w:marBottom w:val="0"/>
          <w:divBdr>
            <w:top w:val="none" w:sz="0" w:space="0" w:color="auto"/>
            <w:left w:val="none" w:sz="0" w:space="0" w:color="auto"/>
            <w:bottom w:val="none" w:sz="0" w:space="0" w:color="auto"/>
            <w:right w:val="none" w:sz="0" w:space="0" w:color="auto"/>
          </w:divBdr>
        </w:div>
        <w:div w:id="507720203">
          <w:marLeft w:val="0"/>
          <w:marRight w:val="0"/>
          <w:marTop w:val="0"/>
          <w:marBottom w:val="0"/>
          <w:divBdr>
            <w:top w:val="none" w:sz="0" w:space="0" w:color="auto"/>
            <w:left w:val="none" w:sz="0" w:space="0" w:color="auto"/>
            <w:bottom w:val="none" w:sz="0" w:space="0" w:color="auto"/>
            <w:right w:val="none" w:sz="0" w:space="0" w:color="auto"/>
          </w:divBdr>
        </w:div>
        <w:div w:id="1925720689">
          <w:marLeft w:val="0"/>
          <w:marRight w:val="0"/>
          <w:marTop w:val="0"/>
          <w:marBottom w:val="0"/>
          <w:divBdr>
            <w:top w:val="none" w:sz="0" w:space="0" w:color="auto"/>
            <w:left w:val="none" w:sz="0" w:space="0" w:color="auto"/>
            <w:bottom w:val="none" w:sz="0" w:space="0" w:color="auto"/>
            <w:right w:val="none" w:sz="0" w:space="0" w:color="auto"/>
          </w:divBdr>
        </w:div>
        <w:div w:id="1199200377">
          <w:marLeft w:val="0"/>
          <w:marRight w:val="0"/>
          <w:marTop w:val="0"/>
          <w:marBottom w:val="0"/>
          <w:divBdr>
            <w:top w:val="none" w:sz="0" w:space="0" w:color="auto"/>
            <w:left w:val="none" w:sz="0" w:space="0" w:color="auto"/>
            <w:bottom w:val="none" w:sz="0" w:space="0" w:color="auto"/>
            <w:right w:val="none" w:sz="0" w:space="0" w:color="auto"/>
          </w:divBdr>
        </w:div>
        <w:div w:id="758722824">
          <w:marLeft w:val="0"/>
          <w:marRight w:val="0"/>
          <w:marTop w:val="0"/>
          <w:marBottom w:val="0"/>
          <w:divBdr>
            <w:top w:val="none" w:sz="0" w:space="0" w:color="auto"/>
            <w:left w:val="none" w:sz="0" w:space="0" w:color="auto"/>
            <w:bottom w:val="none" w:sz="0" w:space="0" w:color="auto"/>
            <w:right w:val="none" w:sz="0" w:space="0" w:color="auto"/>
          </w:divBdr>
        </w:div>
        <w:div w:id="136729231">
          <w:marLeft w:val="0"/>
          <w:marRight w:val="0"/>
          <w:marTop w:val="0"/>
          <w:marBottom w:val="0"/>
          <w:divBdr>
            <w:top w:val="none" w:sz="0" w:space="0" w:color="auto"/>
            <w:left w:val="none" w:sz="0" w:space="0" w:color="auto"/>
            <w:bottom w:val="none" w:sz="0" w:space="0" w:color="auto"/>
            <w:right w:val="none" w:sz="0" w:space="0" w:color="auto"/>
          </w:divBdr>
        </w:div>
        <w:div w:id="1356419357">
          <w:marLeft w:val="0"/>
          <w:marRight w:val="0"/>
          <w:marTop w:val="0"/>
          <w:marBottom w:val="0"/>
          <w:divBdr>
            <w:top w:val="none" w:sz="0" w:space="0" w:color="auto"/>
            <w:left w:val="none" w:sz="0" w:space="0" w:color="auto"/>
            <w:bottom w:val="none" w:sz="0" w:space="0" w:color="auto"/>
            <w:right w:val="none" w:sz="0" w:space="0" w:color="auto"/>
          </w:divBdr>
        </w:div>
      </w:divsChild>
    </w:div>
    <w:div w:id="1559853447">
      <w:bodyDiv w:val="1"/>
      <w:marLeft w:val="0"/>
      <w:marRight w:val="0"/>
      <w:marTop w:val="0"/>
      <w:marBottom w:val="0"/>
      <w:divBdr>
        <w:top w:val="none" w:sz="0" w:space="0" w:color="auto"/>
        <w:left w:val="none" w:sz="0" w:space="0" w:color="auto"/>
        <w:bottom w:val="none" w:sz="0" w:space="0" w:color="auto"/>
        <w:right w:val="none" w:sz="0" w:space="0" w:color="auto"/>
      </w:divBdr>
    </w:div>
    <w:div w:id="1561137817">
      <w:bodyDiv w:val="1"/>
      <w:marLeft w:val="0"/>
      <w:marRight w:val="0"/>
      <w:marTop w:val="0"/>
      <w:marBottom w:val="0"/>
      <w:divBdr>
        <w:top w:val="none" w:sz="0" w:space="0" w:color="auto"/>
        <w:left w:val="none" w:sz="0" w:space="0" w:color="auto"/>
        <w:bottom w:val="none" w:sz="0" w:space="0" w:color="auto"/>
        <w:right w:val="none" w:sz="0" w:space="0" w:color="auto"/>
      </w:divBdr>
    </w:div>
    <w:div w:id="1617835389">
      <w:bodyDiv w:val="1"/>
      <w:marLeft w:val="0"/>
      <w:marRight w:val="0"/>
      <w:marTop w:val="0"/>
      <w:marBottom w:val="0"/>
      <w:divBdr>
        <w:top w:val="none" w:sz="0" w:space="0" w:color="auto"/>
        <w:left w:val="none" w:sz="0" w:space="0" w:color="auto"/>
        <w:bottom w:val="none" w:sz="0" w:space="0" w:color="auto"/>
        <w:right w:val="none" w:sz="0" w:space="0" w:color="auto"/>
      </w:divBdr>
      <w:divsChild>
        <w:div w:id="535460237">
          <w:marLeft w:val="0"/>
          <w:marRight w:val="0"/>
          <w:marTop w:val="0"/>
          <w:marBottom w:val="0"/>
          <w:divBdr>
            <w:top w:val="none" w:sz="0" w:space="0" w:color="auto"/>
            <w:left w:val="none" w:sz="0" w:space="0" w:color="auto"/>
            <w:bottom w:val="none" w:sz="0" w:space="0" w:color="auto"/>
            <w:right w:val="none" w:sz="0" w:space="0" w:color="auto"/>
          </w:divBdr>
        </w:div>
        <w:div w:id="1372413268">
          <w:marLeft w:val="0"/>
          <w:marRight w:val="0"/>
          <w:marTop w:val="0"/>
          <w:marBottom w:val="0"/>
          <w:divBdr>
            <w:top w:val="none" w:sz="0" w:space="0" w:color="auto"/>
            <w:left w:val="none" w:sz="0" w:space="0" w:color="auto"/>
            <w:bottom w:val="none" w:sz="0" w:space="0" w:color="auto"/>
            <w:right w:val="none" w:sz="0" w:space="0" w:color="auto"/>
          </w:divBdr>
        </w:div>
        <w:div w:id="361983970">
          <w:marLeft w:val="0"/>
          <w:marRight w:val="0"/>
          <w:marTop w:val="0"/>
          <w:marBottom w:val="0"/>
          <w:divBdr>
            <w:top w:val="none" w:sz="0" w:space="0" w:color="auto"/>
            <w:left w:val="none" w:sz="0" w:space="0" w:color="auto"/>
            <w:bottom w:val="none" w:sz="0" w:space="0" w:color="auto"/>
            <w:right w:val="none" w:sz="0" w:space="0" w:color="auto"/>
          </w:divBdr>
        </w:div>
        <w:div w:id="1250118984">
          <w:marLeft w:val="0"/>
          <w:marRight w:val="0"/>
          <w:marTop w:val="0"/>
          <w:marBottom w:val="0"/>
          <w:divBdr>
            <w:top w:val="none" w:sz="0" w:space="0" w:color="auto"/>
            <w:left w:val="none" w:sz="0" w:space="0" w:color="auto"/>
            <w:bottom w:val="none" w:sz="0" w:space="0" w:color="auto"/>
            <w:right w:val="none" w:sz="0" w:space="0" w:color="auto"/>
          </w:divBdr>
        </w:div>
      </w:divsChild>
    </w:div>
    <w:div w:id="1631082944">
      <w:bodyDiv w:val="1"/>
      <w:marLeft w:val="0"/>
      <w:marRight w:val="0"/>
      <w:marTop w:val="0"/>
      <w:marBottom w:val="0"/>
      <w:divBdr>
        <w:top w:val="none" w:sz="0" w:space="0" w:color="auto"/>
        <w:left w:val="none" w:sz="0" w:space="0" w:color="auto"/>
        <w:bottom w:val="none" w:sz="0" w:space="0" w:color="auto"/>
        <w:right w:val="none" w:sz="0" w:space="0" w:color="auto"/>
      </w:divBdr>
      <w:divsChild>
        <w:div w:id="1093168590">
          <w:marLeft w:val="0"/>
          <w:marRight w:val="0"/>
          <w:marTop w:val="0"/>
          <w:marBottom w:val="0"/>
          <w:divBdr>
            <w:top w:val="none" w:sz="0" w:space="0" w:color="auto"/>
            <w:left w:val="none" w:sz="0" w:space="0" w:color="auto"/>
            <w:bottom w:val="none" w:sz="0" w:space="0" w:color="auto"/>
            <w:right w:val="none" w:sz="0" w:space="0" w:color="auto"/>
          </w:divBdr>
        </w:div>
        <w:div w:id="796340376">
          <w:marLeft w:val="0"/>
          <w:marRight w:val="0"/>
          <w:marTop w:val="0"/>
          <w:marBottom w:val="0"/>
          <w:divBdr>
            <w:top w:val="none" w:sz="0" w:space="0" w:color="auto"/>
            <w:left w:val="none" w:sz="0" w:space="0" w:color="auto"/>
            <w:bottom w:val="none" w:sz="0" w:space="0" w:color="auto"/>
            <w:right w:val="none" w:sz="0" w:space="0" w:color="auto"/>
          </w:divBdr>
        </w:div>
        <w:div w:id="1423643925">
          <w:marLeft w:val="0"/>
          <w:marRight w:val="0"/>
          <w:marTop w:val="0"/>
          <w:marBottom w:val="0"/>
          <w:divBdr>
            <w:top w:val="none" w:sz="0" w:space="0" w:color="auto"/>
            <w:left w:val="none" w:sz="0" w:space="0" w:color="auto"/>
            <w:bottom w:val="none" w:sz="0" w:space="0" w:color="auto"/>
            <w:right w:val="none" w:sz="0" w:space="0" w:color="auto"/>
          </w:divBdr>
        </w:div>
      </w:divsChild>
    </w:div>
    <w:div w:id="1678577762">
      <w:bodyDiv w:val="1"/>
      <w:marLeft w:val="0"/>
      <w:marRight w:val="0"/>
      <w:marTop w:val="0"/>
      <w:marBottom w:val="0"/>
      <w:divBdr>
        <w:top w:val="none" w:sz="0" w:space="0" w:color="auto"/>
        <w:left w:val="none" w:sz="0" w:space="0" w:color="auto"/>
        <w:bottom w:val="none" w:sz="0" w:space="0" w:color="auto"/>
        <w:right w:val="none" w:sz="0" w:space="0" w:color="auto"/>
      </w:divBdr>
    </w:div>
    <w:div w:id="1686705970">
      <w:bodyDiv w:val="1"/>
      <w:marLeft w:val="0"/>
      <w:marRight w:val="0"/>
      <w:marTop w:val="0"/>
      <w:marBottom w:val="0"/>
      <w:divBdr>
        <w:top w:val="none" w:sz="0" w:space="0" w:color="auto"/>
        <w:left w:val="none" w:sz="0" w:space="0" w:color="auto"/>
        <w:bottom w:val="none" w:sz="0" w:space="0" w:color="auto"/>
        <w:right w:val="none" w:sz="0" w:space="0" w:color="auto"/>
      </w:divBdr>
    </w:div>
    <w:div w:id="1707832000">
      <w:bodyDiv w:val="1"/>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0"/>
          <w:marBottom w:val="0"/>
          <w:divBdr>
            <w:top w:val="none" w:sz="0" w:space="0" w:color="auto"/>
            <w:left w:val="none" w:sz="0" w:space="0" w:color="auto"/>
            <w:bottom w:val="none" w:sz="0" w:space="0" w:color="auto"/>
            <w:right w:val="none" w:sz="0" w:space="0" w:color="auto"/>
          </w:divBdr>
        </w:div>
        <w:div w:id="872839335">
          <w:marLeft w:val="0"/>
          <w:marRight w:val="0"/>
          <w:marTop w:val="0"/>
          <w:marBottom w:val="0"/>
          <w:divBdr>
            <w:top w:val="none" w:sz="0" w:space="0" w:color="auto"/>
            <w:left w:val="none" w:sz="0" w:space="0" w:color="auto"/>
            <w:bottom w:val="none" w:sz="0" w:space="0" w:color="auto"/>
            <w:right w:val="none" w:sz="0" w:space="0" w:color="auto"/>
          </w:divBdr>
        </w:div>
        <w:div w:id="1283996094">
          <w:marLeft w:val="0"/>
          <w:marRight w:val="0"/>
          <w:marTop w:val="0"/>
          <w:marBottom w:val="0"/>
          <w:divBdr>
            <w:top w:val="none" w:sz="0" w:space="0" w:color="auto"/>
            <w:left w:val="none" w:sz="0" w:space="0" w:color="auto"/>
            <w:bottom w:val="none" w:sz="0" w:space="0" w:color="auto"/>
            <w:right w:val="none" w:sz="0" w:space="0" w:color="auto"/>
          </w:divBdr>
        </w:div>
        <w:div w:id="1288313038">
          <w:marLeft w:val="0"/>
          <w:marRight w:val="0"/>
          <w:marTop w:val="0"/>
          <w:marBottom w:val="0"/>
          <w:divBdr>
            <w:top w:val="none" w:sz="0" w:space="0" w:color="auto"/>
            <w:left w:val="none" w:sz="0" w:space="0" w:color="auto"/>
            <w:bottom w:val="none" w:sz="0" w:space="0" w:color="auto"/>
            <w:right w:val="none" w:sz="0" w:space="0" w:color="auto"/>
          </w:divBdr>
        </w:div>
        <w:div w:id="862594740">
          <w:marLeft w:val="0"/>
          <w:marRight w:val="0"/>
          <w:marTop w:val="0"/>
          <w:marBottom w:val="0"/>
          <w:divBdr>
            <w:top w:val="none" w:sz="0" w:space="0" w:color="auto"/>
            <w:left w:val="none" w:sz="0" w:space="0" w:color="auto"/>
            <w:bottom w:val="none" w:sz="0" w:space="0" w:color="auto"/>
            <w:right w:val="none" w:sz="0" w:space="0" w:color="auto"/>
          </w:divBdr>
        </w:div>
      </w:divsChild>
    </w:div>
    <w:div w:id="1757821135">
      <w:bodyDiv w:val="1"/>
      <w:marLeft w:val="0"/>
      <w:marRight w:val="0"/>
      <w:marTop w:val="0"/>
      <w:marBottom w:val="0"/>
      <w:divBdr>
        <w:top w:val="none" w:sz="0" w:space="0" w:color="auto"/>
        <w:left w:val="none" w:sz="0" w:space="0" w:color="auto"/>
        <w:bottom w:val="none" w:sz="0" w:space="0" w:color="auto"/>
        <w:right w:val="none" w:sz="0" w:space="0" w:color="auto"/>
      </w:divBdr>
    </w:div>
    <w:div w:id="1838574405">
      <w:bodyDiv w:val="1"/>
      <w:marLeft w:val="0"/>
      <w:marRight w:val="0"/>
      <w:marTop w:val="0"/>
      <w:marBottom w:val="0"/>
      <w:divBdr>
        <w:top w:val="none" w:sz="0" w:space="0" w:color="auto"/>
        <w:left w:val="none" w:sz="0" w:space="0" w:color="auto"/>
        <w:bottom w:val="none" w:sz="0" w:space="0" w:color="auto"/>
        <w:right w:val="none" w:sz="0" w:space="0" w:color="auto"/>
      </w:divBdr>
    </w:div>
    <w:div w:id="1870029226">
      <w:bodyDiv w:val="1"/>
      <w:marLeft w:val="0"/>
      <w:marRight w:val="0"/>
      <w:marTop w:val="0"/>
      <w:marBottom w:val="0"/>
      <w:divBdr>
        <w:top w:val="none" w:sz="0" w:space="0" w:color="auto"/>
        <w:left w:val="none" w:sz="0" w:space="0" w:color="auto"/>
        <w:bottom w:val="none" w:sz="0" w:space="0" w:color="auto"/>
        <w:right w:val="none" w:sz="0" w:space="0" w:color="auto"/>
      </w:divBdr>
    </w:div>
    <w:div w:id="1907375664">
      <w:bodyDiv w:val="1"/>
      <w:marLeft w:val="0"/>
      <w:marRight w:val="0"/>
      <w:marTop w:val="0"/>
      <w:marBottom w:val="0"/>
      <w:divBdr>
        <w:top w:val="none" w:sz="0" w:space="0" w:color="auto"/>
        <w:left w:val="none" w:sz="0" w:space="0" w:color="auto"/>
        <w:bottom w:val="none" w:sz="0" w:space="0" w:color="auto"/>
        <w:right w:val="none" w:sz="0" w:space="0" w:color="auto"/>
      </w:divBdr>
    </w:div>
    <w:div w:id="1939874052">
      <w:bodyDiv w:val="1"/>
      <w:marLeft w:val="0"/>
      <w:marRight w:val="0"/>
      <w:marTop w:val="0"/>
      <w:marBottom w:val="0"/>
      <w:divBdr>
        <w:top w:val="none" w:sz="0" w:space="0" w:color="auto"/>
        <w:left w:val="none" w:sz="0" w:space="0" w:color="auto"/>
        <w:bottom w:val="none" w:sz="0" w:space="0" w:color="auto"/>
        <w:right w:val="none" w:sz="0" w:space="0" w:color="auto"/>
      </w:divBdr>
      <w:divsChild>
        <w:div w:id="155341911">
          <w:marLeft w:val="0"/>
          <w:marRight w:val="0"/>
          <w:marTop w:val="0"/>
          <w:marBottom w:val="0"/>
          <w:divBdr>
            <w:top w:val="none" w:sz="0" w:space="0" w:color="auto"/>
            <w:left w:val="none" w:sz="0" w:space="0" w:color="auto"/>
            <w:bottom w:val="none" w:sz="0" w:space="0" w:color="auto"/>
            <w:right w:val="none" w:sz="0" w:space="0" w:color="auto"/>
          </w:divBdr>
        </w:div>
        <w:div w:id="466826780">
          <w:marLeft w:val="0"/>
          <w:marRight w:val="0"/>
          <w:marTop w:val="0"/>
          <w:marBottom w:val="0"/>
          <w:divBdr>
            <w:top w:val="none" w:sz="0" w:space="0" w:color="auto"/>
            <w:left w:val="none" w:sz="0" w:space="0" w:color="auto"/>
            <w:bottom w:val="none" w:sz="0" w:space="0" w:color="auto"/>
            <w:right w:val="none" w:sz="0" w:space="0" w:color="auto"/>
          </w:divBdr>
        </w:div>
        <w:div w:id="1695616693">
          <w:marLeft w:val="0"/>
          <w:marRight w:val="0"/>
          <w:marTop w:val="0"/>
          <w:marBottom w:val="0"/>
          <w:divBdr>
            <w:top w:val="none" w:sz="0" w:space="0" w:color="auto"/>
            <w:left w:val="none" w:sz="0" w:space="0" w:color="auto"/>
            <w:bottom w:val="none" w:sz="0" w:space="0" w:color="auto"/>
            <w:right w:val="none" w:sz="0" w:space="0" w:color="auto"/>
          </w:divBdr>
        </w:div>
        <w:div w:id="1005135958">
          <w:marLeft w:val="0"/>
          <w:marRight w:val="0"/>
          <w:marTop w:val="0"/>
          <w:marBottom w:val="0"/>
          <w:divBdr>
            <w:top w:val="none" w:sz="0" w:space="0" w:color="auto"/>
            <w:left w:val="none" w:sz="0" w:space="0" w:color="auto"/>
            <w:bottom w:val="none" w:sz="0" w:space="0" w:color="auto"/>
            <w:right w:val="none" w:sz="0" w:space="0" w:color="auto"/>
          </w:divBdr>
        </w:div>
      </w:divsChild>
    </w:div>
    <w:div w:id="1950163372">
      <w:bodyDiv w:val="1"/>
      <w:marLeft w:val="0"/>
      <w:marRight w:val="0"/>
      <w:marTop w:val="0"/>
      <w:marBottom w:val="0"/>
      <w:divBdr>
        <w:top w:val="none" w:sz="0" w:space="0" w:color="auto"/>
        <w:left w:val="none" w:sz="0" w:space="0" w:color="auto"/>
        <w:bottom w:val="none" w:sz="0" w:space="0" w:color="auto"/>
        <w:right w:val="none" w:sz="0" w:space="0" w:color="auto"/>
      </w:divBdr>
      <w:divsChild>
        <w:div w:id="114446952">
          <w:marLeft w:val="0"/>
          <w:marRight w:val="0"/>
          <w:marTop w:val="0"/>
          <w:marBottom w:val="0"/>
          <w:divBdr>
            <w:top w:val="none" w:sz="0" w:space="0" w:color="auto"/>
            <w:left w:val="none" w:sz="0" w:space="0" w:color="auto"/>
            <w:bottom w:val="none" w:sz="0" w:space="0" w:color="auto"/>
            <w:right w:val="none" w:sz="0" w:space="0" w:color="auto"/>
          </w:divBdr>
        </w:div>
        <w:div w:id="1900357423">
          <w:marLeft w:val="0"/>
          <w:marRight w:val="0"/>
          <w:marTop w:val="0"/>
          <w:marBottom w:val="0"/>
          <w:divBdr>
            <w:top w:val="none" w:sz="0" w:space="0" w:color="auto"/>
            <w:left w:val="none" w:sz="0" w:space="0" w:color="auto"/>
            <w:bottom w:val="none" w:sz="0" w:space="0" w:color="auto"/>
            <w:right w:val="none" w:sz="0" w:space="0" w:color="auto"/>
          </w:divBdr>
        </w:div>
        <w:div w:id="1391080538">
          <w:marLeft w:val="0"/>
          <w:marRight w:val="0"/>
          <w:marTop w:val="0"/>
          <w:marBottom w:val="0"/>
          <w:divBdr>
            <w:top w:val="none" w:sz="0" w:space="0" w:color="auto"/>
            <w:left w:val="none" w:sz="0" w:space="0" w:color="auto"/>
            <w:bottom w:val="none" w:sz="0" w:space="0" w:color="auto"/>
            <w:right w:val="none" w:sz="0" w:space="0" w:color="auto"/>
          </w:divBdr>
        </w:div>
      </w:divsChild>
    </w:div>
    <w:div w:id="1980528928">
      <w:bodyDiv w:val="1"/>
      <w:marLeft w:val="0"/>
      <w:marRight w:val="0"/>
      <w:marTop w:val="0"/>
      <w:marBottom w:val="0"/>
      <w:divBdr>
        <w:top w:val="none" w:sz="0" w:space="0" w:color="auto"/>
        <w:left w:val="none" w:sz="0" w:space="0" w:color="auto"/>
        <w:bottom w:val="none" w:sz="0" w:space="0" w:color="auto"/>
        <w:right w:val="none" w:sz="0" w:space="0" w:color="auto"/>
      </w:divBdr>
    </w:div>
    <w:div w:id="200850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7BF7-1D7B-478E-AC99-251DDD88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10193</Words>
  <Characters>58103</Characters>
  <Application>Microsoft Office Word</Application>
  <DocSecurity>0</DocSecurity>
  <Lines>484</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wiengarten</dc:creator>
  <cp:lastModifiedBy>Aiken, Wendy</cp:lastModifiedBy>
  <cp:revision>2</cp:revision>
  <dcterms:created xsi:type="dcterms:W3CDTF">2019-04-04T15:07:00Z</dcterms:created>
  <dcterms:modified xsi:type="dcterms:W3CDTF">2019-04-04T15:07:00Z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id="t78WvEfG"/&gt;&lt;style id="http://www.zotero.org/styles/emerald-harvard"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